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tabs>
          <w:tab w:pos="5452" w:val="left" w:leader="none"/>
        </w:tabs>
        <w:spacing w:line="447" w:lineRule="exact" w:before="0"/>
        <w:ind w:left="0" w:right="95" w:firstLine="0"/>
        <w:jc w:val="center"/>
        <w:rPr>
          <w:rFonts w:ascii="华文中宋" w:hAnsi="华文中宋" w:cs="华文中宋" w:eastAsia="华文中宋" w:hint="default"/>
          <w:sz w:val="32"/>
          <w:szCs w:val="32"/>
        </w:rPr>
      </w:pPr>
      <w:r>
        <w:rPr>
          <w:rFonts w:ascii="宋体" w:hAnsi="宋体" w:cs="宋体" w:eastAsia="宋体" w:hint="default"/>
          <w:b/>
          <w:bCs/>
          <w:w w:val="95"/>
          <w:sz w:val="32"/>
          <w:szCs w:val="32"/>
        </w:rPr>
        <w:t>股票简称：实益达</w:t>
        <w:tab/>
      </w:r>
      <w:r>
        <w:rPr>
          <w:rFonts w:ascii="宋体" w:hAnsi="宋体" w:cs="宋体" w:eastAsia="宋体" w:hint="default"/>
          <w:b/>
          <w:bCs/>
          <w:sz w:val="32"/>
          <w:szCs w:val="32"/>
        </w:rPr>
        <w:t>证券代码：</w:t>
      </w:r>
      <w:r>
        <w:rPr>
          <w:rFonts w:ascii="华文中宋" w:hAnsi="华文中宋" w:cs="华文中宋" w:eastAsia="华文中宋" w:hint="default"/>
          <w:b/>
          <w:bCs/>
          <w:sz w:val="32"/>
          <w:szCs w:val="32"/>
        </w:rPr>
        <w:t>002137</w:t>
      </w:r>
      <w:r>
        <w:rPr>
          <w:rFonts w:ascii="华文中宋" w:hAnsi="华文中宋" w:cs="华文中宋" w:eastAsia="华文中宋" w:hint="default"/>
          <w:sz w:val="32"/>
          <w:szCs w:val="32"/>
        </w:rPr>
      </w:r>
    </w:p>
    <w:p>
      <w:pPr>
        <w:spacing w:line="240" w:lineRule="auto" w:before="0"/>
        <w:rPr>
          <w:rFonts w:ascii="华文中宋" w:hAnsi="华文中宋" w:cs="华文中宋" w:eastAsia="华文中宋" w:hint="default"/>
          <w:b/>
          <w:bCs/>
          <w:sz w:val="34"/>
          <w:szCs w:val="34"/>
        </w:rPr>
      </w:pPr>
    </w:p>
    <w:p>
      <w:pPr>
        <w:spacing w:line="240" w:lineRule="auto" w:before="1"/>
        <w:rPr>
          <w:rFonts w:ascii="华文中宋" w:hAnsi="华文中宋" w:cs="华文中宋" w:eastAsia="华文中宋" w:hint="default"/>
          <w:b/>
          <w:bCs/>
          <w:sz w:val="21"/>
          <w:szCs w:val="21"/>
        </w:rPr>
      </w:pPr>
    </w:p>
    <w:p>
      <w:pPr>
        <w:spacing w:before="0"/>
        <w:ind w:left="96" w:right="95" w:firstLine="0"/>
        <w:jc w:val="center"/>
        <w:rPr>
          <w:rFonts w:ascii="宋体" w:hAnsi="宋体" w:cs="宋体" w:eastAsia="宋体" w:hint="default"/>
          <w:sz w:val="52"/>
          <w:szCs w:val="52"/>
        </w:rPr>
      </w:pPr>
      <w:r>
        <w:rPr>
          <w:rFonts w:ascii="宋体" w:hAnsi="宋体" w:cs="宋体" w:eastAsia="宋体" w:hint="default"/>
          <w:b/>
          <w:bCs/>
          <w:sz w:val="52"/>
          <w:szCs w:val="52"/>
        </w:rPr>
        <w:t>深圳市实益达科技股份有限公司</w:t>
      </w:r>
      <w:r>
        <w:rPr>
          <w:rFonts w:ascii="宋体" w:hAnsi="宋体" w:cs="宋体" w:eastAsia="宋体" w:hint="default"/>
          <w:sz w:val="52"/>
          <w:szCs w:val="52"/>
        </w:rPr>
      </w:r>
    </w:p>
    <w:p>
      <w:pPr>
        <w:spacing w:before="53"/>
        <w:ind w:left="96" w:right="95" w:firstLine="0"/>
        <w:jc w:val="center"/>
        <w:rPr>
          <w:rFonts w:ascii="华文中宋" w:hAnsi="华文中宋" w:cs="华文中宋" w:eastAsia="华文中宋" w:hint="default"/>
          <w:sz w:val="28"/>
          <w:szCs w:val="28"/>
        </w:rPr>
      </w:pPr>
      <w:r>
        <w:rPr>
          <w:rFonts w:ascii="华文中宋" w:hAnsi="华文中宋" w:cs="华文中宋" w:eastAsia="华文中宋" w:hint="default"/>
          <w:b/>
          <w:bCs/>
          <w:sz w:val="28"/>
          <w:szCs w:val="28"/>
        </w:rPr>
        <w:t>(</w:t>
      </w:r>
      <w:r>
        <w:rPr>
          <w:rFonts w:ascii="宋体" w:hAnsi="宋体" w:cs="宋体" w:eastAsia="宋体" w:hint="default"/>
          <w:b/>
          <w:bCs/>
          <w:sz w:val="28"/>
          <w:szCs w:val="28"/>
        </w:rPr>
        <w:t>注册地址：深圳市高新区北区清华信息港研发楼</w:t>
      </w:r>
      <w:r>
        <w:rPr>
          <w:rFonts w:ascii="宋体" w:hAnsi="宋体" w:cs="宋体" w:eastAsia="宋体" w:hint="default"/>
          <w:b/>
          <w:bCs/>
          <w:spacing w:val="-75"/>
          <w:sz w:val="28"/>
          <w:szCs w:val="28"/>
        </w:rPr>
        <w:t> </w:t>
      </w:r>
      <w:r>
        <w:rPr>
          <w:rFonts w:ascii="华文中宋" w:hAnsi="华文中宋" w:cs="华文中宋" w:eastAsia="华文中宋" w:hint="default"/>
          <w:b/>
          <w:bCs/>
          <w:sz w:val="28"/>
          <w:szCs w:val="28"/>
        </w:rPr>
        <w:t>B</w:t>
      </w:r>
      <w:r>
        <w:rPr>
          <w:rFonts w:ascii="华文中宋" w:hAnsi="华文中宋" w:cs="华文中宋" w:eastAsia="华文中宋" w:hint="default"/>
          <w:b/>
          <w:bCs/>
          <w:spacing w:val="-25"/>
          <w:sz w:val="28"/>
          <w:szCs w:val="28"/>
        </w:rPr>
        <w:t> </w:t>
      </w:r>
      <w:r>
        <w:rPr>
          <w:rFonts w:ascii="宋体" w:hAnsi="宋体" w:cs="宋体" w:eastAsia="宋体" w:hint="default"/>
          <w:b/>
          <w:bCs/>
          <w:sz w:val="28"/>
          <w:szCs w:val="28"/>
        </w:rPr>
        <w:t>栋</w:t>
      </w:r>
      <w:r>
        <w:rPr>
          <w:rFonts w:ascii="宋体" w:hAnsi="宋体" w:cs="宋体" w:eastAsia="宋体" w:hint="default"/>
          <w:b/>
          <w:bCs/>
          <w:spacing w:val="-75"/>
          <w:sz w:val="28"/>
          <w:szCs w:val="28"/>
        </w:rPr>
        <w:t> </w:t>
      </w:r>
      <w:r>
        <w:rPr>
          <w:rFonts w:ascii="华文中宋" w:hAnsi="华文中宋" w:cs="华文中宋" w:eastAsia="华文中宋" w:hint="default"/>
          <w:b/>
          <w:bCs/>
          <w:sz w:val="28"/>
          <w:szCs w:val="28"/>
        </w:rPr>
        <w:t>501)</w:t>
      </w:r>
      <w:r>
        <w:rPr>
          <w:rFonts w:ascii="华文中宋" w:hAnsi="华文中宋" w:cs="华文中宋" w:eastAsia="华文中宋" w:hint="default"/>
          <w:sz w:val="28"/>
          <w:szCs w:val="28"/>
        </w:rPr>
      </w:r>
    </w:p>
    <w:p>
      <w:pPr>
        <w:spacing w:line="240" w:lineRule="auto" w:before="0"/>
        <w:rPr>
          <w:rFonts w:ascii="华文中宋" w:hAnsi="华文中宋" w:cs="华文中宋" w:eastAsia="华文中宋" w:hint="default"/>
          <w:b/>
          <w:bCs/>
          <w:sz w:val="30"/>
          <w:szCs w:val="30"/>
        </w:rPr>
      </w:pPr>
    </w:p>
    <w:p>
      <w:pPr>
        <w:spacing w:line="240" w:lineRule="auto" w:before="10"/>
        <w:rPr>
          <w:rFonts w:ascii="华文中宋" w:hAnsi="华文中宋" w:cs="华文中宋" w:eastAsia="华文中宋" w:hint="default"/>
          <w:b/>
          <w:bCs/>
          <w:sz w:val="37"/>
          <w:szCs w:val="37"/>
        </w:rPr>
      </w:pPr>
    </w:p>
    <w:p>
      <w:pPr>
        <w:spacing w:before="0"/>
        <w:ind w:left="98" w:right="95" w:firstLine="0"/>
        <w:jc w:val="center"/>
        <w:rPr>
          <w:rFonts w:ascii="宋体" w:hAnsi="宋体" w:cs="宋体" w:eastAsia="宋体" w:hint="default"/>
          <w:sz w:val="52"/>
          <w:szCs w:val="52"/>
        </w:rPr>
      </w:pPr>
      <w:r>
        <w:rPr>
          <w:rFonts w:ascii="华文中宋" w:hAnsi="华文中宋" w:cs="华文中宋" w:eastAsia="华文中宋" w:hint="default"/>
          <w:b/>
          <w:bCs/>
          <w:sz w:val="52"/>
          <w:szCs w:val="52"/>
        </w:rPr>
        <w:t>2007</w:t>
      </w:r>
      <w:r>
        <w:rPr>
          <w:rFonts w:ascii="华文中宋" w:hAnsi="华文中宋" w:cs="华文中宋" w:eastAsia="华文中宋" w:hint="default"/>
          <w:b/>
          <w:bCs/>
          <w:spacing w:val="-4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2"/>
        <w:rPr>
          <w:rFonts w:ascii="宋体" w:hAnsi="宋体" w:cs="宋体" w:eastAsia="宋体" w:hint="default"/>
          <w:b/>
          <w:bCs/>
          <w:sz w:val="39"/>
          <w:szCs w:val="39"/>
        </w:rPr>
      </w:pPr>
    </w:p>
    <w:p>
      <w:pPr>
        <w:spacing w:line="790" w:lineRule="exact" w:before="0"/>
        <w:ind w:left="97" w:right="95" w:firstLine="0"/>
        <w:jc w:val="center"/>
        <w:rPr>
          <w:rFonts w:ascii="Arial" w:hAnsi="Arial" w:cs="Arial" w:eastAsia="Arial" w:hint="default"/>
          <w:sz w:val="72"/>
          <w:szCs w:val="72"/>
        </w:rPr>
      </w:pPr>
      <w:r>
        <w:rPr>
          <w:rFonts w:ascii="Arial"/>
          <w:b/>
          <w:color w:val="0000FF"/>
          <w:w w:val="99"/>
          <w:sz w:val="72"/>
        </w:rPr>
      </w:r>
      <w:r>
        <w:rPr>
          <w:rFonts w:ascii="Arial"/>
          <w:b/>
          <w:color w:val="0000FF"/>
          <w:spacing w:val="-4"/>
          <w:sz w:val="72"/>
          <w:u w:val="thick" w:color="0000FF"/>
        </w:rPr>
        <w:t>Sea</w:t>
      </w:r>
      <w:r>
        <w:rPr>
          <w:rFonts w:ascii="Arial"/>
          <w:b/>
          <w:color w:val="0000FF"/>
          <w:spacing w:val="-13"/>
          <w:sz w:val="72"/>
          <w:u w:val="thick" w:color="0000FF"/>
        </w:rPr>
        <w:t> </w:t>
      </w:r>
      <w:r>
        <w:rPr>
          <w:rFonts w:ascii="Arial"/>
          <w:b/>
          <w:color w:val="0000FF"/>
          <w:spacing w:val="-6"/>
          <w:sz w:val="72"/>
          <w:u w:val="thick" w:color="0000FF"/>
        </w:rPr>
        <w:t>Star</w:t>
      </w:r>
      <w:r>
        <w:rPr>
          <w:rFonts w:ascii="Arial"/>
          <w:b/>
          <w:color w:val="0000FF"/>
          <w:spacing w:val="-6"/>
          <w:sz w:val="72"/>
        </w:rPr>
      </w:r>
      <w:r>
        <w:rPr>
          <w:rFonts w:ascii="Arial"/>
          <w:sz w:val="72"/>
        </w:rPr>
      </w:r>
    </w:p>
    <w:p>
      <w:pPr>
        <w:spacing w:line="904" w:lineRule="exact" w:before="0"/>
        <w:ind w:left="0" w:right="0" w:firstLine="0"/>
        <w:jc w:val="center"/>
        <w:rPr>
          <w:rFonts w:ascii="宋体" w:hAnsi="宋体" w:cs="宋体" w:eastAsia="宋体" w:hint="default"/>
          <w:sz w:val="72"/>
          <w:szCs w:val="72"/>
        </w:rPr>
      </w:pPr>
      <w:r>
        <w:rPr>
          <w:rFonts w:ascii="宋体" w:hAnsi="宋体" w:cs="宋体" w:eastAsia="宋体" w:hint="default"/>
          <w:b/>
          <w:bCs/>
          <w:color w:val="0000FF"/>
          <w:sz w:val="72"/>
          <w:szCs w:val="72"/>
        </w:rPr>
        <w:t>实 益</w:t>
      </w:r>
      <w:r>
        <w:rPr>
          <w:rFonts w:ascii="宋体" w:hAnsi="宋体" w:cs="宋体" w:eastAsia="宋体" w:hint="default"/>
          <w:b/>
          <w:bCs/>
          <w:color w:val="0000FF"/>
          <w:spacing w:val="-9"/>
          <w:sz w:val="72"/>
          <w:szCs w:val="72"/>
        </w:rPr>
        <w:t> </w:t>
      </w:r>
      <w:r>
        <w:rPr>
          <w:rFonts w:ascii="宋体" w:hAnsi="宋体" w:cs="宋体" w:eastAsia="宋体" w:hint="default"/>
          <w:b/>
          <w:bCs/>
          <w:color w:val="0000FF"/>
          <w:sz w:val="72"/>
          <w:szCs w:val="72"/>
        </w:rPr>
        <w:t>达</w:t>
      </w:r>
      <w:r>
        <w:rPr>
          <w:rFonts w:ascii="宋体" w:hAnsi="宋体" w:cs="宋体" w:eastAsia="宋体" w:hint="default"/>
          <w:sz w:val="72"/>
          <w:szCs w:val="72"/>
        </w:rPr>
      </w: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2"/>
        <w:rPr>
          <w:rFonts w:ascii="宋体" w:hAnsi="宋体" w:cs="宋体" w:eastAsia="宋体" w:hint="default"/>
          <w:b/>
          <w:bCs/>
          <w:sz w:val="65"/>
          <w:szCs w:val="65"/>
        </w:rPr>
      </w:pPr>
    </w:p>
    <w:p>
      <w:pPr>
        <w:spacing w:before="0"/>
        <w:ind w:left="96" w:right="95" w:firstLine="0"/>
        <w:jc w:val="center"/>
        <w:rPr>
          <w:rFonts w:ascii="宋体" w:hAnsi="宋体" w:cs="宋体" w:eastAsia="宋体" w:hint="default"/>
          <w:sz w:val="32"/>
          <w:szCs w:val="32"/>
        </w:rPr>
      </w:pPr>
      <w:r>
        <w:rPr>
          <w:rFonts w:ascii="宋体" w:hAnsi="宋体" w:cs="宋体" w:eastAsia="宋体" w:hint="default"/>
          <w:b/>
          <w:bCs/>
          <w:sz w:val="32"/>
          <w:szCs w:val="32"/>
        </w:rPr>
        <w:t>二</w:t>
      </w:r>
      <w:r>
        <w:rPr>
          <w:rFonts w:ascii="华文中宋" w:hAnsi="华文中宋" w:cs="华文中宋" w:eastAsia="华文中宋" w:hint="default"/>
          <w:b/>
          <w:bCs/>
          <w:sz w:val="32"/>
          <w:szCs w:val="32"/>
        </w:rPr>
        <w:t>〇〇</w:t>
      </w:r>
      <w:r>
        <w:rPr>
          <w:rFonts w:ascii="宋体" w:hAnsi="宋体" w:cs="宋体" w:eastAsia="宋体" w:hint="default"/>
          <w:b/>
          <w:bCs/>
          <w:sz w:val="32"/>
          <w:szCs w:val="32"/>
        </w:rPr>
        <w:t>八年三月二十七日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339" w:top="980" w:bottom="1520" w:left="980" w:right="980"/>
          <w:pgNumType w:start="1"/>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目录：</w:t>
      </w:r>
      <w:r>
        <w:rPr>
          <w:rFonts w:ascii="宋体" w:hAnsi="宋体" w:cs="宋体" w:eastAsia="宋体" w:hint="default"/>
          <w:sz w:val="24"/>
          <w:szCs w:val="24"/>
        </w:rPr>
      </w:r>
    </w:p>
    <w:sdt>
      <w:sdtPr>
        <w:docPartObj>
          <w:docPartGallery w:val="Table of Contents"/>
          <w:docPartUnique/>
        </w:docPartObj>
      </w:sdtPr>
      <w:sdtEndPr/>
      <w:sdtContent>
        <w:p>
          <w:pPr>
            <w:pStyle w:val="TOC1"/>
            <w:tabs>
              <w:tab w:pos="9431" w:val="left" w:leader="dot"/>
            </w:tabs>
            <w:spacing w:line="240" w:lineRule="auto"/>
            <w:ind w:right="0"/>
            <w:jc w:val="left"/>
            <w:rPr>
              <w:b w:val="0"/>
              <w:bCs w:val="0"/>
            </w:rPr>
          </w:pPr>
          <w:r>
            <w:rPr>
              <w:w w:val="95"/>
            </w:rPr>
            <w:t>第一节、重要提示</w:t>
          </w:r>
          <w:r>
            <w:rPr>
              <w:rFonts w:ascii="Times New Roman" w:hAnsi="Times New Roman" w:cs="Times New Roman" w:eastAsia="Times New Roman" w:hint="default"/>
              <w:b w:val="0"/>
              <w:bCs w:val="0"/>
              <w:w w:val="95"/>
            </w:rPr>
            <w:tab/>
          </w:r>
          <w:r>
            <w:rPr/>
            <w:t>3</w:t>
          </w:r>
          <w:r>
            <w:rPr>
              <w:b w:val="0"/>
              <w:bCs w:val="0"/>
            </w:rPr>
          </w:r>
        </w:p>
        <w:p>
          <w:pPr>
            <w:pStyle w:val="TOC1"/>
            <w:tabs>
              <w:tab w:pos="9431" w:val="left" w:leader="dot"/>
            </w:tabs>
            <w:spacing w:line="240" w:lineRule="auto" w:before="125"/>
            <w:ind w:left="153" w:right="0"/>
            <w:jc w:val="left"/>
            <w:rPr>
              <w:b w:val="0"/>
              <w:bCs w:val="0"/>
            </w:rPr>
          </w:pPr>
          <w:r>
            <w:rPr>
              <w:w w:val="95"/>
            </w:rPr>
            <w:t>第二节、公司基本情况简介</w:t>
          </w:r>
          <w:r>
            <w:rPr>
              <w:rFonts w:ascii="Times New Roman" w:hAnsi="Times New Roman" w:cs="Times New Roman" w:eastAsia="Times New Roman" w:hint="default"/>
              <w:b w:val="0"/>
              <w:bCs w:val="0"/>
              <w:w w:val="95"/>
            </w:rPr>
            <w:tab/>
          </w:r>
          <w:r>
            <w:rPr/>
            <w:t>4</w:t>
          </w:r>
          <w:r>
            <w:rPr>
              <w:b w:val="0"/>
              <w:bCs w:val="0"/>
            </w:rPr>
          </w:r>
        </w:p>
        <w:p>
          <w:pPr>
            <w:pStyle w:val="TOC1"/>
            <w:tabs>
              <w:tab w:pos="9431" w:val="left" w:leader="dot"/>
            </w:tabs>
            <w:spacing w:line="240" w:lineRule="auto"/>
            <w:ind w:left="153" w:right="0"/>
            <w:jc w:val="left"/>
            <w:rPr>
              <w:b w:val="0"/>
              <w:bCs w:val="0"/>
            </w:rPr>
          </w:pPr>
          <w:r>
            <w:rPr>
              <w:w w:val="95"/>
            </w:rPr>
            <w:t>第三节、会计数据和业务数据摘要</w:t>
          </w:r>
          <w:r>
            <w:rPr>
              <w:rFonts w:ascii="Times New Roman" w:hAnsi="Times New Roman" w:cs="Times New Roman" w:eastAsia="Times New Roman" w:hint="default"/>
              <w:b w:val="0"/>
              <w:bCs w:val="0"/>
              <w:w w:val="95"/>
            </w:rPr>
            <w:tab/>
          </w:r>
          <w:r>
            <w:rPr/>
            <w:t>6</w:t>
          </w:r>
          <w:r>
            <w:rPr>
              <w:b w:val="0"/>
              <w:bCs w:val="0"/>
            </w:rPr>
          </w:r>
        </w:p>
        <w:p>
          <w:pPr>
            <w:pStyle w:val="TOC1"/>
            <w:tabs>
              <w:tab w:pos="9431" w:val="left" w:leader="dot"/>
            </w:tabs>
            <w:spacing w:line="240" w:lineRule="auto"/>
            <w:ind w:left="153" w:right="0"/>
            <w:jc w:val="left"/>
            <w:rPr>
              <w:b w:val="0"/>
              <w:bCs w:val="0"/>
            </w:rPr>
          </w:pPr>
          <w:hyperlink w:history="true" w:anchor="_TOC_250008">
            <w:r>
              <w:rPr>
                <w:w w:val="95"/>
              </w:rPr>
              <w:t>第四节、股本变动及股东情况</w:t>
            </w:r>
            <w:r>
              <w:rPr>
                <w:rFonts w:ascii="Times New Roman" w:hAnsi="Times New Roman" w:cs="Times New Roman" w:eastAsia="Times New Roman" w:hint="default"/>
                <w:b w:val="0"/>
                <w:bCs w:val="0"/>
                <w:w w:val="95"/>
              </w:rPr>
              <w:tab/>
            </w:r>
            <w:r>
              <w:rPr/>
              <w:t>8</w:t>
            </w:r>
            <w:r>
              <w:rPr>
                <w:b w:val="0"/>
                <w:bCs w:val="0"/>
              </w:rPr>
            </w:r>
          </w:hyperlink>
        </w:p>
        <w:p>
          <w:pPr>
            <w:pStyle w:val="TOC1"/>
            <w:tabs>
              <w:tab w:pos="9431" w:val="left" w:leader="dot"/>
            </w:tabs>
            <w:spacing w:line="240" w:lineRule="auto" w:before="125"/>
            <w:ind w:left="153" w:right="0"/>
            <w:jc w:val="left"/>
            <w:rPr>
              <w:b w:val="0"/>
              <w:bCs w:val="0"/>
            </w:rPr>
          </w:pPr>
          <w:hyperlink w:history="true" w:anchor="_TOC_250007">
            <w:r>
              <w:rPr>
                <w:w w:val="95"/>
              </w:rPr>
              <w:t>第五节、董事、监事、高级管理人员和员工情况…</w:t>
            </w:r>
            <w:r>
              <w:rPr>
                <w:rFonts w:ascii="Times New Roman" w:hAnsi="Times New Roman" w:cs="Times New Roman" w:eastAsia="Times New Roman" w:hint="default"/>
                <w:b w:val="0"/>
                <w:bCs w:val="0"/>
                <w:w w:val="95"/>
              </w:rPr>
              <w:tab/>
            </w:r>
            <w:r>
              <w:rPr/>
              <w:t>13</w:t>
            </w:r>
            <w:r>
              <w:rPr>
                <w:b w:val="0"/>
                <w:bCs w:val="0"/>
              </w:rPr>
            </w:r>
          </w:hyperlink>
        </w:p>
        <w:p>
          <w:pPr>
            <w:pStyle w:val="TOC1"/>
            <w:tabs>
              <w:tab w:pos="9430" w:val="left" w:leader="dot"/>
            </w:tabs>
            <w:spacing w:line="240" w:lineRule="auto"/>
            <w:ind w:right="0"/>
            <w:jc w:val="left"/>
            <w:rPr>
              <w:b w:val="0"/>
              <w:bCs w:val="0"/>
            </w:rPr>
          </w:pPr>
          <w:hyperlink w:history="true" w:anchor="_TOC_250006">
            <w:r>
              <w:rPr>
                <w:w w:val="95"/>
              </w:rPr>
              <w:t>第六节、公司治理结构</w:t>
            </w:r>
            <w:r>
              <w:rPr>
                <w:rFonts w:ascii="Times New Roman" w:hAnsi="Times New Roman" w:cs="Times New Roman" w:eastAsia="Times New Roman" w:hint="default"/>
                <w:b w:val="0"/>
                <w:bCs w:val="0"/>
                <w:w w:val="95"/>
              </w:rPr>
              <w:tab/>
            </w:r>
            <w:r>
              <w:rPr/>
              <w:t>16</w:t>
            </w:r>
            <w:r>
              <w:rPr>
                <w:b w:val="0"/>
                <w:bCs w:val="0"/>
              </w:rPr>
            </w:r>
          </w:hyperlink>
        </w:p>
        <w:p>
          <w:pPr>
            <w:pStyle w:val="TOC1"/>
            <w:tabs>
              <w:tab w:pos="9430" w:val="left" w:leader="dot"/>
            </w:tabs>
            <w:spacing w:line="240" w:lineRule="auto"/>
            <w:ind w:right="0"/>
            <w:jc w:val="left"/>
            <w:rPr>
              <w:b w:val="0"/>
              <w:bCs w:val="0"/>
            </w:rPr>
          </w:pPr>
          <w:hyperlink w:history="true" w:anchor="_TOC_250005">
            <w:r>
              <w:rPr>
                <w:w w:val="95"/>
              </w:rPr>
              <w:t>第七节、股东大会情况简介</w:t>
            </w:r>
            <w:r>
              <w:rPr>
                <w:rFonts w:ascii="Times New Roman" w:hAnsi="Times New Roman" w:cs="Times New Roman" w:eastAsia="Times New Roman" w:hint="default"/>
                <w:b w:val="0"/>
                <w:bCs w:val="0"/>
                <w:w w:val="95"/>
              </w:rPr>
              <w:tab/>
            </w:r>
            <w:r>
              <w:rPr/>
              <w:t>21</w:t>
            </w:r>
            <w:r>
              <w:rPr>
                <w:b w:val="0"/>
                <w:bCs w:val="0"/>
              </w:rPr>
            </w:r>
          </w:hyperlink>
        </w:p>
        <w:p>
          <w:pPr>
            <w:pStyle w:val="TOC1"/>
            <w:tabs>
              <w:tab w:pos="9430" w:val="left" w:leader="dot"/>
            </w:tabs>
            <w:spacing w:line="240" w:lineRule="auto" w:before="125"/>
            <w:ind w:right="0"/>
            <w:jc w:val="left"/>
            <w:rPr>
              <w:b w:val="0"/>
              <w:bCs w:val="0"/>
            </w:rPr>
          </w:pPr>
          <w:hyperlink w:history="true" w:anchor="_TOC_250004">
            <w:r>
              <w:rPr>
                <w:w w:val="95"/>
              </w:rPr>
              <w:t>第八节、董事会报告</w:t>
            </w:r>
            <w:r>
              <w:rPr>
                <w:rFonts w:ascii="Times New Roman" w:hAnsi="Times New Roman" w:cs="Times New Roman" w:eastAsia="Times New Roman" w:hint="default"/>
                <w:b w:val="0"/>
                <w:bCs w:val="0"/>
                <w:w w:val="95"/>
              </w:rPr>
              <w:tab/>
            </w:r>
            <w:r>
              <w:rPr/>
              <w:t>22</w:t>
            </w:r>
            <w:r>
              <w:rPr>
                <w:b w:val="0"/>
                <w:bCs w:val="0"/>
              </w:rPr>
            </w:r>
          </w:hyperlink>
        </w:p>
        <w:p>
          <w:pPr>
            <w:pStyle w:val="TOC1"/>
            <w:tabs>
              <w:tab w:pos="9430" w:val="left" w:leader="dot"/>
            </w:tabs>
            <w:spacing w:line="240" w:lineRule="auto"/>
            <w:ind w:right="0"/>
            <w:jc w:val="left"/>
            <w:rPr>
              <w:b w:val="0"/>
              <w:bCs w:val="0"/>
            </w:rPr>
          </w:pPr>
          <w:hyperlink w:history="true" w:anchor="_TOC_250003">
            <w:r>
              <w:rPr>
                <w:w w:val="95"/>
              </w:rPr>
              <w:t>第九节、监事会报告</w:t>
            </w:r>
            <w:r>
              <w:rPr>
                <w:rFonts w:ascii="Times New Roman" w:hAnsi="Times New Roman" w:cs="Times New Roman" w:eastAsia="Times New Roman" w:hint="default"/>
                <w:b w:val="0"/>
                <w:bCs w:val="0"/>
                <w:w w:val="95"/>
              </w:rPr>
              <w:tab/>
            </w:r>
            <w:r>
              <w:rPr/>
              <w:t>37</w:t>
            </w:r>
            <w:r>
              <w:rPr>
                <w:b w:val="0"/>
                <w:bCs w:val="0"/>
              </w:rPr>
            </w:r>
          </w:hyperlink>
        </w:p>
        <w:p>
          <w:pPr>
            <w:pStyle w:val="TOC1"/>
            <w:tabs>
              <w:tab w:pos="9430" w:val="left" w:leader="dot"/>
            </w:tabs>
            <w:spacing w:line="240" w:lineRule="auto" w:before="167"/>
            <w:ind w:right="0"/>
            <w:jc w:val="left"/>
            <w:rPr>
              <w:b w:val="0"/>
              <w:bCs w:val="0"/>
            </w:rPr>
          </w:pPr>
          <w:hyperlink w:history="true" w:anchor="_TOC_250002">
            <w:r>
              <w:rPr>
                <w:w w:val="95"/>
              </w:rPr>
              <w:t>第十节、重要事项</w:t>
            </w:r>
            <w:r>
              <w:rPr>
                <w:rFonts w:ascii="Times New Roman" w:hAnsi="Times New Roman" w:cs="Times New Roman" w:eastAsia="Times New Roman" w:hint="default"/>
                <w:b w:val="0"/>
                <w:bCs w:val="0"/>
                <w:w w:val="95"/>
              </w:rPr>
              <w:tab/>
            </w:r>
            <w:r>
              <w:rPr/>
              <w:t>39</w:t>
            </w:r>
            <w:r>
              <w:rPr>
                <w:b w:val="0"/>
                <w:bCs w:val="0"/>
              </w:rPr>
            </w:r>
          </w:hyperlink>
        </w:p>
        <w:p>
          <w:pPr>
            <w:pStyle w:val="TOC1"/>
            <w:tabs>
              <w:tab w:pos="9430" w:val="left" w:leader="dot"/>
            </w:tabs>
            <w:spacing w:line="240" w:lineRule="auto" w:before="166"/>
            <w:ind w:right="0"/>
            <w:jc w:val="left"/>
            <w:rPr>
              <w:b w:val="0"/>
              <w:bCs w:val="0"/>
            </w:rPr>
          </w:pPr>
          <w:hyperlink w:history="true" w:anchor="_TOC_250001">
            <w:r>
              <w:rPr>
                <w:w w:val="95"/>
              </w:rPr>
              <w:t>第十一节、财务报告</w:t>
            </w:r>
            <w:r>
              <w:rPr>
                <w:rFonts w:ascii="Times New Roman" w:hAnsi="Times New Roman" w:cs="Times New Roman" w:eastAsia="Times New Roman" w:hint="default"/>
                <w:b w:val="0"/>
                <w:bCs w:val="0"/>
                <w:w w:val="95"/>
              </w:rPr>
              <w:tab/>
            </w:r>
            <w:r>
              <w:rPr/>
              <w:t>42</w:t>
            </w:r>
            <w:r>
              <w:rPr>
                <w:b w:val="0"/>
                <w:bCs w:val="0"/>
              </w:rPr>
            </w:r>
          </w:hyperlink>
        </w:p>
        <w:p>
          <w:pPr>
            <w:pStyle w:val="TOC1"/>
            <w:tabs>
              <w:tab w:pos="9429" w:val="left" w:leader="dot"/>
            </w:tabs>
            <w:spacing w:line="240" w:lineRule="auto" w:before="166"/>
            <w:ind w:right="0"/>
            <w:jc w:val="left"/>
            <w:rPr>
              <w:b w:val="0"/>
              <w:bCs w:val="0"/>
            </w:rPr>
          </w:pPr>
          <w:hyperlink w:history="true" w:anchor="_TOC_250000">
            <w:r>
              <w:rPr>
                <w:spacing w:val="-1"/>
                <w:w w:val="95"/>
              </w:rPr>
              <w:t>第十二节、备查文件目录</w:t>
            </w:r>
            <w:r>
              <w:rPr>
                <w:rFonts w:ascii="Times New Roman" w:hAnsi="Times New Roman" w:cs="Times New Roman" w:eastAsia="Times New Roman" w:hint="default"/>
                <w:b w:val="0"/>
                <w:bCs w:val="0"/>
                <w:spacing w:val="-1"/>
                <w:w w:val="95"/>
              </w:rPr>
              <w:tab/>
            </w:r>
            <w:r>
              <w:rPr/>
              <w:t>100</w:t>
            </w:r>
            <w:r>
              <w:rPr>
                <w:b w:val="0"/>
                <w:bCs w:val="0"/>
              </w:rPr>
            </w:r>
          </w:hyperlink>
        </w:p>
      </w:sdtContent>
    </w:sdt>
    <w:p>
      <w:pPr>
        <w:spacing w:after="0" w:line="240" w:lineRule="auto"/>
        <w:jc w:val="left"/>
        <w:sectPr>
          <w:pgSz w:w="11910" w:h="16840"/>
          <w:pgMar w:header="747" w:footer="1339" w:top="980" w:bottom="1520" w:left="980" w:right="980"/>
        </w:sectPr>
      </w:pPr>
    </w:p>
    <w:p>
      <w:pPr>
        <w:spacing w:line="880" w:lineRule="exact" w:before="98"/>
        <w:ind w:left="636" w:right="132" w:firstLine="3372"/>
        <w:jc w:val="left"/>
        <w:rPr>
          <w:rFonts w:ascii="宋体" w:hAnsi="宋体" w:cs="宋体" w:eastAsia="宋体" w:hint="default"/>
          <w:sz w:val="24"/>
          <w:szCs w:val="24"/>
        </w:rPr>
      </w:pPr>
      <w:r>
        <w:rPr>
          <w:rFonts w:ascii="宋体" w:hAnsi="宋体" w:cs="宋体" w:eastAsia="宋体" w:hint="default"/>
          <w:b/>
          <w:bCs/>
          <w:sz w:val="24"/>
          <w:szCs w:val="24"/>
        </w:rPr>
        <w:t>第一节、重要提示</w:t>
      </w:r>
      <w:r>
        <w:rPr>
          <w:rFonts w:ascii="宋体" w:hAnsi="宋体" w:cs="宋体" w:eastAsia="宋体" w:hint="default"/>
          <w:b/>
          <w:bCs/>
          <w:spacing w:val="1"/>
          <w:w w:val="99"/>
          <w:sz w:val="24"/>
          <w:szCs w:val="24"/>
        </w:rPr>
        <w:t> </w:t>
      </w:r>
      <w:r>
        <w:rPr>
          <w:rFonts w:ascii="宋体" w:hAnsi="宋体" w:cs="宋体" w:eastAsia="宋体" w:hint="default"/>
          <w:b/>
          <w:bCs/>
          <w:sz w:val="24"/>
          <w:szCs w:val="24"/>
        </w:rPr>
        <w:t>一、本公司董事会、监事会及其董事、监事、高级管理人员保证本报告所载数据不存在</w:t>
      </w:r>
      <w:r>
        <w:rPr>
          <w:rFonts w:ascii="宋体" w:hAnsi="宋体" w:cs="宋体" w:eastAsia="宋体" w:hint="default"/>
          <w:sz w:val="24"/>
          <w:szCs w:val="24"/>
        </w:rPr>
      </w:r>
    </w:p>
    <w:p>
      <w:pPr>
        <w:spacing w:line="298" w:lineRule="exact" w:before="0"/>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任何虚假记载、误导性陈述或者重大遗漏，并对其内容的真实性、准确性和完整性负个别及</w:t>
      </w:r>
      <w:r>
        <w:rPr>
          <w:rFonts w:ascii="宋体" w:hAnsi="宋体" w:cs="宋体" w:eastAsia="宋体" w:hint="default"/>
          <w:sz w:val="24"/>
          <w:szCs w:val="24"/>
        </w:rPr>
      </w:r>
    </w:p>
    <w:p>
      <w:pPr>
        <w:spacing w:before="126"/>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连带责任。</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spacing w:line="336" w:lineRule="auto" w:before="0"/>
        <w:ind w:left="153" w:right="148" w:firstLine="482"/>
        <w:jc w:val="both"/>
        <w:rPr>
          <w:rFonts w:ascii="宋体" w:hAnsi="宋体" w:cs="宋体" w:eastAsia="宋体" w:hint="default"/>
          <w:sz w:val="24"/>
          <w:szCs w:val="24"/>
        </w:rPr>
      </w:pPr>
      <w:r>
        <w:rPr>
          <w:rFonts w:ascii="宋体" w:hAnsi="宋体" w:cs="宋体" w:eastAsia="宋体" w:hint="default"/>
          <w:b/>
          <w:bCs/>
          <w:sz w:val="24"/>
          <w:szCs w:val="24"/>
        </w:rPr>
        <w:t>二、不存在董事、监事、高级管理人员对年度报告内容的真实性、准确性和完整性无法</w:t>
      </w:r>
      <w:r>
        <w:rPr>
          <w:rFonts w:ascii="宋体" w:hAnsi="宋体" w:cs="宋体" w:eastAsia="宋体" w:hint="default"/>
          <w:b/>
          <w:bCs/>
          <w:spacing w:val="1"/>
          <w:w w:val="99"/>
          <w:sz w:val="24"/>
          <w:szCs w:val="24"/>
        </w:rPr>
        <w:t> </w:t>
      </w:r>
      <w:r>
        <w:rPr>
          <w:rFonts w:ascii="宋体" w:hAnsi="宋体" w:cs="宋体" w:eastAsia="宋体" w:hint="default"/>
          <w:b/>
          <w:bCs/>
          <w:sz w:val="24"/>
          <w:szCs w:val="24"/>
        </w:rPr>
        <w:t>保证或存在异议的情形。</w:t>
      </w:r>
      <w:r>
        <w:rPr>
          <w:rFonts w:ascii="宋体" w:hAnsi="宋体" w:cs="宋体" w:eastAsia="宋体" w:hint="default"/>
          <w:sz w:val="24"/>
          <w:szCs w:val="24"/>
        </w:rPr>
      </w:r>
    </w:p>
    <w:p>
      <w:pPr>
        <w:spacing w:line="240" w:lineRule="auto" w:before="12"/>
        <w:rPr>
          <w:rFonts w:ascii="宋体" w:hAnsi="宋体" w:cs="宋体" w:eastAsia="宋体" w:hint="default"/>
          <w:b/>
          <w:bCs/>
          <w:sz w:val="35"/>
          <w:szCs w:val="35"/>
        </w:rPr>
      </w:pPr>
    </w:p>
    <w:p>
      <w:pPr>
        <w:spacing w:line="336" w:lineRule="auto" w:before="0"/>
        <w:ind w:left="153" w:right="148" w:firstLine="482"/>
        <w:jc w:val="both"/>
        <w:rPr>
          <w:rFonts w:ascii="宋体" w:hAnsi="宋体" w:cs="宋体" w:eastAsia="宋体" w:hint="default"/>
          <w:sz w:val="24"/>
          <w:szCs w:val="24"/>
        </w:rPr>
      </w:pPr>
      <w:r>
        <w:rPr>
          <w:rFonts w:ascii="宋体" w:hAnsi="宋体" w:cs="宋体" w:eastAsia="宋体" w:hint="default"/>
          <w:b/>
          <w:bCs/>
          <w:sz w:val="24"/>
          <w:szCs w:val="24"/>
        </w:rPr>
        <w:t>三、公司独立董事赵志坚先生因工作原因未出席本次会议，委托独立董事刘震国先生代</w:t>
      </w:r>
      <w:r>
        <w:rPr>
          <w:rFonts w:ascii="宋体" w:hAnsi="宋体" w:cs="宋体" w:eastAsia="宋体" w:hint="default"/>
          <w:b/>
          <w:bCs/>
          <w:spacing w:val="1"/>
          <w:w w:val="99"/>
          <w:sz w:val="24"/>
          <w:szCs w:val="24"/>
        </w:rPr>
        <w:t> </w:t>
      </w:r>
      <w:r>
        <w:rPr>
          <w:rFonts w:ascii="宋体" w:hAnsi="宋体" w:cs="宋体" w:eastAsia="宋体" w:hint="default"/>
          <w:b/>
          <w:bCs/>
          <w:sz w:val="24"/>
          <w:szCs w:val="24"/>
        </w:rPr>
        <w:t>为表决并签署会议档；公司独立董事李海军先生因工作原因未出席本次会议，委托独立董事</w:t>
      </w:r>
      <w:r>
        <w:rPr>
          <w:rFonts w:ascii="宋体" w:hAnsi="宋体" w:cs="宋体" w:eastAsia="宋体" w:hint="default"/>
          <w:b/>
          <w:bCs/>
          <w:spacing w:val="1"/>
          <w:w w:val="99"/>
          <w:sz w:val="24"/>
          <w:szCs w:val="24"/>
        </w:rPr>
        <w:t> </w:t>
      </w:r>
      <w:r>
        <w:rPr>
          <w:rFonts w:ascii="宋体" w:hAnsi="宋体" w:cs="宋体" w:eastAsia="宋体" w:hint="default"/>
          <w:b/>
          <w:bCs/>
          <w:sz w:val="24"/>
          <w:szCs w:val="24"/>
        </w:rPr>
        <w:t>李秉心先生代为表决并签署会议档；公司董事吕昌荣先生因工作原因未出席现场会议，以通</w:t>
      </w:r>
      <w:r>
        <w:rPr>
          <w:rFonts w:ascii="宋体" w:hAnsi="宋体" w:cs="宋体" w:eastAsia="宋体" w:hint="default"/>
          <w:b/>
          <w:bCs/>
          <w:spacing w:val="1"/>
          <w:w w:val="99"/>
          <w:sz w:val="24"/>
          <w:szCs w:val="24"/>
        </w:rPr>
        <w:t> </w:t>
      </w:r>
      <w:r>
        <w:rPr>
          <w:rFonts w:ascii="宋体" w:hAnsi="宋体" w:cs="宋体" w:eastAsia="宋体" w:hint="default"/>
          <w:b/>
          <w:bCs/>
          <w:sz w:val="24"/>
          <w:szCs w:val="24"/>
        </w:rPr>
        <w:t>讯方式参加会议并表决。</w:t>
      </w:r>
      <w:r>
        <w:rPr>
          <w:rFonts w:ascii="宋体" w:hAnsi="宋体" w:cs="宋体" w:eastAsia="宋体" w:hint="default"/>
          <w:sz w:val="24"/>
          <w:szCs w:val="24"/>
        </w:rPr>
      </w:r>
    </w:p>
    <w:p>
      <w:pPr>
        <w:spacing w:line="240" w:lineRule="auto" w:before="12"/>
        <w:rPr>
          <w:rFonts w:ascii="宋体" w:hAnsi="宋体" w:cs="宋体" w:eastAsia="宋体" w:hint="default"/>
          <w:b/>
          <w:bCs/>
          <w:sz w:val="35"/>
          <w:szCs w:val="35"/>
        </w:rPr>
      </w:pPr>
    </w:p>
    <w:p>
      <w:pPr>
        <w:spacing w:line="336" w:lineRule="auto" w:before="0"/>
        <w:ind w:left="153" w:right="148" w:firstLine="482"/>
        <w:jc w:val="both"/>
        <w:rPr>
          <w:rFonts w:ascii="宋体" w:hAnsi="宋体" w:cs="宋体" w:eastAsia="宋体" w:hint="default"/>
          <w:sz w:val="24"/>
          <w:szCs w:val="24"/>
        </w:rPr>
      </w:pPr>
      <w:r>
        <w:rPr>
          <w:rFonts w:ascii="宋体" w:hAnsi="宋体" w:cs="宋体" w:eastAsia="宋体" w:hint="default"/>
          <w:b/>
          <w:bCs/>
          <w:sz w:val="24"/>
          <w:szCs w:val="24"/>
        </w:rPr>
        <w:t>四、公司2007年度财务报告经北京立信会计师事务所有限公司审计并出具无保留意见的</w:t>
      </w:r>
      <w:r>
        <w:rPr>
          <w:rFonts w:ascii="宋体" w:hAnsi="宋体" w:cs="宋体" w:eastAsia="宋体" w:hint="default"/>
          <w:b/>
          <w:bCs/>
          <w:spacing w:val="1"/>
          <w:w w:val="99"/>
          <w:sz w:val="24"/>
          <w:szCs w:val="24"/>
        </w:rPr>
        <w:t> </w:t>
      </w:r>
      <w:r>
        <w:rPr>
          <w:rFonts w:ascii="宋体" w:hAnsi="宋体" w:cs="宋体" w:eastAsia="宋体" w:hint="default"/>
          <w:b/>
          <w:bCs/>
          <w:sz w:val="24"/>
          <w:szCs w:val="24"/>
        </w:rPr>
        <w:t>审计报告。</w:t>
      </w:r>
      <w:r>
        <w:rPr>
          <w:rFonts w:ascii="宋体" w:hAnsi="宋体" w:cs="宋体" w:eastAsia="宋体" w:hint="default"/>
          <w:sz w:val="24"/>
          <w:szCs w:val="24"/>
        </w:rPr>
      </w:r>
    </w:p>
    <w:p>
      <w:pPr>
        <w:spacing w:line="240" w:lineRule="auto" w:before="12"/>
        <w:rPr>
          <w:rFonts w:ascii="宋体" w:hAnsi="宋体" w:cs="宋体" w:eastAsia="宋体" w:hint="default"/>
          <w:b/>
          <w:bCs/>
          <w:sz w:val="35"/>
          <w:szCs w:val="35"/>
        </w:rPr>
      </w:pPr>
    </w:p>
    <w:p>
      <w:pPr>
        <w:spacing w:line="336" w:lineRule="auto" w:before="0"/>
        <w:ind w:left="153" w:right="148" w:firstLine="482"/>
        <w:jc w:val="both"/>
        <w:rPr>
          <w:rFonts w:ascii="宋体" w:hAnsi="宋体" w:cs="宋体" w:eastAsia="宋体" w:hint="default"/>
          <w:sz w:val="24"/>
          <w:szCs w:val="24"/>
        </w:rPr>
      </w:pPr>
      <w:r>
        <w:rPr>
          <w:rFonts w:ascii="宋体" w:hAnsi="宋体" w:cs="宋体" w:eastAsia="宋体" w:hint="default"/>
          <w:b/>
          <w:bCs/>
          <w:sz w:val="24"/>
          <w:szCs w:val="24"/>
        </w:rPr>
        <w:t>五、公司法定代表人、董事长陈亚妹女士，主管会计工作负责人乔昕先生及会计机构负</w:t>
      </w:r>
      <w:r>
        <w:rPr>
          <w:rFonts w:ascii="宋体" w:hAnsi="宋体" w:cs="宋体" w:eastAsia="宋体" w:hint="default"/>
          <w:b/>
          <w:bCs/>
          <w:spacing w:val="1"/>
          <w:w w:val="99"/>
          <w:sz w:val="24"/>
          <w:szCs w:val="24"/>
        </w:rPr>
        <w:t> </w:t>
      </w:r>
      <w:r>
        <w:rPr>
          <w:rFonts w:ascii="宋体" w:hAnsi="宋体" w:cs="宋体" w:eastAsia="宋体" w:hint="default"/>
          <w:b/>
          <w:bCs/>
          <w:sz w:val="24"/>
          <w:szCs w:val="24"/>
        </w:rPr>
        <w:t>责人吕培荣先生声明：保证年度报告中财务报告的真实、完整。</w:t>
      </w:r>
      <w:r>
        <w:rPr>
          <w:rFonts w:ascii="宋体" w:hAnsi="宋体" w:cs="宋体" w:eastAsia="宋体" w:hint="default"/>
          <w:sz w:val="24"/>
          <w:szCs w:val="24"/>
        </w:rPr>
      </w:r>
    </w:p>
    <w:p>
      <w:pPr>
        <w:spacing w:after="0" w:line="336" w:lineRule="auto"/>
        <w:jc w:val="both"/>
        <w:rPr>
          <w:rFonts w:ascii="宋体" w:hAnsi="宋体" w:cs="宋体" w:eastAsia="宋体" w:hint="default"/>
          <w:sz w:val="24"/>
          <w:szCs w:val="24"/>
        </w:rPr>
        <w:sectPr>
          <w:pgSz w:w="11910" w:h="16840"/>
          <w:pgMar w:header="747" w:footer="1339" w:top="980" w:bottom="1520" w:left="9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26"/>
        <w:ind w:left="4003" w:right="3330" w:firstLine="0"/>
        <w:jc w:val="left"/>
        <w:rPr>
          <w:rFonts w:ascii="宋体" w:hAnsi="宋体" w:cs="宋体" w:eastAsia="宋体" w:hint="default"/>
          <w:sz w:val="24"/>
          <w:szCs w:val="24"/>
        </w:rPr>
      </w:pPr>
      <w:r>
        <w:rPr>
          <w:rFonts w:ascii="宋体" w:hAnsi="宋体" w:cs="宋体" w:eastAsia="宋体" w:hint="default"/>
          <w:b/>
          <w:bCs/>
          <w:sz w:val="24"/>
          <w:szCs w:val="24"/>
        </w:rPr>
        <w:t>第二节、公司基本情况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240" w:lineRule="auto" w:before="0"/>
        <w:ind w:left="624" w:right="3330"/>
        <w:jc w:val="left"/>
      </w:pPr>
      <w:r>
        <w:rPr/>
        <w:t>一、公司名称</w:t>
      </w:r>
    </w:p>
    <w:p>
      <w:pPr>
        <w:pStyle w:val="BodyText"/>
        <w:spacing w:line="336" w:lineRule="auto" w:before="126"/>
        <w:ind w:left="1114" w:right="3330"/>
        <w:jc w:val="left"/>
      </w:pPr>
      <w:r>
        <w:rPr/>
        <w:t>中文名称：深圳市实益达科技股份有限公司 英文名称：SHENZHEN SEA STAR TECHNOLOGY CO., LTD</w:t>
      </w:r>
    </w:p>
    <w:p>
      <w:pPr>
        <w:pStyle w:val="BodyText"/>
        <w:spacing w:line="336" w:lineRule="auto" w:before="29"/>
        <w:ind w:left="634" w:right="6348" w:hanging="240"/>
        <w:jc w:val="center"/>
      </w:pPr>
      <w:r>
        <w:rPr/>
        <w:t>中文简称：实益达 英文简称：SEASTAR</w:t>
      </w:r>
    </w:p>
    <w:p>
      <w:pPr>
        <w:spacing w:line="240" w:lineRule="auto" w:before="12"/>
        <w:rPr>
          <w:rFonts w:ascii="宋体" w:hAnsi="宋体" w:cs="宋体" w:eastAsia="宋体" w:hint="default"/>
          <w:sz w:val="35"/>
          <w:szCs w:val="35"/>
        </w:rPr>
      </w:pPr>
    </w:p>
    <w:p>
      <w:pPr>
        <w:pStyle w:val="BodyText"/>
        <w:spacing w:line="672" w:lineRule="auto" w:before="0"/>
        <w:ind w:left="634" w:right="6330"/>
        <w:jc w:val="left"/>
      </w:pPr>
      <w:r>
        <w:rPr/>
        <w:pict>
          <v:shape style="position:absolute;margin-left:83.459999pt;margin-top:62.435951pt;width:465.15pt;height:157.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0"/>
                    <w:gridCol w:w="3485"/>
                    <w:gridCol w:w="3484"/>
                  </w:tblGrid>
                  <w:tr>
                    <w:trPr>
                      <w:trHeight w:val="45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4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1137"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4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1016"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5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left="12" w:right="0"/>
                          <w:jc w:val="left"/>
                          <w:rPr>
                            <w:rFonts w:ascii="宋体" w:hAnsi="宋体" w:cs="宋体" w:eastAsia="宋体" w:hint="default"/>
                            <w:sz w:val="24"/>
                            <w:szCs w:val="24"/>
                          </w:rPr>
                        </w:pPr>
                        <w:r>
                          <w:rPr>
                            <w:rFonts w:ascii="宋体" w:hAnsi="宋体" w:cs="宋体" w:eastAsia="宋体" w:hint="default"/>
                            <w:sz w:val="24"/>
                            <w:szCs w:val="24"/>
                          </w:rPr>
                          <w:t>姜帆</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4"/>
                            <w:szCs w:val="24"/>
                          </w:rPr>
                        </w:pPr>
                        <w:r>
                          <w:rPr>
                            <w:rFonts w:ascii="宋体" w:hAnsi="宋体" w:cs="宋体" w:eastAsia="宋体" w:hint="default"/>
                            <w:sz w:val="24"/>
                            <w:szCs w:val="24"/>
                          </w:rPr>
                          <w:t>李赞</w:t>
                        </w:r>
                      </w:p>
                    </w:tc>
                  </w:tr>
                  <w:tr>
                    <w:trPr>
                      <w:trHeight w:val="224" w:hRule="exact"/>
                    </w:trPr>
                    <w:tc>
                      <w:tcPr>
                        <w:tcW w:w="23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485" w:type="dxa"/>
                        <w:vMerge w:val="restart"/>
                        <w:tcBorders>
                          <w:top w:val="single" w:sz="4" w:space="0" w:color="000000"/>
                          <w:left w:val="single" w:sz="9" w:space="0" w:color="DCDCDC"/>
                          <w:right w:val="single" w:sz="4" w:space="0" w:color="000000"/>
                        </w:tcBorders>
                      </w:tcPr>
                      <w:p>
                        <w:pPr>
                          <w:pStyle w:val="TableParagraph"/>
                          <w:spacing w:line="240" w:lineRule="auto" w:before="71"/>
                          <w:ind w:left="17" w:right="0"/>
                          <w:jc w:val="left"/>
                          <w:rPr>
                            <w:rFonts w:ascii="宋体" w:hAnsi="宋体" w:cs="宋体" w:eastAsia="宋体" w:hint="default"/>
                            <w:sz w:val="24"/>
                            <w:szCs w:val="24"/>
                          </w:rPr>
                        </w:pPr>
                        <w:r>
                          <w:rPr>
                            <w:rFonts w:ascii="宋体" w:hAnsi="宋体" w:cs="宋体" w:eastAsia="宋体" w:hint="default"/>
                            <w:sz w:val="24"/>
                            <w:szCs w:val="24"/>
                          </w:rPr>
                          <w:t>深圳市宝安区龙华大浪华兴路龙</w:t>
                        </w:r>
                      </w:p>
                      <w:p>
                        <w:pPr>
                          <w:pStyle w:val="TableParagraph"/>
                          <w:spacing w:line="240" w:lineRule="auto" w:before="126"/>
                          <w:ind w:left="17" w:right="0"/>
                          <w:jc w:val="left"/>
                          <w:rPr>
                            <w:rFonts w:ascii="宋体" w:hAnsi="宋体" w:cs="宋体" w:eastAsia="宋体" w:hint="default"/>
                            <w:sz w:val="24"/>
                            <w:szCs w:val="24"/>
                          </w:rPr>
                        </w:pPr>
                        <w:r>
                          <w:rPr>
                            <w:rFonts w:ascii="宋体" w:hAnsi="宋体" w:cs="宋体" w:eastAsia="宋体" w:hint="default"/>
                            <w:spacing w:val="24"/>
                            <w:sz w:val="24"/>
                            <w:szCs w:val="24"/>
                          </w:rPr>
                          <w:t>泉科技工业园1栋5楼</w:t>
                        </w:r>
                        <w:r>
                          <w:rPr>
                            <w:rFonts w:ascii="宋体" w:hAnsi="宋体" w:cs="宋体" w:eastAsia="宋体" w:hint="default"/>
                            <w:spacing w:val="-60"/>
                            <w:sz w:val="24"/>
                            <w:szCs w:val="24"/>
                          </w:rPr>
                          <w:t> </w:t>
                        </w:r>
                        <w:r>
                          <w:rPr>
                            <w:rFonts w:ascii="宋体" w:hAnsi="宋体" w:cs="宋体" w:eastAsia="宋体" w:hint="default"/>
                            <w:sz w:val="24"/>
                            <w:szCs w:val="24"/>
                          </w:rPr>
                        </w:r>
                      </w:p>
                    </w:tc>
                    <w:tc>
                      <w:tcPr>
                        <w:tcW w:w="3484" w:type="dxa"/>
                        <w:vMerge w:val="restart"/>
                        <w:tcBorders>
                          <w:top w:val="single" w:sz="4" w:space="0" w:color="000000"/>
                          <w:left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4"/>
                            <w:szCs w:val="24"/>
                          </w:rPr>
                        </w:pPr>
                        <w:r>
                          <w:rPr>
                            <w:rFonts w:ascii="宋体" w:hAnsi="宋体" w:cs="宋体" w:eastAsia="宋体" w:hint="default"/>
                            <w:sz w:val="24"/>
                            <w:szCs w:val="24"/>
                          </w:rPr>
                          <w:t>深圳市宝安区龙华大浪华兴路龙</w:t>
                        </w:r>
                      </w:p>
                      <w:p>
                        <w:pPr>
                          <w:pStyle w:val="TableParagraph"/>
                          <w:spacing w:line="240" w:lineRule="auto" w:before="126"/>
                          <w:ind w:left="22" w:right="0"/>
                          <w:jc w:val="left"/>
                          <w:rPr>
                            <w:rFonts w:ascii="宋体" w:hAnsi="宋体" w:cs="宋体" w:eastAsia="宋体" w:hint="default"/>
                            <w:sz w:val="24"/>
                            <w:szCs w:val="24"/>
                          </w:rPr>
                        </w:pPr>
                        <w:r>
                          <w:rPr>
                            <w:rFonts w:ascii="宋体" w:hAnsi="宋体" w:cs="宋体" w:eastAsia="宋体" w:hint="default"/>
                            <w:spacing w:val="24"/>
                            <w:sz w:val="24"/>
                            <w:szCs w:val="24"/>
                          </w:rPr>
                          <w:t>泉科技工业园1栋5楼</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441" w:hRule="exact"/>
                    </w:trPr>
                    <w:tc>
                      <w:tcPr>
                        <w:tcW w:w="23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485" w:type="dxa"/>
                        <w:vMerge/>
                        <w:tcBorders>
                          <w:left w:val="single" w:sz="9" w:space="0" w:color="DCDCDC"/>
                          <w:right w:val="single" w:sz="4" w:space="0" w:color="000000"/>
                        </w:tcBorders>
                      </w:tcPr>
                      <w:p>
                        <w:pPr/>
                      </w:p>
                    </w:tc>
                    <w:tc>
                      <w:tcPr>
                        <w:tcW w:w="3484" w:type="dxa"/>
                        <w:vMerge/>
                        <w:tcBorders>
                          <w:left w:val="single" w:sz="4" w:space="0" w:color="000000"/>
                          <w:right w:val="single" w:sz="4" w:space="0" w:color="000000"/>
                        </w:tcBorders>
                      </w:tcPr>
                      <w:p>
                        <w:pPr/>
                      </w:p>
                    </w:tc>
                  </w:tr>
                  <w:tr>
                    <w:trPr>
                      <w:trHeight w:val="225" w:hRule="exact"/>
                    </w:trPr>
                    <w:tc>
                      <w:tcPr>
                        <w:tcW w:w="2320" w:type="dxa"/>
                        <w:tcBorders>
                          <w:top w:val="nil" w:sz="6" w:space="0" w:color="auto"/>
                          <w:left w:val="single" w:sz="4" w:space="0" w:color="000000"/>
                          <w:bottom w:val="single" w:sz="4" w:space="0" w:color="000000"/>
                          <w:right w:val="single" w:sz="4" w:space="0" w:color="000000"/>
                        </w:tcBorders>
                        <w:shd w:val="clear" w:color="auto" w:fill="DCDCDC"/>
                      </w:tcPr>
                      <w:p>
                        <w:pPr/>
                      </w:p>
                    </w:tc>
                    <w:tc>
                      <w:tcPr>
                        <w:tcW w:w="3485" w:type="dxa"/>
                        <w:vMerge/>
                        <w:tcBorders>
                          <w:left w:val="single" w:sz="9" w:space="0" w:color="DCDCDC"/>
                          <w:bottom w:val="single" w:sz="4" w:space="0" w:color="000000"/>
                          <w:right w:val="single" w:sz="4" w:space="0" w:color="000000"/>
                        </w:tcBorders>
                      </w:tcPr>
                      <w:p>
                        <w:pPr/>
                      </w:p>
                    </w:tc>
                    <w:tc>
                      <w:tcPr>
                        <w:tcW w:w="3484" w:type="dxa"/>
                        <w:vMerge/>
                        <w:tcBorders>
                          <w:left w:val="single" w:sz="4" w:space="0" w:color="000000"/>
                          <w:bottom w:val="single" w:sz="4" w:space="0" w:color="000000"/>
                          <w:right w:val="single" w:sz="4" w:space="0" w:color="000000"/>
                        </w:tcBorders>
                      </w:tcPr>
                      <w:p>
                        <w:pPr/>
                      </w:p>
                    </w:tc>
                  </w:tr>
                  <w:tr>
                    <w:trPr>
                      <w:trHeight w:val="45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电话</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left="12" w:right="0"/>
                          <w:jc w:val="left"/>
                          <w:rPr>
                            <w:rFonts w:ascii="宋体" w:hAnsi="宋体" w:cs="宋体" w:eastAsia="宋体" w:hint="default"/>
                            <w:sz w:val="24"/>
                            <w:szCs w:val="24"/>
                          </w:rPr>
                        </w:pPr>
                        <w:r>
                          <w:rPr>
                            <w:rFonts w:ascii="宋体"/>
                            <w:sz w:val="24"/>
                          </w:rPr>
                          <w:t>0755-29672878</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4"/>
                            <w:szCs w:val="24"/>
                          </w:rPr>
                        </w:pPr>
                        <w:r>
                          <w:rPr>
                            <w:rFonts w:ascii="宋体"/>
                            <w:sz w:val="24"/>
                          </w:rPr>
                          <w:t>0755-21177085</w:t>
                        </w:r>
                      </w:p>
                    </w:tc>
                  </w:tr>
                  <w:tr>
                    <w:trPr>
                      <w:trHeight w:val="45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传真</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left="12" w:right="0"/>
                          <w:jc w:val="left"/>
                          <w:rPr>
                            <w:rFonts w:ascii="宋体" w:hAnsi="宋体" w:cs="宋体" w:eastAsia="宋体" w:hint="default"/>
                            <w:sz w:val="24"/>
                            <w:szCs w:val="24"/>
                          </w:rPr>
                        </w:pPr>
                        <w:r>
                          <w:rPr>
                            <w:rFonts w:ascii="宋体"/>
                            <w:sz w:val="24"/>
                          </w:rPr>
                          <w:t>0755-29672878</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4"/>
                            <w:szCs w:val="24"/>
                          </w:rPr>
                        </w:pPr>
                        <w:r>
                          <w:rPr>
                            <w:rFonts w:ascii="宋体"/>
                            <w:sz w:val="24"/>
                          </w:rPr>
                          <w:t>0755-29672878</w:t>
                        </w:r>
                      </w:p>
                    </w:tc>
                  </w:tr>
                  <w:tr>
                    <w:trPr>
                      <w:trHeight w:val="450" w:hRule="exact"/>
                    </w:trPr>
                    <w:tc>
                      <w:tcPr>
                        <w:tcW w:w="23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48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1"/>
                          <w:ind w:left="12" w:right="0"/>
                          <w:jc w:val="left"/>
                          <w:rPr>
                            <w:rFonts w:ascii="宋体" w:hAnsi="宋体" w:cs="宋体" w:eastAsia="宋体" w:hint="default"/>
                            <w:sz w:val="24"/>
                            <w:szCs w:val="24"/>
                          </w:rPr>
                        </w:pPr>
                        <w:hyperlink r:id="rId7">
                          <w:r>
                            <w:rPr>
                              <w:rFonts w:ascii="宋体"/>
                              <w:sz w:val="24"/>
                            </w:rPr>
                            <w:t>dmb@sz-seastar.com</w:t>
                          </w:r>
                        </w:hyperlink>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4"/>
                            <w:szCs w:val="24"/>
                          </w:rPr>
                        </w:pPr>
                        <w:hyperlink r:id="rId8">
                          <w:r>
                            <w:rPr>
                              <w:rFonts w:ascii="宋体"/>
                              <w:sz w:val="24"/>
                            </w:rPr>
                            <w:t>zanli@sz-seastar.com</w:t>
                          </w:r>
                        </w:hyperlink>
                      </w:p>
                    </w:tc>
                  </w:tr>
                </w:tbl>
                <w:p>
                  <w:pPr/>
                </w:p>
              </w:txbxContent>
            </v:textbox>
            <w10:wrap type="none"/>
          </v:shape>
        </w:pict>
      </w:r>
      <w:r>
        <w:rPr/>
        <w:t>二、法定代表人：陈亚妹女士 三、联系人及联系方式：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336" w:lineRule="auto" w:before="26"/>
        <w:ind w:left="1114" w:right="1788" w:hanging="480"/>
        <w:jc w:val="both"/>
      </w:pPr>
      <w:r>
        <w:rPr/>
        <w:t>四、公司注册地址：深圳市南山区高新区北区清华信息港研发楼B栋501室 公司办公地址：深圳市宝安区龙华大浪华兴路龙泉科技工业园1栋5楼 注册地址邮政编码：518075</w:t>
      </w:r>
    </w:p>
    <w:p>
      <w:pPr>
        <w:pStyle w:val="BodyText"/>
        <w:spacing w:line="336" w:lineRule="auto"/>
        <w:ind w:left="1114" w:right="5628"/>
        <w:jc w:val="left"/>
      </w:pPr>
      <w:r>
        <w:rPr/>
        <w:t>办公地址邮政编码：518131 互联网址：</w:t>
      </w:r>
      <w:r>
        <w:rPr>
          <w:color w:val="0000FF"/>
        </w:rPr>
      </w:r>
      <w:hyperlink r:id="rId9">
        <w:r>
          <w:rPr>
            <w:color w:val="0000FF"/>
            <w:u w:val="single" w:color="0000FF"/>
          </w:rPr>
          <w:t>www.sz-seastar.com</w:t>
        </w:r>
        <w:r>
          <w:rPr>
            <w:color w:val="0000FF"/>
          </w:rPr>
        </w:r>
      </w:hyperlink>
      <w:r>
        <w:rPr>
          <w:color w:val="0000FF"/>
        </w:rPr>
        <w:t> </w:t>
      </w:r>
      <w:r>
        <w:rPr/>
        <w:t>电子信箱：</w:t>
      </w:r>
      <w:hyperlink r:id="rId7">
        <w:r>
          <w:rPr>
            <w:color w:val="0000FF"/>
          </w:rPr>
        </w:r>
        <w:r>
          <w:rPr>
            <w:color w:val="0000FF"/>
            <w:u w:val="single" w:color="0000FF"/>
          </w:rPr>
          <w:t>dmb@sz-seastar.com</w:t>
        </w:r>
        <w:r>
          <w:rPr>
            <w:color w:val="0000FF"/>
          </w:rPr>
        </w:r>
        <w:r>
          <w:rPr/>
        </w:r>
      </w:hyperlink>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36" w:lineRule="auto" w:before="26"/>
        <w:ind w:left="1114" w:right="1650" w:hanging="480"/>
        <w:jc w:val="left"/>
      </w:pPr>
      <w:r>
        <w:rPr/>
        <w:t>五、公司指定信息披露报刊：《证券时报》 登载年度报告的中国证监会指定网站：巨潮信息网</w:t>
      </w:r>
      <w:r>
        <w:rPr>
          <w:color w:val="0000FF"/>
        </w:rPr>
      </w:r>
      <w:hyperlink r:id="rId10">
        <w:r>
          <w:rPr>
            <w:color w:val="0000FF"/>
            <w:u w:val="single" w:color="0000FF"/>
          </w:rPr>
          <w:t>www.cninfo.com.cn</w:t>
        </w:r>
        <w:r>
          <w:rPr>
            <w:color w:val="0000FF"/>
          </w:rPr>
        </w:r>
      </w:hyperlink>
      <w:r>
        <w:rPr>
          <w:color w:val="0000FF"/>
        </w:rPr>
        <w:t> </w:t>
      </w:r>
      <w:r>
        <w:rPr/>
        <w:t>年度报告备置地点：公司董事会秘书办公室</w:t>
      </w:r>
    </w:p>
    <w:p>
      <w:pPr>
        <w:spacing w:line="240" w:lineRule="auto" w:before="12"/>
        <w:rPr>
          <w:rFonts w:ascii="宋体" w:hAnsi="宋体" w:cs="宋体" w:eastAsia="宋体" w:hint="default"/>
          <w:sz w:val="35"/>
          <w:szCs w:val="35"/>
        </w:rPr>
      </w:pPr>
    </w:p>
    <w:p>
      <w:pPr>
        <w:pStyle w:val="BodyText"/>
        <w:spacing w:line="240" w:lineRule="auto" w:before="0"/>
        <w:ind w:left="633" w:right="3330"/>
        <w:jc w:val="left"/>
      </w:pPr>
      <w:r>
        <w:rPr/>
        <w:t>六、公司股票上市交易所：深圳证券交易所</w:t>
      </w:r>
    </w:p>
    <w:p>
      <w:pPr>
        <w:spacing w:after="0" w:line="240" w:lineRule="auto"/>
        <w:jc w:val="left"/>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1114" w:right="6890"/>
        <w:jc w:val="left"/>
      </w:pPr>
      <w:r>
        <w:rPr/>
        <w:t>股票简称：实益达 股票代码：002137</w:t>
      </w:r>
    </w:p>
    <w:p>
      <w:pPr>
        <w:spacing w:line="240" w:lineRule="auto" w:before="12"/>
        <w:rPr>
          <w:rFonts w:ascii="宋体" w:hAnsi="宋体" w:cs="宋体" w:eastAsia="宋体" w:hint="default"/>
          <w:sz w:val="35"/>
          <w:szCs w:val="35"/>
        </w:rPr>
      </w:pPr>
    </w:p>
    <w:p>
      <w:pPr>
        <w:pStyle w:val="BodyText"/>
        <w:spacing w:line="336" w:lineRule="auto" w:before="0"/>
        <w:ind w:left="1114" w:right="4010" w:hanging="480"/>
        <w:jc w:val="left"/>
      </w:pPr>
      <w:r>
        <w:rPr/>
        <w:t>七、其它有关资料 公司首次注册登记日期：1998年6月5日 最近一次变更注册登记日期：2007年8月1日 注册登记地点：广东省深圳市工商行政管理局 企业法人营业执照注册号：440301102743049 税务登记号码：440301708414057 组织机构代码：70841405</w:t>
      </w:r>
      <w:r>
        <w:rPr>
          <w:rFonts w:ascii="Times New Roman" w:hAnsi="Times New Roman" w:cs="Times New Roman" w:eastAsia="Times New Roman" w:hint="default"/>
        </w:rPr>
        <w:t>—</w:t>
      </w:r>
      <w:r>
        <w:rPr/>
        <w:t>7</w:t>
      </w:r>
    </w:p>
    <w:p>
      <w:pPr>
        <w:pStyle w:val="BodyText"/>
        <w:spacing w:line="336" w:lineRule="auto" w:before="2"/>
        <w:ind w:left="1113" w:right="2571"/>
        <w:jc w:val="left"/>
      </w:pPr>
      <w:r>
        <w:rPr/>
        <w:t>公司聘请的会计师事务所：北京立信会计师事务所有限公司 会计师事务所办公地址：北京市东长安街10号长安大厦3层</w:t>
      </w:r>
    </w:p>
    <w:p>
      <w:pPr>
        <w:spacing w:after="0" w:line="336"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672" w:lineRule="auto" w:before="26"/>
        <w:ind w:left="634" w:right="3063" w:firstLine="2773"/>
        <w:jc w:val="left"/>
        <w:rPr>
          <w:rFonts w:ascii="宋体" w:hAnsi="宋体" w:cs="宋体" w:eastAsia="宋体" w:hint="default"/>
          <w:sz w:val="24"/>
          <w:szCs w:val="24"/>
        </w:rPr>
      </w:pPr>
      <w:r>
        <w:rPr/>
        <w:pict>
          <v:shape style="position:absolute;margin-left:56.459999pt;margin-top:66.995872pt;width:491.5pt;height:296.35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572"/>
                    <w:gridCol w:w="1560"/>
                    <w:gridCol w:w="1560"/>
                    <w:gridCol w:w="974"/>
                    <w:gridCol w:w="1301"/>
                    <w:gridCol w:w="1429"/>
                  </w:tblGrid>
                  <w:tr>
                    <w:trPr>
                      <w:trHeight w:val="433"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32"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83"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0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7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pacing w:val="-1"/>
                            <w:sz w:val="18"/>
                          </w:rPr>
                          <w:t>1,202,703,869.46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482,179,966.80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483,290,129.29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148.86%</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497,744,991.37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497,744,991.37</w:t>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62,385,835.49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49,505,522.32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44,786,692.81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34,402,047.62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34,402,047.62</w:t>
                        </w:r>
                      </w:p>
                    </w:tc>
                  </w:tr>
                  <w:tr>
                    <w:trPr>
                      <w:trHeight w:val="557"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69" w:right="67" w:hanging="90"/>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61,717,919.49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46,411,014.15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46,865,045.62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31,774,573.32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31,805,227.53</w:t>
                        </w:r>
                      </w:p>
                    </w:tc>
                  </w:tr>
                  <w:tr>
                    <w:trPr>
                      <w:trHeight w:val="102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9" w:right="67"/>
                          <w:jc w:val="center"/>
                          <w:rPr>
                            <w:rFonts w:ascii="宋体" w:hAnsi="宋体" w:cs="宋体" w:eastAsia="宋体" w:hint="default"/>
                            <w:sz w:val="18"/>
                            <w:szCs w:val="18"/>
                          </w:rPr>
                        </w:pPr>
                        <w:r>
                          <w:rPr>
                            <w:rFonts w:ascii="宋体" w:hAnsi="宋体" w:cs="宋体" w:eastAsia="宋体" w:hint="default"/>
                            <w:sz w:val="18"/>
                            <w:szCs w:val="18"/>
                          </w:rPr>
                          <w:t>归属于上市公司 股东的扣除非经 常性损益的净利 润</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59,670,556.53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45,844,819.10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46,298,850.57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31,689,606.67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31,720,260.88</w:t>
                        </w:r>
                      </w:p>
                    </w:tc>
                  </w:tr>
                  <w:tr>
                    <w:trPr>
                      <w:trHeight w:val="557"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69" w:right="67" w:hanging="90"/>
                          <w:jc w:val="left"/>
                          <w:rPr>
                            <w:rFonts w:ascii="宋体" w:hAnsi="宋体" w:cs="宋体" w:eastAsia="宋体" w:hint="default"/>
                            <w:sz w:val="18"/>
                            <w:szCs w:val="18"/>
                          </w:rPr>
                        </w:pPr>
                        <w:r>
                          <w:rPr>
                            <w:rFonts w:ascii="宋体" w:hAnsi="宋体" w:cs="宋体" w:eastAsia="宋体" w:hint="default"/>
                            <w:sz w:val="18"/>
                            <w:szCs w:val="18"/>
                          </w:rPr>
                          <w:t>经营活动产生的 现金流量净额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-159,032,630.09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14,512,190.98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20,307,043.90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-883.14%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64,585,328.41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64,585,328.41</w:t>
                        </w:r>
                      </w:p>
                    </w:tc>
                  </w:tr>
                  <w:tr>
                    <w:trPr>
                      <w:trHeight w:val="245"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32" w:right="30"/>
                          <w:jc w:val="center"/>
                          <w:rPr>
                            <w:rFonts w:ascii="宋体" w:hAnsi="宋体" w:cs="宋体" w:eastAsia="宋体" w:hint="default"/>
                            <w:sz w:val="18"/>
                            <w:szCs w:val="18"/>
                          </w:rPr>
                        </w:pPr>
                        <w:r>
                          <w:rPr>
                            <w:rFonts w:ascii="宋体" w:hAnsi="宋体" w:cs="宋体" w:eastAsia="宋体" w:hint="default"/>
                            <w:sz w:val="18"/>
                            <w:szCs w:val="18"/>
                          </w:rPr>
                          <w:t>本年末比上 年末增减</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0"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4"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5"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0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4"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7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900,562,084.26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419,286,690.76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410,337,479.88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119.47%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253,474,087.91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253,778,657.17</w:t>
                        </w:r>
                      </w:p>
                    </w:tc>
                  </w:tr>
                  <w:tr>
                    <w:trPr>
                      <w:trHeight w:val="557"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349" w:right="10" w:hanging="327"/>
                          <w:jc w:val="left"/>
                          <w:rPr>
                            <w:rFonts w:ascii="宋体" w:hAnsi="宋体" w:cs="宋体" w:eastAsia="宋体" w:hint="default"/>
                            <w:sz w:val="18"/>
                            <w:szCs w:val="18"/>
                          </w:rPr>
                        </w:pPr>
                        <w:r>
                          <w:rPr>
                            <w:rFonts w:ascii="宋体" w:hAnsi="宋体" w:cs="宋体" w:eastAsia="宋体" w:hint="default"/>
                            <w:spacing w:val="-9"/>
                            <w:sz w:val="18"/>
                            <w:szCs w:val="18"/>
                          </w:rPr>
                          <w:t>所有者权益（或股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东权益）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514,285,770.84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137,423,297.73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128,417,936.00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300.48%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91,029,633.58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91,334,202.84</w:t>
                        </w:r>
                      </w:p>
                    </w:tc>
                  </w:tr>
                  <w:tr>
                    <w:trPr>
                      <w:trHeight w:val="323"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133,400,000.00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64,791,025.00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64,791,025.00</w:t>
                        </w:r>
                      </w:p>
                    </w:tc>
                  </w:tr>
                </w:tbl>
                <w:p>
                  <w:pPr/>
                </w:p>
              </w:txbxContent>
            </v:textbox>
            <w10:wrap type="none"/>
          </v:shape>
        </w:pict>
      </w:r>
      <w:r>
        <w:rPr>
          <w:rFonts w:ascii="宋体" w:hAnsi="宋体" w:cs="宋体" w:eastAsia="宋体" w:hint="default"/>
          <w:b/>
          <w:bCs/>
          <w:sz w:val="24"/>
          <w:szCs w:val="24"/>
        </w:rPr>
        <w:t>第三节、会计数据和业务数据摘要</w:t>
      </w:r>
      <w:r>
        <w:rPr>
          <w:rFonts w:ascii="宋体" w:hAnsi="宋体" w:cs="宋体" w:eastAsia="宋体" w:hint="default"/>
          <w:b/>
          <w:bCs/>
          <w:w w:val="99"/>
          <w:sz w:val="24"/>
          <w:szCs w:val="24"/>
        </w:rPr>
        <w:t> </w:t>
      </w:r>
      <w:r>
        <w:rPr>
          <w:rFonts w:ascii="宋体" w:hAnsi="宋体" w:cs="宋体" w:eastAsia="宋体" w:hint="default"/>
          <w:sz w:val="24"/>
          <w:szCs w:val="24"/>
        </w:rPr>
        <w:t>一、公司主要会计数据（单位：人民币元）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26"/>
        <w:ind w:left="634" w:right="3330"/>
        <w:jc w:val="left"/>
      </w:pPr>
      <w:r>
        <w:rPr/>
        <w:t>二、公司主要财务指针（单位：人民币元）</w:t>
      </w: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407"/>
        <w:gridCol w:w="1572"/>
        <w:gridCol w:w="1560"/>
        <w:gridCol w:w="1573"/>
        <w:gridCol w:w="974"/>
        <w:gridCol w:w="1300"/>
        <w:gridCol w:w="1430"/>
      </w:tblGrid>
      <w:tr>
        <w:trPr>
          <w:trHeight w:val="43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32"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2"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8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2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72"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42"/>
              <w:ind w:right="22"/>
              <w:jc w:val="right"/>
              <w:rPr>
                <w:rFonts w:ascii="Times New Roman" w:hAnsi="Times New Roman" w:cs="Times New Roman" w:eastAsia="Times New Roman" w:hint="default"/>
                <w:sz w:val="18"/>
                <w:szCs w:val="18"/>
              </w:rPr>
            </w:pPr>
            <w:r>
              <w:rPr>
                <w:rFonts w:ascii="Times New Roman"/>
                <w:sz w:val="18"/>
              </w:rPr>
              <w:t>0.5289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0.4641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0.4687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0.7495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0.7502</w:t>
            </w: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0.5289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0.4641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0.4687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0.7495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0.7502</w:t>
            </w:r>
          </w:p>
        </w:tc>
      </w:tr>
      <w:tr>
        <w:trPr>
          <w:trHeight w:val="79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 w:right="67"/>
              <w:jc w:val="center"/>
              <w:rPr>
                <w:rFonts w:ascii="宋体" w:hAnsi="宋体" w:cs="宋体" w:eastAsia="宋体" w:hint="default"/>
                <w:sz w:val="18"/>
                <w:szCs w:val="18"/>
              </w:rPr>
            </w:pPr>
            <w:r>
              <w:rPr>
                <w:rFonts w:ascii="宋体" w:hAnsi="宋体" w:cs="宋体" w:eastAsia="宋体" w:hint="default"/>
                <w:sz w:val="18"/>
                <w:szCs w:val="18"/>
              </w:rPr>
              <w:t>扣除非经常性损 益后的基本每股 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0.5113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0.4584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0.463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0.7475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0.7482</w:t>
            </w:r>
          </w:p>
        </w:tc>
      </w:tr>
      <w:tr>
        <w:trPr>
          <w:trHeight w:val="55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27" w:right="67" w:hanging="360"/>
              <w:jc w:val="left"/>
              <w:rPr>
                <w:rFonts w:ascii="宋体" w:hAnsi="宋体" w:cs="宋体" w:eastAsia="宋体" w:hint="default"/>
                <w:sz w:val="18"/>
                <w:szCs w:val="18"/>
              </w:rPr>
            </w:pPr>
            <w:r>
              <w:rPr>
                <w:rFonts w:ascii="宋体" w:hAnsi="宋体" w:cs="宋体" w:eastAsia="宋体" w:hint="default"/>
                <w:sz w:val="18"/>
                <w:szCs w:val="18"/>
              </w:rPr>
              <w:t>全面摊薄净资产 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12.00%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33.77%</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36.49%</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34.91%</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34.82%</w:t>
            </w:r>
            <w:r>
              <w:rPr>
                <w:rFonts w:ascii="Times New Roman"/>
                <w:sz w:val="18"/>
              </w:rPr>
            </w:r>
          </w:p>
        </w:tc>
      </w:tr>
      <w:tr>
        <w:trPr>
          <w:trHeight w:val="55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27" w:right="67"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19.21%</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40.63%</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41.72%</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-22.51%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42.29%</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42.16%</w:t>
            </w:r>
            <w:r>
              <w:rPr>
                <w:rFonts w:ascii="Times New Roman"/>
                <w:sz w:val="18"/>
              </w:rPr>
            </w:r>
          </w:p>
        </w:tc>
      </w:tr>
      <w:tr>
        <w:trPr>
          <w:trHeight w:val="79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 w:right="67"/>
              <w:jc w:val="center"/>
              <w:rPr>
                <w:rFonts w:ascii="宋体" w:hAnsi="宋体" w:cs="宋体" w:eastAsia="宋体" w:hint="default"/>
                <w:sz w:val="18"/>
                <w:szCs w:val="18"/>
              </w:rPr>
            </w:pPr>
            <w:r>
              <w:rPr>
                <w:rFonts w:ascii="宋体" w:hAnsi="宋体" w:cs="宋体" w:eastAsia="宋体" w:hint="default"/>
                <w:sz w:val="18"/>
                <w:szCs w:val="18"/>
              </w:rPr>
              <w:t>扣除非经常性损 益后全面摊薄净 资产收益率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33.36%</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36.05%</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34.81%</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34.73%</w:t>
            </w:r>
            <w:r>
              <w:rPr>
                <w:rFonts w:ascii="Times New Roman"/>
                <w:sz w:val="18"/>
              </w:rPr>
            </w:r>
          </w:p>
        </w:tc>
      </w:tr>
      <w:tr>
        <w:trPr>
          <w:trHeight w:val="79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7" w:right="67"/>
              <w:jc w:val="both"/>
              <w:rPr>
                <w:rFonts w:ascii="宋体" w:hAnsi="宋体" w:cs="宋体" w:eastAsia="宋体" w:hint="default"/>
                <w:sz w:val="18"/>
                <w:szCs w:val="18"/>
              </w:rPr>
            </w:pPr>
            <w:r>
              <w:rPr>
                <w:rFonts w:ascii="宋体" w:hAnsi="宋体" w:cs="宋体" w:eastAsia="宋体" w:hint="default"/>
                <w:sz w:val="18"/>
                <w:szCs w:val="18"/>
              </w:rPr>
              <w:t>扣除非经常性损 益后的加权平均 净资产收益率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18.57%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40.13%</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41.22%</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-22.65%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42.17%</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42.05%</w:t>
            </w:r>
            <w:r>
              <w:rPr>
                <w:rFonts w:ascii="Times New Roman"/>
                <w:sz w:val="18"/>
              </w:rPr>
            </w:r>
          </w:p>
        </w:tc>
      </w:tr>
      <w:tr>
        <w:trPr>
          <w:trHeight w:val="51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7" w:right="67"/>
              <w:jc w:val="left"/>
              <w:rPr>
                <w:rFonts w:ascii="宋体" w:hAnsi="宋体" w:cs="宋体" w:eastAsia="宋体" w:hint="default"/>
                <w:sz w:val="18"/>
                <w:szCs w:val="18"/>
              </w:rPr>
            </w:pPr>
            <w:r>
              <w:rPr>
                <w:rFonts w:ascii="宋体" w:hAnsi="宋体" w:cs="宋体" w:eastAsia="宋体" w:hint="default"/>
                <w:sz w:val="18"/>
                <w:szCs w:val="18"/>
              </w:rPr>
              <w:t>每股经营活动产 生的现金流量净</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-1.19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0.15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0.20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w w:val="95"/>
                <w:sz w:val="18"/>
              </w:rPr>
              <w:t>-695.00%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1.00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407"/>
        <w:gridCol w:w="1572"/>
        <w:gridCol w:w="1560"/>
        <w:gridCol w:w="1585"/>
        <w:gridCol w:w="963"/>
        <w:gridCol w:w="1300"/>
        <w:gridCol w:w="1430"/>
      </w:tblGrid>
      <w:tr>
        <w:trPr>
          <w:trHeight w:val="28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572"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4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63"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8"/>
              <w:ind w:right="30"/>
              <w:jc w:val="right"/>
              <w:rPr>
                <w:rFonts w:ascii="宋体" w:hAnsi="宋体" w:cs="宋体" w:eastAsia="宋体" w:hint="default"/>
                <w:sz w:val="18"/>
                <w:szCs w:val="18"/>
              </w:rPr>
            </w:pPr>
            <w:r>
              <w:rPr>
                <w:rFonts w:ascii="宋体" w:hAnsi="宋体" w:cs="宋体" w:eastAsia="宋体" w:hint="default"/>
                <w:sz w:val="18"/>
                <w:szCs w:val="18"/>
              </w:rPr>
              <w:t>本年末比上</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0"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年末增减</w:t>
            </w: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6"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4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6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76" w:lineRule="exact"/>
              <w:ind w:left="200" w:right="0"/>
              <w:jc w:val="left"/>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40"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77"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归属于上市公司</w:t>
            </w:r>
          </w:p>
        </w:tc>
        <w:tc>
          <w:tcPr>
            <w:tcW w:w="1572" w:type="dxa"/>
            <w:tcBorders>
              <w:top w:val="single" w:sz="9" w:space="0" w:color="DCDCDC"/>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85" w:type="dxa"/>
            <w:tcBorders>
              <w:top w:val="single" w:sz="4" w:space="0" w:color="000000"/>
              <w:left w:val="single" w:sz="4" w:space="0" w:color="000000"/>
              <w:bottom w:val="nil" w:sz="6" w:space="0" w:color="auto"/>
              <w:right w:val="single" w:sz="4" w:space="0" w:color="000000"/>
            </w:tcBorders>
          </w:tcPr>
          <w:p>
            <w:pPr/>
          </w:p>
        </w:tc>
        <w:tc>
          <w:tcPr>
            <w:tcW w:w="963"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股东的每股净资</w:t>
            </w:r>
          </w:p>
        </w:tc>
        <w:tc>
          <w:tcPr>
            <w:tcW w:w="1572" w:type="dxa"/>
            <w:tcBorders>
              <w:top w:val="nil" w:sz="6" w:space="0" w:color="auto"/>
              <w:left w:val="single" w:sz="13" w:space="0" w:color="DCDCDC"/>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3.86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18"/>
                <w:szCs w:val="18"/>
              </w:rPr>
            </w:pPr>
            <w:r>
              <w:rPr>
                <w:rFonts w:ascii="Times New Roman"/>
                <w:sz w:val="18"/>
              </w:rPr>
              <w:t>1.37</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3"/>
              <w:jc w:val="right"/>
              <w:rPr>
                <w:rFonts w:ascii="Times New Roman" w:hAnsi="Times New Roman" w:cs="Times New Roman" w:eastAsia="Times New Roman" w:hint="default"/>
                <w:sz w:val="18"/>
                <w:szCs w:val="18"/>
              </w:rPr>
            </w:pPr>
            <w:r>
              <w:rPr>
                <w:rFonts w:ascii="Times New Roman"/>
                <w:sz w:val="18"/>
              </w:rPr>
              <w:t>1.28</w:t>
            </w:r>
          </w:p>
        </w:tc>
        <w:tc>
          <w:tcPr>
            <w:tcW w:w="9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w w:val="95"/>
                <w:sz w:val="18"/>
              </w:rPr>
              <w:t>201.56%</w:t>
            </w:r>
            <w:r>
              <w:rPr>
                <w:rFonts w:ascii="Times New Roman"/>
                <w:sz w:val="18"/>
              </w:rPr>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1.40</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1.41</w:t>
            </w:r>
          </w:p>
        </w:tc>
      </w:tr>
      <w:tr>
        <w:trPr>
          <w:trHeight w:val="276"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产</w:t>
            </w:r>
          </w:p>
        </w:tc>
        <w:tc>
          <w:tcPr>
            <w:tcW w:w="1572"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85" w:type="dxa"/>
            <w:tcBorders>
              <w:top w:val="nil" w:sz="6" w:space="0" w:color="auto"/>
              <w:left w:val="single" w:sz="4" w:space="0" w:color="000000"/>
              <w:bottom w:val="single" w:sz="4" w:space="0" w:color="000000"/>
              <w:right w:val="single" w:sz="4" w:space="0" w:color="000000"/>
            </w:tcBorders>
          </w:tcPr>
          <w:p>
            <w:pPr/>
          </w:p>
        </w:tc>
        <w:tc>
          <w:tcPr>
            <w:tcW w:w="963"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634" w:right="3330"/>
        <w:jc w:val="left"/>
      </w:pPr>
      <w:r>
        <w:rPr/>
        <w:t>三、非经常性损益项目（单位：人民币元）</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5200"/>
        <w:gridCol w:w="4628"/>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6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-50,364.58</w:t>
            </w:r>
            <w:r>
              <w:rPr>
                <w:rFonts w:ascii="Times New Roman"/>
                <w:sz w:val="18"/>
              </w:rPr>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-156,258.06</w:t>
            </w: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除上述各项之外的其它营业外收支净额</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19,988.00</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-166,002.40</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2,047,362.96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1"/>
        <w:spacing w:line="240" w:lineRule="auto"/>
        <w:ind w:left="0" w:right="158"/>
        <w:jc w:val="center"/>
        <w:rPr>
          <w:b w:val="0"/>
          <w:bCs w:val="0"/>
        </w:rPr>
      </w:pPr>
      <w:bookmarkStart w:name="_TOC_250008" w:id="1"/>
      <w:r>
        <w:rPr/>
        <w:t>第四节、股本变动及股东情况</w:t>
      </w:r>
      <w:bookmarkEnd w:id="1"/>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747" w:footer="1339" w:top="980" w:bottom="1520" w:left="980" w:right="820"/>
        </w:sectPr>
      </w:pPr>
    </w:p>
    <w:p>
      <w:pPr>
        <w:pStyle w:val="BodyText"/>
        <w:spacing w:line="367" w:lineRule="auto" w:before="26"/>
        <w:ind w:left="633" w:right="-19" w:firstLine="2"/>
        <w:jc w:val="left"/>
      </w:pPr>
      <w:r>
        <w:rPr/>
        <w:t>一、股份变动情况</w:t>
      </w:r>
      <w:r>
        <w:rPr>
          <w:spacing w:val="-1"/>
        </w:rPr>
        <w:t> </w:t>
      </w:r>
      <w:r>
        <w:rPr/>
        <w:t>1、股份变动情况表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BodyText"/>
        <w:spacing w:line="240" w:lineRule="auto" w:before="0"/>
        <w:ind w:left="633" w:right="0"/>
        <w:jc w:val="left"/>
      </w:pPr>
      <w:r>
        <w:rPr/>
        <w:t>单位：股</w:t>
      </w:r>
    </w:p>
    <w:p>
      <w:pPr>
        <w:spacing w:after="0" w:line="240" w:lineRule="auto"/>
        <w:jc w:val="left"/>
        <w:sectPr>
          <w:type w:val="continuous"/>
          <w:pgSz w:w="11910" w:h="16840"/>
          <w:pgMar w:top="980" w:bottom="1520" w:left="980" w:right="820"/>
          <w:cols w:num="2" w:equalWidth="0">
            <w:col w:w="2675" w:space="5524"/>
            <w:col w:w="1911"/>
          </w:cols>
        </w:sectPr>
      </w:pPr>
    </w:p>
    <w:p>
      <w:pPr>
        <w:spacing w:line="240" w:lineRule="auto" w:before="2"/>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1615"/>
        <w:gridCol w:w="922"/>
        <w:gridCol w:w="911"/>
        <w:gridCol w:w="910"/>
        <w:gridCol w:w="910"/>
        <w:gridCol w:w="911"/>
        <w:gridCol w:w="910"/>
        <w:gridCol w:w="910"/>
        <w:gridCol w:w="911"/>
        <w:gridCol w:w="910"/>
      </w:tblGrid>
      <w:tr>
        <w:trPr>
          <w:trHeight w:val="324"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4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37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5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34"/>
              <w:ind w:left="361" w:right="8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4"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1"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2"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504" w:hRule="exact"/>
        </w:trPr>
        <w:tc>
          <w:tcPr>
            <w:tcW w:w="1615" w:type="dxa"/>
            <w:tcBorders>
              <w:top w:val="single" w:sz="36" w:space="0" w:color="DCDCDC"/>
              <w:left w:val="single" w:sz="9" w:space="0" w:color="DCDCDC"/>
              <w:bottom w:val="single" w:sz="40" w:space="0" w:color="DCDCDC"/>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5"/>
                <w:sz w:val="18"/>
                <w:szCs w:val="18"/>
                <w:shd w:fill="DCDCDC" w:color="auto" w:val="clear"/>
              </w:rPr>
              <w:t>一、有限售条件股份</w:t>
            </w:r>
            <w:r>
              <w:rPr>
                <w:rFonts w:ascii="宋体" w:hAnsi="宋体" w:cs="宋体" w:eastAsia="宋体" w:hint="default"/>
                <w:spacing w:val="-5"/>
                <w:sz w:val="18"/>
                <w:szCs w:val="18"/>
              </w:rPr>
            </w:r>
          </w:p>
        </w:tc>
        <w:tc>
          <w:tcPr>
            <w:tcW w:w="922" w:type="dxa"/>
            <w:tcBorders>
              <w:top w:val="single" w:sz="51" w:space="0" w:color="DCDCDC"/>
              <w:left w:val="single" w:sz="4" w:space="0" w:color="000000"/>
              <w:bottom w:val="single" w:sz="4" w:space="0" w:color="000000"/>
              <w:right w:val="single" w:sz="4" w:space="0" w:color="000000"/>
            </w:tcBorders>
          </w:tcPr>
          <w:p>
            <w:pPr>
              <w:pStyle w:val="TableParagraph"/>
              <w:spacing w:line="183" w:lineRule="exact"/>
              <w:ind w:right="19"/>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
        </w:tc>
        <w:tc>
          <w:tcPr>
            <w:tcW w:w="911" w:type="dxa"/>
            <w:tcBorders>
              <w:top w:val="single" w:sz="51" w:space="0" w:color="DCDCDC"/>
              <w:left w:val="single" w:sz="4" w:space="0" w:color="000000"/>
              <w:bottom w:val="single" w:sz="4" w:space="0" w:color="000000"/>
              <w:right w:val="single" w:sz="4" w:space="0" w:color="000000"/>
            </w:tcBorders>
          </w:tcPr>
          <w:p>
            <w:pPr>
              <w:pStyle w:val="TableParagraph"/>
              <w:spacing w:line="183" w:lineRule="exact"/>
              <w:ind w:right="19"/>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74.96%</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95"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13" w:space="0" w:color="DCDCDC"/>
              <w:right w:val="single" w:sz="4" w:space="0" w:color="000000"/>
            </w:tcBorders>
          </w:tcPr>
          <w:p>
            <w:pPr>
              <w:pStyle w:val="TableParagraph"/>
              <w:spacing w:line="207" w:lineRule="exact" w:before="34"/>
              <w:ind w:right="19"/>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before="139"/>
              <w:ind w:left="232" w:right="0"/>
              <w:jc w:val="left"/>
              <w:rPr>
                <w:rFonts w:ascii="Times New Roman" w:hAnsi="Times New Roman" w:cs="Times New Roman" w:eastAsia="Times New Roman" w:hint="default"/>
                <w:sz w:val="18"/>
                <w:szCs w:val="18"/>
              </w:rPr>
            </w:pPr>
            <w:r>
              <w:rPr>
                <w:rFonts w:ascii="Times New Roman"/>
                <w:sz w:val="18"/>
              </w:rPr>
              <w:t>100.00%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1"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1" w:type="dxa"/>
            <w:vMerge w:val="restart"/>
            <w:tcBorders>
              <w:top w:val="single" w:sz="4" w:space="0" w:color="000000"/>
              <w:left w:val="single" w:sz="4" w:space="0" w:color="000000"/>
              <w:right w:val="single" w:sz="4" w:space="0" w:color="000000"/>
            </w:tcBorders>
          </w:tcPr>
          <w:p>
            <w:pPr>
              <w:pStyle w:val="TableParagraph"/>
              <w:spacing w:line="207" w:lineRule="exact" w:before="34"/>
              <w:ind w:right="19"/>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9"/>
              <w:ind w:left="321" w:right="0"/>
              <w:jc w:val="left"/>
              <w:rPr>
                <w:rFonts w:ascii="Times New Roman" w:hAnsi="Times New Roman" w:cs="Times New Roman" w:eastAsia="Times New Roman" w:hint="default"/>
                <w:sz w:val="18"/>
                <w:szCs w:val="18"/>
              </w:rPr>
            </w:pPr>
            <w:r>
              <w:rPr>
                <w:rFonts w:ascii="Times New Roman"/>
                <w:sz w:val="18"/>
              </w:rPr>
              <w:t>74.96%</w:t>
            </w:r>
          </w:p>
        </w:tc>
      </w:tr>
      <w:tr>
        <w:trPr>
          <w:trHeight w:val="409"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、其它内资持股</w:t>
            </w:r>
          </w:p>
        </w:tc>
        <w:tc>
          <w:tcPr>
            <w:tcW w:w="922" w:type="dxa"/>
            <w:vMerge/>
            <w:tcBorders>
              <w:left w:val="single" w:sz="13" w:space="0" w:color="DCDCDC"/>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97,000,000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72.71%</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3,000,000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sz w:val="18"/>
              </w:rPr>
              <w:t>33,400,000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33,400,000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33,400,000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25.04%</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sz w:val="18"/>
              </w:rPr>
              <w:t>33,400,000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33,400,000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33,400,000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25.04%</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、其它</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95"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13" w:space="0" w:color="DCDCDC"/>
              <w:right w:val="single" w:sz="4" w:space="0" w:color="000000"/>
            </w:tcBorders>
          </w:tcPr>
          <w:p>
            <w:pPr>
              <w:pStyle w:val="TableParagraph"/>
              <w:spacing w:line="207" w:lineRule="exact" w:before="34"/>
              <w:ind w:right="19"/>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1" w:type="dxa"/>
            <w:vMerge w:val="restart"/>
            <w:tcBorders>
              <w:top w:val="single" w:sz="4" w:space="0" w:color="000000"/>
              <w:left w:val="single" w:sz="4" w:space="0" w:color="000000"/>
              <w:right w:val="single" w:sz="4" w:space="0" w:color="000000"/>
            </w:tcBorders>
          </w:tcPr>
          <w:p>
            <w:pPr>
              <w:pStyle w:val="TableParagraph"/>
              <w:spacing w:line="240" w:lineRule="auto" w:before="139"/>
              <w:ind w:left="232" w:right="0"/>
              <w:jc w:val="left"/>
              <w:rPr>
                <w:rFonts w:ascii="Times New Roman" w:hAnsi="Times New Roman" w:cs="Times New Roman" w:eastAsia="Times New Roman" w:hint="default"/>
                <w:sz w:val="18"/>
                <w:szCs w:val="18"/>
              </w:rPr>
            </w:pPr>
            <w:r>
              <w:rPr>
                <w:rFonts w:ascii="Times New Roman"/>
                <w:sz w:val="18"/>
              </w:rPr>
              <w:t>100.00%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9"/>
              <w:ind w:left="66" w:right="0"/>
              <w:jc w:val="left"/>
              <w:rPr>
                <w:rFonts w:ascii="Times New Roman" w:hAnsi="Times New Roman" w:cs="Times New Roman" w:eastAsia="Times New Roman" w:hint="default"/>
                <w:sz w:val="18"/>
                <w:szCs w:val="18"/>
              </w:rPr>
            </w:pPr>
            <w:r>
              <w:rPr>
                <w:rFonts w:ascii="Times New Roman"/>
                <w:sz w:val="18"/>
              </w:rPr>
              <w:t>33,400,000</w:t>
            </w:r>
          </w:p>
        </w:tc>
        <w:tc>
          <w:tcPr>
            <w:tcW w:w="910" w:type="dxa"/>
            <w:vMerge w:val="restart"/>
            <w:tcBorders>
              <w:top w:val="single" w:sz="4" w:space="0" w:color="000000"/>
              <w:left w:val="single" w:sz="4" w:space="0" w:color="000000"/>
              <w:right w:val="single" w:sz="4" w:space="0" w:color="000000"/>
            </w:tcBorders>
          </w:tcPr>
          <w:p>
            <w:pPr/>
          </w:p>
        </w:tc>
        <w:tc>
          <w:tcPr>
            <w:tcW w:w="911"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9"/>
              <w:ind w:left="65" w:right="0"/>
              <w:jc w:val="left"/>
              <w:rPr>
                <w:rFonts w:ascii="Times New Roman" w:hAnsi="Times New Roman" w:cs="Times New Roman" w:eastAsia="Times New Roman" w:hint="default"/>
                <w:sz w:val="18"/>
                <w:szCs w:val="18"/>
              </w:rPr>
            </w:pPr>
            <w:r>
              <w:rPr>
                <w:rFonts w:ascii="Times New Roman"/>
                <w:sz w:val="18"/>
              </w:rPr>
              <w:t>33,400,000</w:t>
            </w:r>
          </w:p>
        </w:tc>
        <w:tc>
          <w:tcPr>
            <w:tcW w:w="911" w:type="dxa"/>
            <w:vMerge w:val="restart"/>
            <w:tcBorders>
              <w:top w:val="single" w:sz="4" w:space="0" w:color="000000"/>
              <w:left w:val="single" w:sz="4" w:space="0" w:color="000000"/>
              <w:right w:val="single" w:sz="4" w:space="0" w:color="000000"/>
            </w:tcBorders>
          </w:tcPr>
          <w:p>
            <w:pPr>
              <w:pStyle w:val="TableParagraph"/>
              <w:spacing w:line="207" w:lineRule="exact" w:before="34"/>
              <w:ind w:right="19"/>
              <w:jc w:val="right"/>
              <w:rPr>
                <w:rFonts w:ascii="Times New Roman" w:hAnsi="Times New Roman" w:cs="Times New Roman" w:eastAsia="Times New Roman" w:hint="default"/>
                <w:sz w:val="18"/>
                <w:szCs w:val="18"/>
              </w:rPr>
            </w:pPr>
            <w:r>
              <w:rPr>
                <w:rFonts w:ascii="Times New Roman"/>
                <w:sz w:val="18"/>
              </w:rPr>
              <w:t>133,400,00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39"/>
              <w:ind w:left="231" w:right="0"/>
              <w:jc w:val="left"/>
              <w:rPr>
                <w:rFonts w:ascii="Times New Roman" w:hAnsi="Times New Roman" w:cs="Times New Roman" w:eastAsia="Times New Roman" w:hint="default"/>
                <w:sz w:val="18"/>
                <w:szCs w:val="18"/>
              </w:rPr>
            </w:pPr>
            <w:r>
              <w:rPr>
                <w:rFonts w:ascii="Times New Roman"/>
                <w:sz w:val="18"/>
              </w:rPr>
              <w:t>100.00%</w:t>
            </w:r>
          </w:p>
        </w:tc>
      </w:tr>
      <w:tr>
        <w:trPr>
          <w:trHeight w:val="409"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vMerge/>
            <w:tcBorders>
              <w:left w:val="single" w:sz="13" w:space="0" w:color="DCDCDC"/>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26"/>
        <w:ind w:left="634" w:right="3330"/>
        <w:jc w:val="left"/>
      </w:pPr>
      <w:r>
        <w:rPr/>
        <w:t>2、限售股份变动情况表：</w:t>
      </w:r>
    </w:p>
    <w:p>
      <w:pPr>
        <w:pStyle w:val="BodyText"/>
        <w:spacing w:line="240" w:lineRule="auto" w:before="166"/>
        <w:ind w:left="0" w:right="311"/>
        <w:jc w:val="right"/>
      </w:pPr>
      <w:r>
        <w:rPr/>
        <w:t>单位：股</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9"/>
              <w:jc w:val="left"/>
              <w:rPr>
                <w:rFonts w:ascii="宋体" w:hAnsi="宋体" w:cs="宋体" w:eastAsia="宋体" w:hint="default"/>
                <w:sz w:val="18"/>
                <w:szCs w:val="18"/>
              </w:rPr>
            </w:pPr>
            <w:r>
              <w:rPr>
                <w:rFonts w:ascii="宋体" w:hAnsi="宋体" w:cs="宋体" w:eastAsia="宋体" w:hint="default"/>
                <w:sz w:val="18"/>
                <w:szCs w:val="18"/>
              </w:rPr>
              <w:t>深圳市恒顺昌投 资发展有限公司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70,000,000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70,000,000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28" w:lineRule="exact"/>
        <w:jc w:val="left"/>
        <w:rPr>
          <w:rFonts w:ascii="宋体" w:hAnsi="宋体" w:cs="宋体" w:eastAsia="宋体" w:hint="default"/>
          <w:sz w:val="18"/>
          <w:szCs w:val="18"/>
        </w:rPr>
        <w:sectPr>
          <w:type w:val="continuous"/>
          <w:pgSz w:w="11910" w:h="16840"/>
          <w:pgMar w:top="980" w:bottom="152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9"/>
              <w:jc w:val="left"/>
              <w:rPr>
                <w:rFonts w:ascii="宋体" w:hAnsi="宋体" w:cs="宋体" w:eastAsia="宋体" w:hint="default"/>
                <w:sz w:val="18"/>
                <w:szCs w:val="18"/>
              </w:rPr>
            </w:pPr>
            <w:r>
              <w:rPr>
                <w:rFonts w:ascii="宋体" w:hAnsi="宋体" w:cs="宋体" w:eastAsia="宋体" w:hint="default"/>
                <w:sz w:val="18"/>
                <w:szCs w:val="18"/>
              </w:rPr>
              <w:t>深圳市冠德成科 技发展有限公司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742,000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742,000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张淑清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曾玉芳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何慧敏</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胡罢传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季国永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王雁航</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日起三十六个月 内限售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09"/>
              <w:jc w:val="left"/>
              <w:rPr>
                <w:rFonts w:ascii="宋体" w:hAnsi="宋体" w:cs="宋体" w:eastAsia="宋体" w:hint="default"/>
                <w:sz w:val="18"/>
                <w:szCs w:val="18"/>
              </w:rPr>
            </w:pPr>
            <w:r>
              <w:rPr>
                <w:rFonts w:ascii="宋体" w:hAnsi="宋体" w:cs="宋体" w:eastAsia="宋体" w:hint="default"/>
                <w:sz w:val="18"/>
                <w:szCs w:val="18"/>
              </w:rPr>
              <w:t>网下配售机构投 资者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both"/>
              <w:rPr>
                <w:rFonts w:ascii="宋体" w:hAnsi="宋体" w:cs="宋体" w:eastAsia="宋体" w:hint="default"/>
                <w:sz w:val="18"/>
                <w:szCs w:val="18"/>
              </w:rPr>
            </w:pPr>
            <w:r>
              <w:rPr>
                <w:rFonts w:ascii="宋体" w:hAnsi="宋体" w:cs="宋体" w:eastAsia="宋体" w:hint="default"/>
                <w:sz w:val="18"/>
                <w:szCs w:val="18"/>
              </w:rPr>
              <w:t>股票上市交易之 日期三个月内限 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6,680,000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106,680,000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100,000,000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26"/>
        <w:ind w:left="636" w:right="3330"/>
        <w:jc w:val="left"/>
      </w:pPr>
      <w:r>
        <w:rPr/>
        <w:t>二、股票发行与上市情况</w:t>
      </w:r>
    </w:p>
    <w:p>
      <w:pPr>
        <w:pStyle w:val="BodyText"/>
        <w:spacing w:line="336" w:lineRule="auto" w:before="126"/>
        <w:ind w:right="271" w:firstLine="482"/>
        <w:jc w:val="left"/>
      </w:pPr>
      <w:r>
        <w:rPr/>
        <w:t>1、经中国证券监督管理委员会证监发行字[2007]116 号文核准，本公司于</w:t>
      </w:r>
      <w:r>
        <w:rPr>
          <w:spacing w:val="-79"/>
        </w:rPr>
        <w:t> </w:t>
      </w:r>
      <w:r>
        <w:rPr>
          <w:spacing w:val="33"/>
        </w:rPr>
        <w:t>2007年6月</w:t>
      </w:r>
      <w:r>
        <w:rPr>
          <w:spacing w:val="-41"/>
        </w:rPr>
        <w:t> </w:t>
      </w:r>
      <w:r>
        <w:rPr/>
        <w:t>首次公开发行人民币普通股 3,340</w:t>
      </w:r>
      <w:r>
        <w:rPr>
          <w:spacing w:val="-82"/>
        </w:rPr>
        <w:t> </w:t>
      </w:r>
      <w:r>
        <w:rPr/>
        <w:t>万股。本次发行采用网下向询价对象询价配售与网上资金</w:t>
      </w:r>
    </w:p>
    <w:p>
      <w:pPr>
        <w:pStyle w:val="BodyText"/>
        <w:spacing w:line="240" w:lineRule="auto"/>
        <w:ind w:right="271"/>
        <w:jc w:val="left"/>
      </w:pPr>
      <w:r>
        <w:rPr/>
        <w:t>申购定价发行相结合的方式，其中，网下配售</w:t>
      </w:r>
      <w:r>
        <w:rPr>
          <w:spacing w:val="-51"/>
        </w:rPr>
        <w:t> </w:t>
      </w:r>
      <w:r>
        <w:rPr/>
        <w:t>668</w:t>
      </w:r>
      <w:r>
        <w:rPr>
          <w:spacing w:val="-51"/>
        </w:rPr>
        <w:t> </w:t>
      </w:r>
      <w:r>
        <w:rPr/>
        <w:t>万股，网上发行</w:t>
      </w:r>
      <w:r>
        <w:rPr>
          <w:spacing w:val="-51"/>
        </w:rPr>
        <w:t> </w:t>
      </w:r>
      <w:r>
        <w:rPr/>
        <w:t>2,672</w:t>
      </w:r>
      <w:r>
        <w:rPr>
          <w:spacing w:val="-51"/>
        </w:rPr>
        <w:t> </w:t>
      </w:r>
      <w:r>
        <w:rPr/>
        <w:t>万股，发行价格为</w:t>
      </w:r>
    </w:p>
    <w:p>
      <w:pPr>
        <w:pStyle w:val="BodyText"/>
        <w:spacing w:line="240" w:lineRule="auto" w:before="126"/>
        <w:ind w:right="3330"/>
        <w:jc w:val="left"/>
      </w:pPr>
      <w:r>
        <w:rPr/>
        <w:t>10.30</w:t>
      </w:r>
      <w:r>
        <w:rPr>
          <w:spacing w:val="-60"/>
        </w:rPr>
        <w:t> </w:t>
      </w:r>
      <w:r>
        <w:rPr/>
        <w:t>元/股。</w:t>
      </w:r>
    </w:p>
    <w:p>
      <w:pPr>
        <w:pStyle w:val="BodyText"/>
        <w:spacing w:line="240" w:lineRule="auto" w:before="125"/>
        <w:ind w:left="636" w:right="271"/>
        <w:jc w:val="left"/>
      </w:pPr>
      <w:r>
        <w:rPr>
          <w:spacing w:val="-3"/>
        </w:rPr>
        <w:t>2、经深圳证券交易所《关于深圳市实益达科技股份有限公司人民币普通股股票上市的通</w:t>
      </w:r>
    </w:p>
    <w:p>
      <w:pPr>
        <w:spacing w:after="0" w:line="240" w:lineRule="auto"/>
        <w:jc w:val="left"/>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329"/>
        <w:jc w:val="both"/>
      </w:pPr>
      <w:r>
        <w:rPr/>
        <w:t>知》(深证上[2007]87</w:t>
      </w:r>
      <w:r>
        <w:rPr>
          <w:spacing w:val="-67"/>
        </w:rPr>
        <w:t> </w:t>
      </w:r>
      <w:r>
        <w:rPr/>
        <w:t>号)同意，本公司首次公开发行的</w:t>
      </w:r>
      <w:r>
        <w:rPr>
          <w:spacing w:val="-67"/>
        </w:rPr>
        <w:t> </w:t>
      </w:r>
      <w:r>
        <w:rPr/>
        <w:t>3,340</w:t>
      </w:r>
      <w:r>
        <w:rPr>
          <w:spacing w:val="-67"/>
        </w:rPr>
        <w:t> </w:t>
      </w:r>
      <w:r>
        <w:rPr/>
        <w:t>万股人民币普通股股票在深圳</w:t>
      </w:r>
      <w:r>
        <w:rPr/>
        <w:t> 证券交易所上市，股票简称“实益达”，股票代码“002137”，其中首次公开发行中网上定</w:t>
      </w:r>
      <w:r>
        <w:rPr>
          <w:spacing w:val="-96"/>
        </w:rPr>
        <w:t> </w:t>
      </w:r>
      <w:r>
        <w:rPr>
          <w:spacing w:val="-96"/>
        </w:rPr>
      </w:r>
      <w:r>
        <w:rPr/>
        <w:t>价发行的</w:t>
      </w:r>
      <w:r>
        <w:rPr>
          <w:spacing w:val="-57"/>
        </w:rPr>
        <w:t> </w:t>
      </w:r>
      <w:r>
        <w:rPr/>
        <w:t>2,672</w:t>
      </w:r>
      <w:r>
        <w:rPr>
          <w:spacing w:val="-57"/>
        </w:rPr>
        <w:t> </w:t>
      </w:r>
      <w:r>
        <w:rPr/>
        <w:t>万股于</w:t>
      </w:r>
      <w:r>
        <w:rPr>
          <w:spacing w:val="-57"/>
        </w:rPr>
        <w:t> </w:t>
      </w:r>
      <w:r>
        <w:rPr>
          <w:spacing w:val="27"/>
        </w:rPr>
        <w:t>2007年6月</w:t>
      </w:r>
      <w:r>
        <w:rPr>
          <w:spacing w:val="-57"/>
        </w:rPr>
        <w:t> </w:t>
      </w:r>
      <w:r>
        <w:rPr/>
        <w:t>13</w:t>
      </w:r>
      <w:r>
        <w:rPr>
          <w:spacing w:val="-57"/>
        </w:rPr>
        <w:t> </w:t>
      </w:r>
      <w:r>
        <w:rPr/>
        <w:t>日起上市交易，网下询价对象配售的</w:t>
      </w:r>
      <w:r>
        <w:rPr>
          <w:spacing w:val="-57"/>
        </w:rPr>
        <w:t> </w:t>
      </w:r>
      <w:r>
        <w:rPr/>
        <w:t>668</w:t>
      </w:r>
      <w:r>
        <w:rPr>
          <w:spacing w:val="-57"/>
        </w:rPr>
        <w:t> </w:t>
      </w:r>
      <w:r>
        <w:rPr/>
        <w:t>万股股票自</w:t>
      </w:r>
    </w:p>
    <w:p>
      <w:pPr>
        <w:pStyle w:val="BodyText"/>
        <w:spacing w:line="240" w:lineRule="auto"/>
        <w:ind w:right="0"/>
        <w:jc w:val="both"/>
      </w:pPr>
      <w:r>
        <w:rPr>
          <w:spacing w:val="25"/>
        </w:rPr>
        <w:t>2007年6月</w:t>
      </w:r>
      <w:r>
        <w:rPr>
          <w:spacing w:val="-58"/>
        </w:rPr>
        <w:t> </w:t>
      </w:r>
      <w:r>
        <w:rPr/>
        <w:t>13</w:t>
      </w:r>
      <w:r>
        <w:rPr>
          <w:spacing w:val="-58"/>
        </w:rPr>
        <w:t> </w:t>
      </w:r>
      <w:r>
        <w:rPr/>
        <w:t>日期锁定三个月，于</w:t>
      </w:r>
      <w:r>
        <w:rPr>
          <w:spacing w:val="-58"/>
        </w:rPr>
        <w:t> </w:t>
      </w:r>
      <w:r>
        <w:rPr>
          <w:spacing w:val="25"/>
        </w:rPr>
        <w:t>2007年9月</w:t>
      </w:r>
      <w:r>
        <w:rPr>
          <w:spacing w:val="-58"/>
        </w:rPr>
        <w:t> </w:t>
      </w:r>
      <w:r>
        <w:rPr/>
        <w:t>13</w:t>
      </w:r>
      <w:r>
        <w:rPr>
          <w:spacing w:val="-58"/>
        </w:rPr>
        <w:t> </w:t>
      </w:r>
      <w:r>
        <w:rPr/>
        <w:t>日起上市流通。</w:t>
      </w:r>
    </w:p>
    <w:p>
      <w:pPr>
        <w:pStyle w:val="BodyText"/>
        <w:spacing w:line="240" w:lineRule="auto" w:before="126"/>
        <w:ind w:left="636" w:right="0"/>
        <w:jc w:val="left"/>
      </w:pPr>
      <w:r>
        <w:rPr/>
        <w:t>3、本公司无内部职工股。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7" w:footer="1339" w:top="980" w:bottom="1520" w:left="980" w:right="800"/>
        </w:sectPr>
      </w:pPr>
    </w:p>
    <w:p>
      <w:pPr>
        <w:pStyle w:val="BodyText"/>
        <w:spacing w:line="336" w:lineRule="auto" w:before="26"/>
        <w:ind w:left="636" w:right="-20"/>
        <w:jc w:val="left"/>
      </w:pPr>
      <w:r>
        <w:rPr/>
        <w:t>三、股东情况介绍 1、股东数量和持股情况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8"/>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980" w:bottom="1520" w:left="980" w:right="800"/>
          <w:cols w:num="2" w:equalWidth="0">
            <w:col w:w="3157" w:space="5279"/>
            <w:col w:w="1694"/>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34"/>
        <w:gridCol w:w="1306"/>
        <w:gridCol w:w="1301"/>
        <w:gridCol w:w="1300"/>
        <w:gridCol w:w="520"/>
        <w:gridCol w:w="1301"/>
        <w:gridCol w:w="1768"/>
      </w:tblGrid>
      <w:tr>
        <w:trPr>
          <w:trHeight w:val="323"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94" w:type="dxa"/>
            <w:gridSpan w:val="6"/>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15,984</w:t>
            </w:r>
          </w:p>
        </w:tc>
      </w:tr>
      <w:tr>
        <w:trPr>
          <w:trHeight w:val="381"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1"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9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6" w:hRule="exact"/>
        </w:trPr>
        <w:tc>
          <w:tcPr>
            <w:tcW w:w="2334"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4"/>
              <w:ind w:left="22" w:right="139"/>
              <w:jc w:val="left"/>
              <w:rPr>
                <w:rFonts w:ascii="宋体" w:hAnsi="宋体" w:cs="宋体" w:eastAsia="宋体" w:hint="default"/>
                <w:sz w:val="18"/>
                <w:szCs w:val="18"/>
              </w:rPr>
            </w:pPr>
            <w:r>
              <w:rPr>
                <w:rFonts w:ascii="宋体" w:hAnsi="宋体" w:cs="宋体" w:eastAsia="宋体" w:hint="default"/>
                <w:sz w:val="18"/>
                <w:szCs w:val="18"/>
              </w:rPr>
              <w:t>深圳市恒顺昌投资发展有限 公司</w:t>
            </w:r>
          </w:p>
        </w:tc>
        <w:tc>
          <w:tcPr>
            <w:tcW w:w="1306"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4"/>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52.47%</w:t>
            </w:r>
            <w:r>
              <w:rPr>
                <w:rFonts w:ascii="Times New Roman"/>
                <w:sz w:val="18"/>
              </w:rPr>
            </w:r>
          </w:p>
        </w:tc>
        <w:tc>
          <w:tcPr>
            <w:tcW w:w="1300" w:type="dxa"/>
            <w:tcBorders>
              <w:top w:val="single" w:sz="47" w:space="0" w:color="DCDCDC"/>
              <w:left w:val="single" w:sz="4" w:space="0" w:color="000000"/>
              <w:bottom w:val="single" w:sz="4" w:space="0" w:color="000000"/>
              <w:right w:val="single" w:sz="9" w:space="0" w:color="DCDCDC"/>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70,000,000</w:t>
            </w:r>
          </w:p>
        </w:tc>
        <w:tc>
          <w:tcPr>
            <w:tcW w:w="1820" w:type="dxa"/>
            <w:gridSpan w:val="2"/>
            <w:tcBorders>
              <w:top w:val="single" w:sz="4" w:space="0" w:color="000000"/>
              <w:left w:val="single" w:sz="9" w:space="0" w:color="DCDCDC"/>
              <w:bottom w:val="single" w:sz="4" w:space="0" w:color="000000"/>
              <w:right w:val="single" w:sz="9"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68" w:right="0"/>
              <w:jc w:val="left"/>
              <w:rPr>
                <w:rFonts w:ascii="Times New Roman" w:hAnsi="Times New Roman" w:cs="Times New Roman" w:eastAsia="Times New Roman" w:hint="default"/>
                <w:sz w:val="18"/>
                <w:szCs w:val="18"/>
              </w:rPr>
            </w:pPr>
            <w:r>
              <w:rPr>
                <w:rFonts w:ascii="Times New Roman"/>
                <w:sz w:val="18"/>
              </w:rPr>
              <w:t>70,000,000</w:t>
            </w: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深圳市冠德成科技发展有限 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20.24%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75" w:right="0"/>
              <w:jc w:val="left"/>
              <w:rPr>
                <w:rFonts w:ascii="Times New Roman" w:hAnsi="Times New Roman" w:cs="Times New Roman" w:eastAsia="Times New Roman" w:hint="default"/>
                <w:sz w:val="18"/>
                <w:szCs w:val="18"/>
              </w:rPr>
            </w:pPr>
            <w:r>
              <w:rPr>
                <w:rFonts w:ascii="Times New Roman"/>
                <w:sz w:val="18"/>
              </w:rPr>
              <w:t>27,000,000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中国工商银行－易方达价值 精选股票型证券投资基金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中国工商银行－南方稳健成 长贰号证券投资基金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2,056,950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中国工商银行－南方稳健成 长证券投资基金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1,476,500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0.75%</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1,000,000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139"/>
              <w:jc w:val="left"/>
              <w:rPr>
                <w:rFonts w:ascii="宋体" w:hAnsi="宋体" w:cs="宋体" w:eastAsia="宋体" w:hint="default"/>
                <w:sz w:val="18"/>
                <w:szCs w:val="18"/>
              </w:rPr>
            </w:pPr>
            <w:r>
              <w:rPr>
                <w:rFonts w:ascii="宋体" w:hAnsi="宋体" w:cs="宋体" w:eastAsia="宋体" w:hint="default"/>
                <w:sz w:val="18"/>
                <w:szCs w:val="18"/>
              </w:rPr>
              <w:t>中国建设银行－上投摩根双 息平衡混合型证券投资基金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992,657</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742,000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0" w:right="0"/>
              <w:jc w:val="left"/>
              <w:rPr>
                <w:rFonts w:ascii="Times New Roman" w:hAnsi="Times New Roman" w:cs="Times New Roman" w:eastAsia="Times New Roman" w:hint="default"/>
                <w:sz w:val="18"/>
                <w:szCs w:val="18"/>
              </w:rPr>
            </w:pPr>
            <w:r>
              <w:rPr>
                <w:rFonts w:ascii="Times New Roman"/>
                <w:sz w:val="18"/>
              </w:rPr>
              <w:t>742,000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国都证券有限责任公司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358,329</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 w:right="20"/>
              <w:jc w:val="left"/>
              <w:rPr>
                <w:rFonts w:ascii="宋体" w:hAnsi="宋体" w:cs="宋体" w:eastAsia="宋体" w:hint="default"/>
                <w:sz w:val="18"/>
                <w:szCs w:val="18"/>
              </w:rPr>
            </w:pPr>
            <w:r>
              <w:rPr>
                <w:rFonts w:ascii="宋体" w:hAnsi="宋体" w:cs="宋体" w:eastAsia="宋体" w:hint="default"/>
                <w:spacing w:val="24"/>
                <w:sz w:val="18"/>
                <w:szCs w:val="18"/>
              </w:rPr>
              <w:t>境内非国</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305,890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中国工商银行－易方达价值精选股票型证券 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中国工商银行－南方稳健成长贰号证券投资 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2,056,950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中国工商银行－南方稳健成长证券投资基金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1,476,500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中国建设银行－上投摩根双息平衡混合型证 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992,657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国都证券有限责任公司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358,329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305,890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白姝</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271,303</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type w:val="continuous"/>
          <w:pgSz w:w="11910" w:h="16840"/>
          <w:pgMar w:top="980" w:bottom="1520" w:left="98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1300"/>
        <w:gridCol w:w="3120"/>
        <w:gridCol w:w="3068"/>
      </w:tblGrid>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冯红</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264,950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王银仙</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145,000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万平</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124,871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91"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0"/>
              <w:ind w:left="803"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73"/>
              <w:jc w:val="both"/>
              <w:rPr>
                <w:rFonts w:ascii="宋体" w:hAnsi="宋体" w:cs="宋体" w:eastAsia="宋体" w:hint="default"/>
                <w:sz w:val="18"/>
                <w:szCs w:val="18"/>
              </w:rPr>
            </w:pPr>
            <w:r>
              <w:rPr>
                <w:rFonts w:ascii="宋体" w:hAnsi="宋体" w:cs="宋体" w:eastAsia="宋体" w:hint="default"/>
                <w:sz w:val="18"/>
                <w:szCs w:val="18"/>
              </w:rPr>
              <w:t>其中：股东乔昕先生与股东陈亚妹女士为夫妻关系；股东深圳市恒顺昌投资发展有限公司、深 圳市冠德成科技发展有限公司为乔昕先生和陈亚妹女士共同控制的企业。其它股东之间是否存 在关联关系，以及是否构成《上市公司持股变动信息披露管理办法》中一致行动人关系不详。</w:t>
            </w:r>
          </w:p>
        </w:tc>
      </w:tr>
    </w:tbl>
    <w:p>
      <w:pPr>
        <w:pStyle w:val="BodyText"/>
        <w:spacing w:line="336" w:lineRule="auto" w:before="71"/>
        <w:ind w:left="633" w:right="295" w:firstLine="2"/>
        <w:jc w:val="left"/>
      </w:pPr>
      <w:r>
        <w:rPr/>
        <w:t>2、公司控股股东及实际控制人情况 </w:t>
      </w:r>
      <w:r>
        <w:rPr>
          <w:spacing w:val="-8"/>
        </w:rPr>
        <w:t>公司控股股东为深圳市恒顺昌投资发展有限公司（以下简称“恒顺昌”）。恒顺昌于</w:t>
      </w:r>
      <w:r>
        <w:rPr>
          <w:spacing w:val="-28"/>
        </w:rPr>
        <w:t> </w:t>
      </w:r>
      <w:r>
        <w:rPr/>
        <w:t>2005</w:t>
      </w:r>
    </w:p>
    <w:p>
      <w:pPr>
        <w:pStyle w:val="BodyText"/>
        <w:spacing w:line="336" w:lineRule="auto"/>
        <w:ind w:right="293"/>
        <w:jc w:val="left"/>
      </w:pPr>
      <w:r>
        <w:rPr>
          <w:spacing w:val="40"/>
        </w:rPr>
        <w:t>年3月</w:t>
      </w:r>
      <w:r>
        <w:rPr>
          <w:spacing w:val="-60"/>
        </w:rPr>
        <w:t> </w:t>
      </w:r>
      <w:r>
        <w:rPr/>
        <w:t>31</w:t>
      </w:r>
      <w:r>
        <w:rPr>
          <w:spacing w:val="-60"/>
        </w:rPr>
        <w:t> </w:t>
      </w:r>
      <w:r>
        <w:rPr/>
        <w:t>日在深圳市注册成立，注册资本人民币</w:t>
      </w:r>
      <w:r>
        <w:rPr>
          <w:spacing w:val="-60"/>
        </w:rPr>
        <w:t> </w:t>
      </w:r>
      <w:r>
        <w:rPr/>
        <w:t>1,000</w:t>
      </w:r>
      <w:r>
        <w:rPr>
          <w:spacing w:val="-60"/>
        </w:rPr>
        <w:t> </w:t>
      </w:r>
      <w:r>
        <w:rPr/>
        <w:t>万元，其中陈亚妹女士出资比例为</w:t>
      </w:r>
      <w:r>
        <w:rPr/>
        <w:t> 80%，乔昕先生出资比例为</w:t>
      </w:r>
      <w:r>
        <w:rPr>
          <w:spacing w:val="-82"/>
        </w:rPr>
        <w:t> </w:t>
      </w:r>
      <w:r>
        <w:rPr/>
        <w:t>20%，注册地和主要经营场所为深圳市南山区南油大道西海岸大厦</w:t>
      </w:r>
    </w:p>
    <w:p>
      <w:pPr>
        <w:pStyle w:val="BodyText"/>
        <w:spacing w:line="336" w:lineRule="auto" w:before="29"/>
        <w:ind w:left="633" w:right="571" w:hanging="480"/>
        <w:jc w:val="left"/>
      </w:pPr>
      <w:r>
        <w:rPr/>
        <w:t>6A，主营业务为兴办实业。目前恒顺昌除投资本公司外未经营其它业务，亦无其它投资。 公司实际控制人为乔昕、陈亚妹夫妇。</w:t>
      </w:r>
    </w:p>
    <w:p>
      <w:pPr>
        <w:pStyle w:val="BodyText"/>
        <w:spacing w:line="336" w:lineRule="auto"/>
        <w:ind w:right="271" w:firstLine="480"/>
        <w:jc w:val="left"/>
      </w:pPr>
      <w:r>
        <w:rPr/>
        <w:t>乔昕先生， 44</w:t>
      </w:r>
      <w:r>
        <w:rPr>
          <w:spacing w:val="-60"/>
        </w:rPr>
        <w:t> </w:t>
      </w:r>
      <w:r>
        <w:rPr/>
        <w:t>岁，中国国籍，无境外居留权，硕士学历。乔昕先生大学毕业后曾先后</w:t>
      </w:r>
      <w:r>
        <w:rPr/>
        <w:t> 在无锡机床研究所、日本北陆电气工业株式会社深圳办事处工作，1998</w:t>
      </w:r>
      <w:r>
        <w:rPr>
          <w:spacing w:val="-60"/>
        </w:rPr>
        <w:t> </w:t>
      </w:r>
      <w:r>
        <w:rPr/>
        <w:t>年创办实益达实业，</w:t>
      </w:r>
      <w:r>
        <w:rPr/>
        <w:t> 现任公司董事、总经理，同时任深圳市冠德成科技发展有限公司执行董事、恒顺昌监事、百 华科技发展有限公司执行董事等职务。</w:t>
      </w:r>
    </w:p>
    <w:p>
      <w:pPr>
        <w:pStyle w:val="BodyText"/>
        <w:spacing w:line="336" w:lineRule="auto" w:before="29"/>
        <w:ind w:right="331" w:firstLine="480"/>
        <w:jc w:val="left"/>
      </w:pPr>
      <w:r>
        <w:rPr/>
        <w:t>陈亚妹女士，32</w:t>
      </w:r>
      <w:r>
        <w:rPr>
          <w:spacing w:val="-60"/>
        </w:rPr>
        <w:t> </w:t>
      </w:r>
      <w:r>
        <w:rPr/>
        <w:t>岁，中国国籍，无境外居留权，大专学历。陈亚妹女士</w:t>
      </w:r>
      <w:r>
        <w:rPr>
          <w:spacing w:val="-60"/>
        </w:rPr>
        <w:t> </w:t>
      </w:r>
      <w:r>
        <w:rPr/>
        <w:t>1998</w:t>
      </w:r>
      <w:r>
        <w:rPr>
          <w:spacing w:val="-60"/>
        </w:rPr>
        <w:t> </w:t>
      </w:r>
      <w:r>
        <w:rPr/>
        <w:t>年与乔昕</w:t>
      </w:r>
      <w:r>
        <w:rPr/>
        <w:t> 先生一起创办实益达实业，现任本公司董事长，同时任恒顺昌执行董事、冠德成监事职务。</w:t>
      </w:r>
    </w:p>
    <w:p>
      <w:pPr>
        <w:pStyle w:val="BodyText"/>
        <w:spacing w:line="240" w:lineRule="auto"/>
        <w:ind w:left="636" w:right="3330"/>
        <w:jc w:val="left"/>
      </w:pPr>
      <w:r>
        <w:rPr/>
        <w:t>3、公司与实际控制人的产权和控制关系如下图：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76"/>
        <w:ind w:left="2227" w:right="3330" w:firstLine="0"/>
        <w:jc w:val="left"/>
        <w:rPr>
          <w:rFonts w:ascii="Times New Roman" w:hAnsi="Times New Roman" w:cs="Times New Roman" w:eastAsia="Times New Roman" w:hint="default"/>
          <w:sz w:val="18"/>
          <w:szCs w:val="18"/>
        </w:rPr>
      </w:pPr>
      <w:r>
        <w:rPr/>
        <w:pict>
          <v:group style="position:absolute;margin-left:139.320007pt;margin-top:-42.412266pt;width:249pt;height:180pt;mso-position-horizontal-relative:page;mso-position-vertical-relative:paragraph;z-index:-421240" coordorigin="2786,-848" coordsize="4980,3600">
            <v:group style="position:absolute;left:5738;top:-841;width:1800;height:467" coordorigin="5738,-841" coordsize="1800,467">
              <v:shape style="position:absolute;left:5738;top:-841;width:1800;height:467" coordorigin="5738,-841" coordsize="1800,467" path="m7538,-841l5738,-841,5738,-374,7538,-374,7538,-841xe" filled="false" stroked="true" strokeweight=".75pt" strokecolor="#000000">
                <v:path arrowok="t"/>
              </v:shape>
            </v:group>
            <v:group style="position:absolute;left:6654;top:-372;width:3;height:314" coordorigin="6654,-372" coordsize="3,314">
              <v:shape style="position:absolute;left:6654;top:-372;width:3;height:314" coordorigin="6654,-372" coordsize="3,314" path="m6654,-372l6656,-58e" filled="false" stroked="true" strokeweight="1pt" strokecolor="#000000">
                <v:path arrowok="t"/>
                <v:stroke dashstyle="dash"/>
              </v:shape>
            </v:group>
            <v:group style="position:absolute;left:3594;top:-841;width:1800;height:470" coordorigin="3594,-841" coordsize="1800,470">
              <v:shape style="position:absolute;left:3594;top:-841;width:1800;height:470" coordorigin="3594,-841" coordsize="1800,470" path="m5394,-841l3594,-841,3594,-372,5394,-372,5394,-841xe" filled="false" stroked="true" strokeweight=".75pt" strokecolor="#000000">
                <v:path arrowok="t"/>
              </v:shape>
            </v:group>
            <v:group style="position:absolute;left:4584;top:-374;width:3;height:314" coordorigin="4584,-374" coordsize="3,314">
              <v:shape style="position:absolute;left:4584;top:-374;width:3;height:314" coordorigin="4584,-374" coordsize="3,314" path="m4584,-374l4586,-61e" filled="false" stroked="true" strokeweight="1pt" strokecolor="#000000">
                <v:path arrowok="t"/>
                <v:stroke dashstyle="dash"/>
              </v:shape>
            </v:group>
            <v:group style="position:absolute;left:4584;top:-60;width:2070;height:2" coordorigin="4584,-60" coordsize="2070,2">
              <v:shape style="position:absolute;left:4584;top:-60;width:2070;height:2" coordorigin="4584,-60" coordsize="2070,2" path="m4584,-58l6654,-60e" filled="false" stroked="true" strokeweight="1pt" strokecolor="#000000">
                <v:path arrowok="t"/>
                <v:stroke dashstyle="dash"/>
              </v:shape>
            </v:group>
            <v:group style="position:absolute;left:5677;top:-61;width:120;height:622" coordorigin="5677,-61" coordsize="120,622">
              <v:shape style="position:absolute;left:5677;top:-61;width:120;height:622" coordorigin="5677,-61" coordsize="120,622" path="m5746,-61l5726,-61,5726,-40,5746,-40,5746,-61xe" filled="true" fillcolor="#000000" stroked="false">
                <v:path arrowok="t"/>
                <v:fill type="solid"/>
              </v:shape>
              <v:shape style="position:absolute;left:5677;top:-61;width:120;height:622" coordorigin="5677,-61" coordsize="120,622" path="m5746,-21l5726,-21,5726,-1,5746,-1,5746,-21xe" filled="true" fillcolor="#000000" stroked="false">
                <v:path arrowok="t"/>
                <v:fill type="solid"/>
              </v:shape>
              <v:shape style="position:absolute;left:5677;top:-61;width:120;height:622" coordorigin="5677,-61" coordsize="120,622" path="m5747,20l5726,20,5726,39,5747,39,5747,20xe" filled="true" fillcolor="#000000" stroked="false">
                <v:path arrowok="t"/>
                <v:fill type="solid"/>
              </v:shape>
              <v:shape style="position:absolute;left:5677;top:-61;width:120;height:622" coordorigin="5677,-61" coordsize="120,622" path="m5747,59l5726,59,5726,80,5747,80,5747,59xe" filled="true" fillcolor="#000000" stroked="false">
                <v:path arrowok="t"/>
                <v:fill type="solid"/>
              </v:shape>
              <v:shape style="position:absolute;left:5677;top:-61;width:120;height:622" coordorigin="5677,-61" coordsize="120,622" path="m5747,99l5726,99,5726,119,5747,119,5747,99xe" filled="true" fillcolor="#000000" stroked="false">
                <v:path arrowok="t"/>
                <v:fill type="solid"/>
              </v:shape>
              <v:shape style="position:absolute;left:5677;top:-61;width:120;height:622" coordorigin="5677,-61" coordsize="120,622" path="m5747,140l5726,140,5726,159,5747,159,5747,140xe" filled="true" fillcolor="#000000" stroked="false">
                <v:path arrowok="t"/>
                <v:fill type="solid"/>
              </v:shape>
              <v:shape style="position:absolute;left:5677;top:-61;width:120;height:622" coordorigin="5677,-61" coordsize="120,622" path="m5747,179l5726,179,5726,200,5747,200,5747,179xe" filled="true" fillcolor="#000000" stroked="false">
                <v:path arrowok="t"/>
                <v:fill type="solid"/>
              </v:shape>
              <v:shape style="position:absolute;left:5677;top:-61;width:120;height:622" coordorigin="5677,-61" coordsize="120,622" path="m5747,219l5726,219,5726,239,5747,239,5747,219xe" filled="true" fillcolor="#000000" stroked="false">
                <v:path arrowok="t"/>
                <v:fill type="solid"/>
              </v:shape>
              <v:shape style="position:absolute;left:5677;top:-61;width:120;height:622" coordorigin="5677,-61" coordsize="120,622" path="m5747,260l5726,260,5728,279,5747,279,5747,260xe" filled="true" fillcolor="#000000" stroked="false">
                <v:path arrowok="t"/>
                <v:fill type="solid"/>
              </v:shape>
              <v:shape style="position:absolute;left:5677;top:-61;width:120;height:622" coordorigin="5677,-61" coordsize="120,622" path="m5747,299l5728,299,5728,320,5747,320,5747,299xe" filled="true" fillcolor="#000000" stroked="false">
                <v:path arrowok="t"/>
                <v:fill type="solid"/>
              </v:shape>
              <v:shape style="position:absolute;left:5677;top:-61;width:120;height:622" coordorigin="5677,-61" coordsize="120,622" path="m5747,339l5728,339,5728,359,5747,359,5747,339xe" filled="true" fillcolor="#000000" stroked="false">
                <v:path arrowok="t"/>
                <v:fill type="solid"/>
              </v:shape>
              <v:shape style="position:absolute;left:5677;top:-61;width:120;height:622" coordorigin="5677,-61" coordsize="120,622" path="m5747,380l5728,380,5728,399,5748,399,5747,380xe" filled="true" fillcolor="#000000" stroked="false">
                <v:path arrowok="t"/>
                <v:fill type="solid"/>
              </v:shape>
              <v:shape style="position:absolute;left:5677;top:-61;width:120;height:622" coordorigin="5677,-61" coordsize="120,622" path="m5748,419l5728,419,5728,440,5748,440,5748,419xe" filled="true" fillcolor="#000000" stroked="false">
                <v:path arrowok="t"/>
                <v:fill type="solid"/>
              </v:shape>
              <v:shape style="position:absolute;left:5677;top:-61;width:120;height:622" coordorigin="5677,-61" coordsize="120,622" path="m5797,441l5677,442,5738,561,5787,461,5728,461,5728,459,5788,459,5797,441xe" filled="true" fillcolor="#000000" stroked="false">
                <v:path arrowok="t"/>
                <v:fill type="solid"/>
              </v:shape>
              <v:shape style="position:absolute;left:5677;top:-61;width:120;height:622" coordorigin="5677,-61" coordsize="120,622" path="m5748,459l5728,459,5728,461,5748,461,5748,459xe" filled="true" fillcolor="#000000" stroked="false">
                <v:path arrowok="t"/>
                <v:fill type="solid"/>
              </v:shape>
              <v:shape style="position:absolute;left:5677;top:-61;width:120;height:622" coordorigin="5677,-61" coordsize="120,622" path="m5788,459l5748,459,5748,461,5787,461,5788,459xe" filled="true" fillcolor="#000000" stroked="false">
                <v:path arrowok="t"/>
                <v:fill type="solid"/>
              </v:shape>
            </v:group>
            <v:group style="position:absolute;left:6114;top:-374;width:2;height:578" coordorigin="6114,-374" coordsize="2,578">
              <v:shape style="position:absolute;left:6114;top:-374;width:2;height:578" coordorigin="6114,-374" coordsize="2,578" path="m6114,-374l6115,203e" filled="false" stroked="true" strokeweight=".06pt" strokecolor="#000000">
                <v:path arrowok="t"/>
              </v:shape>
            </v:group>
            <v:group style="position:absolute;left:3788;top:-374;width:2;height:578" coordorigin="3788,-374" coordsize="2,578">
              <v:shape style="position:absolute;left:3788;top:-374;width:2;height:578" coordorigin="3788,-374" coordsize="0,578" path="m3788,-374l3788,203e" filled="false" stroked="true" strokeweight=".06pt" strokecolor="#000000">
                <v:path arrowok="t"/>
              </v:shape>
            </v:group>
            <v:group style="position:absolute;left:3787;top:203;width:2327;height:2" coordorigin="3787,203" coordsize="2327,2">
              <v:shape style="position:absolute;left:3787;top:203;width:2327;height:2" coordorigin="3787,203" coordsize="2327,0" path="m3787,203l6114,203e" filled="false" stroked="true" strokeweight=".06pt" strokecolor="#000000">
                <v:path arrowok="t"/>
              </v:shape>
              <v:shape style="position:absolute;left:4094;top:203;width:120;height:360" type="#_x0000_t75" stroked="false">
                <v:imagedata r:id="rId11" o:title=""/>
              </v:shape>
            </v:group>
            <v:group style="position:absolute;left:4810;top:-372;width:120;height:2654" coordorigin="4810,-372" coordsize="120,2654">
              <v:shape style="position:absolute;left:4810;top:-372;width:120;height:2654" coordorigin="4810,-372" coordsize="120,2654" path="m4879,-372l4859,-372,4859,-291,4879,-291,4879,-372xe" filled="true" fillcolor="#000000" stroked="false">
                <v:path arrowok="t"/>
                <v:fill type="solid"/>
              </v:shape>
              <v:shape style="position:absolute;left:4810;top:-372;width:120;height:2654" coordorigin="4810,-372" coordsize="120,2654" path="m4879,-231l4859,-231,4859,-152,4879,-152,4879,-231xe" filled="true" fillcolor="#000000" stroked="false">
                <v:path arrowok="t"/>
                <v:fill type="solid"/>
              </v:shape>
              <v:shape style="position:absolute;left:4810;top:-372;width:120;height:2654" coordorigin="4810,-372" coordsize="120,2654" path="m4879,-92l4859,-92,4859,-12,4879,-12,4879,-92xe" filled="true" fillcolor="#000000" stroked="false">
                <v:path arrowok="t"/>
                <v:fill type="solid"/>
              </v:shape>
              <v:shape style="position:absolute;left:4810;top:-372;width:120;height:2654" coordorigin="4810,-372" coordsize="120,2654" path="m4879,48l4859,48,4859,129,4879,129,4879,48xe" filled="true" fillcolor="#000000" stroked="false">
                <v:path arrowok="t"/>
                <v:fill type="solid"/>
              </v:shape>
              <v:shape style="position:absolute;left:4810;top:-372;width:120;height:2654" coordorigin="4810,-372" coordsize="120,2654" path="m4879,189l4859,189,4859,268,4879,268,4879,189xe" filled="true" fillcolor="#000000" stroked="false">
                <v:path arrowok="t"/>
                <v:fill type="solid"/>
              </v:shape>
              <v:shape style="position:absolute;left:4810;top:-372;width:120;height:2654" coordorigin="4810,-372" coordsize="120,2654" path="m4879,328l4859,328,4859,408,4879,408,4879,328xe" filled="true" fillcolor="#000000" stroked="false">
                <v:path arrowok="t"/>
                <v:fill type="solid"/>
              </v:shape>
              <v:shape style="position:absolute;left:4810;top:-372;width:120;height:2654" coordorigin="4810,-372" coordsize="120,2654" path="m4879,468l4859,468,4859,549,4879,549,4879,468xe" filled="true" fillcolor="#000000" stroked="false">
                <v:path arrowok="t"/>
                <v:fill type="solid"/>
              </v:shape>
              <v:shape style="position:absolute;left:4810;top:-372;width:120;height:2654" coordorigin="4810,-372" coordsize="120,2654" path="m4879,609l4859,609,4859,688,4879,688,4879,609xe" filled="true" fillcolor="#000000" stroked="false">
                <v:path arrowok="t"/>
                <v:fill type="solid"/>
              </v:shape>
              <v:shape style="position:absolute;left:4810;top:-372;width:120;height:2654" coordorigin="4810,-372" coordsize="120,2654" path="m4879,748l4859,748,4860,828,4879,828,4879,748xe" filled="true" fillcolor="#000000" stroked="false">
                <v:path arrowok="t"/>
                <v:fill type="solid"/>
              </v:shape>
              <v:shape style="position:absolute;left:4810;top:-372;width:120;height:2654" coordorigin="4810,-372" coordsize="120,2654" path="m4879,888l4860,888,4860,969,4879,969,4879,888xe" filled="true" fillcolor="#000000" stroked="false">
                <v:path arrowok="t"/>
                <v:fill type="solid"/>
              </v:shape>
              <v:shape style="position:absolute;left:4810;top:-372;width:120;height:2654" coordorigin="4810,-372" coordsize="120,2654" path="m4879,1029l4860,1029,4860,1108,4879,1108,4879,1029xe" filled="true" fillcolor="#000000" stroked="false">
                <v:path arrowok="t"/>
                <v:fill type="solid"/>
              </v:shape>
              <v:shape style="position:absolute;left:4810;top:-372;width:120;height:2654" coordorigin="4810,-372" coordsize="120,2654" path="m4879,1168l4860,1168,4860,1248,4879,1248,4879,1168xe" filled="true" fillcolor="#000000" stroked="false">
                <v:path arrowok="t"/>
                <v:fill type="solid"/>
              </v:shape>
              <v:shape style="position:absolute;left:4810;top:-372;width:120;height:2654" coordorigin="4810,-372" coordsize="120,2654" path="m4879,1308l4860,1308,4860,1389,4879,1389,4879,1308xe" filled="true" fillcolor="#000000" stroked="false">
                <v:path arrowok="t"/>
                <v:fill type="solid"/>
              </v:shape>
              <v:shape style="position:absolute;left:4810;top:-372;width:120;height:2654" coordorigin="4810,-372" coordsize="120,2654" path="m4879,1449l4860,1449,4860,1528,4879,1528,4879,1449xe" filled="true" fillcolor="#000000" stroked="false">
                <v:path arrowok="t"/>
                <v:fill type="solid"/>
              </v:shape>
              <v:shape style="position:absolute;left:4810;top:-372;width:120;height:2654" coordorigin="4810,-372" coordsize="120,2654" path="m4879,1588l4860,1588,4860,1668,4879,1668,4879,1588xe" filled="true" fillcolor="#000000" stroked="false">
                <v:path arrowok="t"/>
                <v:fill type="solid"/>
              </v:shape>
              <v:shape style="position:absolute;left:4810;top:-372;width:120;height:2654" coordorigin="4810,-372" coordsize="120,2654" path="m4879,1728l4860,1728,4860,1809,4879,1809,4879,1728xe" filled="true" fillcolor="#000000" stroked="false">
                <v:path arrowok="t"/>
                <v:fill type="solid"/>
              </v:shape>
              <v:shape style="position:absolute;left:4810;top:-372;width:120;height:2654" coordorigin="4810,-372" coordsize="120,2654" path="m4880,1869l4860,1869,4860,1948,4880,1948,4880,1869xe" filled="true" fillcolor="#000000" stroked="false">
                <v:path arrowok="t"/>
                <v:fill type="solid"/>
              </v:shape>
              <v:shape style="position:absolute;left:4810;top:-372;width:120;height:2654" coordorigin="4810,-372" coordsize="120,2654" path="m4880,2008l4860,2008,4860,2088,4880,2088,4880,2008xe" filled="true" fillcolor="#000000" stroked="false">
                <v:path arrowok="t"/>
                <v:fill type="solid"/>
              </v:shape>
              <v:shape style="position:absolute;left:4810;top:-372;width:120;height:2654" coordorigin="4810,-372" coordsize="120,2654" path="m4860,2162l4810,2162,4870,2282,4920,2181,4860,2181,4860,2162xe" filled="true" fillcolor="#000000" stroked="false">
                <v:path arrowok="t"/>
                <v:fill type="solid"/>
              </v:shape>
              <v:shape style="position:absolute;left:4810;top:-372;width:120;height:2654" coordorigin="4810,-372" coordsize="120,2654" path="m4880,2148l4860,2148,4860,2181,4880,2181,4880,2148xe" filled="true" fillcolor="#000000" stroked="false">
                <v:path arrowok="t"/>
                <v:fill type="solid"/>
              </v:shape>
              <v:shape style="position:absolute;left:4810;top:-372;width:120;height:2654" coordorigin="4810,-372" coordsize="120,2654" path="m4930,2162l4880,2162,4880,2181,4920,2181,4930,2162xe" filled="true" fillcolor="#000000" stroked="false">
                <v:path arrowok="t"/>
                <v:fill type="solid"/>
              </v:shape>
            </v:group>
            <v:group style="position:absolute;left:7091;top:-374;width:120;height:2654" coordorigin="7091,-374" coordsize="120,2654">
              <v:shape style="position:absolute;left:7091;top:-374;width:120;height:2654" coordorigin="7091,-374" coordsize="120,2654" path="m7188,-374l7168,-374,7168,-294,7187,-294,7188,-374xe" filled="true" fillcolor="#000000" stroked="false">
                <v:path arrowok="t"/>
                <v:fill type="solid"/>
              </v:shape>
              <v:shape style="position:absolute;left:7091;top:-374;width:120;height:2654" coordorigin="7091,-374" coordsize="120,2654" path="m7187,-234l7166,-234,7165,-153,7186,-153,7187,-234xe" filled="true" fillcolor="#000000" stroked="false">
                <v:path arrowok="t"/>
                <v:fill type="solid"/>
              </v:shape>
              <v:shape style="position:absolute;left:7091;top:-374;width:120;height:2654" coordorigin="7091,-374" coordsize="120,2654" path="m7184,-93l7165,-93,7164,-14,7184,-14,7184,-93xe" filled="true" fillcolor="#000000" stroked="false">
                <v:path arrowok="t"/>
                <v:fill type="solid"/>
              </v:shape>
              <v:shape style="position:absolute;left:7091;top:-374;width:120;height:2654" coordorigin="7091,-374" coordsize="120,2654" path="m7183,46l7163,46,7163,126,7182,126,7183,46xe" filled="true" fillcolor="#000000" stroked="false">
                <v:path arrowok="t"/>
                <v:fill type="solid"/>
              </v:shape>
              <v:shape style="position:absolute;left:7091;top:-374;width:120;height:2654" coordorigin="7091,-374" coordsize="120,2654" path="m7182,186l7162,186,7160,267,7181,267,7182,186xe" filled="true" fillcolor="#000000" stroked="false">
                <v:path arrowok="t"/>
                <v:fill type="solid"/>
              </v:shape>
              <v:shape style="position:absolute;left:7091;top:-374;width:120;height:2654" coordorigin="7091,-374" coordsize="120,2654" path="m7181,327l7160,327,7159,406,7180,406,7181,327xe" filled="true" fillcolor="#000000" stroked="false">
                <v:path arrowok="t"/>
                <v:fill type="solid"/>
              </v:shape>
              <v:shape style="position:absolute;left:7091;top:-374;width:120;height:2654" coordorigin="7091,-374" coordsize="120,2654" path="m7178,466l7159,466,7158,546,7178,546,7178,466xe" filled="true" fillcolor="#000000" stroked="false">
                <v:path arrowok="t"/>
                <v:fill type="solid"/>
              </v:shape>
              <v:shape style="position:absolute;left:7091;top:-374;width:120;height:2654" coordorigin="7091,-374" coordsize="120,2654" path="m7177,606l7157,606,7157,686,7176,687,7177,606xe" filled="true" fillcolor="#000000" stroked="false">
                <v:path arrowok="t"/>
                <v:fill type="solid"/>
              </v:shape>
              <v:shape style="position:absolute;left:7091;top:-374;width:120;height:2654" coordorigin="7091,-374" coordsize="120,2654" path="m7156,746l7154,826,7175,826,7176,747,7156,746xe" filled="true" fillcolor="#000000" stroked="false">
                <v:path arrowok="t"/>
                <v:fill type="solid"/>
              </v:shape>
              <v:shape style="position:absolute;left:7091;top:-374;width:120;height:2654" coordorigin="7091,-374" coordsize="120,2654" path="m7174,886l7154,886,7153,966,7174,966,7174,886xe" filled="true" fillcolor="#000000" stroked="false">
                <v:path arrowok="t"/>
                <v:fill type="solid"/>
              </v:shape>
              <v:shape style="position:absolute;left:7091;top:-374;width:120;height:2654" coordorigin="7091,-374" coordsize="120,2654" path="m7172,1026l7153,1026,7152,1106,7171,1107,7172,1026xe" filled="true" fillcolor="#000000" stroked="false">
                <v:path arrowok="t"/>
                <v:fill type="solid"/>
              </v:shape>
              <v:shape style="position:absolute;left:7091;top:-374;width:120;height:2654" coordorigin="7091,-374" coordsize="120,2654" path="m7151,1166l7151,1246,7170,1246,7171,1167,7151,1166xe" filled="true" fillcolor="#000000" stroked="false">
                <v:path arrowok="t"/>
                <v:fill type="solid"/>
              </v:shape>
              <v:shape style="position:absolute;left:7091;top:-374;width:120;height:2654" coordorigin="7091,-374" coordsize="120,2654" path="m7170,1306l7150,1306,7148,1386,7169,1386,7170,1306xe" filled="true" fillcolor="#000000" stroked="false">
                <v:path arrowok="t"/>
                <v:fill type="solid"/>
              </v:shape>
              <v:shape style="position:absolute;left:7091;top:-374;width:120;height:2654" coordorigin="7091,-374" coordsize="120,2654" path="m7168,1446l7148,1446,7147,1526,7168,1527,7168,1446xe" filled="true" fillcolor="#000000" stroked="false">
                <v:path arrowok="t"/>
                <v:fill type="solid"/>
              </v:shape>
              <v:shape style="position:absolute;left:7091;top:-374;width:120;height:2654" coordorigin="7091,-374" coordsize="120,2654" path="m7146,1586l7146,1666,7165,1666,7166,1587,7146,1586xe" filled="true" fillcolor="#000000" stroked="false">
                <v:path arrowok="t"/>
                <v:fill type="solid"/>
              </v:shape>
              <v:shape style="position:absolute;left:7091;top:-374;width:120;height:2654" coordorigin="7091,-374" coordsize="120,2654" path="m7165,1726l7145,1726,7144,1806,7164,1806,7165,1726xe" filled="true" fillcolor="#000000" stroked="false">
                <v:path arrowok="t"/>
                <v:fill type="solid"/>
              </v:shape>
              <v:shape style="position:absolute;left:7091;top:-374;width:120;height:2654" coordorigin="7091,-374" coordsize="120,2654" path="m7164,1866l7144,1866,7142,1946,7163,1947,7164,1866xe" filled="true" fillcolor="#000000" stroked="false">
                <v:path arrowok="t"/>
                <v:fill type="solid"/>
              </v:shape>
              <v:shape style="position:absolute;left:7091;top:-374;width:120;height:2654" coordorigin="7091,-374" coordsize="120,2654" path="m7142,2006l7141,2086,7162,2086,7162,2007,7142,2006xe" filled="true" fillcolor="#000000" stroked="false">
                <v:path arrowok="t"/>
                <v:fill type="solid"/>
              </v:shape>
              <v:shape style="position:absolute;left:7091;top:-374;width:120;height:2654" coordorigin="7091,-374" coordsize="120,2654" path="m7091,2159l7148,2279,7201,2180,7140,2180,7140,2160,7091,2159xe" filled="true" fillcolor="#000000" stroked="false">
                <v:path arrowok="t"/>
                <v:fill type="solid"/>
              </v:shape>
              <v:shape style="position:absolute;left:7091;top:-374;width:120;height:2654" coordorigin="7091,-374" coordsize="120,2654" path="m7140,2160l7140,2180,7160,2180,7160,2160,7140,2160xe" filled="true" fillcolor="#000000" stroked="false">
                <v:path arrowok="t"/>
                <v:fill type="solid"/>
              </v:shape>
              <v:shape style="position:absolute;left:7091;top:-374;width:120;height:2654" coordorigin="7091,-374" coordsize="120,2654" path="m7160,2160l7160,2180,7201,2180,7211,2160,7160,2160xe" filled="true" fillcolor="#000000" stroked="false">
                <v:path arrowok="t"/>
                <v:fill type="solid"/>
              </v:shape>
              <v:shape style="position:absolute;left:7091;top:-374;width:120;height:2654" coordorigin="7091,-374" coordsize="120,2654" path="m7160,2146l7140,2146,7140,2160,7160,2160,7160,2146xe" filled="true" fillcolor="#000000" stroked="false">
                <v:path arrowok="t"/>
                <v:fill type="solid"/>
              </v:shape>
            </v:group>
            <v:group style="position:absolute;left:4088;top:1343;width:120;height:936" coordorigin="4088,1343" coordsize="120,936">
              <v:shape style="position:absolute;left:4088;top:1343;width:120;height:936" coordorigin="4088,1343" coordsize="120,936" path="m4148,2159l4088,2159,4148,2279,4173,2230,4148,2230,4148,2159xe" filled="true" fillcolor="#000000" stroked="false">
                <v:path arrowok="t"/>
                <v:fill type="solid"/>
              </v:shape>
              <v:shape style="position:absolute;left:4088;top:1343;width:120;height:936" coordorigin="4088,1343" coordsize="120,936" path="m4150,1343l4148,1343,4148,2230,4150,2230,4150,1343xe" filled="true" fillcolor="#000000" stroked="false">
                <v:path arrowok="t"/>
                <v:fill type="solid"/>
              </v:shape>
              <v:shape style="position:absolute;left:4088;top:1343;width:120;height:936" coordorigin="4088,1343" coordsize="120,936" path="m4208,2159l4150,2159,4150,2230,4173,2230,4208,2159xe" filled="true" fillcolor="#000000" stroked="false">
                <v:path arrowok="t"/>
                <v:fill type="solid"/>
              </v:shape>
            </v:group>
            <v:group style="position:absolute;left:5678;top:1343;width:120;height:936" coordorigin="5678,1343" coordsize="120,936">
              <v:shape style="position:absolute;left:5678;top:1343;width:120;height:936" coordorigin="5678,1343" coordsize="120,936" path="m5748,1343l5728,1343,5728,1364,5748,1364,5748,1343xe" filled="true" fillcolor="#000000" stroked="false">
                <v:path arrowok="t"/>
                <v:fill type="solid"/>
              </v:shape>
              <v:shape style="position:absolute;left:5678;top:1343;width:120;height:936" coordorigin="5678,1343" coordsize="120,936" path="m5748,1383l5728,1383,5728,1403,5748,1403,5748,1383xe" filled="true" fillcolor="#000000" stroked="false">
                <v:path arrowok="t"/>
                <v:fill type="solid"/>
              </v:shape>
              <v:shape style="position:absolute;left:5678;top:1343;width:120;height:936" coordorigin="5678,1343" coordsize="120,936" path="m5748,1424l5728,1424,5728,1443,5748,1443,5748,1424xe" filled="true" fillcolor="#000000" stroked="false">
                <v:path arrowok="t"/>
                <v:fill type="solid"/>
              </v:shape>
              <v:shape style="position:absolute;left:5678;top:1343;width:120;height:936" coordorigin="5678,1343" coordsize="120,936" path="m5748,1463l5728,1463,5728,1484,5748,1484,5748,1463xe" filled="true" fillcolor="#000000" stroked="false">
                <v:path arrowok="t"/>
                <v:fill type="solid"/>
              </v:shape>
              <v:shape style="position:absolute;left:5678;top:1343;width:120;height:936" coordorigin="5678,1343" coordsize="120,936" path="m5748,1503l5728,1503,5728,1523,5748,1523,5748,1503xe" filled="true" fillcolor="#000000" stroked="false">
                <v:path arrowok="t"/>
                <v:fill type="solid"/>
              </v:shape>
              <v:shape style="position:absolute;left:5678;top:1343;width:120;height:936" coordorigin="5678,1343" coordsize="120,936" path="m5748,1544l5728,1544,5728,1563,5748,1563,5748,1544xe" filled="true" fillcolor="#000000" stroked="false">
                <v:path arrowok="t"/>
                <v:fill type="solid"/>
              </v:shape>
              <v:shape style="position:absolute;left:5678;top:1343;width:120;height:936" coordorigin="5678,1343" coordsize="120,936" path="m5748,1583l5729,1583,5729,1604,5748,1604,5748,1583xe" filled="true" fillcolor="#000000" stroked="false">
                <v:path arrowok="t"/>
                <v:fill type="solid"/>
              </v:shape>
              <v:shape style="position:absolute;left:5678;top:1343;width:120;height:936" coordorigin="5678,1343" coordsize="120,936" path="m5748,1623l5729,1623,5729,1643,5748,1643,5748,1623xe" filled="true" fillcolor="#000000" stroked="false">
                <v:path arrowok="t"/>
                <v:fill type="solid"/>
              </v:shape>
              <v:shape style="position:absolute;left:5678;top:1343;width:120;height:936" coordorigin="5678,1343" coordsize="120,936" path="m5748,1664l5729,1664,5729,1683,5748,1683,5748,1664xe" filled="true" fillcolor="#000000" stroked="false">
                <v:path arrowok="t"/>
                <v:fill type="solid"/>
              </v:shape>
              <v:shape style="position:absolute;left:5678;top:1343;width:120;height:936" coordorigin="5678,1343" coordsize="120,936" path="m5748,1703l5729,1703,5729,1724,5748,1724,5748,1703xe" filled="true" fillcolor="#000000" stroked="false">
                <v:path arrowok="t"/>
                <v:fill type="solid"/>
              </v:shape>
              <v:shape style="position:absolute;left:5678;top:1343;width:120;height:936" coordorigin="5678,1343" coordsize="120,936" path="m5748,1743l5729,1743,5729,1763,5748,1763,5748,1743xe" filled="true" fillcolor="#000000" stroked="false">
                <v:path arrowok="t"/>
                <v:fill type="solid"/>
              </v:shape>
              <v:shape style="position:absolute;left:5678;top:1343;width:120;height:936" coordorigin="5678,1343" coordsize="120,936" path="m5748,1784l5729,1784,5729,1803,5748,1803,5748,1784xe" filled="true" fillcolor="#000000" stroked="false">
                <v:path arrowok="t"/>
                <v:fill type="solid"/>
              </v:shape>
              <v:shape style="position:absolute;left:5678;top:1343;width:120;height:936" coordorigin="5678,1343" coordsize="120,936" path="m5748,1823l5729,1823,5729,1844,5748,1844,5748,1823xe" filled="true" fillcolor="#000000" stroked="false">
                <v:path arrowok="t"/>
                <v:fill type="solid"/>
              </v:shape>
              <v:shape style="position:absolute;left:5678;top:1343;width:120;height:936" coordorigin="5678,1343" coordsize="120,936" path="m5748,1863l5729,1863,5729,1883,5748,1883,5748,1863xe" filled="true" fillcolor="#000000" stroked="false">
                <v:path arrowok="t"/>
                <v:fill type="solid"/>
              </v:shape>
              <v:shape style="position:absolute;left:5678;top:1343;width:120;height:936" coordorigin="5678,1343" coordsize="120,936" path="m5748,1904l5729,1904,5729,1923,5748,1923,5748,1904xe" filled="true" fillcolor="#000000" stroked="false">
                <v:path arrowok="t"/>
                <v:fill type="solid"/>
              </v:shape>
              <v:shape style="position:absolute;left:5678;top:1343;width:120;height:936" coordorigin="5678,1343" coordsize="120,936" path="m5748,1943l5729,1943,5729,1964,5749,1964,5748,1943xe" filled="true" fillcolor="#000000" stroked="false">
                <v:path arrowok="t"/>
                <v:fill type="solid"/>
              </v:shape>
              <v:shape style="position:absolute;left:5678;top:1343;width:120;height:936" coordorigin="5678,1343" coordsize="120,936" path="m5749,1983l5729,1983,5729,2003,5749,2003,5749,1983xe" filled="true" fillcolor="#000000" stroked="false">
                <v:path arrowok="t"/>
                <v:fill type="solid"/>
              </v:shape>
              <v:shape style="position:absolute;left:5678;top:1343;width:120;height:936" coordorigin="5678,1343" coordsize="120,936" path="m5749,2024l5729,2024,5729,2043,5749,2043,5749,2024xe" filled="true" fillcolor="#000000" stroked="false">
                <v:path arrowok="t"/>
                <v:fill type="solid"/>
              </v:shape>
              <v:shape style="position:absolute;left:5678;top:1343;width:120;height:936" coordorigin="5678,1343" coordsize="120,936" path="m5749,2063l5729,2063,5729,2084,5749,2084,5749,2063xe" filled="true" fillcolor="#000000" stroked="false">
                <v:path arrowok="t"/>
                <v:fill type="solid"/>
              </v:shape>
              <v:shape style="position:absolute;left:5678;top:1343;width:120;height:936" coordorigin="5678,1343" coordsize="120,936" path="m5749,2103l5729,2103,5729,2123,5749,2123,5749,2103xe" filled="true" fillcolor="#000000" stroked="false">
                <v:path arrowok="t"/>
                <v:fill type="solid"/>
              </v:shape>
              <v:shape style="position:absolute;left:5678;top:1343;width:120;height:936" coordorigin="5678,1343" coordsize="120,936" path="m5729,2159l5678,2159,5738,2279,5797,2163,5729,2163,5729,2159xe" filled="true" fillcolor="#000000" stroked="false">
                <v:path arrowok="t"/>
                <v:fill type="solid"/>
              </v:shape>
              <v:shape style="position:absolute;left:5678;top:1343;width:120;height:936" coordorigin="5678,1343" coordsize="120,936" path="m5749,2144l5729,2144,5729,2163,5749,2163,5749,2144xe" filled="true" fillcolor="#000000" stroked="false">
                <v:path arrowok="t"/>
                <v:fill type="solid"/>
              </v:shape>
              <v:shape style="position:absolute;left:5678;top:1343;width:120;height:936" coordorigin="5678,1343" coordsize="120,936" path="m5798,2159l5749,2159,5749,2163,5797,2163,5798,2159xe" filled="true" fillcolor="#000000" stroked="false">
                <v:path arrowok="t"/>
                <v:fill type="solid"/>
              </v:shape>
              <v:shape style="position:absolute;left:3594;top:-841;width:1800;height:468" type="#_x0000_t202" filled="false" stroked="false">
                <v:textbox inset="0,0,0,0">
                  <w:txbxContent>
                    <w:p>
                      <w:pPr>
                        <w:tabs>
                          <w:tab w:pos="962" w:val="left" w:leader="none"/>
                        </w:tabs>
                        <w:spacing w:before="91"/>
                        <w:ind w:left="422" w:right="0" w:firstLine="0"/>
                        <w:jc w:val="left"/>
                        <w:rPr>
                          <w:rFonts w:ascii="宋体" w:hAnsi="宋体" w:cs="宋体" w:eastAsia="宋体" w:hint="default"/>
                          <w:sz w:val="18"/>
                          <w:szCs w:val="18"/>
                        </w:rPr>
                      </w:pPr>
                      <w:r>
                        <w:rPr>
                          <w:rFonts w:ascii="宋体" w:hAnsi="宋体" w:cs="宋体" w:eastAsia="宋体" w:hint="default"/>
                          <w:sz w:val="18"/>
                          <w:szCs w:val="18"/>
                        </w:rPr>
                        <w:t>乔</w:t>
                        <w:tab/>
                        <w:t>昕</w:t>
                      </w:r>
                    </w:p>
                  </w:txbxContent>
                </v:textbox>
                <w10:wrap type="none"/>
              </v:shape>
              <v:shape style="position:absolute;left:5738;top:-841;width:1800;height:468" type="#_x0000_t202" filled="false" stroked="false">
                <v:textbox inset="0,0,0,0">
                  <w:txbxContent>
                    <w:p>
                      <w:pPr>
                        <w:spacing w:before="91"/>
                        <w:ind w:left="331" w:right="0" w:firstLine="0"/>
                        <w:jc w:val="left"/>
                        <w:rPr>
                          <w:rFonts w:ascii="宋体" w:hAnsi="宋体" w:cs="宋体" w:eastAsia="宋体" w:hint="default"/>
                          <w:sz w:val="18"/>
                          <w:szCs w:val="18"/>
                        </w:rPr>
                      </w:pPr>
                      <w:r>
                        <w:rPr>
                          <w:rFonts w:ascii="宋体" w:hAnsi="宋体" w:cs="宋体" w:eastAsia="宋体" w:hint="default"/>
                          <w:sz w:val="18"/>
                          <w:szCs w:val="18"/>
                        </w:rPr>
                        <w:t>陈  亚  妹</w:t>
                      </w:r>
                    </w:p>
                  </w:txbxContent>
                </v:textbox>
                <w10:wrap type="none"/>
              </v:shape>
              <v:shape style="position:absolute;left:4032;top:-201;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v:shape style="position:absolute;left:6758;top:-198;width:24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w:t>
                      </w:r>
                    </w:p>
                  </w:txbxContent>
                </v:textbox>
                <w10:wrap type="none"/>
              </v:shape>
              <v:shape style="position:absolute;left:3298;top:99;width:3239;height:180" type="#_x0000_t202" filled="false" stroked="false">
                <v:textbox inset="0,0,0,0">
                  <w:txbxContent>
                    <w:p>
                      <w:pPr>
                        <w:tabs>
                          <w:tab w:pos="290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tab/>
                        <w:t>80%</w:t>
                      </w:r>
                    </w:p>
                  </w:txbxContent>
                </v:textbox>
                <w10:wrap type="none"/>
              </v:shape>
              <v:shape style="position:absolute;left:4992;top:1495;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0.75%</w:t>
                      </w:r>
                    </w:p>
                  </w:txbxContent>
                </v:textbox>
                <w10:wrap type="none"/>
              </v:shape>
              <v:shape style="position:absolute;left:7301;top:1495;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0.56%</w:t>
                      </w:r>
                    </w:p>
                  </w:txbxContent>
                </v:textbox>
                <w10:wrap type="none"/>
              </v:shape>
              <v:shape style="position:absolute;left:3342;top:1795;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52.47%</w:t>
                      </w:r>
                    </w:p>
                  </w:txbxContent>
                </v:textbox>
                <w10:wrap type="none"/>
              </v:shape>
              <v:shape style="position:absolute;left:5860;top:1795;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19.84%</w:t>
                      </w:r>
                    </w:p>
                  </w:txbxContent>
                </v:textbox>
                <w10:wrap type="none"/>
              </v:shape>
              <v:shape style="position:absolute;left:2786;top:563;width:1800;height:780" type="#_x0000_t202" filled="false" stroked="true" strokeweight=".75pt" strokecolor="#000000">
                <v:textbox inset="0,0,0,0">
                  <w:txbxContent>
                    <w:p>
                      <w:pPr>
                        <w:spacing w:before="82"/>
                        <w:ind w:left="143" w:right="133" w:firstLine="0"/>
                        <w:jc w:val="left"/>
                        <w:rPr>
                          <w:rFonts w:ascii="宋体" w:hAnsi="宋体" w:cs="宋体" w:eastAsia="宋体" w:hint="default"/>
                          <w:sz w:val="18"/>
                          <w:szCs w:val="18"/>
                        </w:rPr>
                      </w:pPr>
                      <w:r>
                        <w:rPr>
                          <w:rFonts w:ascii="宋体" w:hAnsi="宋体" w:cs="宋体" w:eastAsia="宋体" w:hint="default"/>
                          <w:spacing w:val="7"/>
                          <w:sz w:val="18"/>
                          <w:szCs w:val="18"/>
                        </w:rPr>
                        <w:t>深圳市恒顺昌投资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发展有限公司</w:t>
                      </w:r>
                    </w:p>
                  </w:txbxContent>
                </v:textbox>
                <w10:wrap type="none"/>
              </v:shape>
              <v:shape style="position:absolute;left:5096;top:563;width:1799;height:780" type="#_x0000_t202" filled="false" stroked="true" strokeweight=".75pt" strokecolor="#000000">
                <v:textbox inset="0,0,0,0">
                  <w:txbxContent>
                    <w:p>
                      <w:pPr>
                        <w:spacing w:before="82"/>
                        <w:ind w:left="144" w:right="141" w:firstLine="0"/>
                        <w:jc w:val="left"/>
                        <w:rPr>
                          <w:rFonts w:ascii="宋体" w:hAnsi="宋体" w:cs="宋体" w:eastAsia="宋体" w:hint="default"/>
                          <w:sz w:val="18"/>
                          <w:szCs w:val="18"/>
                        </w:rPr>
                      </w:pPr>
                      <w:r>
                        <w:rPr>
                          <w:rFonts w:ascii="宋体" w:hAnsi="宋体" w:cs="宋体" w:eastAsia="宋体" w:hint="default"/>
                          <w:spacing w:val="6"/>
                          <w:sz w:val="18"/>
                          <w:szCs w:val="18"/>
                        </w:rPr>
                        <w:t>深圳市冠德成科技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发展有限公司</w:t>
                      </w:r>
                    </w:p>
                  </w:txbxContent>
                </v:textbox>
                <w10:wrap type="none"/>
              </v:shape>
              <v:shape style="position:absolute;left:3865;top:2282;width:3419;height:470" type="#_x0000_t202" filled="false" stroked="true" strokeweight=".75pt" strokecolor="#000000">
                <v:textbox inset="0,0,0,0">
                  <w:txbxContent>
                    <w:p>
                      <w:pPr>
                        <w:spacing w:before="83"/>
                        <w:ind w:left="234"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p>
                  </w:txbxContent>
                </v:textbox>
                <w10:wrap type="none"/>
              </v:shape>
            </v:group>
            <w10:wrap type="none"/>
          </v:group>
        </w:pict>
      </w:r>
      <w:r>
        <w:rPr>
          <w:rFonts w:ascii="Times New Roman"/>
          <w:sz w:val="18"/>
        </w:rPr>
        <w:t>2</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pStyle w:val="BodyText"/>
        <w:spacing w:line="240" w:lineRule="auto" w:before="26"/>
        <w:ind w:left="634" w:right="3330"/>
        <w:jc w:val="left"/>
      </w:pPr>
      <w:r>
        <w:rPr/>
        <w:t>4、其它持股在</w:t>
      </w:r>
      <w:r>
        <w:rPr>
          <w:spacing w:val="-60"/>
        </w:rPr>
        <w:t> </w:t>
      </w:r>
      <w:r>
        <w:rPr/>
        <w:t>10%以上的法人股东：</w:t>
      </w:r>
    </w:p>
    <w:p>
      <w:pPr>
        <w:spacing w:after="0" w:line="240" w:lineRule="auto"/>
        <w:jc w:val="left"/>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91" w:firstLine="480"/>
        <w:jc w:val="left"/>
      </w:pPr>
      <w:r>
        <w:rPr/>
        <w:t>深圳市冠德成科技发展有限公司（以下简称“冠德成”），于</w:t>
      </w:r>
      <w:r>
        <w:rPr>
          <w:spacing w:val="-60"/>
        </w:rPr>
        <w:t> </w:t>
      </w:r>
      <w:r>
        <w:rPr>
          <w:spacing w:val="25"/>
        </w:rPr>
        <w:t>2005年3月</w:t>
      </w:r>
      <w:r>
        <w:rPr>
          <w:spacing w:val="-60"/>
        </w:rPr>
        <w:t> </w:t>
      </w:r>
      <w:r>
        <w:rPr/>
        <w:t>31</w:t>
      </w:r>
      <w:r>
        <w:rPr>
          <w:spacing w:val="-60"/>
        </w:rPr>
        <w:t> </w:t>
      </w:r>
      <w:r>
        <w:rPr/>
        <w:t>日注册成</w:t>
      </w:r>
      <w:r>
        <w:rPr/>
        <w:t> 立，注册资本人民币</w:t>
      </w:r>
      <w:r>
        <w:rPr>
          <w:spacing w:val="-60"/>
        </w:rPr>
        <w:t> </w:t>
      </w:r>
      <w:r>
        <w:rPr/>
        <w:t>550</w:t>
      </w:r>
      <w:r>
        <w:rPr>
          <w:spacing w:val="-60"/>
        </w:rPr>
        <w:t> </w:t>
      </w:r>
      <w:r>
        <w:rPr/>
        <w:t>万元，其中本公司董事、总经理乔昕先生出资比例</w:t>
      </w:r>
      <w:r>
        <w:rPr>
          <w:spacing w:val="-60"/>
        </w:rPr>
        <w:t> </w:t>
      </w:r>
      <w:r>
        <w:rPr/>
        <w:t>90%，本公司董</w:t>
      </w:r>
      <w:r>
        <w:rPr/>
        <w:t> 事长陈亚妹女士出资比例</w:t>
      </w:r>
      <w:r>
        <w:rPr>
          <w:spacing w:val="-60"/>
        </w:rPr>
        <w:t> </w:t>
      </w:r>
      <w:r>
        <w:rPr/>
        <w:t>8%，本公司董事陈熙亚先生出资比例</w:t>
      </w:r>
      <w:r>
        <w:rPr>
          <w:spacing w:val="-60"/>
        </w:rPr>
        <w:t> </w:t>
      </w:r>
      <w:r>
        <w:rPr/>
        <w:t>2%，法定代表人为乔昕先生，</w:t>
      </w:r>
      <w:r>
        <w:rPr/>
        <w:t> 注册地址和主要经营场所为深圳市福田区百花路长城大厦</w:t>
      </w:r>
      <w:r>
        <w:rPr>
          <w:spacing w:val="-60"/>
        </w:rPr>
        <w:t> </w:t>
      </w:r>
      <w:r>
        <w:rPr/>
        <w:t>3</w:t>
      </w:r>
      <w:r>
        <w:rPr>
          <w:spacing w:val="-60"/>
        </w:rPr>
        <w:t> </w:t>
      </w:r>
      <w:r>
        <w:rPr/>
        <w:t>栋</w:t>
      </w:r>
      <w:r>
        <w:rPr>
          <w:spacing w:val="-60"/>
        </w:rPr>
        <w:t> </w:t>
      </w:r>
      <w:r>
        <w:rPr/>
        <w:t>A601，主营业务为兴办实业。</w:t>
      </w:r>
      <w:r>
        <w:rPr/>
        <w:t> 目前冠德成除投资本公司外未经营其它业务，亦无其它投资，其主要收益是投资本公司产生 的投资收益。</w:t>
      </w:r>
    </w:p>
    <w:p>
      <w:pPr>
        <w:spacing w:after="0" w:line="336" w:lineRule="auto"/>
        <w:jc w:val="left"/>
        <w:sectPr>
          <w:pgSz w:w="11910" w:h="16840"/>
          <w:pgMar w:header="747" w:footer="1339" w:top="980" w:bottom="152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1"/>
        <w:spacing w:line="240" w:lineRule="auto"/>
        <w:ind w:left="2442" w:right="91"/>
        <w:jc w:val="left"/>
        <w:rPr>
          <w:b w:val="0"/>
          <w:bCs w:val="0"/>
        </w:rPr>
      </w:pPr>
      <w:bookmarkStart w:name="_TOC_250007" w:id="2"/>
      <w:r>
        <w:rPr/>
        <w:t>第五节、董事、监事、高级管理人员和员工情况</w:t>
      </w:r>
      <w:bookmarkEnd w:id="2"/>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pStyle w:val="BodyText"/>
        <w:spacing w:line="367" w:lineRule="auto" w:before="0"/>
        <w:ind w:left="634" w:right="5490"/>
        <w:jc w:val="left"/>
      </w:pPr>
      <w:r>
        <w:rPr/>
        <w:pict>
          <v:shape style="position:absolute;margin-left:56.459999pt;margin-top:44.376049pt;width:486.75pt;height:446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350"/>
                    <w:gridCol w:w="1350"/>
                  </w:tblGrid>
                  <w:tr>
                    <w:trPr>
                      <w:trHeight w:val="79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361" w:right="89"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360" w:right="89"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3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39" w:right="38"/>
                          <w:jc w:val="center"/>
                          <w:rPr>
                            <w:rFonts w:ascii="宋体" w:hAnsi="宋体" w:cs="宋体" w:eastAsia="宋体" w:hint="default"/>
                            <w:sz w:val="18"/>
                            <w:szCs w:val="18"/>
                          </w:rPr>
                        </w:pPr>
                        <w:r>
                          <w:rPr>
                            <w:rFonts w:ascii="宋体" w:hAnsi="宋体" w:cs="宋体" w:eastAsia="宋体" w:hint="default"/>
                            <w:sz w:val="18"/>
                            <w:szCs w:val="18"/>
                          </w:rPr>
                          <w:t>报告期内从公司 领取的报酬总额</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9" w:right="38"/>
                          <w:jc w:val="center"/>
                          <w:rPr>
                            <w:rFonts w:ascii="宋体" w:hAnsi="宋体" w:cs="宋体" w:eastAsia="宋体" w:hint="default"/>
                            <w:sz w:val="18"/>
                            <w:szCs w:val="18"/>
                          </w:rPr>
                        </w:pPr>
                        <w:r>
                          <w:rPr>
                            <w:rFonts w:ascii="宋体" w:hAnsi="宋体" w:cs="宋体" w:eastAsia="宋体" w:hint="default"/>
                            <w:sz w:val="18"/>
                            <w:szCs w:val="18"/>
                          </w:rPr>
                          <w:t>是否在股东单位 或其它关联单位 领取薪酬</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6"/>
                            <w:sz w:val="18"/>
                            <w:szCs w:val="18"/>
                          </w:rPr>
                          <w:t>董事、总经</w:t>
                        </w:r>
                        <w:r>
                          <w:rPr>
                            <w:rFonts w:ascii="宋体" w:hAnsi="宋体" w:cs="宋体" w:eastAsia="宋体" w:hint="default"/>
                            <w:sz w:val="18"/>
                            <w:szCs w:val="18"/>
                          </w:rPr>
                          <w:t> 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z w:val="18"/>
                            <w:szCs w:val="18"/>
                          </w:rPr>
                          <w:t> 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47.62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10.80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李秉心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刘震国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李海军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赵志坚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薛桂香</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王雁航</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12.90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季国永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姜帆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吕培荣</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pacing w:val="16"/>
                            <w:sz w:val="18"/>
                            <w:szCs w:val="18"/>
                          </w:rPr>
                          <w:t>财务负责人</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代</w:t>
                        </w:r>
                        <w:r>
                          <w:rPr>
                            <w:rFonts w:ascii="Times New Roman" w:hAnsi="Times New Roman" w:cs="Times New Roman" w:eastAsia="Times New Roman" w:hint="default"/>
                            <w:sz w:val="18"/>
                            <w:szCs w:val="18"/>
                          </w:rPr>
                          <w:t>)</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w:t>
                        </w:r>
                      </w:p>
                    </w:tc>
                    <w:tc>
                      <w:tcPr>
                        <w:tcW w:w="117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4"/>
                          <w:jc w:val="righ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2,242,000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2,242,000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361.54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t>一、董事、监事和高级管理人员情况 1、基本情况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336" w:lineRule="auto" w:before="26"/>
        <w:ind w:left="636" w:right="91"/>
        <w:jc w:val="left"/>
      </w:pPr>
      <w:r>
        <w:rPr/>
        <w:t>2、公司董事、监事在股东单位任职情况： 公司董事长陈亚妹女士同时担任本公司控股股东恒顺昌执行董事、本公司股东冠德成监</w:t>
      </w:r>
    </w:p>
    <w:p>
      <w:pPr>
        <w:pStyle w:val="BodyText"/>
        <w:spacing w:line="240" w:lineRule="auto"/>
        <w:ind w:right="91"/>
        <w:jc w:val="left"/>
      </w:pPr>
      <w:r>
        <w:rPr/>
        <w:t>事职务。</w:t>
      </w:r>
    </w:p>
    <w:p>
      <w:pPr>
        <w:pStyle w:val="BodyText"/>
        <w:spacing w:line="336" w:lineRule="auto" w:before="125"/>
        <w:ind w:right="91" w:firstLine="482"/>
        <w:jc w:val="left"/>
      </w:pPr>
      <w:r>
        <w:rPr/>
        <w:t>本公司董事、总经理乔昕先生同时担任本公司控股股东恒顺昌监事、本公司股东冠德成</w:t>
      </w:r>
      <w:r>
        <w:rPr>
          <w:spacing w:val="1"/>
        </w:rPr>
        <w:t> </w:t>
      </w:r>
      <w:r>
        <w:rPr/>
        <w:t>执行董事、本公司关联企业百华科技发展有限公司执行董事职务。</w:t>
      </w:r>
    </w:p>
    <w:p>
      <w:pPr>
        <w:spacing w:after="0" w:line="336" w:lineRule="auto"/>
        <w:jc w:val="left"/>
        <w:sectPr>
          <w:pgSz w:w="11910" w:h="16840"/>
          <w:pgMar w:header="747" w:footer="1339" w:top="980" w:bottom="152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636" w:right="212"/>
        <w:jc w:val="left"/>
      </w:pPr>
      <w:r>
        <w:rPr/>
        <w:t>3、现任董事、监事、高级管理人员最近五年主要工作经历：</w:t>
      </w:r>
    </w:p>
    <w:p>
      <w:pPr>
        <w:pStyle w:val="BodyText"/>
        <w:spacing w:line="240" w:lineRule="auto" w:before="126"/>
        <w:ind w:left="636" w:right="212"/>
        <w:jc w:val="left"/>
      </w:pPr>
      <w:r>
        <w:rPr/>
        <w:t>（1）董事会成员</w:t>
      </w:r>
    </w:p>
    <w:p>
      <w:pPr>
        <w:pStyle w:val="BodyText"/>
        <w:spacing w:line="336" w:lineRule="auto" w:before="125"/>
        <w:ind w:right="212" w:firstLine="482"/>
        <w:jc w:val="left"/>
      </w:pPr>
      <w:r>
        <w:rPr/>
        <w:t>陈亚妹女士：1998</w:t>
      </w:r>
      <w:r>
        <w:rPr>
          <w:spacing w:val="-83"/>
        </w:rPr>
        <w:t> </w:t>
      </w:r>
      <w:r>
        <w:rPr/>
        <w:t>年创办本公司前身深圳市实益达实业有限公司，历任执行董事、总经</w:t>
      </w:r>
      <w:r>
        <w:rPr/>
        <w:t> 理等职务，现任本公司董事长。</w:t>
      </w:r>
    </w:p>
    <w:p>
      <w:pPr>
        <w:pStyle w:val="BodyText"/>
        <w:spacing w:line="240" w:lineRule="auto"/>
        <w:ind w:left="636" w:right="92"/>
        <w:jc w:val="left"/>
      </w:pPr>
      <w:r>
        <w:rPr/>
        <w:t>乔昕先生：1998</w:t>
      </w:r>
      <w:r>
        <w:rPr>
          <w:spacing w:val="-87"/>
        </w:rPr>
        <w:t> </w:t>
      </w:r>
      <w:r>
        <w:rPr/>
        <w:t>年创办本公司前身深圳市实益达实业有限公司，现任本公司董事、总经</w:t>
      </w:r>
    </w:p>
    <w:p>
      <w:pPr>
        <w:pStyle w:val="BodyText"/>
        <w:spacing w:line="240" w:lineRule="auto" w:before="125"/>
        <w:ind w:right="212"/>
        <w:jc w:val="left"/>
      </w:pPr>
      <w:r>
        <w:rPr/>
        <w:t>理。</w:t>
      </w:r>
    </w:p>
    <w:p>
      <w:pPr>
        <w:pStyle w:val="BodyText"/>
        <w:spacing w:line="240" w:lineRule="auto" w:before="126"/>
        <w:ind w:left="636" w:right="212"/>
        <w:jc w:val="left"/>
      </w:pPr>
      <w:r>
        <w:rPr/>
        <w:t>宋东红先生：曾先后工作于现代电子深圳实业有限公司、深圳三星视界有限公司，2004</w:t>
      </w:r>
    </w:p>
    <w:p>
      <w:pPr>
        <w:spacing w:line="240" w:lineRule="auto" w:before="9"/>
        <w:rPr>
          <w:rFonts w:ascii="宋体" w:hAnsi="宋体" w:cs="宋体" w:eastAsia="宋体" w:hint="default"/>
          <w:sz w:val="7"/>
          <w:szCs w:val="7"/>
        </w:rPr>
      </w:pPr>
    </w:p>
    <w:p>
      <w:pPr>
        <w:pStyle w:val="BodyText"/>
        <w:spacing w:line="336" w:lineRule="auto" w:before="26"/>
        <w:ind w:left="636" w:right="92" w:hanging="483"/>
        <w:jc w:val="left"/>
      </w:pPr>
      <w:r>
        <w:rPr/>
        <w:t>年加入本公司，现任本公司董事、副总经理。 </w:t>
      </w:r>
      <w:r>
        <w:rPr>
          <w:spacing w:val="-5"/>
        </w:rPr>
        <w:t>吕昌荣先生：曾先后工作于精电电子有限公司、博威电子有限公司，2004</w:t>
      </w:r>
      <w:r>
        <w:rPr>
          <w:spacing w:val="-34"/>
        </w:rPr>
        <w:t> </w:t>
      </w:r>
      <w:r>
        <w:rPr/>
        <w:t>年加入本公司，</w:t>
      </w:r>
    </w:p>
    <w:p>
      <w:pPr>
        <w:pStyle w:val="BodyText"/>
        <w:spacing w:line="336" w:lineRule="auto"/>
        <w:ind w:left="636" w:right="2171" w:hanging="483"/>
        <w:jc w:val="left"/>
      </w:pPr>
      <w:r>
        <w:rPr/>
        <w:t>现任本公司董事、本公司控股子公司无锡实益达电子有限公司运营总监。 陈熙亚先生：1998</w:t>
      </w:r>
      <w:r>
        <w:rPr>
          <w:spacing w:val="-60"/>
        </w:rPr>
        <w:t> </w:t>
      </w:r>
      <w:r>
        <w:rPr/>
        <w:t>年加入本公司，现任本公司董事、工务部经理。</w:t>
      </w:r>
    </w:p>
    <w:p>
      <w:pPr>
        <w:pStyle w:val="BodyText"/>
        <w:spacing w:line="336" w:lineRule="auto" w:before="29"/>
        <w:ind w:left="154" w:right="212" w:firstLine="482"/>
        <w:jc w:val="left"/>
      </w:pPr>
      <w:r>
        <w:rPr/>
        <w:t>李秉心先生：曾任职于上海财经大学、上海财大索飞软件公司，现任深圳大华天诚会计</w:t>
      </w:r>
      <w:r>
        <w:rPr>
          <w:spacing w:val="1"/>
        </w:rPr>
        <w:t> </w:t>
      </w:r>
      <w:r>
        <w:rPr/>
        <w:t>师事务所高级合伙人、本公司独立董事。</w:t>
      </w:r>
    </w:p>
    <w:p>
      <w:pPr>
        <w:pStyle w:val="BodyText"/>
        <w:spacing w:line="336" w:lineRule="auto"/>
        <w:ind w:left="154" w:right="212" w:firstLine="482"/>
        <w:jc w:val="left"/>
      </w:pPr>
      <w:r>
        <w:rPr/>
        <w:t>刘震国先生：曾任职于深圳市地方税务局，现任北京德恒律师事务所深圳分所合伙人、</w:t>
      </w:r>
      <w:r>
        <w:rPr>
          <w:spacing w:val="1"/>
        </w:rPr>
        <w:t> </w:t>
      </w:r>
      <w:r>
        <w:rPr/>
        <w:t>本公司独立董事。</w:t>
      </w:r>
    </w:p>
    <w:p>
      <w:pPr>
        <w:pStyle w:val="BodyText"/>
        <w:spacing w:line="336" w:lineRule="auto"/>
        <w:ind w:left="154" w:right="215" w:firstLine="482"/>
        <w:jc w:val="left"/>
      </w:pPr>
      <w:r>
        <w:rPr/>
        <w:t>李海军先生：曾任职于电子部</w:t>
      </w:r>
      <w:r>
        <w:rPr>
          <w:spacing w:val="-69"/>
        </w:rPr>
        <w:t> </w:t>
      </w:r>
      <w:r>
        <w:rPr/>
        <w:t>611</w:t>
      </w:r>
      <w:r>
        <w:rPr>
          <w:spacing w:val="-69"/>
        </w:rPr>
        <w:t> </w:t>
      </w:r>
      <w:r>
        <w:rPr/>
        <w:t>厂、日本兼松株式会社深圳办事处，2001</w:t>
      </w:r>
      <w:r>
        <w:rPr>
          <w:spacing w:val="-69"/>
        </w:rPr>
        <w:t> </w:t>
      </w:r>
      <w:r>
        <w:rPr/>
        <w:t>年创办德思</w:t>
      </w:r>
      <w:r>
        <w:rPr/>
        <w:t> 达（香港）有限公司，现任该公司董事长、本公司独立董事。</w:t>
      </w:r>
    </w:p>
    <w:p>
      <w:pPr>
        <w:pStyle w:val="BodyText"/>
        <w:spacing w:line="336" w:lineRule="auto" w:before="29"/>
        <w:ind w:left="154" w:right="212" w:firstLine="482"/>
        <w:jc w:val="left"/>
      </w:pPr>
      <w:r>
        <w:rPr/>
        <w:t>赵志坚先生：曾任职于四川长虹电子集团、深圳先科电子股份有限公司，现任深圳市锐</w:t>
      </w:r>
      <w:r>
        <w:rPr>
          <w:spacing w:val="1"/>
        </w:rPr>
        <w:t> </w:t>
      </w:r>
      <w:r>
        <w:rPr/>
        <w:t>明视讯技术有限公司董事长、本公司独立董事。</w:t>
      </w:r>
    </w:p>
    <w:p>
      <w:pPr>
        <w:pStyle w:val="BodyText"/>
        <w:spacing w:line="240" w:lineRule="auto"/>
        <w:ind w:left="636" w:right="212"/>
        <w:jc w:val="left"/>
      </w:pPr>
      <w:r>
        <w:rPr/>
        <w:t>（2）监事会成员</w:t>
      </w:r>
    </w:p>
    <w:p>
      <w:pPr>
        <w:pStyle w:val="BodyText"/>
        <w:spacing w:line="336" w:lineRule="auto" w:before="125"/>
        <w:ind w:left="636" w:right="188"/>
        <w:jc w:val="left"/>
      </w:pPr>
      <w:r>
        <w:rPr/>
        <w:t>薛桂香女士：2001</w:t>
      </w:r>
      <w:r>
        <w:rPr>
          <w:spacing w:val="-60"/>
        </w:rPr>
        <w:t> </w:t>
      </w:r>
      <w:r>
        <w:rPr/>
        <w:t>年加入本公司，现任本公司监事会主席、采购部经理。</w:t>
      </w:r>
      <w:r>
        <w:rPr/>
        <w:t> 王雁航先生：曾任职于东强奥力电子厂、北京飞利浦深圳分公司，2000</w:t>
      </w:r>
      <w:r>
        <w:rPr>
          <w:spacing w:val="-60"/>
        </w:rPr>
        <w:t> </w:t>
      </w:r>
      <w:r>
        <w:rPr/>
        <w:t>年加入本公司，</w:t>
      </w:r>
    </w:p>
    <w:p>
      <w:pPr>
        <w:pStyle w:val="BodyText"/>
        <w:spacing w:line="240" w:lineRule="auto"/>
        <w:ind w:left="154" w:right="212"/>
        <w:jc w:val="left"/>
      </w:pPr>
      <w:r>
        <w:rPr/>
        <w:t>现任本公司监事、制造部经理。</w:t>
      </w:r>
    </w:p>
    <w:p>
      <w:pPr>
        <w:pStyle w:val="BodyText"/>
        <w:spacing w:line="240" w:lineRule="auto" w:before="125"/>
        <w:ind w:left="636" w:right="212"/>
        <w:jc w:val="left"/>
      </w:pPr>
      <w:r>
        <w:rPr/>
        <w:t>季国永先生：2000</w:t>
      </w:r>
      <w:r>
        <w:rPr>
          <w:spacing w:val="-60"/>
        </w:rPr>
        <w:t> </w:t>
      </w:r>
      <w:r>
        <w:rPr/>
        <w:t>年加入本公司，现任本公司监事、客户服务部经理职务。</w:t>
      </w:r>
    </w:p>
    <w:p>
      <w:pPr>
        <w:pStyle w:val="BodyText"/>
        <w:spacing w:line="336" w:lineRule="auto" w:before="126"/>
        <w:ind w:left="636" w:right="215"/>
        <w:jc w:val="left"/>
      </w:pPr>
      <w:r>
        <w:rPr/>
        <w:t>（3）高级管理人员 姜帆先生：曾任职于航空证券有限公司、河北湖大科技教育发展股份有限公司，2006</w:t>
      </w:r>
      <w:r>
        <w:rPr>
          <w:spacing w:val="-87"/>
        </w:rPr>
        <w:t> </w:t>
      </w:r>
      <w:r>
        <w:rPr/>
        <w:t>年</w:t>
      </w:r>
    </w:p>
    <w:p>
      <w:pPr>
        <w:pStyle w:val="BodyText"/>
        <w:spacing w:line="240" w:lineRule="auto" w:before="29"/>
        <w:ind w:left="154" w:right="212"/>
        <w:jc w:val="left"/>
      </w:pPr>
      <w:r>
        <w:rPr/>
        <w:t>加入本公司，现任本公司董事会秘书。</w:t>
      </w:r>
    </w:p>
    <w:p>
      <w:pPr>
        <w:pStyle w:val="BodyText"/>
        <w:spacing w:line="336" w:lineRule="auto" w:before="126"/>
        <w:ind w:left="636" w:right="95"/>
        <w:jc w:val="left"/>
      </w:pPr>
      <w:r>
        <w:rPr>
          <w:spacing w:val="-12"/>
        </w:rPr>
        <w:t>吕培荣先生：2004</w:t>
      </w:r>
      <w:r>
        <w:rPr>
          <w:spacing w:val="-72"/>
        </w:rPr>
        <w:t> </w:t>
      </w:r>
      <w:r>
        <w:rPr>
          <w:spacing w:val="-15"/>
        </w:rPr>
        <w:t>年大学毕业后加入本公司，现任本公司财务部副经理、财务负责人（代）。</w:t>
      </w:r>
      <w:r>
        <w:rPr>
          <w:spacing w:val="-118"/>
        </w:rPr>
        <w:t> </w:t>
      </w:r>
      <w:r>
        <w:rPr>
          <w:spacing w:val="-118"/>
        </w:rPr>
      </w:r>
      <w:r>
        <w:rPr/>
        <w:t>4、董事、监事、高级管理人员年度报酬情况： 公司现任董事、监事、高级管理人员按照各自职务根据公司现行薪酬制度领取报酬，经</w:t>
      </w:r>
    </w:p>
    <w:p>
      <w:pPr>
        <w:pStyle w:val="BodyText"/>
        <w:spacing w:line="240" w:lineRule="auto"/>
        <w:ind w:left="154" w:right="212"/>
        <w:jc w:val="left"/>
      </w:pPr>
      <w:r>
        <w:rPr/>
        <w:t>董事会授权，根据公司年度经营业绩按照考核评定程序确定年度奖金。</w:t>
      </w:r>
    </w:p>
    <w:p>
      <w:pPr>
        <w:spacing w:after="0" w:line="240"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6" w:right="4088"/>
        <w:jc w:val="left"/>
      </w:pPr>
      <w:r>
        <w:rPr/>
        <w:t>独立董事津贴按照股东大会决议执行。 截止报告期末，公司未制定、实行股权激励计划。 5、董事、监事、高级管理人员变动情况：</w:t>
      </w:r>
    </w:p>
    <w:p>
      <w:pPr>
        <w:pStyle w:val="BodyText"/>
        <w:spacing w:line="336" w:lineRule="auto"/>
        <w:ind w:left="214" w:right="215" w:firstLine="482"/>
        <w:jc w:val="left"/>
      </w:pPr>
      <w:r>
        <w:rPr>
          <w:spacing w:val="33"/>
        </w:rPr>
        <w:t>2007年8月</w:t>
      </w:r>
      <w:r>
        <w:rPr>
          <w:spacing w:val="-39"/>
        </w:rPr>
        <w:t> </w:t>
      </w:r>
      <w:r>
        <w:rPr/>
        <w:t>10</w:t>
      </w:r>
      <w:r>
        <w:rPr>
          <w:spacing w:val="-39"/>
        </w:rPr>
        <w:t> </w:t>
      </w:r>
      <w:r>
        <w:rPr/>
        <w:t>日，公司董事会收到杨志杰先生书面辞呈，因其个人原因提出辞去本公</w:t>
      </w:r>
      <w:r>
        <w:rPr/>
        <w:t> 司副总经理职务，其辞职申请自送达董事会之日起生效。</w:t>
      </w:r>
    </w:p>
    <w:p>
      <w:pPr>
        <w:pStyle w:val="BodyText"/>
        <w:spacing w:line="336" w:lineRule="auto" w:before="29"/>
        <w:ind w:left="213" w:right="214" w:firstLine="482"/>
        <w:jc w:val="left"/>
      </w:pPr>
      <w:r>
        <w:rPr/>
        <w:t>2007</w:t>
      </w:r>
      <w:r>
        <w:rPr>
          <w:spacing w:val="-41"/>
        </w:rPr>
        <w:t> </w:t>
      </w:r>
      <w:r>
        <w:rPr/>
        <w:t>年</w:t>
      </w:r>
      <w:r>
        <w:rPr>
          <w:spacing w:val="-41"/>
        </w:rPr>
        <w:t> </w:t>
      </w:r>
      <w:r>
        <w:rPr/>
        <w:t>11</w:t>
      </w:r>
      <w:r>
        <w:rPr>
          <w:spacing w:val="-41"/>
        </w:rPr>
        <w:t> </w:t>
      </w:r>
      <w:r>
        <w:rPr/>
        <w:t>月</w:t>
      </w:r>
      <w:r>
        <w:rPr>
          <w:spacing w:val="-41"/>
        </w:rPr>
        <w:t> </w:t>
      </w:r>
      <w:r>
        <w:rPr/>
        <w:t>6</w:t>
      </w:r>
      <w:r>
        <w:rPr>
          <w:spacing w:val="-41"/>
        </w:rPr>
        <w:t> </w:t>
      </w:r>
      <w:r>
        <w:rPr/>
        <w:t>日，公司董事会收到黄琪女士书面辞呈，因其个人原因提出辞去本公司</w:t>
      </w:r>
      <w:r>
        <w:rPr/>
        <w:t> 财务经理（财务负责人）职务，其辞职申请自送达董事会之日起生效。</w:t>
      </w:r>
    </w:p>
    <w:p>
      <w:pPr>
        <w:pStyle w:val="BodyText"/>
        <w:spacing w:line="336" w:lineRule="auto"/>
        <w:ind w:left="213" w:right="215" w:firstLine="480"/>
        <w:jc w:val="left"/>
      </w:pPr>
      <w:r>
        <w:rPr/>
        <w:t>黄琪女士去职后，其财务经理职责暂时由公司财务部副经理吕培荣先生履行，公司董事</w:t>
      </w:r>
      <w:r>
        <w:rPr>
          <w:spacing w:val="1"/>
        </w:rPr>
        <w:t> </w:t>
      </w:r>
      <w:r>
        <w:rPr/>
        <w:t>会将根据高级管理人员遴选的有关规定选聘新的财务负责人。</w:t>
      </w:r>
    </w:p>
    <w:p>
      <w:pPr>
        <w:spacing w:line="240" w:lineRule="auto" w:before="13"/>
        <w:rPr>
          <w:rFonts w:ascii="宋体" w:hAnsi="宋体" w:cs="宋体" w:eastAsia="宋体" w:hint="default"/>
          <w:sz w:val="35"/>
          <w:szCs w:val="35"/>
        </w:rPr>
      </w:pPr>
    </w:p>
    <w:p>
      <w:pPr>
        <w:pStyle w:val="BodyText"/>
        <w:spacing w:line="240" w:lineRule="auto" w:before="0"/>
        <w:ind w:left="696" w:right="4088"/>
        <w:jc w:val="left"/>
      </w:pPr>
      <w:r>
        <w:rPr/>
        <w:t>二、公司员工情况</w:t>
      </w:r>
    </w:p>
    <w:p>
      <w:pPr>
        <w:pStyle w:val="BodyText"/>
        <w:spacing w:line="336" w:lineRule="auto" w:before="125"/>
        <w:ind w:left="213" w:right="215" w:firstLine="482"/>
        <w:jc w:val="left"/>
      </w:pPr>
      <w:r>
        <w:rPr/>
        <w:pict>
          <v:shape style="position:absolute;margin-left:51.060001pt;margin-top:46.725945pt;width:493.45pt;height:24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4"/>
                    <w:gridCol w:w="2462"/>
                    <w:gridCol w:w="2464"/>
                    <w:gridCol w:w="2465"/>
                  </w:tblGrid>
                  <w:tr>
                    <w:trPr>
                      <w:trHeight w:val="450" w:hRule="exact"/>
                    </w:trPr>
                    <w:tc>
                      <w:tcPr>
                        <w:tcW w:w="24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4"/>
                            <w:szCs w:val="34"/>
                          </w:rPr>
                        </w:pPr>
                      </w:p>
                      <w:p>
                        <w:pPr>
                          <w:pStyle w:val="TableParagraph"/>
                          <w:spacing w:line="240" w:lineRule="auto"/>
                          <w:ind w:left="746" w:right="0"/>
                          <w:jc w:val="left"/>
                          <w:rPr>
                            <w:rFonts w:ascii="宋体" w:hAnsi="宋体" w:cs="宋体" w:eastAsia="宋体" w:hint="default"/>
                            <w:sz w:val="24"/>
                            <w:szCs w:val="24"/>
                          </w:rPr>
                        </w:pPr>
                        <w:r>
                          <w:rPr>
                            <w:rFonts w:ascii="宋体" w:hAnsi="宋体" w:cs="宋体" w:eastAsia="宋体" w:hint="default"/>
                            <w:sz w:val="24"/>
                            <w:szCs w:val="24"/>
                          </w:rPr>
                          <w:t>专业构成</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专业</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人数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占总人数比例</w:t>
                        </w:r>
                      </w:p>
                    </w:tc>
                  </w:tr>
                  <w:tr>
                    <w:trPr>
                      <w:trHeight w:val="450" w:hRule="exact"/>
                    </w:trPr>
                    <w:tc>
                      <w:tcPr>
                        <w:tcW w:w="2464"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管理人员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44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2.57%</w:t>
                        </w:r>
                      </w:p>
                    </w:tc>
                  </w:tr>
                  <w:tr>
                    <w:trPr>
                      <w:trHeight w:val="450" w:hRule="exact"/>
                    </w:trPr>
                    <w:tc>
                      <w:tcPr>
                        <w:tcW w:w="2464"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97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5.66%</w:t>
                        </w:r>
                      </w:p>
                    </w:tc>
                  </w:tr>
                  <w:tr>
                    <w:trPr>
                      <w:trHeight w:val="450" w:hRule="exact"/>
                    </w:trPr>
                    <w:tc>
                      <w:tcPr>
                        <w:tcW w:w="2464"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1.05%</w:t>
                        </w:r>
                      </w:p>
                    </w:tc>
                  </w:tr>
                  <w:tr>
                    <w:trPr>
                      <w:trHeight w:val="450" w:hRule="exact"/>
                    </w:trPr>
                    <w:tc>
                      <w:tcPr>
                        <w:tcW w:w="2464"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研发人员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1.00%</w:t>
                        </w:r>
                      </w:p>
                    </w:tc>
                  </w:tr>
                  <w:tr>
                    <w:trPr>
                      <w:trHeight w:val="450" w:hRule="exact"/>
                    </w:trPr>
                    <w:tc>
                      <w:tcPr>
                        <w:tcW w:w="2464"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行政后勤人员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71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4.14%</w:t>
                        </w:r>
                      </w:p>
                    </w:tc>
                  </w:tr>
                  <w:tr>
                    <w:trPr>
                      <w:trHeight w:val="450" w:hRule="exact"/>
                    </w:trPr>
                    <w:tc>
                      <w:tcPr>
                        <w:tcW w:w="2464" w:type="dxa"/>
                        <w:vMerge/>
                        <w:tcBorders>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1467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85.58%</w:t>
                        </w:r>
                      </w:p>
                    </w:tc>
                  </w:tr>
                  <w:tr>
                    <w:trPr>
                      <w:trHeight w:val="450" w:hRule="exact"/>
                    </w:trPr>
                    <w:tc>
                      <w:tcPr>
                        <w:tcW w:w="24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6"/>
                          <w:ind w:left="746" w:right="0"/>
                          <w:jc w:val="left"/>
                          <w:rPr>
                            <w:rFonts w:ascii="宋体" w:hAnsi="宋体" w:cs="宋体" w:eastAsia="宋体" w:hint="default"/>
                            <w:sz w:val="24"/>
                            <w:szCs w:val="24"/>
                          </w:rPr>
                        </w:pPr>
                        <w:r>
                          <w:rPr>
                            <w:rFonts w:ascii="宋体" w:hAnsi="宋体" w:cs="宋体" w:eastAsia="宋体" w:hint="default"/>
                            <w:sz w:val="24"/>
                            <w:szCs w:val="24"/>
                          </w:rPr>
                          <w:t>教育程度</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学历</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人数</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占总人数比例</w:t>
                        </w:r>
                      </w:p>
                    </w:tc>
                  </w:tr>
                  <w:tr>
                    <w:trPr>
                      <w:trHeight w:val="450" w:hRule="exact"/>
                    </w:trPr>
                    <w:tc>
                      <w:tcPr>
                        <w:tcW w:w="2464"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本科及以上</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82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4.78%</w:t>
                        </w:r>
                      </w:p>
                    </w:tc>
                  </w:tr>
                  <w:tr>
                    <w:trPr>
                      <w:trHeight w:val="450" w:hRule="exact"/>
                    </w:trPr>
                    <w:tc>
                      <w:tcPr>
                        <w:tcW w:w="2464"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大专</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119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6.94%</w:t>
                        </w:r>
                      </w:p>
                    </w:tc>
                  </w:tr>
                  <w:tr>
                    <w:trPr>
                      <w:trHeight w:val="450" w:hRule="exact"/>
                    </w:trPr>
                    <w:tc>
                      <w:tcPr>
                        <w:tcW w:w="2464" w:type="dxa"/>
                        <w:vMerge/>
                        <w:tcBorders>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中专及以下</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sz w:val="24"/>
                          </w:rPr>
                          <w:t>1513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88.28%</w:t>
                        </w:r>
                      </w:p>
                    </w:tc>
                  </w:tr>
                </w:tbl>
                <w:p>
                  <w:pPr/>
                </w:p>
              </w:txbxContent>
            </v:textbox>
            <w10:wrap type="none"/>
          </v:shape>
        </w:pict>
      </w:r>
      <w:r>
        <w:rPr/>
        <w:t>截止</w:t>
      </w:r>
      <w:r>
        <w:rPr>
          <w:spacing w:val="-60"/>
        </w:rPr>
        <w:t> </w:t>
      </w:r>
      <w:r>
        <w:rPr/>
        <w:t>2007</w:t>
      </w:r>
      <w:r>
        <w:rPr>
          <w:spacing w:val="-61"/>
        </w:rPr>
        <w:t> </w:t>
      </w:r>
      <w:r>
        <w:rPr/>
        <w:t>年</w:t>
      </w:r>
      <w:r>
        <w:rPr>
          <w:spacing w:val="-60"/>
        </w:rPr>
        <w:t> </w:t>
      </w:r>
      <w:r>
        <w:rPr/>
        <w:t>12</w:t>
      </w:r>
      <w:r>
        <w:rPr>
          <w:spacing w:val="-60"/>
        </w:rPr>
        <w:t> </w:t>
      </w:r>
      <w:r>
        <w:rPr/>
        <w:t>月</w:t>
      </w:r>
      <w:r>
        <w:rPr>
          <w:spacing w:val="-60"/>
        </w:rPr>
        <w:t> </w:t>
      </w:r>
      <w:r>
        <w:rPr/>
        <w:t>31</w:t>
      </w:r>
      <w:r>
        <w:rPr>
          <w:spacing w:val="-61"/>
        </w:rPr>
        <w:t> </w:t>
      </w:r>
      <w:r>
        <w:rPr/>
        <w:t>日，本公司无离退休人员，共有员工</w:t>
      </w:r>
      <w:r>
        <w:rPr>
          <w:spacing w:val="-60"/>
        </w:rPr>
        <w:t> </w:t>
      </w:r>
      <w:r>
        <w:rPr/>
        <w:t>1714</w:t>
      </w:r>
      <w:r>
        <w:rPr>
          <w:spacing w:val="-60"/>
        </w:rPr>
        <w:t> </w:t>
      </w:r>
      <w:r>
        <w:rPr/>
        <w:t>人，专业构成、教育程</w:t>
      </w:r>
      <w:r>
        <w:rPr>
          <w:spacing w:val="-1"/>
        </w:rPr>
        <w:t> </w:t>
      </w:r>
      <w:r>
        <w:rPr/>
        <w:t>度如下表：</w:t>
      </w:r>
    </w:p>
    <w:p>
      <w:pPr>
        <w:spacing w:after="0" w:line="336" w:lineRule="auto"/>
        <w:jc w:val="left"/>
        <w:sectPr>
          <w:pgSz w:w="11910" w:h="16840"/>
          <w:pgMar w:header="747" w:footer="1339" w:top="980" w:bottom="152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4"/>
        <w:ind w:left="3768" w:right="212"/>
        <w:jc w:val="left"/>
        <w:rPr>
          <w:b w:val="0"/>
          <w:bCs w:val="0"/>
        </w:rPr>
      </w:pPr>
      <w:bookmarkStart w:name="_TOC_250006" w:id="3"/>
      <w:r>
        <w:rPr/>
        <w:t>第六节、公司治理结构</w:t>
      </w:r>
      <w:bookmarkEnd w:id="3"/>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336" w:lineRule="auto" w:before="0"/>
        <w:ind w:left="634" w:right="4580" w:hanging="10"/>
        <w:jc w:val="left"/>
      </w:pPr>
      <w:r>
        <w:rPr/>
        <w:t>一、公司治理及公司治理专项活动的开展情况 1、公司治理情况</w:t>
      </w:r>
    </w:p>
    <w:p>
      <w:pPr>
        <w:pStyle w:val="BodyText"/>
        <w:spacing w:line="336" w:lineRule="auto"/>
        <w:ind w:right="92" w:firstLine="480"/>
        <w:jc w:val="left"/>
      </w:pPr>
      <w:r>
        <w:rPr/>
        <w:t>公司严格按照《公司法》、《证券法》和《上市公司治理准则》、《深圳证券交易所股</w:t>
      </w:r>
      <w:r>
        <w:rPr>
          <w:spacing w:val="1"/>
        </w:rPr>
        <w:t> </w:t>
      </w:r>
      <w:r>
        <w:rPr/>
        <w:t>票上市规则》及中国证券监督管理委员会有关法律、法规和公司规章制度的要求，不断完善</w:t>
      </w:r>
      <w:r>
        <w:rPr>
          <w:spacing w:val="-83"/>
        </w:rPr>
        <w:t> </w:t>
      </w:r>
      <w:r>
        <w:rPr>
          <w:spacing w:val="-83"/>
        </w:rPr>
      </w:r>
      <w:r>
        <w:rPr/>
        <w:t>公司的法人治理结构，健全内部管理、规范公司运作。报告期内，根据中国证监会有关文件</w:t>
      </w:r>
      <w:r>
        <w:rPr>
          <w:spacing w:val="-83"/>
        </w:rPr>
        <w:t> </w:t>
      </w:r>
      <w:r>
        <w:rPr>
          <w:spacing w:val="-83"/>
        </w:rPr>
      </w:r>
      <w:r>
        <w:rPr/>
        <w:t>并结合公司实际情况，公司董事会、股东大会审议修改了《公司章程》、《募集资金管理办</w:t>
      </w:r>
      <w:r>
        <w:rPr>
          <w:spacing w:val="-83"/>
        </w:rPr>
        <w:t> </w:t>
      </w:r>
      <w:r>
        <w:rPr>
          <w:spacing w:val="-83"/>
        </w:rPr>
      </w:r>
      <w:r>
        <w:rPr/>
        <w:t>法》、《信息披露制度》，制定了《董事、监事和高级管理人员所持本公司股票及其变动管</w:t>
      </w:r>
      <w:r>
        <w:rPr>
          <w:spacing w:val="-83"/>
        </w:rPr>
        <w:t> </w:t>
      </w:r>
      <w:r>
        <w:rPr>
          <w:spacing w:val="-83"/>
        </w:rPr>
      </w:r>
      <w:r>
        <w:rPr>
          <w:spacing w:val="-3"/>
        </w:rPr>
        <w:t>理制度》、《投资者关系管理制度》、董事会各专门委员会《工作细则》等相关制度性文件。</w:t>
      </w:r>
      <w:r>
        <w:rPr>
          <w:spacing w:val="-81"/>
        </w:rPr>
        <w:t> </w:t>
      </w:r>
      <w:r>
        <w:rPr>
          <w:spacing w:val="-81"/>
        </w:rPr>
      </w:r>
      <w:r>
        <w:rPr/>
        <w:t>截止报告期末，与公司治理相关的各项规章制度基本完善，并于中国证监会发布的有关上市</w:t>
      </w:r>
      <w:r>
        <w:rPr>
          <w:spacing w:val="-83"/>
        </w:rPr>
        <w:t> </w:t>
      </w:r>
      <w:r>
        <w:rPr>
          <w:spacing w:val="-83"/>
        </w:rPr>
      </w:r>
      <w:r>
        <w:rPr/>
        <w:t>公司治理的规范性档基本符合。</w:t>
      </w:r>
    </w:p>
    <w:p>
      <w:pPr>
        <w:pStyle w:val="BodyText"/>
        <w:spacing w:line="336" w:lineRule="auto"/>
        <w:ind w:right="228" w:firstLine="480"/>
        <w:jc w:val="both"/>
      </w:pPr>
      <w:r>
        <w:rPr>
          <w:spacing w:val="-3"/>
        </w:rPr>
        <w:t>（1）关于股东与股东大会：公司按照《上市公司股东大会规范意见》及本公司《股东大</w:t>
      </w:r>
      <w:r>
        <w:rPr/>
        <w:t> 会议事规则》的要求，规范股东大会召集、召开、表决程序，平等对待所有股东，确保全体</w:t>
      </w:r>
      <w:r>
        <w:rPr>
          <w:spacing w:val="-83"/>
        </w:rPr>
        <w:t> </w:t>
      </w:r>
      <w:r>
        <w:rPr>
          <w:spacing w:val="-83"/>
        </w:rPr>
      </w:r>
      <w:r>
        <w:rPr/>
        <w:t>股东，特别是中小股东能充分行使其权利。针对公司治理专项活动中，中国证券监督管理委</w:t>
      </w:r>
      <w:r>
        <w:rPr>
          <w:spacing w:val="-83"/>
        </w:rPr>
        <w:t> </w:t>
      </w:r>
      <w:r>
        <w:rPr>
          <w:spacing w:val="-83"/>
        </w:rPr>
      </w:r>
      <w:r>
        <w:rPr/>
        <w:t>员会深圳监管局（以下简称“深圳证监局”）对本公司下发的《关于对深圳市实益达科技股</w:t>
      </w:r>
      <w:r>
        <w:rPr>
          <w:spacing w:val="-83"/>
        </w:rPr>
        <w:t> </w:t>
      </w:r>
      <w:r>
        <w:rPr>
          <w:spacing w:val="-83"/>
        </w:rPr>
      </w:r>
      <w:r>
        <w:rPr/>
        <w:t>份有限公司治理情况的监管意见》（深证局公司字[2007]72号）中“股东大会授权委托书中</w:t>
      </w:r>
      <w:r>
        <w:rPr>
          <w:spacing w:val="-96"/>
        </w:rPr>
        <w:t> </w:t>
      </w:r>
      <w:r>
        <w:rPr>
          <w:spacing w:val="-96"/>
        </w:rPr>
      </w:r>
      <w:r>
        <w:rPr/>
        <w:t>缺乏对每一审议事项投赞成、反对或弃权票的指示的监管意见，公司已认真核实并整改。</w:t>
      </w:r>
    </w:p>
    <w:p>
      <w:pPr>
        <w:pStyle w:val="BodyText"/>
        <w:spacing w:line="336" w:lineRule="auto"/>
        <w:ind w:right="131" w:firstLine="480"/>
        <w:jc w:val="left"/>
      </w:pPr>
      <w:r>
        <w:rPr/>
        <w:t>（2）关于控股股东与上市公司的关系：公司拥有独立的经营自主能力，在业务、人员、 资产、机构、财务上独立于控股股东；控股股东依法行使其权利并承担相应义务，没有超越</w:t>
      </w:r>
      <w:r>
        <w:rPr>
          <w:spacing w:val="-83"/>
        </w:rPr>
        <w:t> </w:t>
      </w:r>
      <w:r>
        <w:rPr>
          <w:spacing w:val="-83"/>
        </w:rPr>
      </w:r>
      <w:r>
        <w:rPr/>
        <w:t>股东大会直接或者简介干预公司的决策和经营活动；公司董事会、监事会和内部各职能部门</w:t>
      </w:r>
      <w:r>
        <w:rPr>
          <w:spacing w:val="-83"/>
        </w:rPr>
        <w:t> </w:t>
      </w:r>
      <w:r>
        <w:rPr>
          <w:spacing w:val="-83"/>
        </w:rPr>
      </w:r>
      <w:r>
        <w:rPr/>
        <w:t>能够独立运作；截止报告期末，本公司不存在控股股东占用上市公司资金的情况。</w:t>
      </w:r>
    </w:p>
    <w:p>
      <w:pPr>
        <w:pStyle w:val="BodyText"/>
        <w:spacing w:line="336" w:lineRule="auto"/>
        <w:ind w:right="92" w:firstLine="480"/>
        <w:jc w:val="left"/>
      </w:pPr>
      <w:r>
        <w:rPr>
          <w:spacing w:val="-6"/>
        </w:rPr>
        <w:t>（3）关于董事和董事会：本公司董事会的人数和人员构成符合《公司法》和《公司章程》</w:t>
      </w:r>
      <w:r>
        <w:rPr/>
        <w:t> 的规定；董事会严格按照《公司法》、《公司章程》和《董事会议事规则》的有关规定召开</w:t>
      </w:r>
      <w:r>
        <w:rPr>
          <w:spacing w:val="-83"/>
        </w:rPr>
        <w:t> </w:t>
      </w:r>
      <w:r>
        <w:rPr>
          <w:spacing w:val="-83"/>
        </w:rPr>
      </w:r>
      <w:r>
        <w:rPr/>
        <w:t>会议，依法行使职权；本公司全体董事能够依照《公司章程》、《董事会议事规则》和《独</w:t>
      </w:r>
      <w:r>
        <w:rPr>
          <w:spacing w:val="-83"/>
        </w:rPr>
        <w:t> </w:t>
      </w:r>
      <w:r>
        <w:rPr>
          <w:spacing w:val="-83"/>
        </w:rPr>
      </w:r>
      <w:r>
        <w:rPr/>
        <w:t>立董事工作细则》的规定，勤勉履行作为董事的权利、义务的责任；报告期内董事会成立了</w:t>
      </w:r>
      <w:r>
        <w:rPr>
          <w:spacing w:val="-83"/>
        </w:rPr>
        <w:t> </w:t>
      </w:r>
      <w:r>
        <w:rPr>
          <w:spacing w:val="-83"/>
        </w:rPr>
      </w:r>
      <w:r>
        <w:rPr/>
        <w:t>战略、薪酬、提名、审计四个董事会专门委员会，并制定了各专门委员会《工作细则》。</w:t>
      </w:r>
    </w:p>
    <w:p>
      <w:pPr>
        <w:pStyle w:val="BodyText"/>
        <w:spacing w:line="336" w:lineRule="auto"/>
        <w:ind w:right="131" w:firstLine="480"/>
        <w:jc w:val="left"/>
      </w:pPr>
      <w:r>
        <w:rPr/>
        <w:t>（4）关于监事和监事会：本公司监事会人数和人员构成符合《公司法》和《公司章程》 的规定；监事会严格按照《公司法》、《公司章程》和《监事会议事规则》的有关规定召开</w:t>
      </w:r>
    </w:p>
    <w:p>
      <w:pPr>
        <w:spacing w:after="0" w:line="336"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212"/>
        <w:jc w:val="left"/>
      </w:pPr>
      <w:r>
        <w:rPr/>
        <w:t>会议，依法行使职权；公司全体监事认真履行职责，诚信、勤勉、尽责地对公司财务以及董</w:t>
      </w:r>
      <w:r>
        <w:rPr>
          <w:spacing w:val="-83"/>
        </w:rPr>
        <w:t> </w:t>
      </w:r>
      <w:r>
        <w:rPr>
          <w:spacing w:val="-83"/>
        </w:rPr>
      </w:r>
      <w:r>
        <w:rPr/>
        <w:t>事、高级管理人员履行职责的合法、合规性进行监督，维护公司及全体股东的合法权益。</w:t>
      </w:r>
    </w:p>
    <w:p>
      <w:pPr>
        <w:pStyle w:val="BodyText"/>
        <w:spacing w:line="336" w:lineRule="auto" w:before="29"/>
        <w:ind w:right="131" w:firstLine="480"/>
        <w:jc w:val="left"/>
      </w:pPr>
      <w:r>
        <w:rPr/>
        <w:t>（5）关于绩效评价与激励约束机制：公司董事、监事、高级管理人员的任免程序公开、 透明，依照法律、法规及《公司章程》的有关规定进行；公司正在逐步建立和完善公正透明</w:t>
      </w:r>
      <w:r>
        <w:rPr>
          <w:spacing w:val="-83"/>
        </w:rPr>
        <w:t> </w:t>
      </w:r>
      <w:r>
        <w:rPr>
          <w:spacing w:val="-83"/>
        </w:rPr>
      </w:r>
      <w:r>
        <w:rPr/>
        <w:t>的董事、监事、高级管理人员绩效评价标准和激励约束机制。</w:t>
      </w:r>
    </w:p>
    <w:p>
      <w:pPr>
        <w:pStyle w:val="BodyText"/>
        <w:spacing w:line="336" w:lineRule="auto" w:before="29"/>
        <w:ind w:right="228" w:firstLine="480"/>
        <w:jc w:val="both"/>
      </w:pPr>
      <w:r>
        <w:rPr>
          <w:spacing w:val="-3"/>
        </w:rPr>
        <w:t>（6）关于信息披露与透明度：公司制定并严格执行了《信息披露制度》、《投资者关系</w:t>
      </w:r>
      <w:r>
        <w:rPr>
          <w:spacing w:val="-1"/>
        </w:rPr>
        <w:t> </w:t>
      </w:r>
      <w:r>
        <w:rPr/>
        <w:t>管理制度》；指定董事会秘书全面负责公司投资者关系管理和信息披露工作，接待股东及相</w:t>
      </w:r>
      <w:r>
        <w:rPr>
          <w:spacing w:val="-83"/>
        </w:rPr>
        <w:t> </w:t>
      </w:r>
      <w:r>
        <w:rPr>
          <w:spacing w:val="-83"/>
        </w:rPr>
      </w:r>
      <w:r>
        <w:rPr/>
        <w:t>关人员来访和咨询；公司依照有关规定真实、准确、完整、及时地披露有关信息，确保公司</w:t>
      </w:r>
      <w:r>
        <w:rPr>
          <w:spacing w:val="-83"/>
        </w:rPr>
        <w:t> </w:t>
      </w:r>
      <w:r>
        <w:rPr>
          <w:spacing w:val="-83"/>
        </w:rPr>
      </w:r>
      <w:r>
        <w:rPr/>
        <w:t>所有投资者公平的享有知情权。</w:t>
      </w:r>
    </w:p>
    <w:p>
      <w:pPr>
        <w:pStyle w:val="BodyText"/>
        <w:spacing w:line="336" w:lineRule="auto"/>
        <w:ind w:right="228" w:firstLine="480"/>
        <w:jc w:val="both"/>
      </w:pPr>
      <w:r>
        <w:rPr>
          <w:spacing w:val="-3"/>
        </w:rPr>
        <w:t>（7）关于相关利益者：公司充分尊重和维护包括员工、债权人和客户在内的所有相关利</w:t>
      </w:r>
      <w:r>
        <w:rPr/>
        <w:t> 益者的合法权益，积极与相关利益者合作，加强沟通和交流，实现股东、员工、社会各方利</w:t>
      </w:r>
      <w:r>
        <w:rPr>
          <w:spacing w:val="-83"/>
        </w:rPr>
        <w:t> </w:t>
      </w:r>
      <w:r>
        <w:rPr>
          <w:spacing w:val="-83"/>
        </w:rPr>
      </w:r>
      <w:r>
        <w:rPr/>
        <w:t>益的均衡，以推动公司持续、稳定、健康地发展。</w:t>
      </w:r>
    </w:p>
    <w:p>
      <w:pPr>
        <w:pStyle w:val="BodyText"/>
        <w:spacing w:line="336" w:lineRule="auto"/>
        <w:ind w:left="633" w:right="212"/>
        <w:jc w:val="left"/>
      </w:pPr>
      <w:r>
        <w:rPr/>
        <w:t>2、关于开展“公司治理专项活动”的情况说明 根据中国证监会《关于加强上市公司治理专项活动有关事项的通知》、深圳证监局《关</w:t>
      </w:r>
    </w:p>
    <w:p>
      <w:pPr>
        <w:pStyle w:val="BodyText"/>
        <w:spacing w:line="336" w:lineRule="auto" w:before="29"/>
        <w:ind w:right="92"/>
        <w:jc w:val="left"/>
      </w:pPr>
      <w:r>
        <w:rPr/>
        <w:t>于做好深圳辖区上市公司治理专项活动有关工作的通知》等文件精神，公司自2007年8月起切 实开展了公司治理专项活动。组织公司董事、监事、高级管理人员认真学习中国证监会、深</w:t>
      </w:r>
      <w:r>
        <w:rPr>
          <w:spacing w:val="-83"/>
        </w:rPr>
        <w:t> </w:t>
      </w:r>
      <w:r>
        <w:rPr>
          <w:spacing w:val="-83"/>
        </w:rPr>
      </w:r>
      <w:r>
        <w:rPr>
          <w:spacing w:val="-3"/>
        </w:rPr>
        <w:t>圳证监局关于此次活动的相关档；严格对照《公司法》、《证券法》等有关法律、行政法规，</w:t>
      </w:r>
      <w:r>
        <w:rPr>
          <w:spacing w:val="-81"/>
        </w:rPr>
        <w:t> </w:t>
      </w:r>
      <w:r>
        <w:rPr>
          <w:spacing w:val="-81"/>
        </w:rPr>
      </w:r>
      <w:r>
        <w:rPr/>
        <w:t>以及《公司章程》、《股东大会议事规则》、《董事会议事规则》、《监事会议事规则》等</w:t>
      </w:r>
      <w:r>
        <w:rPr>
          <w:spacing w:val="-83"/>
        </w:rPr>
        <w:t> </w:t>
      </w:r>
      <w:r>
        <w:rPr>
          <w:spacing w:val="-83"/>
        </w:rPr>
      </w:r>
      <w:r>
        <w:rPr/>
        <w:t>内部规章制度，对公司治理情况进行自查，并在公司指定信息披露媒体公告自查报告和整改</w:t>
      </w:r>
      <w:r>
        <w:rPr>
          <w:spacing w:val="-83"/>
        </w:rPr>
        <w:t> </w:t>
      </w:r>
      <w:r>
        <w:rPr>
          <w:spacing w:val="-83"/>
        </w:rPr>
      </w:r>
      <w:r>
        <w:rPr>
          <w:spacing w:val="-3"/>
        </w:rPr>
        <w:t>计划；公布中国证监会、深圳证监局、深圳证券交易所及本公司联系方式，接受投资者评议；</w:t>
      </w:r>
      <w:r>
        <w:rPr>
          <w:spacing w:val="-81"/>
        </w:rPr>
        <w:t> </w:t>
      </w:r>
      <w:r>
        <w:rPr>
          <w:spacing w:val="-81"/>
        </w:rPr>
      </w:r>
      <w:r>
        <w:rPr/>
        <w:t>针对在公司治理专项活动中发现的各类问题，成立以公司董事长为第一责任人的专项工作小</w:t>
      </w:r>
      <w:r>
        <w:rPr>
          <w:spacing w:val="-83"/>
        </w:rPr>
        <w:t> </w:t>
      </w:r>
      <w:r>
        <w:rPr>
          <w:spacing w:val="-83"/>
        </w:rPr>
      </w:r>
      <w:r>
        <w:rPr/>
        <w:t>组，明确整改计划和时间表，切实落实整改措施。</w:t>
      </w:r>
    </w:p>
    <w:p>
      <w:pPr>
        <w:pStyle w:val="BodyText"/>
        <w:spacing w:line="336" w:lineRule="auto"/>
        <w:ind w:right="95" w:firstLine="480"/>
        <w:jc w:val="left"/>
      </w:pPr>
      <w:r>
        <w:rPr/>
        <w:t>经过公司自查和公众评议阶段后，深圳证监局于2007年9月25日对本公司进行现场检查， 并下发了深证局公司字[2007]72号《关于对深圳市实益达科技股份有限公司治理情况的监管</w:t>
      </w:r>
      <w:r>
        <w:rPr>
          <w:spacing w:val="-93"/>
        </w:rPr>
        <w:t> </w:t>
      </w:r>
      <w:r>
        <w:rPr>
          <w:spacing w:val="-93"/>
        </w:rPr>
      </w:r>
      <w:r>
        <w:rPr/>
        <w:t>意见》，针对公司治理的状况提出了“三会运作不规范”等整改意见。公司及时组织董事、</w:t>
      </w:r>
      <w:r>
        <w:rPr>
          <w:spacing w:val="-83"/>
        </w:rPr>
        <w:t> </w:t>
      </w:r>
      <w:r>
        <w:rPr>
          <w:spacing w:val="-83"/>
        </w:rPr>
      </w:r>
      <w:r>
        <w:rPr/>
        <w:t>监事、高级管理人员和各部门相关人员针对自查、公众评议以及监管意见中发现的问题制定</w:t>
      </w:r>
      <w:r>
        <w:rPr>
          <w:spacing w:val="-83"/>
        </w:rPr>
        <w:t> </w:t>
      </w:r>
      <w:r>
        <w:rPr>
          <w:spacing w:val="-83"/>
        </w:rPr>
      </w:r>
      <w:r>
        <w:rPr>
          <w:spacing w:val="-6"/>
        </w:rPr>
        <w:t>了《公司治理整改报告》，制定了详尽可行的整改措施和整改计划时间表，并于2007</w:t>
      </w:r>
      <w:r>
        <w:rPr>
          <w:spacing w:val="9"/>
        </w:rPr>
        <w:t> </w:t>
      </w:r>
      <w:r>
        <w:rPr/>
        <w:t>年10</w:t>
      </w:r>
      <w:r>
        <w:rPr>
          <w:spacing w:val="9"/>
        </w:rPr>
        <w:t> </w:t>
      </w:r>
      <w:r>
        <w:rPr/>
        <w:t>月</w:t>
      </w:r>
      <w:r>
        <w:rPr>
          <w:spacing w:val="-110"/>
        </w:rPr>
        <w:t> </w:t>
      </w:r>
      <w:r>
        <w:rPr>
          <w:spacing w:val="-110"/>
        </w:rPr>
      </w:r>
      <w:r>
        <w:rPr/>
        <w:t>22</w:t>
      </w:r>
      <w:r>
        <w:rPr>
          <w:spacing w:val="16"/>
        </w:rPr>
        <w:t> </w:t>
      </w:r>
      <w:r>
        <w:rPr>
          <w:spacing w:val="-5"/>
        </w:rPr>
        <w:t>日提交公司第一届董事会第十九次会议审议通过。详见刊登于2007年10月23日《证券时报》</w:t>
      </w:r>
      <w:r>
        <w:rPr/>
        <w:t> 及“巨潮信息网”的《深圳市实益达科技股份有限公司公司治理专项活动整改报告》。</w:t>
      </w:r>
    </w:p>
    <w:p>
      <w:pPr>
        <w:pStyle w:val="BodyText"/>
        <w:spacing w:line="336" w:lineRule="auto" w:before="29"/>
        <w:ind w:left="154" w:right="212" w:firstLine="480"/>
        <w:jc w:val="left"/>
      </w:pPr>
      <w:r>
        <w:rPr/>
        <w:t>截止报告期末，针对在公司自查、公众评议及深圳证监局专项检查过程中发现的各项问</w:t>
      </w:r>
      <w:r>
        <w:rPr>
          <w:spacing w:val="1"/>
        </w:rPr>
        <w:t> </w:t>
      </w:r>
      <w:r>
        <w:rPr/>
        <w:t>题，公司制定并落实了整改计划。公司将以此次上市公司治理专项活动为契机，按照中国证</w:t>
      </w:r>
    </w:p>
    <w:p>
      <w:pPr>
        <w:spacing w:after="0" w:line="336"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226"/>
        <w:jc w:val="both"/>
      </w:pPr>
      <w:r>
        <w:rPr/>
        <w:t>监会《关于开展加强上市公司治理专项活动有关事项的通知》等相关规定的要求，建立健全</w:t>
      </w:r>
      <w:r>
        <w:rPr>
          <w:spacing w:val="-83"/>
        </w:rPr>
        <w:t> </w:t>
      </w:r>
      <w:r>
        <w:rPr>
          <w:spacing w:val="-83"/>
        </w:rPr>
      </w:r>
      <w:r>
        <w:rPr>
          <w:spacing w:val="-11"/>
        </w:rPr>
        <w:t>并严格执行《中小板上市公司公平信息披露指引》、《投资者管理制度》、《公司章程》等相关</w:t>
      </w:r>
      <w:r>
        <w:rPr>
          <w:spacing w:val="-106"/>
        </w:rPr>
        <w:t> </w:t>
      </w:r>
      <w:r>
        <w:rPr>
          <w:spacing w:val="-106"/>
        </w:rPr>
      </w:r>
      <w:r>
        <w:rPr/>
        <w:t>制度，规范股东大会、董事会和监事会运作，强化董事、监事和高级管理人员的勤勉尽责意</w:t>
      </w:r>
      <w:r>
        <w:rPr>
          <w:spacing w:val="-83"/>
        </w:rPr>
        <w:t> </w:t>
      </w:r>
      <w:r>
        <w:rPr>
          <w:spacing w:val="-83"/>
        </w:rPr>
      </w:r>
      <w:r>
        <w:rPr/>
        <w:t>识， 以进一步提高公司治理水平。</w:t>
      </w:r>
    </w:p>
    <w:p>
      <w:pPr>
        <w:spacing w:line="240" w:lineRule="auto" w:before="12"/>
        <w:rPr>
          <w:rFonts w:ascii="宋体" w:hAnsi="宋体" w:cs="宋体" w:eastAsia="宋体" w:hint="default"/>
          <w:sz w:val="35"/>
          <w:szCs w:val="35"/>
        </w:rPr>
      </w:pPr>
    </w:p>
    <w:p>
      <w:pPr>
        <w:pStyle w:val="BodyText"/>
        <w:spacing w:line="336" w:lineRule="auto" w:before="0"/>
        <w:ind w:left="633" w:right="212"/>
        <w:jc w:val="left"/>
      </w:pPr>
      <w:r>
        <w:rPr/>
        <w:t>二、公司董事长、独立董事及其它董事履职情况的说明： </w:t>
      </w:r>
      <w:r>
        <w:rPr>
          <w:spacing w:val="-3"/>
        </w:rPr>
        <w:t>1、报告期内，公司董事会全体成员严格按照《深圳证券交易所中小企业板块上市公司董</w:t>
      </w:r>
    </w:p>
    <w:p>
      <w:pPr>
        <w:pStyle w:val="BodyText"/>
        <w:spacing w:line="336" w:lineRule="auto"/>
        <w:ind w:right="228"/>
        <w:jc w:val="both"/>
      </w:pPr>
      <w:r>
        <w:rPr/>
        <w:t>事行为指引》及其它法律、法规和本公司《公司章程》的规定和要求，勤勉尽责履行董事职</w:t>
      </w:r>
      <w:r>
        <w:rPr>
          <w:spacing w:val="-83"/>
        </w:rPr>
        <w:t> </w:t>
      </w:r>
      <w:r>
        <w:rPr>
          <w:spacing w:val="-83"/>
        </w:rPr>
      </w:r>
      <w:r>
        <w:rPr/>
        <w:t>责、遵守董事行为规范；积极参加深圳证监局组织的上市公司董事培训学习，以提高公司规</w:t>
      </w:r>
      <w:r>
        <w:rPr>
          <w:spacing w:val="-83"/>
        </w:rPr>
        <w:t> </w:t>
      </w:r>
      <w:r>
        <w:rPr>
          <w:spacing w:val="-83"/>
        </w:rPr>
      </w:r>
      <w:r>
        <w:rPr/>
        <w:t>范运作水平，切实维护公司整体利益及全体股东，特别是中小股东的利益。</w:t>
      </w:r>
    </w:p>
    <w:p>
      <w:pPr>
        <w:pStyle w:val="BodyText"/>
        <w:spacing w:line="336" w:lineRule="auto"/>
        <w:ind w:left="633" w:right="92"/>
        <w:jc w:val="left"/>
      </w:pPr>
      <w:r>
        <w:rPr/>
        <w:t>2、公司董事长履行职责情况： </w:t>
      </w:r>
      <w:r>
        <w:rPr>
          <w:spacing w:val="-3"/>
        </w:rPr>
        <w:t>报告期内，公司董事长严格按照《深圳证券交易所中小企业板块上市公司董事行为指引》</w:t>
      </w:r>
    </w:p>
    <w:p>
      <w:pPr>
        <w:pStyle w:val="BodyText"/>
        <w:spacing w:line="336" w:lineRule="auto"/>
        <w:ind w:right="228"/>
        <w:jc w:val="both"/>
      </w:pPr>
      <w:r>
        <w:rPr/>
        <w:t>及其它法律、法规和本公司《公司章程》的规定和要求，行使董事长职权，遵守董事会集体</w:t>
      </w:r>
      <w:r>
        <w:rPr>
          <w:spacing w:val="-83"/>
        </w:rPr>
        <w:t> </w:t>
      </w:r>
      <w:r>
        <w:rPr>
          <w:spacing w:val="-83"/>
        </w:rPr>
      </w:r>
      <w:r>
        <w:rPr/>
        <w:t>决策机制，积极推动公司内部管理制度制定和完善，履行并督促股东大会、董事会决议的执</w:t>
      </w:r>
      <w:r>
        <w:rPr>
          <w:spacing w:val="-83"/>
        </w:rPr>
        <w:t> </w:t>
      </w:r>
      <w:r>
        <w:rPr>
          <w:spacing w:val="-83"/>
        </w:rPr>
      </w:r>
      <w:r>
        <w:rPr/>
        <w:t>行。</w:t>
      </w:r>
    </w:p>
    <w:p>
      <w:pPr>
        <w:pStyle w:val="BodyText"/>
        <w:spacing w:line="240" w:lineRule="auto"/>
        <w:ind w:left="633" w:right="212"/>
        <w:jc w:val="left"/>
      </w:pPr>
      <w:r>
        <w:rPr/>
        <w:t>3、独立董事履行职责情况：</w:t>
      </w:r>
    </w:p>
    <w:p>
      <w:pPr>
        <w:pStyle w:val="BodyText"/>
        <w:spacing w:line="336" w:lineRule="auto" w:before="126"/>
        <w:ind w:left="154" w:right="228" w:firstLine="480"/>
        <w:jc w:val="both"/>
      </w:pPr>
      <w:r>
        <w:rPr>
          <w:spacing w:val="-9"/>
        </w:rPr>
        <w:t>（1）报告期内，公司独立董事严格遵守法律法规及本公司《公司章程》、《独立董事工作</w:t>
      </w:r>
      <w:r>
        <w:rPr/>
        <w:t> 细则》的有关规定，勤勉尽责、忠实履行职权，积极出席相关会议，认真审议各项议案，利</w:t>
      </w:r>
      <w:r>
        <w:rPr>
          <w:spacing w:val="-83"/>
        </w:rPr>
        <w:t> </w:t>
      </w:r>
      <w:r>
        <w:rPr>
          <w:spacing w:val="-83"/>
        </w:rPr>
      </w:r>
      <w:r>
        <w:rPr/>
        <w:t>用自己的专业知识做出独立、客观判断，对有关事项发表独立意见，为公司的发展、经营管</w:t>
      </w:r>
      <w:r>
        <w:rPr>
          <w:spacing w:val="-83"/>
        </w:rPr>
        <w:t> </w:t>
      </w:r>
      <w:r>
        <w:rPr>
          <w:spacing w:val="-83"/>
        </w:rPr>
      </w:r>
      <w:r>
        <w:rPr/>
        <w:t>理出谋划策，为公司的持续、稳定、健康发展做出积极贡献。</w:t>
      </w:r>
    </w:p>
    <w:p>
      <w:pPr>
        <w:pStyle w:val="BodyText"/>
        <w:spacing w:line="336" w:lineRule="auto" w:before="29"/>
        <w:ind w:left="634" w:right="250"/>
        <w:jc w:val="left"/>
      </w:pPr>
      <w:r>
        <w:rPr/>
        <w:t>（2）独立董事发表独立意见的情况： 公司第一届董事会第十六次会议审议通过了关于使用部分闲置募集资金暂时补充流动资</w:t>
      </w:r>
    </w:p>
    <w:p>
      <w:pPr>
        <w:pStyle w:val="BodyText"/>
        <w:spacing w:line="336" w:lineRule="auto"/>
        <w:ind w:left="154" w:right="98"/>
        <w:jc w:val="left"/>
      </w:pPr>
      <w:r>
        <w:rPr>
          <w:spacing w:val="-3"/>
        </w:rPr>
        <w:t>金的议案，对此议案，公司独立董事发表独立意见：“鉴于公司部分募集资金处于闲置状态，</w:t>
      </w:r>
      <w:r>
        <w:rPr>
          <w:spacing w:val="-80"/>
        </w:rPr>
        <w:t> </w:t>
      </w:r>
      <w:r>
        <w:rPr>
          <w:spacing w:val="-80"/>
        </w:rPr>
      </w:r>
      <w:r>
        <w:rPr/>
        <w:t>在不会影响募集资金投资计划的正常进行、不会变相改变募集资金用途的前提下，使用其中 部分暂时闲置的募集资金补充公司流动资金，总额人民币7,000.00万元，使用期限不超过6 个月，有助于公司拓展业务规模、降低财务费用、提高募集资金的使用效率，符合《中小企 </w:t>
      </w:r>
      <w:r>
        <w:rPr>
          <w:spacing w:val="-5"/>
        </w:rPr>
        <w:t>业板上市公司募集资金管理细则》（2007</w:t>
      </w:r>
      <w:r>
        <w:rPr>
          <w:spacing w:val="30"/>
        </w:rPr>
        <w:t> </w:t>
      </w:r>
      <w:r>
        <w:rPr>
          <w:spacing w:val="-6"/>
        </w:rPr>
        <w:t>年修订）及公司《募集资金管理办法》的有关规定，</w:t>
      </w:r>
      <w:r>
        <w:rPr>
          <w:spacing w:val="-118"/>
        </w:rPr>
        <w:t> </w:t>
      </w:r>
      <w:r>
        <w:rPr>
          <w:spacing w:val="-118"/>
        </w:rPr>
      </w:r>
      <w:r>
        <w:rPr/>
        <w:t>本人对该议案表示同意”。</w:t>
      </w:r>
    </w:p>
    <w:p>
      <w:pPr>
        <w:pStyle w:val="BodyText"/>
        <w:spacing w:line="336" w:lineRule="auto"/>
        <w:ind w:left="154" w:right="92" w:firstLine="480"/>
        <w:jc w:val="left"/>
      </w:pPr>
      <w:r>
        <w:rPr>
          <w:spacing w:val="-3"/>
        </w:rPr>
        <w:t>公司第一届董事会第十九次会议审议通过了《公司治理专项活动整改报告》，对此报告，</w:t>
      </w:r>
      <w:r>
        <w:rPr/>
        <w:t> 公司独立董事发表独立意见：“公司根据中国证券监督管理委员会关于加强公司治理专项活</w:t>
      </w:r>
      <w:r>
        <w:rPr>
          <w:spacing w:val="-83"/>
        </w:rPr>
        <w:t> </w:t>
      </w:r>
      <w:r>
        <w:rPr>
          <w:spacing w:val="-83"/>
        </w:rPr>
      </w:r>
      <w:r>
        <w:rPr/>
        <w:t>动的要求，结合自查报告、公众评议及中国证监会深圳监管局现场检查的结果，制定《公司</w:t>
      </w:r>
    </w:p>
    <w:p>
      <w:pPr>
        <w:spacing w:after="0" w:line="336"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173"/>
        <w:jc w:val="left"/>
      </w:pPr>
      <w:r>
        <w:rPr/>
        <w:t>治理专项活动整改报告》。《整改报告》针对此次活动中发现的公司治理方面存在的问题，</w:t>
      </w:r>
      <w:r>
        <w:rPr>
          <w:spacing w:val="-83"/>
        </w:rPr>
        <w:t> </w:t>
      </w:r>
      <w:r>
        <w:rPr>
          <w:spacing w:val="-83"/>
        </w:rPr>
      </w:r>
      <w:r>
        <w:rPr>
          <w:spacing w:val="-2"/>
        </w:rPr>
        <w:t>制定了切实可行的整改措施和计划，有利于公司进一步完善法人治理结构，有利于公司长远、</w:t>
      </w:r>
      <w:r>
        <w:rPr/>
        <w:t> 健康发展”。</w:t>
      </w:r>
    </w:p>
    <w:p>
      <w:pPr>
        <w:pStyle w:val="BodyText"/>
        <w:spacing w:line="336" w:lineRule="auto"/>
        <w:ind w:left="633" w:right="271"/>
        <w:jc w:val="left"/>
      </w:pPr>
      <w:r>
        <w:rPr/>
        <w:t>（3）独立董事对公司有关事项提出异议的情况： 报告期内，没有出现公司独立董事对董事会各项议案和其它事项提出异议的情况。 4、其它董事履行职责情况： 报告期内，公司其它董事严格按照《深圳证券交易所中小企业板块上市公司董事行为指</w:t>
      </w:r>
    </w:p>
    <w:p>
      <w:pPr>
        <w:pStyle w:val="BodyText"/>
        <w:spacing w:line="336" w:lineRule="auto"/>
        <w:ind w:right="308"/>
        <w:jc w:val="both"/>
      </w:pPr>
      <w:r>
        <w:rPr/>
        <w:t>引》及其它法律、法规和本公司《公司章程》的规定和要求履行董事职责，仔细研究和讨论</w:t>
      </w:r>
      <w:r>
        <w:rPr>
          <w:spacing w:val="-83"/>
        </w:rPr>
        <w:t> </w:t>
      </w:r>
      <w:r>
        <w:rPr>
          <w:spacing w:val="-83"/>
        </w:rPr>
      </w:r>
      <w:r>
        <w:rPr/>
        <w:t>董事会会议各项议案，深入了解公司生产经营情况；积极参加深圳证监局组织的上市公司董</w:t>
      </w:r>
      <w:r>
        <w:rPr>
          <w:spacing w:val="-83"/>
        </w:rPr>
        <w:t> </w:t>
      </w:r>
      <w:r>
        <w:rPr>
          <w:spacing w:val="-83"/>
        </w:rPr>
      </w:r>
      <w:r>
        <w:rPr/>
        <w:t>事培训学习，以提高公司规范运作水平，切实维护公司整体利益及全体股东，特别是中小股</w:t>
      </w:r>
      <w:r>
        <w:rPr>
          <w:spacing w:val="-83"/>
        </w:rPr>
        <w:t> </w:t>
      </w:r>
      <w:r>
        <w:rPr>
          <w:spacing w:val="-83"/>
        </w:rPr>
      </w:r>
      <w:r>
        <w:rPr/>
        <w:t>东的利益。</w:t>
      </w:r>
    </w:p>
    <w:p>
      <w:pPr>
        <w:pStyle w:val="BodyText"/>
        <w:spacing w:line="240" w:lineRule="auto" w:before="29"/>
        <w:ind w:left="633" w:right="3330"/>
        <w:jc w:val="left"/>
      </w:pPr>
      <w:r>
        <w:rPr/>
        <w:t>5、董事出席董事会会议情况：</w:t>
      </w:r>
    </w:p>
    <w:p>
      <w:pPr>
        <w:spacing w:line="240" w:lineRule="auto" w:before="3"/>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690"/>
        <w:gridCol w:w="1691"/>
        <w:gridCol w:w="1300"/>
        <w:gridCol w:w="1300"/>
        <w:gridCol w:w="1301"/>
        <w:gridCol w:w="1300"/>
        <w:gridCol w:w="1248"/>
      </w:tblGrid>
      <w:tr>
        <w:trPr>
          <w:trHeight w:val="790"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亲自出席次数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陈亚妹</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乔昕</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宋东红</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吕昌荣</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陈熙亚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李秉心</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刘震国</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李海军</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赵志坚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336" w:lineRule="auto" w:before="26"/>
        <w:ind w:left="634" w:right="5610"/>
        <w:jc w:val="left"/>
      </w:pPr>
      <w:r>
        <w:rPr/>
        <w:t>三、公司与控股股东“五分开”情况 1、业务方面</w:t>
      </w:r>
    </w:p>
    <w:p>
      <w:pPr>
        <w:pStyle w:val="BodyText"/>
        <w:spacing w:line="336" w:lineRule="auto"/>
        <w:ind w:right="271" w:firstLine="480"/>
        <w:jc w:val="left"/>
      </w:pPr>
      <w:r>
        <w:rPr/>
        <w:t>公司与控股股东在业务方面完全分开。公司有独立的研发、采购、生产、销售、物流机</w:t>
      </w:r>
      <w:r>
        <w:rPr>
          <w:spacing w:val="1"/>
        </w:rPr>
        <w:t> </w:t>
      </w:r>
      <w:r>
        <w:rPr/>
        <w:t>构，并在业务上与控股股东不存在同业竞争关系。</w:t>
      </w:r>
    </w:p>
    <w:p>
      <w:pPr>
        <w:pStyle w:val="BodyText"/>
        <w:spacing w:line="336" w:lineRule="auto"/>
        <w:ind w:left="633" w:right="271"/>
        <w:jc w:val="left"/>
      </w:pPr>
      <w:r>
        <w:rPr/>
        <w:t>2、人员方面 公司与控股股东在劳动、人事、用工管理、薪酬体系等方面已完全分开，不存在合署办</w:t>
      </w:r>
    </w:p>
    <w:p>
      <w:pPr>
        <w:pStyle w:val="BodyText"/>
        <w:spacing w:line="240" w:lineRule="auto" w:before="29"/>
        <w:ind w:right="3330"/>
        <w:jc w:val="left"/>
      </w:pPr>
      <w:r>
        <w:rPr/>
        <w:t>公情况。</w:t>
      </w:r>
    </w:p>
    <w:p>
      <w:pPr>
        <w:pStyle w:val="BodyText"/>
        <w:spacing w:line="336" w:lineRule="auto" w:before="126"/>
        <w:ind w:left="633" w:right="271"/>
        <w:jc w:val="left"/>
      </w:pPr>
      <w:r>
        <w:rPr/>
        <w:t>3、资产方面 公司与控股股东在资产方面完全分开。公司拥有独立的生产系统、辅助生产系统和配套</w:t>
      </w:r>
    </w:p>
    <w:p>
      <w:pPr>
        <w:pStyle w:val="BodyText"/>
        <w:spacing w:line="240" w:lineRule="auto" w:before="29"/>
        <w:ind w:right="271"/>
        <w:jc w:val="left"/>
      </w:pPr>
      <w:r>
        <w:rPr/>
        <w:t>设施，采购和销售系统亦为公司独立拥有，商标、土地使用权等无形资产由公司拥有。公司</w:t>
      </w:r>
    </w:p>
    <w:p>
      <w:pPr>
        <w:spacing w:after="0" w:line="240" w:lineRule="auto"/>
        <w:jc w:val="left"/>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228"/>
        <w:jc w:val="both"/>
      </w:pPr>
      <w:r>
        <w:rPr/>
        <w:t>对所有资产拥有完全的控制和支配权，不存在资产、资金被控股股东或其它关联企业占用而</w:t>
      </w:r>
      <w:r>
        <w:rPr>
          <w:spacing w:val="-83"/>
        </w:rPr>
        <w:t> </w:t>
      </w:r>
      <w:r>
        <w:rPr>
          <w:spacing w:val="-83"/>
        </w:rPr>
      </w:r>
      <w:r>
        <w:rPr/>
        <w:t>损害公司利益的情况。</w:t>
      </w:r>
    </w:p>
    <w:p>
      <w:pPr>
        <w:pStyle w:val="BodyText"/>
        <w:spacing w:line="336" w:lineRule="auto" w:before="29"/>
        <w:ind w:left="633" w:right="92"/>
        <w:jc w:val="left"/>
      </w:pPr>
      <w:r>
        <w:rPr/>
        <w:t>4、机构方面 </w:t>
      </w:r>
      <w:r>
        <w:rPr>
          <w:spacing w:val="-3"/>
        </w:rPr>
        <w:t>公司有健全的组织机构体系，各部门独立运作，不存在与控股股东各部门间的从属关系。</w:t>
      </w:r>
      <w:r>
        <w:rPr>
          <w:spacing w:val="-85"/>
        </w:rPr>
        <w:t> </w:t>
      </w:r>
      <w:r>
        <w:rPr>
          <w:spacing w:val="-85"/>
        </w:rPr>
      </w:r>
      <w:r>
        <w:rPr/>
        <w:t>5、财务方面 公司设有独立的财务部门和独立的会计核算体系、财务管理制度，独立在银行开户，独</w:t>
      </w:r>
    </w:p>
    <w:p>
      <w:pPr>
        <w:pStyle w:val="BodyText"/>
        <w:spacing w:line="240" w:lineRule="auto"/>
        <w:ind w:right="212"/>
        <w:jc w:val="left"/>
      </w:pPr>
      <w:r>
        <w:rPr/>
        <w:t>立依法纳税，独立做出财务决策。</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336" w:lineRule="auto" w:before="0"/>
        <w:ind w:left="633" w:right="212"/>
        <w:jc w:val="left"/>
      </w:pPr>
      <w:r>
        <w:rPr/>
        <w:t>四、公司对高级管理人员的考评和激励机制 公司高级管理人员直接对董事会负责，接受董事会的考核。 公司高级管理人员按照各自职务根据公司现行薪酬制度领取报酬，经董事会授权，根据</w:t>
      </w:r>
    </w:p>
    <w:p>
      <w:pPr>
        <w:pStyle w:val="BodyText"/>
        <w:spacing w:line="336" w:lineRule="auto" w:before="29"/>
        <w:ind w:left="633" w:right="212" w:hanging="480"/>
        <w:jc w:val="left"/>
      </w:pPr>
      <w:r>
        <w:rPr/>
        <w:t>公司年度经营业绩按照考核评定程序确定年度奖金。 公司董事会设薪酬委员会，负责审查公司高级管理人员履行职责的情况并对其进行年度</w:t>
      </w:r>
    </w:p>
    <w:p>
      <w:pPr>
        <w:pStyle w:val="BodyText"/>
        <w:spacing w:line="336" w:lineRule="auto"/>
        <w:ind w:left="633" w:right="92" w:hanging="480"/>
        <w:jc w:val="left"/>
      </w:pPr>
      <w:r>
        <w:rPr/>
        <w:t>绩效考评，同时对其薪酬制度执行情况进行监督。 </w:t>
      </w:r>
      <w:r>
        <w:rPr>
          <w:spacing w:val="-3"/>
        </w:rPr>
        <w:t>报告期内，公司高级管理人员认真履行了各自职责，较好的完成了本年度各项工作任务。</w:t>
      </w:r>
    </w:p>
    <w:p>
      <w:pPr>
        <w:spacing w:line="240" w:lineRule="auto" w:before="13"/>
        <w:rPr>
          <w:rFonts w:ascii="宋体" w:hAnsi="宋体" w:cs="宋体" w:eastAsia="宋体" w:hint="default"/>
          <w:sz w:val="35"/>
          <w:szCs w:val="35"/>
        </w:rPr>
      </w:pPr>
    </w:p>
    <w:p>
      <w:pPr>
        <w:pStyle w:val="BodyText"/>
        <w:spacing w:line="336" w:lineRule="auto" w:before="0"/>
        <w:ind w:left="633" w:right="212"/>
        <w:jc w:val="left"/>
      </w:pPr>
      <w:r>
        <w:rPr/>
        <w:t>五、公司内部控制制度的建立及健全情况 </w:t>
      </w:r>
      <w:r>
        <w:rPr>
          <w:spacing w:val="-3"/>
        </w:rPr>
        <w:t>1、公司董事会以《上市公司内部控制指引》为指导，结合公司实际情况，建立健全了公</w:t>
      </w:r>
    </w:p>
    <w:p>
      <w:pPr>
        <w:pStyle w:val="BodyText"/>
        <w:spacing w:line="336" w:lineRule="auto"/>
        <w:ind w:right="228"/>
        <w:jc w:val="both"/>
      </w:pPr>
      <w:r>
        <w:rPr/>
        <w:t>司生产经营、财务管理、信息披露等各环节的内部控制制度，保证了公司业务活动的正常进</w:t>
      </w:r>
      <w:r>
        <w:rPr>
          <w:spacing w:val="-83"/>
        </w:rPr>
        <w:t> </w:t>
      </w:r>
      <w:r>
        <w:rPr>
          <w:spacing w:val="-83"/>
        </w:rPr>
      </w:r>
      <w:r>
        <w:rPr/>
        <w:t>行，维护了公司整体利益以及全体股东的利益。报告期内，根据中国证监会有关文件并结合</w:t>
      </w:r>
      <w:r>
        <w:rPr>
          <w:spacing w:val="-83"/>
        </w:rPr>
        <w:t> </w:t>
      </w:r>
      <w:r>
        <w:rPr>
          <w:spacing w:val="-83"/>
        </w:rPr>
      </w:r>
      <w:r>
        <w:rPr/>
        <w:t>公司实际情况，公司董事会、股东大会审议修改了《公司章程》、《募集资金管理办法》、</w:t>
      </w:r>
    </w:p>
    <w:p>
      <w:pPr>
        <w:pStyle w:val="BodyText"/>
        <w:spacing w:line="240" w:lineRule="auto"/>
        <w:ind w:right="0"/>
        <w:jc w:val="left"/>
      </w:pPr>
      <w:r>
        <w:rPr>
          <w:spacing w:val="-8"/>
        </w:rPr>
        <w:t>《信息披露制度》，制定了《董事、监事和高级管理人员所持本公司股票及其变动管理制度》、</w:t>
      </w:r>
    </w:p>
    <w:p>
      <w:pPr>
        <w:pStyle w:val="BodyText"/>
        <w:spacing w:line="336" w:lineRule="auto" w:before="126"/>
        <w:ind w:right="228"/>
        <w:jc w:val="both"/>
      </w:pPr>
      <w:r>
        <w:rPr/>
        <w:t>《投资者关系管理制度》、董事会各专门委员会《工作细则》等相关制度性文件，进一步强</w:t>
      </w:r>
      <w:r>
        <w:rPr>
          <w:spacing w:val="-83"/>
        </w:rPr>
        <w:t> </w:t>
      </w:r>
      <w:r>
        <w:rPr>
          <w:spacing w:val="-83"/>
        </w:rPr>
      </w:r>
      <w:r>
        <w:rPr/>
        <w:t>化了公司的内部控制建设。</w:t>
      </w:r>
    </w:p>
    <w:p>
      <w:pPr>
        <w:pStyle w:val="BodyText"/>
        <w:spacing w:line="336" w:lineRule="auto"/>
        <w:ind w:right="131" w:firstLine="480"/>
        <w:jc w:val="left"/>
      </w:pPr>
      <w:r>
        <w:rPr/>
        <w:t>2、公司设立了独立的内部审计部门，配备专职审计人员。在董事会审计委员会领导下， 内部审计部负责对公司内部控制制度的建立健全及执行情况进行监督检查，对公司所有经济</w:t>
      </w:r>
      <w:r>
        <w:rPr>
          <w:spacing w:val="-83"/>
        </w:rPr>
        <w:t> </w:t>
      </w:r>
      <w:r>
        <w:rPr>
          <w:spacing w:val="-83"/>
        </w:rPr>
      </w:r>
      <w:r>
        <w:rPr/>
        <w:t>活动包括会计政策、财务状况和财务报告等进行内部审计监督，独立行使内部审计职权。公</w:t>
      </w:r>
      <w:r>
        <w:rPr>
          <w:spacing w:val="-83"/>
        </w:rPr>
        <w:t> </w:t>
      </w:r>
      <w:r>
        <w:rPr>
          <w:spacing w:val="-83"/>
        </w:rPr>
      </w:r>
      <w:r>
        <w:rPr/>
        <w:t>司内部控制制度在公司的经营管理中得到了有效遵守和执行。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footerReference w:type="default" r:id="rId12"/>
          <w:pgSz w:w="11910" w:h="16840"/>
          <w:pgMar w:footer="711" w:header="747" w:top="980" w:bottom="90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1"/>
        <w:spacing w:line="240" w:lineRule="auto"/>
        <w:ind w:left="634" w:right="0" w:firstLine="2893"/>
        <w:jc w:val="left"/>
        <w:rPr>
          <w:b w:val="0"/>
          <w:bCs w:val="0"/>
        </w:rPr>
      </w:pPr>
      <w:bookmarkStart w:name="_TOC_250005" w:id="4"/>
      <w:r>
        <w:rPr/>
        <w:t>第七节、股东大会情况简介</w:t>
      </w:r>
      <w:bookmarkEnd w:id="4"/>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336" w:lineRule="auto" w:before="0"/>
        <w:ind w:left="634" w:right="410"/>
        <w:jc w:val="left"/>
      </w:pPr>
      <w:r>
        <w:rPr/>
        <w:t>报告期内公司召开了2006年度股东大会及两次临时股东大会，具体召开情况如下： 一、2006年度股东大会 2006年度股东大会于2007年3月23日在深圳市南山区高新区北区清华信息港研发楼B栋</w:t>
      </w:r>
    </w:p>
    <w:p>
      <w:pPr>
        <w:pStyle w:val="BodyText"/>
        <w:spacing w:line="240" w:lineRule="auto" w:before="29"/>
        <w:ind w:left="154" w:right="0"/>
        <w:jc w:val="left"/>
      </w:pPr>
      <w:r>
        <w:rPr/>
        <w:t>501会议室召开，会议以记名投票方式审议通过了以下议案：</w:t>
      </w:r>
    </w:p>
    <w:p>
      <w:pPr>
        <w:pStyle w:val="BodyText"/>
        <w:spacing w:line="240" w:lineRule="auto" w:before="126"/>
        <w:ind w:left="634" w:right="0"/>
        <w:jc w:val="left"/>
      </w:pPr>
      <w:r>
        <w:rPr/>
        <w:t>1、2006年度《董事会工作报告》</w:t>
      </w:r>
    </w:p>
    <w:p>
      <w:pPr>
        <w:pStyle w:val="BodyText"/>
        <w:spacing w:line="240" w:lineRule="auto" w:before="126"/>
        <w:ind w:left="634" w:right="0"/>
        <w:jc w:val="left"/>
      </w:pPr>
      <w:r>
        <w:rPr/>
        <w:t>2、2006年度《财务决算报告》</w:t>
      </w:r>
    </w:p>
    <w:p>
      <w:pPr>
        <w:pStyle w:val="BodyText"/>
        <w:spacing w:line="240" w:lineRule="auto" w:before="125"/>
        <w:ind w:left="634" w:right="0"/>
        <w:jc w:val="left"/>
      </w:pPr>
      <w:r>
        <w:rPr/>
        <w:t>3、2006年度利润分配方案</w:t>
      </w:r>
    </w:p>
    <w:p>
      <w:pPr>
        <w:pStyle w:val="BodyText"/>
        <w:spacing w:line="240" w:lineRule="auto" w:before="126"/>
        <w:ind w:left="634" w:right="0"/>
        <w:jc w:val="left"/>
      </w:pPr>
      <w:r>
        <w:rPr/>
        <w:t>4、关于续聘会计师事务所的议案</w:t>
      </w:r>
    </w:p>
    <w:p>
      <w:pPr>
        <w:pStyle w:val="BodyText"/>
        <w:spacing w:line="240" w:lineRule="auto" w:before="126"/>
        <w:ind w:left="634" w:right="0"/>
        <w:jc w:val="left"/>
      </w:pPr>
      <w:r>
        <w:rPr/>
        <w:t>5、2006年度《监事会工作报告》</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336" w:lineRule="auto" w:before="0"/>
        <w:ind w:left="634" w:right="290"/>
        <w:jc w:val="left"/>
      </w:pPr>
      <w:r>
        <w:rPr/>
        <w:t>二、2007年度第一次临时股东大会 2007年度第一次临时股东大会于2007年7月13日在深圳市南山区麒麟山庄贵宾楼商务会</w:t>
      </w:r>
    </w:p>
    <w:p>
      <w:pPr>
        <w:pStyle w:val="BodyText"/>
        <w:spacing w:line="336" w:lineRule="auto" w:before="29"/>
        <w:ind w:left="634" w:right="4490" w:hanging="480"/>
        <w:jc w:val="left"/>
      </w:pPr>
      <w:r>
        <w:rPr/>
        <w:t>议室召开，会议以记名方式审议通过了以下议案： 1、关于修改《公司章程》的议案</w:t>
      </w:r>
    </w:p>
    <w:p>
      <w:pPr>
        <w:pStyle w:val="BodyText"/>
        <w:spacing w:line="240" w:lineRule="auto"/>
        <w:ind w:left="634" w:right="0"/>
        <w:jc w:val="left"/>
      </w:pPr>
      <w:r>
        <w:rPr/>
        <w:t>2、关于修改《募集资金管理办法》的议案</w:t>
      </w:r>
    </w:p>
    <w:p>
      <w:pPr>
        <w:pStyle w:val="BodyText"/>
        <w:spacing w:line="336" w:lineRule="auto" w:before="125"/>
        <w:ind w:left="634" w:right="0"/>
        <w:jc w:val="left"/>
      </w:pPr>
      <w:r>
        <w:rPr/>
        <w:t>3、关于执行新会计准则的议案 </w:t>
      </w:r>
      <w:r>
        <w:rPr>
          <w:spacing w:val="-8"/>
        </w:rPr>
        <w:t>该次会议决议公告刊登在2007年7月14日的《证券时报》以及本公司指定信息披露网站“巨</w:t>
      </w:r>
    </w:p>
    <w:p>
      <w:pPr>
        <w:pStyle w:val="BodyText"/>
        <w:spacing w:line="240" w:lineRule="auto"/>
        <w:ind w:right="0"/>
        <w:jc w:val="left"/>
      </w:pPr>
      <w:r>
        <w:rPr/>
        <w:t>潮信息网</w:t>
      </w:r>
      <w:r>
        <w:rPr>
          <w:spacing w:val="-120"/>
        </w:rPr>
        <w:t>”</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336" w:lineRule="auto" w:before="0"/>
        <w:ind w:left="633" w:right="291"/>
        <w:jc w:val="left"/>
      </w:pPr>
      <w:r>
        <w:rPr/>
        <w:t>三、2007年度第二次临时股东大会 2007年度第二次临时股东大会于2007年8月21日在深圳市南山区高新区北区清华信息港</w:t>
      </w:r>
    </w:p>
    <w:p>
      <w:pPr>
        <w:pStyle w:val="BodyText"/>
        <w:spacing w:line="336" w:lineRule="auto" w:before="29"/>
        <w:ind w:right="171"/>
        <w:jc w:val="left"/>
      </w:pPr>
      <w:r>
        <w:rPr/>
        <w:t>研发楼B栋501会议室召开，会议以记名方式审议通过了《关于使用部分闲置募集资金暂时补 充流动资金的议案》。</w:t>
      </w:r>
    </w:p>
    <w:p>
      <w:pPr>
        <w:pStyle w:val="BodyText"/>
        <w:spacing w:line="336" w:lineRule="auto"/>
        <w:ind w:right="132" w:firstLine="480"/>
        <w:jc w:val="left"/>
      </w:pPr>
      <w:r>
        <w:rPr/>
        <w:t>该次会议决议公告刊登于2007年8月22日</w:t>
      </w:r>
      <w:r>
        <w:rPr>
          <w:spacing w:val="-107"/>
        </w:rPr>
        <w:t>的</w:t>
      </w:r>
      <w:r>
        <w:rPr/>
        <w:t>《证券时报</w:t>
      </w:r>
      <w:r>
        <w:rPr>
          <w:spacing w:val="-107"/>
        </w:rPr>
        <w:t>》</w:t>
      </w:r>
      <w:r>
        <w:rPr/>
        <w:t>以及本公司指定信息披露网</w:t>
      </w:r>
      <w:r>
        <w:rPr>
          <w:spacing w:val="-107"/>
        </w:rPr>
        <w:t>站</w:t>
      </w:r>
      <w:r>
        <w:rPr/>
        <w:t>“巨</w:t>
      </w:r>
      <w:r>
        <w:rPr/>
        <w:t> 潮信息网</w:t>
      </w:r>
      <w:r>
        <w:rPr>
          <w:spacing w:val="-120"/>
        </w:rPr>
        <w:t>”</w:t>
      </w:r>
      <w:r>
        <w:rPr/>
        <w:t>。</w:t>
      </w:r>
    </w:p>
    <w:p>
      <w:pPr>
        <w:spacing w:after="0" w:line="336" w:lineRule="auto"/>
        <w:jc w:val="left"/>
        <w:sectPr>
          <w:footerReference w:type="default" r:id="rId14"/>
          <w:pgSz w:w="11910" w:h="16840"/>
          <w:pgMar w:footer="1339" w:header="747" w:top="980" w:bottom="1520" w:left="980" w:right="980"/>
          <w:pgNumType w:start="2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1"/>
        <w:spacing w:line="240" w:lineRule="auto"/>
        <w:ind w:left="3888" w:right="212"/>
        <w:jc w:val="left"/>
        <w:rPr>
          <w:b w:val="0"/>
          <w:bCs w:val="0"/>
        </w:rPr>
      </w:pPr>
      <w:bookmarkStart w:name="_TOC_250004" w:id="5"/>
      <w:r>
        <w:rPr/>
        <w:t>第八节、董事会报告</w:t>
      </w:r>
      <w:bookmarkEnd w:id="5"/>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336" w:lineRule="auto" w:before="0"/>
        <w:ind w:left="633" w:right="6011"/>
        <w:jc w:val="left"/>
      </w:pPr>
      <w:r>
        <w:rPr/>
        <w:t>一、报告期内公司经营情况回顾 1、公司总体经营情况概述</w:t>
      </w:r>
    </w:p>
    <w:p>
      <w:pPr>
        <w:pStyle w:val="BodyText"/>
        <w:spacing w:line="336" w:lineRule="auto"/>
        <w:ind w:right="268" w:firstLine="480"/>
        <w:jc w:val="both"/>
      </w:pPr>
      <w:r>
        <w:rPr/>
        <w:t>2007年度是公司发展历程中具有重要意义的一年。在董事会、管理层和全体员工的共同 努力下，公司实现了两大重要战略目标：首先，经中国证监会核准，公司首次公开发行人民 币普通股股票并在深圳证券交易所中小企业板上市交易；第二，年度营业总收入首次突破10 亿元人民币，为实现公司“力争在未来三年时间内实现销售收入40~50亿元，进入全球EMS前 20强”的战略目标奠定了良好的基础。</w:t>
      </w:r>
    </w:p>
    <w:p>
      <w:pPr>
        <w:pStyle w:val="BodyText"/>
        <w:spacing w:line="336" w:lineRule="auto"/>
        <w:ind w:right="92" w:firstLine="480"/>
        <w:jc w:val="left"/>
      </w:pPr>
      <w:r>
        <w:rPr/>
        <w:t>报告期内公司实现营业总收入120,270.39万元，同比增长148.86%；实现营业利润 6,017.25万元，同比增长36.07%；实现净利润6,171.79万元，同比增长31.69%。上述财务资 </w:t>
      </w:r>
      <w:r>
        <w:rPr>
          <w:spacing w:val="-3"/>
        </w:rPr>
        <w:t>料发生重大变化的主要原因是公司主要客户荷兰皇家飞利浦电子公司（以下简称“飞利浦”）</w:t>
      </w:r>
      <w:r>
        <w:rPr>
          <w:spacing w:val="-81"/>
        </w:rPr>
        <w:t> </w:t>
      </w:r>
      <w:r>
        <w:rPr>
          <w:spacing w:val="-81"/>
        </w:rPr>
      </w:r>
      <w:r>
        <w:rPr/>
        <w:t>给予公司的产品订单大幅度增加。作为飞利浦全球四家核心EMS（Electronic Manufacture Services，电子制造服务）供货商之一，以及飞利浦可录DVD、家庭影院等消费电子产品全球</w:t>
      </w:r>
      <w:r>
        <w:rPr/>
        <w:t> 唯一EMS供货商，报告期内公司共收到来自飞利浦可录DVD、家庭影院、MP3、MP4等各类电子 产品控制板订单合计108,869.06万元，占营业总收入的比重为90.52%。</w:t>
      </w:r>
    </w:p>
    <w:p>
      <w:pPr>
        <w:pStyle w:val="BodyText"/>
        <w:spacing w:line="336" w:lineRule="auto"/>
        <w:ind w:right="231" w:firstLine="480"/>
        <w:jc w:val="both"/>
      </w:pPr>
      <w:r>
        <w:rPr>
          <w:spacing w:val="-2"/>
        </w:rPr>
        <w:t>公司董事会亦关注到，在营业总收入同比增长148.86%的同时，营业利润及净利润的增长</w:t>
      </w:r>
      <w:r>
        <w:rPr/>
        <w:t> 幅度明显偏低。造成这种情况的原因，一是客户给予公司的产品订单大幅增加，公司给予客 </w:t>
      </w:r>
      <w:r>
        <w:rPr>
          <w:spacing w:val="-2"/>
        </w:rPr>
        <w:t>户的价格折扣相应增加；二是现阶段公司主要产品，如可录DVD控制板、家庭影院控制板等在</w:t>
      </w:r>
      <w:r>
        <w:rPr/>
        <w:t> 全部电子产品中相对属于中低端产品，随着市场竞争的加剧，产品价格及利润率水平呈现缓 慢下降趋势。针对上述情况，董事会将在2008年度采取更加有效的措施，一方面进一步严格 控制各项成本费用，另一方面积极向更高端产品、更高附加值产品领域渗透，以确保公司产 品稳定的利润率水平。</w:t>
      </w:r>
    </w:p>
    <w:p>
      <w:pPr>
        <w:pStyle w:val="BodyText"/>
        <w:spacing w:line="240" w:lineRule="auto" w:before="29"/>
        <w:ind w:left="633" w:right="212"/>
        <w:jc w:val="left"/>
      </w:pPr>
      <w:r>
        <w:rPr/>
        <w:t>2、主营业务及经营状况</w:t>
      </w:r>
    </w:p>
    <w:p>
      <w:pPr>
        <w:pStyle w:val="BodyText"/>
        <w:spacing w:line="336" w:lineRule="auto" w:before="126"/>
        <w:ind w:right="229" w:firstLine="480"/>
        <w:jc w:val="both"/>
      </w:pPr>
      <w:r>
        <w:rPr/>
        <w:t>（1）主营业务：本公司主营业务为电子制造服务（EMS），是指为品牌生产商（如飞利 </w:t>
      </w:r>
      <w:r>
        <w:rPr>
          <w:spacing w:val="-3"/>
        </w:rPr>
        <w:t>浦）提供电子产品设计、工程、制造、测试，以及物料采购等一系列服务。EMS企业最初仅仅</w:t>
      </w:r>
      <w:r>
        <w:rPr>
          <w:spacing w:val="-115"/>
        </w:rPr>
        <w:t> </w:t>
      </w:r>
      <w:r>
        <w:rPr>
          <w:spacing w:val="-115"/>
        </w:rPr>
      </w:r>
      <w:r>
        <w:rPr>
          <w:spacing w:val="-2"/>
        </w:rPr>
        <w:t>是代客户帖装印刷线路板，随着专业化分工的进一步深入，目前EMS企业已经将服务范围延伸</w:t>
      </w:r>
      <w:r>
        <w:rPr>
          <w:spacing w:val="-118"/>
        </w:rPr>
        <w:t> </w:t>
      </w:r>
      <w:r>
        <w:rPr>
          <w:spacing w:val="-118"/>
        </w:rPr>
      </w:r>
      <w:r>
        <w:rPr>
          <w:spacing w:val="-2"/>
        </w:rPr>
        <w:t>到与印刷线路板贴装有关的各个环节，因此，虽然经帖装的印刷线路板仍是EMS企业的主要产</w:t>
      </w:r>
      <w:r>
        <w:rPr>
          <w:spacing w:val="-118"/>
        </w:rPr>
        <w:t> </w:t>
      </w:r>
      <w:r>
        <w:rPr>
          <w:spacing w:val="-118"/>
        </w:rPr>
      </w:r>
      <w:r>
        <w:rPr/>
        <w:t>品，但是仅仅从事印刷线路板帖装的企业不能称为真正意义上的EMS企业。</w:t>
      </w:r>
    </w:p>
    <w:p>
      <w:pPr>
        <w:pStyle w:val="BodyText"/>
        <w:spacing w:line="336" w:lineRule="auto" w:before="29"/>
        <w:ind w:left="633" w:right="6011"/>
        <w:jc w:val="left"/>
      </w:pPr>
      <w:r>
        <w:rPr/>
        <w:t>（2）经营状况： 主营业务分行业、分产品情况：</w:t>
      </w:r>
    </w:p>
    <w:p>
      <w:pPr>
        <w:spacing w:after="0" w:line="336" w:lineRule="auto"/>
        <w:jc w:val="left"/>
        <w:sectPr>
          <w:pgSz w:w="11910" w:h="16840"/>
          <w:pgMar w:header="747" w:footer="1339" w:top="980" w:bottom="1520" w:left="980" w:right="900"/>
        </w:sectPr>
      </w:pPr>
    </w:p>
    <w:p>
      <w:pPr>
        <w:spacing w:line="240" w:lineRule="auto" w:before="11"/>
        <w:rPr>
          <w:rFonts w:ascii="宋体" w:hAnsi="宋体" w:cs="宋体" w:eastAsia="宋体" w:hint="default"/>
          <w:sz w:val="28"/>
          <w:szCs w:val="28"/>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5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120,200.90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108,823.49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9.47%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149.89%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166.19%</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-5.54%</w:t>
            </w:r>
            <w:r>
              <w:rPr>
                <w:rFonts w:ascii="Times New Roman"/>
                <w:sz w:val="18"/>
              </w:rPr>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可刻录</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DVD</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39,470.07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35,730.54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9.47%</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202.86%</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233.56%</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-8.33%</w:t>
            </w:r>
            <w:r>
              <w:rPr>
                <w:rFonts w:ascii="Times New Roman"/>
                <w:sz w:val="18"/>
              </w:rPr>
            </w:r>
          </w:p>
        </w:tc>
      </w:tr>
      <w:tr>
        <w:trPr>
          <w:trHeight w:val="298"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MP3/MP4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32,012.18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29,154.43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w w:val="95"/>
                <w:sz w:val="18"/>
              </w:rPr>
              <w:t>8.93%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家庭影院板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29,967.17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27,534.05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8.12%</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88.37%</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100.29%</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-5.47%</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7,186.66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6,945.33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3.36%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103.57%</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124.71%</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-9.09%</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6,656.48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6,008.73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9.73%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-19.23%</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-3.01%</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4,748.99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3,296.41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30.59%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-6.62%</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-22.92%</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14.69%</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AV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板</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159.35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154.00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3.36%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-92.11%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-90.47%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-16.60%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339" w:top="980" w:bottom="1520" w:left="980" w:right="820"/>
        </w:sectPr>
      </w:pPr>
    </w:p>
    <w:p>
      <w:pPr>
        <w:pStyle w:val="BodyText"/>
        <w:spacing w:line="240" w:lineRule="auto" w:before="71"/>
        <w:ind w:left="634" w:right="-20"/>
        <w:jc w:val="left"/>
      </w:pPr>
      <w:r>
        <w:rPr/>
        <w:t>主营业务分地区情况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after="0"/>
        <w:jc w:val="left"/>
        <w:rPr>
          <w:rFonts w:ascii="宋体" w:hAnsi="宋体" w:cs="宋体" w:eastAsia="宋体" w:hint="default"/>
          <w:sz w:val="18"/>
          <w:szCs w:val="18"/>
        </w:rPr>
        <w:sectPr>
          <w:type w:val="continuous"/>
          <w:pgSz w:w="11910" w:h="16840"/>
          <w:pgMar w:top="980" w:bottom="1520" w:left="980" w:right="820"/>
          <w:cols w:num="2" w:equalWidth="0">
            <w:col w:w="2795" w:space="4654"/>
            <w:col w:w="266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转厂</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64,056.83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244.89%</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43,664.23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532.26%</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3,122.83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-82.74%</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8,129.71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167.46%</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611.76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-56.89%</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615.54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710.03%</w:t>
            </w:r>
            <w:r>
              <w:rPr>
                <w:rFonts w:ascii="Times New Roman"/>
                <w:sz w:val="18"/>
              </w:rPr>
            </w:r>
          </w:p>
        </w:tc>
      </w:tr>
    </w:tbl>
    <w:p>
      <w:pPr>
        <w:pStyle w:val="BodyText"/>
        <w:spacing w:line="336" w:lineRule="auto" w:before="71"/>
        <w:ind w:left="633" w:right="331" w:firstLine="2"/>
        <w:jc w:val="left"/>
      </w:pPr>
      <w:r>
        <w:rPr/>
        <w:t>（3）新产品及服务 MP3、MP4控制板是报告期内公司新增的产品，营业收入占全年营业总收入的26.60%，目</w:t>
      </w:r>
    </w:p>
    <w:p>
      <w:pPr>
        <w:pStyle w:val="BodyText"/>
        <w:spacing w:line="336" w:lineRule="auto"/>
        <w:ind w:right="331"/>
        <w:jc w:val="left"/>
      </w:pPr>
      <w:r>
        <w:rPr/>
        <w:t>标客户为飞利浦。MP3、MP4作为飞利浦消费电子领域的主要产品之一，在国际市场具有较高 的市场占有率，因此董事会预测该产品在今后的一段时间内亦将成为本公司主要产品。</w:t>
      </w:r>
    </w:p>
    <w:p>
      <w:pPr>
        <w:pStyle w:val="BodyText"/>
        <w:spacing w:line="336" w:lineRule="auto"/>
        <w:ind w:right="173" w:firstLine="480"/>
        <w:jc w:val="left"/>
      </w:pPr>
      <w:r>
        <w:rPr/>
        <w:t>于2007年8月2日召开的公司第一届董事会第十六次会议审议通过了关于设立开发部的议 案，新设立的开发部与公司原有的第一、第二事业部平级，旨在保持并巩固公司现有EMS业务 优势的基础上，向ODM（Original Design Manufacture，自主设计制造，指结构、外观、工 </w:t>
      </w:r>
      <w:r>
        <w:rPr>
          <w:spacing w:val="-2"/>
        </w:rPr>
        <w:t>艺均由生产商自主开发，由客户选择下单后进行生产，并以客户的品牌进行销售的业务模式）</w:t>
      </w:r>
      <w:r>
        <w:rPr/>
        <w:t> 业务渗透。目前开发部主要设计、开发蓝牙及数码相框等产品，并已取得一定客户订单，但 由于成立时间较短，报告期内对公司经营业绩的影响较小。</w:t>
      </w:r>
    </w:p>
    <w:p>
      <w:pPr>
        <w:pStyle w:val="BodyText"/>
        <w:spacing w:line="336" w:lineRule="auto"/>
        <w:ind w:left="633" w:right="331"/>
        <w:jc w:val="left"/>
      </w:pPr>
      <w:r>
        <w:rPr/>
        <w:t>（4）主要供货商及客户情况 报告期内公司向前五名供货商采购金额41,796.16万元，占采购总金额的39.03%。 报告期内公司向前五名客户销售金额117,725.42万元，占销售总金额的97.88%。报告期</w:t>
      </w:r>
    </w:p>
    <w:p>
      <w:pPr>
        <w:pStyle w:val="BodyText"/>
        <w:spacing w:line="336" w:lineRule="auto"/>
        <w:ind w:right="331"/>
        <w:jc w:val="left"/>
      </w:pPr>
      <w:r>
        <w:rPr/>
        <w:t>内公司最主要的客户为飞利浦，公司对飞利浦的销售额为108,869.06万元，占销售总金额的 90.52%。</w:t>
      </w:r>
    </w:p>
    <w:p>
      <w:pPr>
        <w:spacing w:after="0" w:line="336" w:lineRule="auto"/>
        <w:jc w:val="left"/>
        <w:sectPr>
          <w:type w:val="continuous"/>
          <w:pgSz w:w="11910" w:h="16840"/>
          <w:pgMar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1339" w:top="980" w:bottom="1520" w:left="980" w:right="820"/>
        </w:sectPr>
      </w:pPr>
    </w:p>
    <w:p>
      <w:pPr>
        <w:pStyle w:val="BodyText"/>
        <w:spacing w:line="240" w:lineRule="auto" w:before="26"/>
        <w:ind w:left="634" w:right="-20"/>
        <w:jc w:val="left"/>
      </w:pPr>
      <w:r>
        <w:rPr/>
        <w:t>3、报告期公司资产构成情况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2"/>
          <w:szCs w:val="12"/>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980" w:bottom="1520" w:left="980" w:right="820"/>
          <w:cols w:num="2" w:equalWidth="0">
            <w:col w:w="3635" w:space="3994"/>
            <w:col w:w="2481"/>
          </w:cols>
        </w:sectPr>
      </w:pP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57"/>
        <w:gridCol w:w="1632"/>
        <w:gridCol w:w="1620"/>
        <w:gridCol w:w="1440"/>
        <w:gridCol w:w="1440"/>
        <w:gridCol w:w="1728"/>
      </w:tblGrid>
      <w:tr>
        <w:trPr>
          <w:trHeight w:val="162" w:hRule="exact"/>
        </w:trPr>
        <w:tc>
          <w:tcPr>
            <w:tcW w:w="1957"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8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6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1" w:hRule="exact"/>
        </w:trPr>
        <w:tc>
          <w:tcPr>
            <w:tcW w:w="195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612" w:right="0"/>
              <w:jc w:val="left"/>
              <w:rPr>
                <w:rFonts w:ascii="宋体" w:hAnsi="宋体" w:cs="宋体" w:eastAsia="宋体" w:hint="default"/>
                <w:sz w:val="18"/>
                <w:szCs w:val="18"/>
              </w:rPr>
            </w:pPr>
            <w:r>
              <w:rPr>
                <w:rFonts w:ascii="宋体" w:hAnsi="宋体" w:cs="宋体" w:eastAsia="宋体" w:hint="default"/>
                <w:sz w:val="18"/>
                <w:szCs w:val="18"/>
              </w:rPr>
              <w:t>资产构成</w:t>
            </w:r>
          </w:p>
        </w:tc>
        <w:tc>
          <w:tcPr>
            <w:tcW w:w="3252" w:type="dxa"/>
            <w:gridSpan w:val="2"/>
            <w:vMerge/>
            <w:tcBorders>
              <w:left w:val="single" w:sz="4" w:space="0" w:color="000000"/>
              <w:bottom w:val="single" w:sz="4" w:space="0" w:color="000000"/>
              <w:right w:val="single" w:sz="4" w:space="0" w:color="000000"/>
            </w:tcBorders>
            <w:shd w:val="clear" w:color="auto" w:fill="DCDCDC"/>
          </w:tcPr>
          <w:p>
            <w:pPr/>
          </w:p>
        </w:tc>
        <w:tc>
          <w:tcPr>
            <w:tcW w:w="2880" w:type="dxa"/>
            <w:gridSpan w:val="2"/>
            <w:vMerge/>
            <w:tcBorders>
              <w:left w:val="single" w:sz="4" w:space="0" w:color="000000"/>
              <w:bottom w:val="single" w:sz="4" w:space="0" w:color="000000"/>
              <w:right w:val="single" w:sz="4" w:space="0" w:color="000000"/>
            </w:tcBorders>
            <w:shd w:val="clear" w:color="auto" w:fill="DCDCDC"/>
          </w:tcPr>
          <w:p>
            <w:pPr/>
          </w:p>
        </w:tc>
        <w:tc>
          <w:tcPr>
            <w:tcW w:w="17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53" w:hRule="exact"/>
        </w:trPr>
        <w:tc>
          <w:tcPr>
            <w:tcW w:w="1957"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占总资产的比重</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4" w:right="0"/>
              <w:jc w:val="left"/>
              <w:rPr>
                <w:rFonts w:ascii="宋体" w:hAnsi="宋体" w:cs="宋体" w:eastAsia="宋体" w:hint="default"/>
                <w:sz w:val="18"/>
                <w:szCs w:val="18"/>
              </w:rPr>
            </w:pPr>
            <w:r>
              <w:rPr>
                <w:rFonts w:ascii="宋体" w:hAnsi="宋体" w:cs="宋体" w:eastAsia="宋体" w:hint="default"/>
                <w:sz w:val="18"/>
                <w:szCs w:val="18"/>
              </w:rPr>
              <w:t>占总资产的比重</w:t>
            </w:r>
          </w:p>
        </w:tc>
        <w:tc>
          <w:tcPr>
            <w:tcW w:w="1728" w:type="dxa"/>
            <w:vMerge/>
            <w:tcBorders>
              <w:left w:val="single" w:sz="4" w:space="0" w:color="000000"/>
              <w:bottom w:val="nil" w:sz="6" w:space="0" w:color="auto"/>
              <w:right w:val="single" w:sz="4" w:space="0" w:color="000000"/>
            </w:tcBorders>
            <w:shd w:val="clear" w:color="auto" w:fill="DCDCDC"/>
          </w:tcPr>
          <w:p>
            <w:pPr/>
          </w:p>
        </w:tc>
      </w:tr>
      <w:tr>
        <w:trPr>
          <w:trHeight w:val="171" w:hRule="exact"/>
        </w:trPr>
        <w:tc>
          <w:tcPr>
            <w:tcW w:w="19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2"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7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219,892,797.75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24.39%</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76,380,379.74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18.61%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187.90%</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311,200,755.55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34.52%</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104,617,598.20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25.50%</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197.47%</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3,712,637.82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1,903,230.52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0.46%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95.07%</w:t>
            </w:r>
            <w:r>
              <w:rPr>
                <w:rFonts w:ascii="Times New Roman"/>
                <w:sz w:val="18"/>
              </w:rPr>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114,236,397.80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12.67%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80,446,453.67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19.60%</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42.00%</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177,889,436.14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19.75%</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103,792,907.22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25.30%</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71.39%</w:t>
            </w:r>
            <w:r>
              <w:rPr>
                <w:rFonts w:ascii="Times New Roman"/>
                <w:sz w:val="18"/>
              </w:rPr>
            </w:r>
          </w:p>
        </w:tc>
      </w:tr>
      <w:tr>
        <w:trPr>
          <w:trHeight w:val="323"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1,655,989.64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15,869,375.01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-89.56%</w:t>
            </w:r>
            <w:r>
              <w:rPr>
                <w:rFonts w:ascii="Times New Roman"/>
                <w:sz w:val="18"/>
              </w:rPr>
            </w:r>
          </w:p>
        </w:tc>
      </w:tr>
      <w:tr>
        <w:trPr>
          <w:trHeight w:val="324"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53,313,201.64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5.91%</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9,591,384.87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2.33%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455.84%</w:t>
            </w:r>
            <w:r>
              <w:rPr>
                <w:rFonts w:ascii="Times New Roman"/>
                <w:sz w:val="18"/>
              </w:rPr>
            </w:r>
          </w:p>
        </w:tc>
      </w:tr>
    </w:tbl>
    <w:p>
      <w:pPr>
        <w:pStyle w:val="BodyText"/>
        <w:spacing w:line="336" w:lineRule="auto" w:before="71"/>
        <w:ind w:left="154" w:right="348" w:firstLine="480"/>
        <w:jc w:val="both"/>
      </w:pPr>
      <w:r>
        <w:rPr/>
        <w:t>（1）报告期末货币资金同比增长187.90%，主要原因是报告期公司首次公开发行人民币 普通股股票3,340万股，募集资金净额3.24亿元。</w:t>
      </w:r>
    </w:p>
    <w:p>
      <w:pPr>
        <w:pStyle w:val="BodyText"/>
        <w:spacing w:line="336" w:lineRule="auto" w:before="29"/>
        <w:ind w:right="311" w:firstLine="480"/>
        <w:jc w:val="both"/>
      </w:pPr>
      <w:r>
        <w:rPr/>
        <w:t>（2）报告期末应收账款同比增长197.47%，主要原因一是产品订单增加，公司销售额相 应增加，二是本公司同意主要客户飞利浦提出的延迟支付货款的要求。本应于2007年12月31 </w:t>
      </w:r>
      <w:r>
        <w:rPr>
          <w:spacing w:val="-2"/>
        </w:rPr>
        <w:t>日之前收到的2007年10月份货款14,763.43万元推迟至2008年1月8日收到，因此造成报告期末</w:t>
      </w:r>
      <w:r>
        <w:rPr>
          <w:spacing w:val="-100"/>
        </w:rPr>
        <w:t> </w:t>
      </w:r>
      <w:r>
        <w:rPr>
          <w:spacing w:val="-100"/>
        </w:rPr>
      </w:r>
      <w:r>
        <w:rPr/>
        <w:t>公司应收账款余额相应增加。</w:t>
      </w:r>
    </w:p>
    <w:p>
      <w:pPr>
        <w:pStyle w:val="BodyText"/>
        <w:spacing w:line="336" w:lineRule="auto"/>
        <w:ind w:right="311" w:firstLine="480"/>
        <w:jc w:val="both"/>
      </w:pPr>
      <w:r>
        <w:rPr>
          <w:spacing w:val="-2"/>
        </w:rPr>
        <w:t>（3）报告期末其它应收款同比增长95.07%，主要原因是报告期公司尚未收到国家税部门</w:t>
      </w:r>
      <w:r>
        <w:rPr/>
        <w:t> 的出口退税199.21万元。</w:t>
      </w:r>
    </w:p>
    <w:p>
      <w:pPr>
        <w:pStyle w:val="BodyText"/>
        <w:spacing w:line="336" w:lineRule="auto" w:before="29"/>
        <w:ind w:right="348" w:firstLine="480"/>
        <w:jc w:val="both"/>
      </w:pPr>
      <w:r>
        <w:rPr/>
        <w:t>（4）报告期末公司存货同比增长42%，主要原因产品订单增加，公司必须相应增加原材 料库存以满足生产需要。</w:t>
      </w:r>
    </w:p>
    <w:p>
      <w:pPr>
        <w:pStyle w:val="BodyText"/>
        <w:spacing w:line="336" w:lineRule="auto"/>
        <w:ind w:right="311" w:firstLine="480"/>
        <w:jc w:val="both"/>
      </w:pPr>
      <w:r>
        <w:rPr>
          <w:spacing w:val="-2"/>
        </w:rPr>
        <w:t>（5）报告期末固定资产同比增加71.39%，主要原因一是在建工程转为固定资产，二是产</w:t>
      </w:r>
      <w:r>
        <w:rPr/>
        <w:t> 品订单增加，增加采购生产设备等。</w:t>
      </w:r>
    </w:p>
    <w:p>
      <w:pPr>
        <w:pStyle w:val="BodyText"/>
        <w:spacing w:line="240" w:lineRule="auto"/>
        <w:ind w:left="633" w:right="271"/>
        <w:jc w:val="left"/>
      </w:pPr>
      <w:r>
        <w:rPr/>
        <w:t>（6）报告期末在建工程同比减少89.56%，主要是因为在建工程转为固定资产。</w:t>
      </w:r>
    </w:p>
    <w:p>
      <w:pPr>
        <w:pStyle w:val="BodyText"/>
        <w:spacing w:line="336" w:lineRule="auto" w:before="126"/>
        <w:ind w:right="348" w:firstLine="480"/>
        <w:jc w:val="both"/>
      </w:pPr>
      <w:r>
        <w:rPr/>
        <w:t>（7）报告期末无形资产同比增加455.84%，主要是因为公司于2006年12月29日通过公开 挂牌转让方式取得位于深圳市龙岗区宝龙工业城工业用土地使用权。</w:t>
      </w:r>
    </w:p>
    <w:p>
      <w:pPr>
        <w:pStyle w:val="BodyText"/>
        <w:spacing w:line="240" w:lineRule="auto"/>
        <w:ind w:left="633" w:right="3330"/>
        <w:jc w:val="left"/>
      </w:pPr>
      <w:r>
        <w:rPr/>
        <w:t>4、报告期各项成本费用情况</w:t>
      </w:r>
    </w:p>
    <w:p>
      <w:pPr>
        <w:spacing w:before="65"/>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0"/>
        <w:gridCol w:w="2358"/>
        <w:gridCol w:w="2332"/>
        <w:gridCol w:w="2330"/>
      </w:tblGrid>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5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5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1,947,202.05</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913,936.90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113.06%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5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33,995,510.68</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21,563,076.11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57.66%</w:t>
            </w:r>
            <w:r>
              <w:rPr>
                <w:rFonts w:ascii="Times New Roman"/>
                <w:sz w:val="18"/>
              </w:rPr>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5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6,476,238.98</w:t>
            </w:r>
          </w:p>
        </w:tc>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2,515,826.11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157.42%</w:t>
            </w:r>
            <w:r>
              <w:rPr>
                <w:rFonts w:ascii="Times New Roman"/>
                <w:sz w:val="18"/>
              </w:rPr>
            </w:r>
          </w:p>
        </w:tc>
      </w:tr>
    </w:tbl>
    <w:p>
      <w:pPr>
        <w:pStyle w:val="BodyText"/>
        <w:spacing w:line="336" w:lineRule="auto" w:before="71"/>
        <w:ind w:left="154" w:right="330" w:firstLine="480"/>
        <w:jc w:val="left"/>
      </w:pPr>
      <w:r>
        <w:rPr/>
        <w:t>（1）报告期内销售费用同比增长113.06%，主要是因为公司销售额增加，销售费用相应 增加。</w:t>
      </w:r>
    </w:p>
    <w:p>
      <w:pPr>
        <w:pStyle w:val="BodyText"/>
        <w:spacing w:line="240" w:lineRule="auto"/>
        <w:ind w:left="634" w:right="0"/>
        <w:jc w:val="left"/>
      </w:pPr>
      <w:r>
        <w:rPr>
          <w:spacing w:val="-5"/>
        </w:rPr>
        <w:t>（2）报告期内管理费用同比增长57.66%，主要是因为生产规模扩大，管理费用相应增加。</w:t>
      </w:r>
    </w:p>
    <w:p>
      <w:pPr>
        <w:spacing w:after="0" w:line="240" w:lineRule="auto"/>
        <w:jc w:val="left"/>
        <w:sectPr>
          <w:type w:val="continuous"/>
          <w:pgSz w:w="11910" w:h="16840"/>
          <w:pgMar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154" w:right="330" w:firstLine="480"/>
        <w:jc w:val="left"/>
      </w:pPr>
      <w:r>
        <w:rPr/>
        <w:t>（3）报告期内财务费用同比增长157.42%，主要是因为生产规模扩大，银行贷款总额增 加。</w:t>
      </w:r>
    </w:p>
    <w:p>
      <w:pPr>
        <w:pStyle w:val="BodyText"/>
        <w:spacing w:line="240" w:lineRule="auto" w:before="29"/>
        <w:ind w:left="634" w:right="3330"/>
        <w:jc w:val="left"/>
      </w:pPr>
      <w:r>
        <w:rPr/>
        <w:t>5、报告期现金流情况</w:t>
      </w:r>
    </w:p>
    <w:p>
      <w:pPr>
        <w:spacing w:before="196"/>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857"/>
        <w:gridCol w:w="2328"/>
        <w:gridCol w:w="2316"/>
        <w:gridCol w:w="2316"/>
      </w:tblGrid>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pacing w:val="-4"/>
                <w:sz w:val="18"/>
                <w:szCs w:val="18"/>
              </w:rPr>
              <w:t>一、经营活动产生的现金流量净额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-159,032,630.09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20,307,043.90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-883.14%</w:t>
            </w:r>
            <w:r>
              <w:rPr>
                <w:rFonts w:ascii="Times New Roman"/>
                <w:sz w:val="18"/>
              </w:rPr>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914,811,207.79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545,607,099.65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67.67%</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1,073,843,837.88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525,300,055.75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104.42%</w:t>
            </w:r>
            <w:r>
              <w:rPr>
                <w:rFonts w:ascii="Times New Roman"/>
                <w:sz w:val="18"/>
              </w:rPr>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pacing w:val="-4"/>
                <w:sz w:val="18"/>
                <w:szCs w:val="18"/>
              </w:rPr>
              <w:t>二、投资活动产生的现金流量净额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-82,483,673.45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-56,192,588.97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46.79%</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260.00%</w:t>
            </w:r>
            <w:r>
              <w:rPr>
                <w:rFonts w:ascii="Times New Roman"/>
                <w:sz w:val="18"/>
              </w:rPr>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82,843,673.45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56,292,588.97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47.17%</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三、筹资活动现金流量净额</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385,309,037.52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55,229,769.64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597.65%</w:t>
            </w:r>
            <w:r>
              <w:rPr>
                <w:rFonts w:ascii="Times New Roman"/>
                <w:sz w:val="18"/>
              </w:rPr>
            </w:r>
          </w:p>
        </w:tc>
      </w:tr>
      <w:tr>
        <w:trPr>
          <w:trHeight w:val="323"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775,369,544.18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167,576,357.29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362.70%</w:t>
            </w:r>
            <w:r>
              <w:rPr>
                <w:rFonts w:ascii="Times New Roman"/>
                <w:sz w:val="18"/>
              </w:rPr>
            </w:r>
          </w:p>
        </w:tc>
      </w:tr>
      <w:tr>
        <w:trPr>
          <w:trHeight w:val="32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232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390,060,506.66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112,346,587.65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247.19%</w:t>
            </w:r>
            <w:r>
              <w:rPr>
                <w:rFonts w:ascii="Times New Roman"/>
                <w:sz w:val="18"/>
              </w:rPr>
            </w:r>
          </w:p>
        </w:tc>
      </w:tr>
    </w:tbl>
    <w:p>
      <w:pPr>
        <w:pStyle w:val="BodyText"/>
        <w:spacing w:line="336" w:lineRule="auto" w:before="71"/>
        <w:ind w:right="173" w:firstLine="480"/>
        <w:jc w:val="left"/>
      </w:pPr>
      <w:r>
        <w:rPr/>
        <w:t>（1）报告期经营活动产生的现金流量净额由上年的2,030.70万元减少为净流出 </w:t>
      </w:r>
      <w:r>
        <w:rPr>
          <w:spacing w:val="-5"/>
        </w:rPr>
        <w:t>15,903.26万元，主要原因一是产品订单增加、原材料采购金额增加导致经营性现金支出增加；</w:t>
      </w:r>
      <w:r>
        <w:rPr>
          <w:spacing w:val="-92"/>
        </w:rPr>
        <w:t> </w:t>
      </w:r>
      <w:r>
        <w:rPr>
          <w:spacing w:val="-92"/>
        </w:rPr>
      </w:r>
      <w:r>
        <w:rPr/>
        <w:t>二是本公司同意主要客户飞利浦提出的延迟支付货款的要求。本应于2007年12月31日之前收 到的2007年10月份货款14,763.43元推迟至2008年1月8日收到，因此造成报告期末公司经营活</w:t>
      </w:r>
      <w:r>
        <w:rPr/>
        <w:t> 动现金流入量相应减少。</w:t>
      </w:r>
    </w:p>
    <w:p>
      <w:pPr>
        <w:pStyle w:val="BodyText"/>
        <w:spacing w:line="336" w:lineRule="auto"/>
        <w:ind w:right="297" w:firstLine="480"/>
        <w:jc w:val="left"/>
      </w:pPr>
      <w:r>
        <w:rPr>
          <w:spacing w:val="-2"/>
        </w:rPr>
        <w:t>（2）报告期投资活动产生的现金流量净额较上年减少2,629.11万元，主要原因一是购买</w:t>
      </w:r>
      <w:r>
        <w:rPr/>
        <w:t> 工业用地使用权支付现金</w:t>
      </w:r>
      <w:r>
        <w:rPr>
          <w:rFonts w:ascii="Times New Roman" w:hAnsi="Times New Roman" w:cs="Times New Roman" w:eastAsia="Times New Roman" w:hint="default"/>
        </w:rPr>
        <w:t>4,480.50</w:t>
      </w:r>
      <w:r>
        <w:rPr/>
        <w:t>万元；二是购买生产设备支付现金增加。</w:t>
      </w:r>
    </w:p>
    <w:p>
      <w:pPr>
        <w:pStyle w:val="BodyText"/>
        <w:spacing w:line="319" w:lineRule="auto" w:before="2"/>
        <w:ind w:right="299" w:firstLine="480"/>
        <w:jc w:val="left"/>
      </w:pPr>
      <w:r>
        <w:rPr>
          <w:spacing w:val="-2"/>
        </w:rPr>
        <w:t>（</w:t>
      </w:r>
      <w:r>
        <w:rPr>
          <w:rFonts w:ascii="Times New Roman" w:hAnsi="Times New Roman" w:cs="Times New Roman" w:eastAsia="Times New Roman" w:hint="default"/>
          <w:spacing w:val="-2"/>
        </w:rPr>
        <w:t>3</w:t>
      </w:r>
      <w:r>
        <w:rPr>
          <w:spacing w:val="-2"/>
        </w:rPr>
        <w:t>）报告期筹资活动现金流量净额同比增长</w:t>
      </w:r>
      <w:r>
        <w:rPr>
          <w:rFonts w:ascii="Times New Roman" w:hAnsi="Times New Roman" w:cs="Times New Roman" w:eastAsia="Times New Roman" w:hint="default"/>
          <w:spacing w:val="-2"/>
        </w:rPr>
        <w:t>33,007.93</w:t>
      </w:r>
      <w:r>
        <w:rPr>
          <w:spacing w:val="-2"/>
        </w:rPr>
        <w:t>万元，主要原因是报告期公司首次</w:t>
      </w:r>
      <w:r>
        <w:rPr/>
        <w:t> 公开发行人民币普通股股票募集资金净额</w:t>
      </w:r>
      <w:r>
        <w:rPr>
          <w:rFonts w:ascii="Times New Roman" w:hAnsi="Times New Roman" w:cs="Times New Roman" w:eastAsia="Times New Roman" w:hint="default"/>
        </w:rPr>
        <w:t>32,408.92</w:t>
      </w:r>
      <w:r>
        <w:rPr/>
        <w:t>万元。</w:t>
      </w:r>
    </w:p>
    <w:p>
      <w:pPr>
        <w:pStyle w:val="BodyText"/>
        <w:spacing w:line="240" w:lineRule="auto" w:before="19"/>
        <w:ind w:left="633" w:right="3330"/>
        <w:jc w:val="left"/>
      </w:pPr>
      <w:r>
        <w:rPr>
          <w:rFonts w:ascii="Times New Roman" w:hAnsi="Times New Roman" w:cs="Times New Roman" w:eastAsia="Times New Roman" w:hint="default"/>
        </w:rPr>
        <w:t>6</w:t>
      </w:r>
      <w:r>
        <w:rPr/>
        <w:t>、公司控股子公司经营情况及经营业绩</w:t>
      </w:r>
    </w:p>
    <w:p>
      <w:pPr>
        <w:pStyle w:val="BodyText"/>
        <w:spacing w:line="319" w:lineRule="auto" w:before="108"/>
        <w:ind w:left="633" w:right="301"/>
        <w:jc w:val="left"/>
      </w:pPr>
      <w:r>
        <w:rPr/>
        <w:t>（</w:t>
      </w:r>
      <w:r>
        <w:rPr>
          <w:rFonts w:ascii="Times New Roman" w:hAnsi="Times New Roman" w:cs="Times New Roman" w:eastAsia="Times New Roman" w:hint="default"/>
        </w:rPr>
        <w:t>1</w:t>
      </w:r>
      <w:r>
        <w:rPr/>
        <w:t>）无锡实益达电子有限公司（以下简称“无锡实益达”） </w:t>
      </w:r>
      <w:r>
        <w:rPr>
          <w:spacing w:val="-2"/>
        </w:rPr>
        <w:t>无锡实益达成立于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日，注册资本</w:t>
      </w:r>
      <w:r>
        <w:rPr>
          <w:rFonts w:ascii="Times New Roman" w:hAnsi="Times New Roman" w:cs="Times New Roman" w:eastAsia="Times New Roman" w:hint="default"/>
          <w:spacing w:val="-2"/>
        </w:rPr>
        <w:t>800</w:t>
      </w:r>
      <w:r>
        <w:rPr>
          <w:spacing w:val="-2"/>
        </w:rPr>
        <w:t>万美元，实收资本</w:t>
      </w:r>
      <w:r>
        <w:rPr>
          <w:rFonts w:ascii="Times New Roman" w:hAnsi="Times New Roman" w:cs="Times New Roman" w:eastAsia="Times New Roman" w:hint="default"/>
          <w:spacing w:val="-2"/>
        </w:rPr>
        <w:t>800</w:t>
      </w:r>
      <w:r>
        <w:rPr>
          <w:spacing w:val="-2"/>
        </w:rPr>
        <w:t>万美元，其中本公</w:t>
      </w:r>
    </w:p>
    <w:p>
      <w:pPr>
        <w:pStyle w:val="BodyText"/>
        <w:spacing w:line="319" w:lineRule="auto" w:before="19"/>
        <w:ind w:left="634" w:right="330" w:hanging="480"/>
        <w:jc w:val="left"/>
      </w:pPr>
      <w:r>
        <w:rPr/>
        <w:t>司出资比例为</w:t>
      </w:r>
      <w:r>
        <w:rPr>
          <w:rFonts w:ascii="Times New Roman" w:hAnsi="Times New Roman" w:cs="Times New Roman" w:eastAsia="Times New Roman" w:hint="default"/>
        </w:rPr>
        <w:t>51%</w:t>
      </w:r>
      <w:r>
        <w:rPr/>
        <w:t>，主营业务为照明、汽车电子、小家电类电子产品</w:t>
      </w:r>
      <w:r>
        <w:rPr>
          <w:rFonts w:ascii="Times New Roman" w:hAnsi="Times New Roman" w:cs="Times New Roman" w:eastAsia="Times New Roman" w:hint="default"/>
        </w:rPr>
        <w:t>EMS</w:t>
      </w:r>
      <w:r>
        <w:rPr/>
        <w:t>业务。 截止报告期末，无锡实益达总资产</w:t>
      </w:r>
      <w:r>
        <w:rPr>
          <w:rFonts w:ascii="Times New Roman" w:hAnsi="Times New Roman" w:cs="Times New Roman" w:eastAsia="Times New Roman" w:hint="default"/>
        </w:rPr>
        <w:t>80,891,372.84  </w:t>
      </w:r>
      <w:r>
        <w:rPr/>
        <w:t>，净资产</w:t>
      </w:r>
      <w:r>
        <w:rPr>
          <w:rFonts w:ascii="Times New Roman" w:hAnsi="Times New Roman" w:cs="Times New Roman" w:eastAsia="Times New Roman" w:hint="default"/>
        </w:rPr>
        <w:t>47,724,752.61</w:t>
      </w:r>
      <w:r>
        <w:rPr/>
        <w:t>，</w:t>
      </w:r>
      <w:r>
        <w:rPr>
          <w:rFonts w:ascii="Times New Roman" w:hAnsi="Times New Roman" w:cs="Times New Roman" w:eastAsia="Times New Roman" w:hint="default"/>
        </w:rPr>
        <w:t>2007</w:t>
      </w:r>
      <w:r>
        <w:rPr/>
        <w:t>年度营业</w:t>
      </w:r>
    </w:p>
    <w:p>
      <w:pPr>
        <w:pStyle w:val="BodyText"/>
        <w:spacing w:line="316" w:lineRule="auto" w:before="20"/>
        <w:ind w:left="154" w:right="271"/>
        <w:jc w:val="left"/>
      </w:pPr>
      <w:r>
        <w:rPr>
          <w:spacing w:val="-2"/>
        </w:rPr>
        <w:t>收入</w:t>
      </w:r>
      <w:r>
        <w:rPr>
          <w:rFonts w:ascii="Times New Roman" w:hAnsi="Times New Roman" w:cs="Times New Roman" w:eastAsia="Times New Roman" w:hint="default"/>
          <w:spacing w:val="-2"/>
        </w:rPr>
        <w:t>5,045,708.28</w:t>
      </w:r>
      <w:r>
        <w:rPr>
          <w:spacing w:val="-2"/>
        </w:rPr>
        <w:t>，营业利润</w:t>
      </w:r>
      <w:r>
        <w:rPr>
          <w:rFonts w:ascii="Times New Roman" w:hAnsi="Times New Roman" w:cs="Times New Roman" w:eastAsia="Times New Roman" w:hint="default"/>
          <w:spacing w:val="-2"/>
        </w:rPr>
        <w:t>-9,264,040.80</w:t>
      </w:r>
      <w:r>
        <w:rPr>
          <w:spacing w:val="-2"/>
        </w:rPr>
        <w:t>，实现净利润</w:t>
      </w:r>
      <w:r>
        <w:rPr>
          <w:rFonts w:ascii="Times New Roman" w:hAnsi="Times New Roman" w:cs="Times New Roman" w:eastAsia="Times New Roman" w:hint="default"/>
          <w:spacing w:val="-2"/>
        </w:rPr>
        <w:t>-8,834,559.48</w:t>
      </w:r>
      <w:r>
        <w:rPr>
          <w:spacing w:val="-2"/>
        </w:rPr>
        <w:t>。上述资料已经北京立信</w:t>
      </w:r>
      <w:r>
        <w:rPr>
          <w:spacing w:val="-61"/>
        </w:rPr>
        <w:t> </w:t>
      </w:r>
      <w:r>
        <w:rPr>
          <w:spacing w:val="-61"/>
        </w:rPr>
      </w:r>
      <w:r>
        <w:rPr/>
        <w:t>会计师事务所有限公司审计。</w:t>
      </w:r>
    </w:p>
    <w:p>
      <w:pPr>
        <w:pStyle w:val="BodyText"/>
        <w:spacing w:line="319" w:lineRule="auto" w:before="49"/>
        <w:ind w:left="634" w:right="570"/>
        <w:jc w:val="left"/>
      </w:pPr>
      <w:r>
        <w:rPr/>
        <w:t>（</w:t>
      </w:r>
      <w:r>
        <w:rPr>
          <w:rFonts w:ascii="Times New Roman" w:hAnsi="Times New Roman" w:cs="Times New Roman" w:eastAsia="Times New Roman" w:hint="default"/>
        </w:rPr>
        <w:t>2</w:t>
      </w:r>
      <w:r>
        <w:rPr/>
        <w:t>）实益达科技（香港）有限公司（以下简称“香港实益达”） 香港实益达于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日在香港注册成立，法定股本</w:t>
      </w:r>
      <w:r>
        <w:rPr>
          <w:rFonts w:ascii="Times New Roman" w:hAnsi="Times New Roman" w:cs="Times New Roman" w:eastAsia="Times New Roman" w:hint="default"/>
        </w:rPr>
        <w:t>50</w:t>
      </w:r>
      <w:r>
        <w:rPr/>
        <w:t>万港元，本公司出资比例</w:t>
      </w:r>
    </w:p>
    <w:p>
      <w:pPr>
        <w:pStyle w:val="BodyText"/>
        <w:spacing w:line="319" w:lineRule="auto" w:before="19"/>
        <w:ind w:left="154" w:right="271"/>
        <w:jc w:val="left"/>
      </w:pPr>
      <w:r>
        <w:rPr>
          <w:rFonts w:ascii="Times New Roman" w:hAnsi="Times New Roman" w:cs="Times New Roman" w:eastAsia="Times New Roman" w:hint="default"/>
          <w:spacing w:val="-2"/>
        </w:rPr>
        <w:t>100%</w:t>
      </w:r>
      <w:r>
        <w:rPr>
          <w:spacing w:val="-2"/>
        </w:rPr>
        <w:t>，主营业务为进出口贸易，目前主要配合本公司处理原材料采购中的报关申请、货运安</w:t>
      </w:r>
      <w:r>
        <w:rPr>
          <w:spacing w:val="-82"/>
        </w:rPr>
        <w:t> </w:t>
      </w:r>
      <w:r>
        <w:rPr>
          <w:spacing w:val="-82"/>
        </w:rPr>
      </w:r>
      <w:r>
        <w:rPr/>
        <w:t>排、仓储及付款等业务。</w:t>
      </w:r>
    </w:p>
    <w:p>
      <w:pPr>
        <w:spacing w:after="0" w:line="319" w:lineRule="auto"/>
        <w:jc w:val="left"/>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19" w:lineRule="auto" w:before="26"/>
        <w:ind w:right="191" w:firstLine="480"/>
        <w:jc w:val="both"/>
      </w:pPr>
      <w:r>
        <w:rPr/>
        <w:t>截止报告期末，香港实益达总资产</w:t>
      </w:r>
      <w:r>
        <w:rPr>
          <w:rFonts w:ascii="Times New Roman" w:hAnsi="Times New Roman" w:cs="Times New Roman" w:eastAsia="Times New Roman" w:hint="default"/>
        </w:rPr>
        <w:t>4,958,077.51</w:t>
      </w:r>
      <w:r>
        <w:rPr/>
        <w:t>，净资产</w:t>
      </w:r>
      <w:r>
        <w:rPr>
          <w:rFonts w:ascii="Times New Roman" w:hAnsi="Times New Roman" w:cs="Times New Roman" w:eastAsia="Times New Roman" w:hint="default"/>
        </w:rPr>
        <w:t>-1,803,246.00</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2007</w:t>
      </w:r>
      <w:r>
        <w:rPr/>
        <w:t>年度营业收 入</w:t>
      </w:r>
      <w:r>
        <w:rPr>
          <w:rFonts w:ascii="Times New Roman" w:hAnsi="Times New Roman" w:cs="Times New Roman" w:eastAsia="Times New Roman" w:hint="default"/>
        </w:rPr>
        <w:t>4,299,629.90</w:t>
      </w:r>
      <w:r>
        <w:rPr/>
        <w:t>，营业利润</w:t>
      </w:r>
      <w:r>
        <w:rPr>
          <w:rFonts w:ascii="Times New Roman" w:hAnsi="Times New Roman" w:cs="Times New Roman" w:eastAsia="Times New Roman" w:hint="default"/>
        </w:rPr>
        <w:t>-2,270,826.96</w:t>
      </w:r>
      <w:r>
        <w:rPr/>
        <w:t>，实现净利润</w:t>
      </w:r>
      <w:r>
        <w:rPr>
          <w:rFonts w:ascii="Times New Roman" w:hAnsi="Times New Roman" w:cs="Times New Roman" w:eastAsia="Times New Roman" w:hint="default"/>
        </w:rPr>
        <w:t>-2,270,826.96</w:t>
      </w:r>
      <w:r>
        <w:rPr>
          <w:rFonts w:ascii="Times New Roman" w:hAnsi="Times New Roman" w:cs="Times New Roman" w:eastAsia="Times New Roman" w:hint="default"/>
          <w:spacing w:val="59"/>
        </w:rPr>
        <w:t> </w:t>
      </w:r>
      <w:r>
        <w:rPr/>
        <w:t>。</w:t>
      </w:r>
    </w:p>
    <w:p>
      <w:pPr>
        <w:spacing w:line="240" w:lineRule="auto" w:before="2"/>
        <w:rPr>
          <w:rFonts w:ascii="宋体" w:hAnsi="宋体" w:cs="宋体" w:eastAsia="宋体" w:hint="default"/>
          <w:sz w:val="35"/>
          <w:szCs w:val="35"/>
        </w:rPr>
      </w:pPr>
    </w:p>
    <w:p>
      <w:pPr>
        <w:pStyle w:val="BodyText"/>
        <w:spacing w:line="336" w:lineRule="auto" w:before="0"/>
        <w:ind w:left="633" w:right="5851"/>
        <w:jc w:val="left"/>
      </w:pPr>
      <w:r>
        <w:rPr/>
        <w:t>二、对未来发展的展望 1、行业发展趋势及市场竞争格局</w:t>
      </w:r>
    </w:p>
    <w:p>
      <w:pPr>
        <w:pStyle w:val="BodyText"/>
        <w:spacing w:line="336" w:lineRule="auto" w:before="29"/>
        <w:ind w:left="633" w:right="91"/>
        <w:jc w:val="left"/>
      </w:pPr>
      <w:r>
        <w:rPr/>
        <w:t>（1）行业发展趋势： </w:t>
      </w:r>
      <w:r>
        <w:rPr>
          <w:spacing w:val="-3"/>
        </w:rPr>
        <w:t>EMS业务模式是全球电子制造行业最盛行的业务模式，其产生和发展得益于全球电子产品</w:t>
      </w:r>
    </w:p>
    <w:p>
      <w:pPr>
        <w:pStyle w:val="BodyText"/>
        <w:spacing w:line="336" w:lineRule="auto"/>
        <w:ind w:right="91"/>
        <w:jc w:val="left"/>
      </w:pPr>
      <w:r>
        <w:rPr/>
        <w:t>制造外包业务的推动以及专业化分工的深入。目前，全球大多数品牌电子产品制造商都已将 产品生产和部分设计流程外包给EMS企业，由此决定了EMS业务模式拥有巨大的市场空间。在 </w:t>
      </w:r>
      <w:r>
        <w:rPr>
          <w:spacing w:val="-3"/>
        </w:rPr>
        <w:t>近十年时间里，富士康、捷普、伟创力、四海、旭电等一批专业从事EMS业务的企业迅速成长</w:t>
      </w:r>
      <w:r>
        <w:rPr>
          <w:spacing w:val="-79"/>
        </w:rPr>
        <w:t> </w:t>
      </w:r>
      <w:r>
        <w:rPr>
          <w:spacing w:val="-79"/>
        </w:rPr>
      </w:r>
      <w:r>
        <w:rPr/>
        <w:t>为具有强大竞争力的国际型企业。全球产业分工和市场发展证明，EMS业务已经成为成熟的， 具有广阔市场发展前景的业务模式。</w:t>
      </w:r>
    </w:p>
    <w:p>
      <w:pPr>
        <w:pStyle w:val="BodyText"/>
        <w:spacing w:line="336" w:lineRule="auto"/>
        <w:ind w:right="191" w:firstLine="480"/>
        <w:jc w:val="both"/>
      </w:pPr>
      <w:r>
        <w:rPr>
          <w:spacing w:val="-3"/>
        </w:rPr>
        <w:t>在全球范围内，EMS业务由欧美等电子制造行业发达地区开始，然后是南美、东南亚和中</w:t>
      </w:r>
      <w:r>
        <w:rPr/>
        <w:t> 国台湾地区，之后是中国大陆，并一直向着成本越来越低而市场越来越大的方向迁移。随着 终端电子产品市场竞争的加剧，品牌制造商出于成本和市场的考虑，将越来越多的产品订单 </w:t>
      </w:r>
      <w:r>
        <w:rPr>
          <w:spacing w:val="-2"/>
        </w:rPr>
        <w:t>投向中国大陆地区和台湾地区，从而使中国成为全球EMS领域最重要的区域。具市场研究机构</w:t>
      </w:r>
      <w:r>
        <w:rPr>
          <w:spacing w:val="-118"/>
        </w:rPr>
        <w:t> </w:t>
      </w:r>
      <w:r>
        <w:rPr>
          <w:spacing w:val="-118"/>
        </w:rPr>
      </w:r>
      <w:r>
        <w:rPr/>
        <w:t>iSuppli公司分析，2007年度中国EMS制造业务收入约占全球EMS市场的44%，占亚太地区市场 份额的82%。</w:t>
      </w:r>
    </w:p>
    <w:p>
      <w:pPr>
        <w:pStyle w:val="BodyText"/>
        <w:spacing w:line="336" w:lineRule="auto"/>
        <w:ind w:right="228" w:firstLine="480"/>
        <w:jc w:val="both"/>
      </w:pPr>
      <w:r>
        <w:rPr/>
        <w:t>综上，EMS业务模式拥有巨大的市场空间，而中国以低廉的制造成本成为了全球EMS领域 最重要的区域，业务总量在未来相当长一段时间内将会保持持续、稳定的增长。</w:t>
      </w:r>
    </w:p>
    <w:p>
      <w:pPr>
        <w:pStyle w:val="BodyText"/>
        <w:spacing w:line="336" w:lineRule="auto" w:before="29"/>
        <w:ind w:left="633" w:right="211"/>
        <w:jc w:val="left"/>
      </w:pPr>
      <w:r>
        <w:rPr/>
        <w:t>（2）竞争格局： 在全球范围内EMS行业集中度较高，排名全球前五位的EMS公司富士康、捷普、伟创力、</w:t>
      </w:r>
    </w:p>
    <w:p>
      <w:pPr>
        <w:pStyle w:val="BodyText"/>
        <w:spacing w:line="336" w:lineRule="auto"/>
        <w:ind w:left="633" w:right="91" w:hanging="480"/>
        <w:jc w:val="left"/>
      </w:pPr>
      <w:r>
        <w:rPr/>
        <w:t>四海、旭电约占整个市场份额的60%。 </w:t>
      </w:r>
      <w:r>
        <w:rPr>
          <w:spacing w:val="-3"/>
        </w:rPr>
        <w:t>与国际著名企业相比较，国内EMS企业普遍规模小、技术含量低、业务能力不全面，在全</w:t>
      </w:r>
    </w:p>
    <w:p>
      <w:pPr>
        <w:pStyle w:val="BodyText"/>
        <w:spacing w:line="336" w:lineRule="auto"/>
        <w:ind w:right="175"/>
        <w:jc w:val="left"/>
      </w:pPr>
      <w:r>
        <w:rPr>
          <w:spacing w:val="-2"/>
        </w:rPr>
        <w:t>球电子制造产业链中的竞争力显著不足。中国EMS业务总量主要来自于国际大型企业在中国所</w:t>
      </w:r>
      <w:r>
        <w:rPr>
          <w:spacing w:val="-118"/>
        </w:rPr>
        <w:t> </w:t>
      </w:r>
      <w:r>
        <w:rPr>
          <w:spacing w:val="-118"/>
        </w:rPr>
      </w:r>
      <w:r>
        <w:rPr/>
        <w:t>设立的工厂。</w:t>
      </w:r>
    </w:p>
    <w:p>
      <w:pPr>
        <w:pStyle w:val="BodyText"/>
        <w:spacing w:line="336" w:lineRule="auto" w:before="29"/>
        <w:ind w:right="188" w:firstLine="480"/>
        <w:jc w:val="both"/>
      </w:pPr>
      <w:r>
        <w:rPr/>
        <w:t>本公司一直致力于为国际著名高端品牌制造商提供电子制造服务，因此目前主要竞争对 </w:t>
      </w:r>
      <w:r>
        <w:rPr>
          <w:spacing w:val="-8"/>
        </w:rPr>
        <w:t>手为排名全球前列的国际EMS企业。与国际大型企业相比较，本公司的竞争优势主要体现在“成</w:t>
      </w:r>
      <w:r>
        <w:rPr>
          <w:spacing w:val="-97"/>
        </w:rPr>
        <w:t> </w:t>
      </w:r>
      <w:r>
        <w:rPr>
          <w:spacing w:val="-97"/>
        </w:rPr>
      </w:r>
      <w:r>
        <w:rPr/>
        <w:t>本控制”、“灵活的生产和交付”、“一对一定制服务”等方面，尤其在成本控制和灵活的 生产交付方面，在消费电子产品领域公司的优势得到了最大限度的发挥，赢得了主要客户的 肯定以及日益增长的产品订单。与此同时，在生产规模、国际知名度、资金实力等方面，公</w:t>
      </w:r>
    </w:p>
    <w:p>
      <w:pPr>
        <w:spacing w:line="240" w:lineRule="auto" w:before="2"/>
        <w:rPr>
          <w:rFonts w:ascii="宋体" w:hAnsi="宋体" w:cs="宋体" w:eastAsia="宋体" w:hint="default"/>
          <w:sz w:val="12"/>
          <w:szCs w:val="12"/>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footerReference w:type="default" r:id="rId15"/>
          <w:pgSz w:w="11910" w:h="16840"/>
          <w:pgMar w:footer="711" w:header="747" w:top="980" w:bottom="90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34" w:right="1210" w:hanging="480"/>
        <w:jc w:val="left"/>
      </w:pPr>
      <w:r>
        <w:rPr/>
        <w:t>司与国际大型企业相比则处于明显劣势，需要通过更长时间的积累来弥补和改善。 2、未来的发展机遇和挑战</w:t>
      </w:r>
    </w:p>
    <w:p>
      <w:pPr>
        <w:pStyle w:val="BodyText"/>
        <w:spacing w:line="336" w:lineRule="auto" w:before="29"/>
        <w:ind w:left="634" w:right="212"/>
        <w:jc w:val="left"/>
      </w:pPr>
      <w:r>
        <w:rPr/>
        <w:t>（1）未来发展机遇 </w:t>
      </w:r>
      <w:r>
        <w:rPr>
          <w:spacing w:val="-3"/>
        </w:rPr>
        <w:t>首先，越来越多的EMS业务订单由欧美地区向中国转移，为本公司的发展提供了更为广阔</w:t>
      </w:r>
    </w:p>
    <w:p>
      <w:pPr>
        <w:pStyle w:val="BodyText"/>
        <w:spacing w:line="240" w:lineRule="auto"/>
        <w:ind w:left="154" w:right="212"/>
        <w:jc w:val="left"/>
      </w:pPr>
      <w:r>
        <w:rPr/>
        <w:t>的市场空间。</w:t>
      </w:r>
    </w:p>
    <w:p>
      <w:pPr>
        <w:pStyle w:val="BodyText"/>
        <w:spacing w:line="336" w:lineRule="auto" w:before="125"/>
        <w:ind w:left="154" w:right="268" w:firstLine="480"/>
        <w:jc w:val="both"/>
      </w:pPr>
      <w:r>
        <w:rPr/>
        <w:t>第二，公司具有多年与世界著名品牌制造商飞利浦合作的经验，一方面为公司争取更多 高端客户奠定了基础；另一方面提高了公司在全球EMS行业的知名度。</w:t>
      </w:r>
    </w:p>
    <w:p>
      <w:pPr>
        <w:pStyle w:val="BodyText"/>
        <w:spacing w:line="336" w:lineRule="auto"/>
        <w:ind w:left="154" w:right="268" w:firstLine="480"/>
        <w:jc w:val="both"/>
      </w:pPr>
      <w:r>
        <w:rPr/>
        <w:t>第三，报告期内公司成功实现首次公开发行人民币普通股股票并上市，一方面改善了公 司资产负债结构；另一方面募集资金能够在较短时间内使公司生产制造能力得到迅速提升， 从而满足国际高端客户的需要。</w:t>
      </w:r>
    </w:p>
    <w:p>
      <w:pPr>
        <w:pStyle w:val="BodyText"/>
        <w:spacing w:line="336" w:lineRule="auto"/>
        <w:ind w:left="634" w:right="250"/>
        <w:jc w:val="left"/>
      </w:pPr>
      <w:r>
        <w:rPr/>
        <w:t>（2）未来的挑战 首先，公司目前主要产品仍为消费类电子产品控制板，受终端产品市场竞争加剧以及订</w:t>
      </w:r>
    </w:p>
    <w:p>
      <w:pPr>
        <w:pStyle w:val="BodyText"/>
        <w:spacing w:line="336" w:lineRule="auto"/>
        <w:ind w:right="93"/>
        <w:jc w:val="left"/>
      </w:pPr>
      <w:r>
        <w:rPr/>
        <w:t>单增加产品单价下降因素的影响，报告期内主要产品毛利率水平有明显下降。因此，未来公 </w:t>
      </w:r>
      <w:r>
        <w:rPr>
          <w:spacing w:val="-2"/>
        </w:rPr>
        <w:t>司产品结构如何实现向更高端产品、更高附加值产品领域渗透是公司董事会面临的首要挑战。</w:t>
      </w:r>
      <w:r>
        <w:rPr/>
        <w:t> </w:t>
      </w:r>
      <w:r>
        <w:rPr>
          <w:spacing w:val="-3"/>
        </w:rPr>
        <w:t>报告期内公司积极通过各种管道尝试照明、医疗、汽车电子、安防、工业电器等产品的设计、</w:t>
      </w:r>
      <w:r>
        <w:rPr>
          <w:spacing w:val="-81"/>
        </w:rPr>
        <w:t> </w:t>
      </w:r>
      <w:r>
        <w:rPr>
          <w:spacing w:val="-81"/>
        </w:rPr>
      </w:r>
      <w:r>
        <w:rPr/>
        <w:t>生产，并将在今后陆续体现出经济效益。</w:t>
      </w:r>
    </w:p>
    <w:p>
      <w:pPr>
        <w:pStyle w:val="BodyText"/>
        <w:spacing w:line="336" w:lineRule="auto"/>
        <w:ind w:right="106" w:firstLine="480"/>
        <w:jc w:val="left"/>
      </w:pPr>
      <w:r>
        <w:rPr/>
        <w:t>第二，报告期公司实现营业总收入同比增长148.86%，订单规模的大幅增长使包括采购、 生产制造、质量控制等各个环节的内部管理能力面临巨大挑战。针对这种情况，报告期内公 </w:t>
      </w:r>
      <w:r>
        <w:rPr>
          <w:spacing w:val="-5"/>
        </w:rPr>
        <w:t>司聘请了多名具有国际大型EMS企业工作背景的外籍人士分别管理各事业部、制造部、质量部、</w:t>
      </w:r>
      <w:r>
        <w:rPr>
          <w:spacing w:val="-107"/>
        </w:rPr>
        <w:t> </w:t>
      </w:r>
      <w:r>
        <w:rPr>
          <w:spacing w:val="-107"/>
        </w:rPr>
      </w:r>
      <w:r>
        <w:rPr/>
        <w:t>采购部等重要职能部门，从而把先进的管理理念带入到公司管理当中。</w:t>
      </w:r>
    </w:p>
    <w:p>
      <w:pPr>
        <w:pStyle w:val="BodyText"/>
        <w:spacing w:line="336" w:lineRule="auto" w:before="29"/>
        <w:ind w:right="268" w:firstLine="480"/>
        <w:jc w:val="both"/>
      </w:pPr>
      <w:r>
        <w:rPr/>
        <w:t>第三，截止报告期末飞利浦仍然是本公司最主要的客户，在未来一段时间内开发更多国 际高端客户成为公司董事会、管理层高度重视的另一项重要工作。报告期内公司积极与欧美 高端客户接触，部分客户的量产订单将陆续体现出来。</w:t>
      </w:r>
    </w:p>
    <w:p>
      <w:pPr>
        <w:pStyle w:val="BodyText"/>
        <w:spacing w:line="336" w:lineRule="auto" w:before="29"/>
        <w:ind w:right="106" w:firstLine="480"/>
        <w:jc w:val="left"/>
      </w:pPr>
      <w:r>
        <w:rPr/>
        <w:t>第四，经董事会审议通过，公司于2007年8月设立开发部，旨在保持并巩固现有EMS业务 优势的基础上向ODM业务渗透。目前开发部主要设计、开发蓝牙及数码相框等产品，并已取得 </w:t>
      </w:r>
      <w:r>
        <w:rPr>
          <w:spacing w:val="-5"/>
        </w:rPr>
        <w:t>一定客户订单。ODM业务对于公司而言是一个新的业务领域，公司将借鉴先进企业的成功经验，</w:t>
      </w:r>
      <w:r>
        <w:rPr>
          <w:spacing w:val="-107"/>
        </w:rPr>
        <w:t> </w:t>
      </w:r>
      <w:r>
        <w:rPr>
          <w:spacing w:val="-107"/>
        </w:rPr>
      </w:r>
      <w:r>
        <w:rPr/>
        <w:t>力争在新的领域中培育竞争优势、实现经济效益。</w:t>
      </w:r>
    </w:p>
    <w:p>
      <w:pPr>
        <w:pStyle w:val="BodyText"/>
        <w:spacing w:line="336" w:lineRule="auto"/>
        <w:ind w:right="231" w:firstLine="480"/>
        <w:jc w:val="both"/>
      </w:pPr>
      <w:r>
        <w:rPr>
          <w:spacing w:val="-3"/>
        </w:rPr>
        <w:t>第五，人民币对美元汇率波动的挑战。本公司产品约95%为出口销售以美元结算，本公司</w:t>
      </w:r>
      <w:r>
        <w:rPr/>
        <w:t> </w:t>
      </w:r>
      <w:r>
        <w:rPr>
          <w:spacing w:val="-2"/>
        </w:rPr>
        <w:t>原材料约95%为进口采购同样以美元结算，虽然产品销售和原材料采购均以美元结算使人民币</w:t>
      </w:r>
      <w:r>
        <w:rPr>
          <w:spacing w:val="-118"/>
        </w:rPr>
        <w:t> </w:t>
      </w:r>
      <w:r>
        <w:rPr>
          <w:spacing w:val="-118"/>
        </w:rPr>
      </w:r>
      <w:r>
        <w:rPr/>
        <w:t>兑美元汇率持续上升给公司造成的实际影响并不大，但是汇率波动的趋势仍将在一定程度上 影响公司经营业绩。</w:t>
      </w:r>
    </w:p>
    <w:p>
      <w:pPr>
        <w:spacing w:after="0" w:line="336" w:lineRule="auto"/>
        <w:jc w:val="both"/>
        <w:sectPr>
          <w:footerReference w:type="default" r:id="rId16"/>
          <w:pgSz w:w="11910" w:h="16840"/>
          <w:pgMar w:footer="1339" w:header="747" w:top="980" w:bottom="1520" w:left="980" w:right="900"/>
          <w:pgNumType w:start="27"/>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634" w:right="0"/>
        <w:jc w:val="left"/>
      </w:pPr>
      <w:r>
        <w:rPr/>
        <w:t>3、公司发展战略和经营目标</w:t>
      </w:r>
    </w:p>
    <w:p>
      <w:pPr>
        <w:pStyle w:val="BodyText"/>
        <w:spacing w:line="336" w:lineRule="auto" w:before="126"/>
        <w:ind w:left="634" w:right="170"/>
        <w:jc w:val="left"/>
      </w:pPr>
      <w:r>
        <w:rPr/>
        <w:t>（1）发展战略： 公司将以“精细管理，追求高效率；以人为本，构造新组织；持续变革，确保竞争力”</w:t>
      </w:r>
    </w:p>
    <w:p>
      <w:pPr>
        <w:pStyle w:val="BodyText"/>
        <w:spacing w:line="336" w:lineRule="auto"/>
        <w:ind w:left="154" w:right="149"/>
        <w:jc w:val="both"/>
      </w:pPr>
      <w:r>
        <w:rPr>
          <w:spacing w:val="-2"/>
        </w:rPr>
        <w:t>为核心价值观，努力推进“3S”战略（Single简单、Speed快速、System系统），确保公司在</w:t>
      </w:r>
      <w:r>
        <w:rPr>
          <w:spacing w:val="-108"/>
        </w:rPr>
        <w:t> </w:t>
      </w:r>
      <w:r>
        <w:rPr>
          <w:spacing w:val="-108"/>
        </w:rPr>
      </w:r>
      <w:r>
        <w:rPr/>
        <w:t>全球市场的竞争力，力争早日实现“销售收入40~50亿元，进入全球EMS行业前20强”的战略 目标。</w:t>
      </w:r>
    </w:p>
    <w:p>
      <w:pPr>
        <w:pStyle w:val="BodyText"/>
        <w:spacing w:line="336" w:lineRule="auto"/>
        <w:ind w:left="634" w:right="410"/>
        <w:jc w:val="left"/>
      </w:pPr>
      <w:r>
        <w:rPr/>
        <w:t>（2）经营目标： 报告期内公司实现首次公开发行人民币普通股股票并上市以及营业收入首次突破10亿</w:t>
      </w:r>
    </w:p>
    <w:p>
      <w:pPr>
        <w:pStyle w:val="BodyText"/>
        <w:spacing w:line="336" w:lineRule="auto" w:before="29"/>
        <w:ind w:left="154" w:right="188"/>
        <w:jc w:val="both"/>
      </w:pPr>
      <w:r>
        <w:rPr/>
        <w:t>元，以此为契机，公司董事会将采取更加积极有效的措施维护、巩固现阶段快速稳健增长的 发展态势。2008年度公司主要经营目标包括以下几个方面：</w:t>
      </w:r>
    </w:p>
    <w:p>
      <w:pPr>
        <w:pStyle w:val="BodyText"/>
        <w:spacing w:line="336" w:lineRule="auto"/>
        <w:ind w:left="154" w:right="188" w:firstLine="480"/>
        <w:jc w:val="both"/>
      </w:pPr>
      <w:r>
        <w:rPr/>
        <w:t>首先，力争实现产品结构多元化。在目前消费电子产品的基础上，力争在照明电子、平 板电视、安防等产品领域取得突破，实现产品结构的升级。</w:t>
      </w:r>
    </w:p>
    <w:p>
      <w:pPr>
        <w:pStyle w:val="BodyText"/>
        <w:spacing w:line="336" w:lineRule="auto"/>
        <w:ind w:left="154" w:right="188" w:firstLine="480"/>
        <w:jc w:val="both"/>
      </w:pPr>
      <w:r>
        <w:rPr/>
        <w:t>第二，力争在市场开发方面取得突破。报告期内公司积极与更多国际高端客户接触，目 前已为部分客户提供报价及小批量试产，有望在2008年度实现较大规模量产。</w:t>
      </w:r>
    </w:p>
    <w:p>
      <w:pPr>
        <w:pStyle w:val="BodyText"/>
        <w:spacing w:line="336" w:lineRule="auto" w:before="29"/>
        <w:ind w:left="154" w:right="188" w:firstLine="480"/>
        <w:jc w:val="both"/>
      </w:pPr>
      <w:r>
        <w:rPr/>
        <w:t>第三，调整公司组织架构，加强内部管理、提升管理水平。公司董事会高度重视生产规 模扩大后内部管理能力的提升，一方面制定并实施符合现阶段企业发展需求的组织架构调整 方案；另一方面继续引进国际化、高端管理人才，提高公司整体管理水平。</w:t>
      </w:r>
    </w:p>
    <w:p>
      <w:pPr>
        <w:pStyle w:val="BodyText"/>
        <w:spacing w:line="336" w:lineRule="auto" w:before="29"/>
        <w:ind w:left="154" w:right="151" w:firstLine="480"/>
        <w:jc w:val="both"/>
      </w:pPr>
      <w:r>
        <w:rPr>
          <w:spacing w:val="-2"/>
        </w:rPr>
        <w:t>第四，加强公司信息化建设，为企业现代化管理提供科学依据。2008年度公司将实现MES</w:t>
      </w:r>
      <w:r>
        <w:rPr/>
        <w:t> 系统完全适用，并为SAP系统导入做前期准备工作。</w:t>
      </w:r>
    </w:p>
    <w:p>
      <w:pPr>
        <w:pStyle w:val="BodyText"/>
        <w:spacing w:line="336" w:lineRule="auto"/>
        <w:ind w:left="154" w:right="151" w:firstLine="480"/>
        <w:jc w:val="both"/>
      </w:pPr>
      <w:r>
        <w:rPr/>
        <w:t>第五，2007年11月份，位于深圳市龙岗区宝龙工业城的“实益达科技园总包工程”已正 </w:t>
      </w:r>
      <w:r>
        <w:rPr>
          <w:spacing w:val="-2"/>
        </w:rPr>
        <w:t>式开工建设，土建项目拟于2008年7月份完工。公司董事会将督促工程承包方及公司相关职能</w:t>
      </w:r>
      <w:r>
        <w:rPr>
          <w:spacing w:val="-116"/>
        </w:rPr>
        <w:t> </w:t>
      </w:r>
      <w:r>
        <w:rPr>
          <w:spacing w:val="-116"/>
        </w:rPr>
      </w:r>
      <w:r>
        <w:rPr>
          <w:spacing w:val="-2"/>
        </w:rPr>
        <w:t>部门，在确保工程质量和施工安全的前提下力争早日完工，实现“于2009年2~3月份迁入新厂</w:t>
      </w:r>
      <w:r>
        <w:rPr>
          <w:spacing w:val="-116"/>
        </w:rPr>
        <w:t> </w:t>
      </w:r>
      <w:r>
        <w:rPr>
          <w:spacing w:val="-116"/>
        </w:rPr>
      </w:r>
      <w:r>
        <w:rPr/>
        <w:t>房”的目标。</w:t>
      </w:r>
    </w:p>
    <w:p>
      <w:pPr>
        <w:pStyle w:val="BodyText"/>
        <w:spacing w:line="336" w:lineRule="auto" w:before="29"/>
        <w:ind w:left="154" w:right="188" w:firstLine="480"/>
        <w:jc w:val="both"/>
      </w:pPr>
      <w:r>
        <w:rPr/>
        <w:t>第六，董事会将积极开展以首次公开发行股票并上市为契机，以资本市场平台为依托， 以收购兼并为手段，参与行业整合、进行产业升级的可行性研究，力争通过收购兼并实现扩 大生产规模、拓展高端客户、整合上下游产业的战略目标。</w:t>
      </w:r>
    </w:p>
    <w:p>
      <w:pPr>
        <w:pStyle w:val="BodyText"/>
        <w:spacing w:line="336" w:lineRule="auto" w:before="29"/>
        <w:ind w:left="634" w:right="290"/>
        <w:jc w:val="left"/>
      </w:pPr>
      <w:r>
        <w:rPr/>
        <w:t>4、资金需求及使用计划： 公司于2007年6月成功完成首次公开发行人民币普通股股票3,340万股，发行价格10.30</w:t>
      </w:r>
    </w:p>
    <w:p>
      <w:pPr>
        <w:pStyle w:val="BodyText"/>
        <w:spacing w:line="316" w:lineRule="auto"/>
        <w:ind w:right="188"/>
        <w:jc w:val="both"/>
      </w:pPr>
      <w:r>
        <w:rPr/>
        <w:t>元每股，募集资金净额</w:t>
      </w:r>
      <w:r>
        <w:rPr>
          <w:rFonts w:ascii="Times New Roman" w:hAnsi="Times New Roman" w:cs="Times New Roman" w:eastAsia="Times New Roman" w:hint="default"/>
        </w:rPr>
        <w:t>32,408.92</w:t>
      </w:r>
      <w:r>
        <w:rPr/>
        <w:t>万元，为公司实现业务目标提供了资金来源，保证了公司扩 大生产经营规模的资金需求。</w:t>
      </w:r>
    </w:p>
    <w:p>
      <w:pPr>
        <w:pStyle w:val="BodyText"/>
        <w:spacing w:line="240" w:lineRule="auto" w:before="49"/>
        <w:ind w:left="633" w:right="0"/>
        <w:jc w:val="left"/>
      </w:pPr>
      <w:r>
        <w:rPr>
          <w:rFonts w:ascii="Times New Roman" w:hAnsi="Times New Roman" w:cs="Times New Roman" w:eastAsia="Times New Roman" w:hint="default"/>
        </w:rPr>
        <w:t>2008</w:t>
      </w:r>
      <w:r>
        <w:rPr/>
        <w:t>年度公司募集资金投资项</w:t>
      </w:r>
      <w:r>
        <w:rPr>
          <w:spacing w:val="-107"/>
        </w:rPr>
        <w:t>目</w:t>
      </w:r>
      <w:r>
        <w:rPr/>
        <w:t>“年产</w:t>
      </w:r>
      <w:r>
        <w:rPr>
          <w:rFonts w:ascii="Times New Roman" w:hAnsi="Times New Roman" w:cs="Times New Roman" w:eastAsia="Times New Roman" w:hint="default"/>
        </w:rPr>
        <w:t>500</w:t>
      </w:r>
      <w:r>
        <w:rPr/>
        <w:t>万件平板电视彩光控制板技术改造项目</w:t>
      </w:r>
      <w:r>
        <w:rPr>
          <w:spacing w:val="-107"/>
        </w:rPr>
        <w:t>”和</w:t>
      </w:r>
      <w:r>
        <w:rPr/>
        <w:t>“年</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26" w:lineRule="auto" w:before="26"/>
        <w:ind w:right="92"/>
        <w:jc w:val="left"/>
      </w:pPr>
      <w:r>
        <w:rPr/>
        <w:t>产</w:t>
      </w:r>
      <w:r>
        <w:rPr>
          <w:rFonts w:ascii="Times New Roman" w:hAnsi="Times New Roman" w:cs="Times New Roman" w:eastAsia="Times New Roman" w:hint="default"/>
        </w:rPr>
        <w:t>100</w:t>
      </w:r>
      <w:r>
        <w:rPr/>
        <w:t>万套背光产品控制板技术改造项目”将陆续开工建设。其中，“年产</w:t>
      </w:r>
      <w:r>
        <w:rPr>
          <w:rFonts w:ascii="Times New Roman" w:hAnsi="Times New Roman" w:cs="Times New Roman" w:eastAsia="Times New Roman" w:hint="default"/>
        </w:rPr>
        <w:t>100</w:t>
      </w:r>
      <w:r>
        <w:rPr/>
        <w:t>万套背光产品 控制板技术改造项目”目标客户飞利浦向本公司提出将该项目转移至本公司控股子公司无锡 </w:t>
      </w:r>
      <w:r>
        <w:rPr>
          <w:spacing w:val="-3"/>
        </w:rPr>
        <w:t>实益达实施，公司董事会经审慎研究，出于既满足目标客户要求，又确保募集资金使用公平、</w:t>
      </w:r>
      <w:r>
        <w:rPr>
          <w:spacing w:val="-81"/>
        </w:rPr>
        <w:t> </w:t>
      </w:r>
      <w:r>
        <w:rPr>
          <w:spacing w:val="-81"/>
        </w:rPr>
      </w:r>
      <w:r>
        <w:rPr/>
        <w:t>高效的考虑，拟将该募集资金投资项目更改为位于深圳市龙岗区宝龙工业城“实益达科技园 总包工程”土建项目。原项目新增投资</w:t>
      </w:r>
      <w:r>
        <w:rPr>
          <w:rFonts w:ascii="Times New Roman" w:hAnsi="Times New Roman" w:cs="Times New Roman" w:eastAsia="Times New Roman" w:hint="default"/>
        </w:rPr>
        <w:t>4500</w:t>
      </w:r>
      <w:r>
        <w:rPr/>
        <w:t>万元，新项目总价款</w:t>
      </w:r>
      <w:r>
        <w:rPr>
          <w:rFonts w:ascii="Times New Roman" w:hAnsi="Times New Roman" w:cs="Times New Roman" w:eastAsia="Times New Roman" w:hint="default"/>
        </w:rPr>
        <w:t>6237</w:t>
      </w:r>
      <w:r>
        <w:rPr/>
        <w:t>万元，不足部分由本公 司自筹解决。如此次更改募集资金投资项目获得股东大会批准，公司将减少</w:t>
      </w:r>
      <w:r>
        <w:rPr>
          <w:rFonts w:ascii="Times New Roman" w:hAnsi="Times New Roman" w:cs="Times New Roman" w:eastAsia="Times New Roman" w:hint="default"/>
        </w:rPr>
        <w:t>4500</w:t>
      </w:r>
      <w:r>
        <w:rPr/>
        <w:t>万元固定资 产建设贷款，以目前的银行贷款利率水平（年利率</w:t>
      </w:r>
      <w:r>
        <w:rPr>
          <w:rFonts w:ascii="Times New Roman" w:hAnsi="Times New Roman" w:cs="Times New Roman" w:eastAsia="Times New Roman" w:hint="default"/>
        </w:rPr>
        <w:t>7.47%</w:t>
      </w:r>
      <w:r>
        <w:rPr/>
        <w:t>，上浮不超过</w:t>
      </w:r>
      <w:r>
        <w:rPr>
          <w:rFonts w:ascii="Times New Roman" w:hAnsi="Times New Roman" w:cs="Times New Roman" w:eastAsia="Times New Roman" w:hint="default"/>
        </w:rPr>
        <w:t>20%</w:t>
      </w:r>
      <w:r>
        <w:rPr/>
        <w:t>）计算，每年可为 公司节省财务费用约</w:t>
      </w:r>
      <w:r>
        <w:rPr>
          <w:rFonts w:ascii="Times New Roman" w:hAnsi="Times New Roman" w:cs="Times New Roman" w:eastAsia="Times New Roman" w:hint="default"/>
        </w:rPr>
        <w:t>400</w:t>
      </w:r>
      <w:r>
        <w:rPr/>
        <w:t>万元。</w:t>
      </w:r>
    </w:p>
    <w:p>
      <w:pPr>
        <w:pStyle w:val="BodyText"/>
        <w:spacing w:line="240" w:lineRule="auto" w:before="11"/>
        <w:ind w:left="633" w:right="212"/>
        <w:jc w:val="left"/>
      </w:pPr>
      <w:r>
        <w:rPr>
          <w:rFonts w:ascii="Times New Roman" w:hAnsi="Times New Roman" w:cs="Times New Roman" w:eastAsia="Times New Roman" w:hint="default"/>
        </w:rPr>
        <w:t>5</w:t>
      </w:r>
      <w:r>
        <w:rPr/>
        <w:t>、公司可能面临的风险及对策</w:t>
      </w:r>
    </w:p>
    <w:p>
      <w:pPr>
        <w:pStyle w:val="BodyText"/>
        <w:spacing w:line="336" w:lineRule="auto" w:before="108"/>
        <w:ind w:right="231" w:firstLine="480"/>
        <w:jc w:val="both"/>
      </w:pPr>
      <w:r>
        <w:rPr>
          <w:spacing w:val="-3"/>
        </w:rPr>
        <w:t>（1）客户集中度高的风险：报告期内公司主要客户仍为飞利浦，公司对飞利浦的销售收</w:t>
      </w:r>
      <w:r>
        <w:rPr/>
        <w:t> </w:t>
      </w:r>
      <w:r>
        <w:rPr>
          <w:spacing w:val="-2"/>
        </w:rPr>
        <w:t>入为108,869.06万元，占销售总额的90.52%。虽然公司与飞利浦合作已7年多，业务规模和合</w:t>
      </w:r>
      <w:r>
        <w:rPr>
          <w:spacing w:val="-106"/>
        </w:rPr>
        <w:t> </w:t>
      </w:r>
      <w:r>
        <w:rPr>
          <w:spacing w:val="-106"/>
        </w:rPr>
      </w:r>
      <w:r>
        <w:rPr/>
        <w:t>作领域逐步增加，长期稳定的合作关系使公司的销售具有稳定性和持续性，但客户集中度过 高仍可能给本公司经营带来一定风险。公司董事会高度重视可能由此引发的潜在风险，制定 了具有针对性的市场开发策略，力争在新客户开发方面取得突破。报告期内公司积极与更多 国际高端客户接触，目前已为部分客户提供报价及小批量试产，有望在2008年度实现较大规 模量产。</w:t>
      </w:r>
    </w:p>
    <w:p>
      <w:pPr>
        <w:pStyle w:val="BodyText"/>
        <w:spacing w:line="336" w:lineRule="auto"/>
        <w:ind w:right="231" w:firstLine="480"/>
        <w:jc w:val="both"/>
      </w:pPr>
      <w:r>
        <w:rPr/>
        <w:t>（2）市场竞争的风险：全球范围内EMS行业集中度较高，以富士康为代表的排名全球前 五位的EMS企业约占整个市场份额的60%。公司现有主要客户及目标客户均为国际品牌电子产 品制造商，未来几年公司还将积极向照明、汽车电子、医疗等高端产品领域渗透，因此与国 </w:t>
      </w:r>
      <w:r>
        <w:rPr>
          <w:spacing w:val="-2"/>
        </w:rPr>
        <w:t>际大型EMS企业的直接竞争将难以避免。针对未来可能面临的竞争压力，公司一方面巩固已经</w:t>
      </w:r>
      <w:r>
        <w:rPr>
          <w:spacing w:val="-118"/>
        </w:rPr>
        <w:t> </w:t>
      </w:r>
      <w:r>
        <w:rPr>
          <w:spacing w:val="-118"/>
        </w:rPr>
      </w:r>
      <w:r>
        <w:rPr/>
        <w:t>形成的“成本”和“灵活”优势，另一方面努力培养国际合作、大规模生产制造等方面的能 力，从而为即将到来的市场竞争做准备。</w:t>
      </w:r>
    </w:p>
    <w:p>
      <w:pPr>
        <w:pStyle w:val="BodyText"/>
        <w:spacing w:line="336" w:lineRule="auto"/>
        <w:ind w:right="93" w:firstLine="480"/>
        <w:jc w:val="left"/>
      </w:pPr>
      <w:r>
        <w:rPr/>
        <w:t>（3）主要产品集中的风险：目前公司主要产品集中于可录DVD、家庭影院、MP3、MP4等 </w:t>
      </w:r>
      <w:r>
        <w:rPr>
          <w:spacing w:val="-2"/>
        </w:rPr>
        <w:t>家庭娱乐类消费电子产品控制板，消费电子产品具有市场竞争激烈、技术更新换代快的特点，</w:t>
      </w:r>
      <w:r>
        <w:rPr/>
        <w:t> 如果公司不能在照明、医疗、汽车电子、通讯等高端产品领域取得突破，将可能面临某类产 品销量下降和产品利润率下滑的风险。对此，董事会提出实现产品结构多元化，在目前消费 电子产品的基础上向更高端、更高附加值产品领域渗透，实现产品结构的升级的经营目标。 2008年度公司将获得照明电子、平板电视等产品的批量订单。</w:t>
      </w:r>
    </w:p>
    <w:p>
      <w:pPr>
        <w:pStyle w:val="BodyText"/>
        <w:spacing w:line="336" w:lineRule="auto"/>
        <w:ind w:right="101" w:firstLine="480"/>
        <w:jc w:val="left"/>
      </w:pPr>
      <w:r>
        <w:rPr>
          <w:spacing w:val="-5"/>
        </w:rPr>
        <w:t>（4）经营规模快速扩大带来的管理风险：报告期公司实现营业收入同比100%以上的增幅，</w:t>
      </w:r>
      <w:r>
        <w:rPr/>
        <w:t> 未来一段时间内经营规模仍可能保持相对较快的增长速度，如果公司管理能力不能适应业务 规模扩大的要求，则可能面临经营成本提高、盈利水平与经营规模不同步的风险。公司董事</w:t>
      </w:r>
    </w:p>
    <w:p>
      <w:pPr>
        <w:spacing w:after="0" w:line="336"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154" w:right="330"/>
        <w:jc w:val="left"/>
      </w:pPr>
      <w:r>
        <w:rPr/>
        <w:t>会将积极制定并实施符合现阶段企业发展需要的组织架构调整方案，同时聘请更多具有国际 著名企业工作背景的高级管理人才，从而达到提升管理水平和管理能力的目标。</w:t>
      </w:r>
    </w:p>
    <w:p>
      <w:pPr>
        <w:spacing w:line="240" w:lineRule="auto" w:before="12"/>
        <w:rPr>
          <w:rFonts w:ascii="宋体" w:hAnsi="宋体" w:cs="宋体" w:eastAsia="宋体" w:hint="default"/>
          <w:sz w:val="35"/>
          <w:szCs w:val="35"/>
        </w:rPr>
      </w:pPr>
    </w:p>
    <w:p>
      <w:pPr>
        <w:pStyle w:val="BodyText"/>
        <w:spacing w:line="336" w:lineRule="auto" w:before="0"/>
        <w:ind w:left="634" w:right="7170"/>
        <w:jc w:val="left"/>
      </w:pPr>
      <w:r>
        <w:rPr/>
        <w:t>三、公司投资情况 1、募集资金投资情况</w:t>
      </w:r>
    </w:p>
    <w:p>
      <w:pPr>
        <w:pStyle w:val="BodyText"/>
        <w:spacing w:line="336" w:lineRule="auto" w:before="29"/>
        <w:ind w:right="293" w:firstLine="480"/>
        <w:jc w:val="left"/>
      </w:pPr>
      <w:r>
        <w:rPr/>
        <w:t>经中国证券监督管理委员会证监发行字[2007]116</w:t>
      </w:r>
      <w:r>
        <w:rPr>
          <w:spacing w:val="-59"/>
        </w:rPr>
        <w:t> </w:t>
      </w:r>
      <w:r>
        <w:rPr>
          <w:spacing w:val="-3"/>
        </w:rPr>
        <w:t>号文核准，本公司于</w:t>
      </w:r>
      <w:r>
        <w:rPr>
          <w:spacing w:val="-59"/>
        </w:rPr>
        <w:t> </w:t>
      </w:r>
      <w:r>
        <w:rPr>
          <w:spacing w:val="20"/>
        </w:rPr>
        <w:t>2007年6</w:t>
      </w:r>
      <w:r>
        <w:rPr>
          <w:spacing w:val="-59"/>
        </w:rPr>
        <w:t> </w:t>
      </w:r>
      <w:r>
        <w:rPr/>
        <w:t>月首次</w:t>
      </w:r>
      <w:r>
        <w:rPr/>
        <w:t> 公开发行人民币普通股 3,340</w:t>
      </w:r>
      <w:r>
        <w:rPr>
          <w:spacing w:val="-82"/>
        </w:rPr>
        <w:t> </w:t>
      </w:r>
      <w:r>
        <w:rPr/>
        <w:t>万股。本次发行采用网下向询价对象询价配售与网上资金申购</w:t>
      </w:r>
    </w:p>
    <w:p>
      <w:pPr>
        <w:pStyle w:val="BodyText"/>
        <w:spacing w:line="240" w:lineRule="auto"/>
        <w:ind w:right="271"/>
        <w:jc w:val="left"/>
      </w:pPr>
      <w:r>
        <w:rPr/>
        <w:t>定价发行相结合的方式，其中网下配售</w:t>
      </w:r>
      <w:r>
        <w:rPr>
          <w:spacing w:val="-41"/>
        </w:rPr>
        <w:t> </w:t>
      </w:r>
      <w:r>
        <w:rPr/>
        <w:t>668</w:t>
      </w:r>
      <w:r>
        <w:rPr>
          <w:spacing w:val="-40"/>
        </w:rPr>
        <w:t> </w:t>
      </w:r>
      <w:r>
        <w:rPr/>
        <w:t>万股，网上发行</w:t>
      </w:r>
      <w:r>
        <w:rPr>
          <w:spacing w:val="-41"/>
        </w:rPr>
        <w:t> </w:t>
      </w:r>
      <w:r>
        <w:rPr/>
        <w:t>2,672</w:t>
      </w:r>
      <w:r>
        <w:rPr>
          <w:spacing w:val="-41"/>
        </w:rPr>
        <w:t> </w:t>
      </w:r>
      <w:r>
        <w:rPr/>
        <w:t>万股，发行价格为</w:t>
      </w:r>
      <w:r>
        <w:rPr>
          <w:spacing w:val="-41"/>
        </w:rPr>
        <w:t> </w:t>
      </w:r>
      <w:r>
        <w:rPr/>
        <w:t>10.30</w:t>
      </w:r>
    </w:p>
    <w:p>
      <w:pPr>
        <w:pStyle w:val="BodyText"/>
        <w:spacing w:line="319" w:lineRule="auto" w:before="125"/>
        <w:ind w:left="633" w:right="300" w:hanging="480"/>
        <w:jc w:val="left"/>
        <w:rPr>
          <w:rFonts w:ascii="Times New Roman" w:hAnsi="Times New Roman" w:cs="Times New Roman" w:eastAsia="Times New Roman" w:hint="default"/>
        </w:rPr>
      </w:pPr>
      <w:r>
        <w:rPr/>
        <w:t>元/股。扣除各项发行费用后实际募集资金净额</w:t>
      </w:r>
      <w:r>
        <w:rPr>
          <w:spacing w:val="-60"/>
        </w:rPr>
        <w:t> </w:t>
      </w:r>
      <w:r>
        <w:rPr>
          <w:rFonts w:ascii="Times New Roman" w:hAnsi="Times New Roman" w:cs="Times New Roman" w:eastAsia="Times New Roman" w:hint="default"/>
        </w:rPr>
        <w:t>32,408.92 </w:t>
      </w:r>
      <w:r>
        <w:rPr/>
        <w:t>万元。 </w:t>
      </w:r>
      <w:r>
        <w:rPr>
          <w:spacing w:val="-6"/>
        </w:rPr>
        <w:t>根据公司首次公开发行股票募集资金使用计划，募集资金投资于“年产</w:t>
      </w:r>
      <w:r>
        <w:rPr>
          <w:spacing w:val="-61"/>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万套可录</w:t>
      </w:r>
      <w:r>
        <w:rPr>
          <w:spacing w:val="-61"/>
        </w:rPr>
        <w:t> </w:t>
      </w:r>
      <w:r>
        <w:rPr>
          <w:rFonts w:ascii="Times New Roman" w:hAnsi="Times New Roman" w:cs="Times New Roman" w:eastAsia="Times New Roman" w:hint="default"/>
        </w:rPr>
        <w:t>DVD</w:t>
      </w:r>
    </w:p>
    <w:p>
      <w:pPr>
        <w:pStyle w:val="BodyText"/>
        <w:spacing w:line="240" w:lineRule="auto" w:before="20"/>
        <w:ind w:right="271"/>
        <w:jc w:val="left"/>
        <w:rPr>
          <w:rFonts w:ascii="Times New Roman" w:hAnsi="Times New Roman" w:cs="Times New Roman" w:eastAsia="Times New Roman" w:hint="default"/>
        </w:rPr>
      </w:pPr>
      <w:r>
        <w:rPr/>
        <w:t>控制板技术改造项目</w:t>
      </w:r>
      <w:r>
        <w:rPr>
          <w:spacing w:val="-120"/>
        </w:rPr>
        <w:t>”</w:t>
      </w:r>
      <w:r>
        <w:rPr/>
        <w:t>等五个项目</w:t>
      </w:r>
      <w:r>
        <w:rPr>
          <w:spacing w:val="-120"/>
        </w:rPr>
        <w:t>，</w:t>
      </w:r>
      <w:r>
        <w:rPr/>
        <w:t>共需新增投资</w:t>
      </w:r>
      <w:r>
        <w:rPr>
          <w:spacing w:val="-88"/>
        </w:rPr>
        <w:t> </w:t>
      </w:r>
      <w:r>
        <w:rPr>
          <w:rFonts w:ascii="Times New Roman" w:hAnsi="Times New Roman" w:cs="Times New Roman" w:eastAsia="Times New Roman" w:hint="default"/>
        </w:rPr>
        <w:t>25,260</w:t>
      </w:r>
      <w:r>
        <w:rPr>
          <w:rFonts w:ascii="Times New Roman" w:hAnsi="Times New Roman" w:cs="Times New Roman" w:eastAsia="Times New Roman" w:hint="default"/>
          <w:spacing w:val="-28"/>
        </w:rPr>
        <w:t> </w:t>
      </w:r>
      <w:r>
        <w:rPr/>
        <w:t>万元</w:t>
      </w:r>
      <w:r>
        <w:rPr>
          <w:spacing w:val="-120"/>
        </w:rPr>
        <w:t>。</w:t>
      </w:r>
      <w:r>
        <w:rPr/>
        <w:t>募集资金净额超出部分</w:t>
      </w:r>
      <w:r>
        <w:rPr>
          <w:spacing w:val="-88"/>
        </w:rPr>
        <w:t> </w:t>
      </w:r>
      <w:r>
        <w:rPr>
          <w:rFonts w:ascii="Times New Roman" w:hAnsi="Times New Roman" w:cs="Times New Roman" w:eastAsia="Times New Roman" w:hint="default"/>
        </w:rPr>
        <w:t>7,148.92</w:t>
      </w:r>
    </w:p>
    <w:p>
      <w:pPr>
        <w:pStyle w:val="BodyText"/>
        <w:spacing w:line="336" w:lineRule="auto" w:before="107"/>
        <w:ind w:left="633" w:right="2251" w:hanging="480"/>
        <w:jc w:val="left"/>
      </w:pPr>
      <w:r>
        <w:rPr/>
        <w:t>万元根据公司第一届董事会第十五次会议决议，用于补充公司流动资金。 截止报告期末，公司</w:t>
      </w:r>
      <w:r>
        <w:rPr>
          <w:spacing w:val="-60"/>
        </w:rPr>
        <w:t> </w:t>
      </w:r>
      <w:r>
        <w:rPr>
          <w:rFonts w:ascii="Times New Roman" w:hAnsi="Times New Roman" w:cs="Times New Roman" w:eastAsia="Times New Roman" w:hint="default"/>
        </w:rPr>
        <w:t>2007 </w:t>
      </w:r>
      <w:r>
        <w:rPr/>
        <w:t>年度募集资金使用情况如下表：</w:t>
      </w:r>
    </w:p>
    <w:p>
      <w:pPr>
        <w:pStyle w:val="BodyText"/>
        <w:spacing w:line="246" w:lineRule="exact" w:before="0"/>
        <w:ind w:left="0" w:right="311"/>
        <w:jc w:val="right"/>
      </w:pPr>
      <w:r>
        <w:rPr/>
        <w:t>单位</w:t>
      </w:r>
      <w:r>
        <w:rPr>
          <w:spacing w:val="-120"/>
        </w:rPr>
        <w:t>：</w:t>
      </w:r>
      <w:r>
        <w:rPr/>
        <w:t>（人民币）万元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20"/>
        <w:gridCol w:w="559"/>
        <w:gridCol w:w="625"/>
        <w:gridCol w:w="662"/>
        <w:gridCol w:w="637"/>
        <w:gridCol w:w="637"/>
        <w:gridCol w:w="624"/>
        <w:gridCol w:w="727"/>
        <w:gridCol w:w="599"/>
        <w:gridCol w:w="858"/>
        <w:gridCol w:w="259"/>
        <w:gridCol w:w="780"/>
        <w:gridCol w:w="521"/>
        <w:gridCol w:w="520"/>
      </w:tblGrid>
      <w:tr>
        <w:trPr>
          <w:trHeight w:val="323" w:hRule="exact"/>
        </w:trPr>
        <w:tc>
          <w:tcPr>
            <w:tcW w:w="300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36"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49"/>
              <w:ind w:left="1171" w:right="0"/>
              <w:jc w:val="left"/>
              <w:rPr>
                <w:rFonts w:ascii="Times New Roman" w:hAnsi="Times New Roman" w:cs="Times New Roman" w:eastAsia="Times New Roman" w:hint="default"/>
                <w:sz w:val="18"/>
                <w:szCs w:val="18"/>
              </w:rPr>
            </w:pPr>
            <w:r>
              <w:rPr>
                <w:rFonts w:ascii="Times New Roman"/>
                <w:sz w:val="18"/>
              </w:rPr>
              <w:t>32,408.92</w:t>
            </w:r>
          </w:p>
        </w:tc>
        <w:tc>
          <w:tcPr>
            <w:tcW w:w="28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8,931.28</w:t>
            </w:r>
          </w:p>
        </w:tc>
      </w:tr>
      <w:tr>
        <w:trPr>
          <w:trHeight w:val="162" w:hRule="exact"/>
        </w:trPr>
        <w:tc>
          <w:tcPr>
            <w:tcW w:w="30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36"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0.00</w:t>
            </w:r>
          </w:p>
        </w:tc>
        <w:tc>
          <w:tcPr>
            <w:tcW w:w="28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8,931.28</w:t>
            </w:r>
          </w:p>
        </w:tc>
      </w:tr>
      <w:tr>
        <w:trPr>
          <w:trHeight w:val="162" w:hRule="exact"/>
        </w:trPr>
        <w:tc>
          <w:tcPr>
            <w:tcW w:w="300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4"/>
            <w:vMerge/>
            <w:tcBorders>
              <w:left w:val="single" w:sz="10" w:space="0" w:color="DCDCDC"/>
              <w:right w:val="single" w:sz="4" w:space="0" w:color="000000"/>
            </w:tcBorders>
          </w:tcPr>
          <w:p>
            <w:pPr/>
          </w:p>
        </w:tc>
      </w:tr>
      <w:tr>
        <w:trPr>
          <w:trHeight w:val="151" w:hRule="exact"/>
        </w:trPr>
        <w:tc>
          <w:tcPr>
            <w:tcW w:w="300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36" w:type="dxa"/>
            <w:gridSpan w:val="3"/>
            <w:vMerge w:val="restart"/>
            <w:tcBorders>
              <w:top w:val="single" w:sz="4" w:space="0" w:color="000000"/>
              <w:left w:val="single" w:sz="13" w:space="0" w:color="DCDCDC"/>
              <w:right w:val="single" w:sz="9" w:space="0" w:color="DCDCDC"/>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808"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0" w:space="0" w:color="DCDCDC"/>
              <w:right w:val="single" w:sz="4" w:space="0" w:color="000000"/>
            </w:tcBorders>
          </w:tcPr>
          <w:p>
            <w:pPr/>
          </w:p>
        </w:tc>
      </w:tr>
      <w:tr>
        <w:trPr>
          <w:trHeight w:val="172" w:hRule="exact"/>
        </w:trPr>
        <w:tc>
          <w:tcPr>
            <w:tcW w:w="300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0" w:space="0" w:color="DCDCDC"/>
              <w:bottom w:val="single" w:sz="46" w:space="0" w:color="DCDCDC"/>
              <w:right w:val="single" w:sz="4" w:space="0" w:color="000000"/>
            </w:tcBorders>
          </w:tcPr>
          <w:p>
            <w:pPr/>
          </w:p>
        </w:tc>
      </w:tr>
      <w:tr>
        <w:trPr>
          <w:trHeight w:val="121"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
        </w:tc>
        <w:tc>
          <w:tcPr>
            <w:tcW w:w="625" w:type="dxa"/>
            <w:vMerge w:val="restart"/>
            <w:tcBorders>
              <w:top w:val="single" w:sz="4" w:space="0" w:color="000000"/>
              <w:left w:val="single" w:sz="4" w:space="0" w:color="000000"/>
              <w:right w:val="single" w:sz="4" w:space="0" w:color="000000"/>
            </w:tcBorders>
            <w:shd w:val="clear" w:color="auto" w:fill="DCDCDC"/>
          </w:tcPr>
          <w:p>
            <w:pPr/>
          </w:p>
        </w:tc>
        <w:tc>
          <w:tcPr>
            <w:tcW w:w="662"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727"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73" w:right="72"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额与承 诺投入 金额的 差额</w:t>
            </w:r>
            <w:r>
              <w:rPr>
                <w:rFonts w:ascii="Times New Roman" w:hAnsi="Times New Roman" w:cs="Times New Roman" w:eastAsia="Times New Roman" w:hint="default"/>
                <w:sz w:val="18"/>
                <w:szCs w:val="18"/>
              </w:rPr>
              <w:t>(3)</w:t>
            </w:r>
          </w:p>
          <w:p>
            <w:pPr>
              <w:pStyle w:val="TableParagraph"/>
              <w:spacing w:line="233" w:lineRule="exact"/>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599" w:type="dxa"/>
            <w:vMerge w:val="restart"/>
            <w:tcBorders>
              <w:top w:val="single" w:sz="4" w:space="0" w:color="000000"/>
              <w:left w:val="single" w:sz="4" w:space="0" w:color="000000"/>
              <w:right w:val="single" w:sz="4" w:space="0" w:color="000000"/>
            </w:tcBorders>
            <w:shd w:val="clear" w:color="auto" w:fill="DCDCDC"/>
          </w:tcPr>
          <w:p>
            <w:pPr/>
          </w:p>
        </w:tc>
        <w:tc>
          <w:tcPr>
            <w:tcW w:w="1117" w:type="dxa"/>
            <w:gridSpan w:val="2"/>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521" w:type="dxa"/>
            <w:vMerge w:val="restart"/>
            <w:tcBorders>
              <w:top w:val="single" w:sz="4" w:space="0" w:color="000000"/>
              <w:left w:val="single" w:sz="4" w:space="0" w:color="000000"/>
              <w:right w:val="single" w:sz="4" w:space="0" w:color="000000"/>
            </w:tcBorders>
            <w:shd w:val="clear" w:color="auto" w:fill="DCDCDC"/>
          </w:tcPr>
          <w:p>
            <w:pPr/>
          </w:p>
        </w:tc>
        <w:tc>
          <w:tcPr>
            <w:tcW w:w="5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3"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bottom w:val="nil" w:sz="6" w:space="0" w:color="auto"/>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74"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228" w:hRule="exact"/>
        </w:trPr>
        <w:tc>
          <w:tcPr>
            <w:tcW w:w="1820" w:type="dxa"/>
            <w:vMerge/>
            <w:tcBorders>
              <w:left w:val="single" w:sz="4" w:space="0" w:color="000000"/>
              <w:right w:val="single" w:sz="4" w:space="0" w:color="000000"/>
            </w:tcBorders>
            <w:shd w:val="clear" w:color="auto" w:fill="DCDCDC"/>
          </w:tcPr>
          <w:p>
            <w:pPr/>
          </w:p>
        </w:tc>
        <w:tc>
          <w:tcPr>
            <w:tcW w:w="559"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5"/>
              <w:ind w:left="22" w:right="-14" w:hanging="39"/>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变更）</w:t>
            </w:r>
          </w:p>
        </w:tc>
        <w:tc>
          <w:tcPr>
            <w:tcW w:w="625" w:type="dxa"/>
            <w:vMerge/>
            <w:tcBorders>
              <w:left w:val="single" w:sz="4" w:space="0" w:color="000000"/>
              <w:bottom w:val="nil" w:sz="6" w:space="0" w:color="auto"/>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6"/>
              <w:ind w:left="25" w:right="23"/>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37" w:lineRule="auto"/>
              <w:ind w:left="59" w:right="37" w:hanging="2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43" w:right="2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62"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43"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末承诺 投入金 额</w:t>
            </w:r>
            <w:r>
              <w:rPr>
                <w:rFonts w:ascii="Times New Roman" w:hAnsi="Times New Roman" w:cs="Times New Roman" w:eastAsia="Times New Roman" w:hint="default"/>
                <w:sz w:val="18"/>
                <w:szCs w:val="18"/>
              </w:rPr>
              <w:t>(1)</w:t>
            </w:r>
          </w:p>
        </w:tc>
        <w:tc>
          <w:tcPr>
            <w:tcW w:w="637"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5"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75" w:right="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61" w:right="48"/>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63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43" w:right="42"/>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103" w:right="10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25" w:right="23"/>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314"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559"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62"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right w:val="single" w:sz="4" w:space="0" w:color="000000"/>
            </w:tcBorders>
            <w:shd w:val="clear" w:color="auto" w:fill="DCDCDC"/>
          </w:tcPr>
          <w:p>
            <w:pPr/>
          </w:p>
        </w:tc>
        <w:tc>
          <w:tcPr>
            <w:tcW w:w="1117" w:type="dxa"/>
            <w:gridSpan w:val="2"/>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226"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bottom w:val="nil" w:sz="6" w:space="0" w:color="auto"/>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727" w:type="dxa"/>
            <w:vMerge/>
            <w:tcBorders>
              <w:left w:val="single" w:sz="4" w:space="0" w:color="000000"/>
              <w:right w:val="single" w:sz="4" w:space="0" w:color="000000"/>
            </w:tcBorders>
            <w:shd w:val="clear" w:color="auto" w:fill="DCDCDC"/>
          </w:tcPr>
          <w:p>
            <w:pPr/>
          </w:p>
        </w:tc>
        <w:tc>
          <w:tcPr>
            <w:tcW w:w="599" w:type="dxa"/>
            <w:vMerge/>
            <w:tcBorders>
              <w:left w:val="single" w:sz="4" w:space="0" w:color="000000"/>
              <w:bottom w:val="nil" w:sz="6" w:space="0" w:color="auto"/>
              <w:right w:val="single" w:sz="4" w:space="0" w:color="000000"/>
            </w:tcBorders>
            <w:shd w:val="clear" w:color="auto" w:fill="DCDCDC"/>
          </w:tcPr>
          <w:p>
            <w:pPr/>
          </w:p>
        </w:tc>
        <w:tc>
          <w:tcPr>
            <w:tcW w:w="1117"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1"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r>
      <w:tr>
        <w:trPr>
          <w:trHeight w:val="246"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662"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727" w:type="dxa"/>
            <w:vMerge/>
            <w:tcBorders>
              <w:left w:val="single" w:sz="4" w:space="0" w:color="000000"/>
              <w:bottom w:val="single" w:sz="4" w:space="0" w:color="000000"/>
              <w:right w:val="single" w:sz="4" w:space="0" w:color="000000"/>
            </w:tcBorders>
            <w:shd w:val="clear" w:color="auto" w:fill="DCDCDC"/>
          </w:tcPr>
          <w:p>
            <w:pPr/>
          </w:p>
        </w:tc>
        <w:tc>
          <w:tcPr>
            <w:tcW w:w="5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7" w:type="dxa"/>
            <w:gridSpan w:val="2"/>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521"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万套可录</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DVD</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控制板技术改造项目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8"/>
              <w:jc w:val="right"/>
              <w:rPr>
                <w:rFonts w:ascii="Times New Roman" w:hAnsi="Times New Roman" w:cs="Times New Roman" w:eastAsia="Times New Roman" w:hint="default"/>
                <w:sz w:val="18"/>
                <w:szCs w:val="18"/>
              </w:rPr>
            </w:pPr>
            <w:r>
              <w:rPr>
                <w:rFonts w:ascii="Times New Roman"/>
                <w:sz w:val="18"/>
              </w:rPr>
              <w:t>6,100.0</w:t>
            </w:r>
          </w:p>
          <w:p>
            <w:pPr>
              <w:pStyle w:val="TableParagraph"/>
              <w:spacing w:line="207" w:lineRule="exact"/>
              <w:ind w:right="9"/>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sz w:val="18"/>
              </w:rPr>
              <w:t>6,100.0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6,100.0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4,547.4</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4,547.4</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w w:val="95"/>
                <w:sz w:val="18"/>
              </w:rPr>
              <w:t>-1,552.6</w:t>
            </w:r>
            <w:r>
              <w:rPr>
                <w:rFonts w:ascii="Times New Roman"/>
                <w:sz w:val="18"/>
              </w:rPr>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sz w:val="18"/>
              </w:rPr>
              <w:t>74.55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3,739.53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万套家庭影院 控制板改造项目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8"/>
              <w:jc w:val="right"/>
              <w:rPr>
                <w:rFonts w:ascii="Times New Roman" w:hAnsi="Times New Roman" w:cs="Times New Roman" w:eastAsia="Times New Roman" w:hint="default"/>
                <w:sz w:val="18"/>
                <w:szCs w:val="18"/>
              </w:rPr>
            </w:pPr>
            <w:r>
              <w:rPr>
                <w:rFonts w:ascii="Times New Roman"/>
                <w:sz w:val="18"/>
              </w:rPr>
              <w:t>5,630.0</w:t>
            </w:r>
          </w:p>
          <w:p>
            <w:pPr>
              <w:pStyle w:val="TableParagraph"/>
              <w:spacing w:line="207" w:lineRule="exact"/>
              <w:ind w:right="9"/>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sz w:val="18"/>
              </w:rPr>
              <w:t>5,630.0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5,630.0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3,783.8</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20"/>
              <w:jc w:val="right"/>
              <w:rPr>
                <w:rFonts w:ascii="Times New Roman" w:hAnsi="Times New Roman" w:cs="Times New Roman" w:eastAsia="Times New Roman" w:hint="default"/>
                <w:sz w:val="18"/>
                <w:szCs w:val="18"/>
              </w:rPr>
            </w:pPr>
            <w:r>
              <w:rPr>
                <w:rFonts w:ascii="Times New Roman"/>
                <w:sz w:val="18"/>
              </w:rPr>
              <w:t>3,783.8</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w w:val="95"/>
                <w:sz w:val="18"/>
              </w:rPr>
              <w:t>-1,846.1</w:t>
            </w:r>
            <w:r>
              <w:rPr>
                <w:rFonts w:ascii="Times New Roman"/>
                <w:sz w:val="18"/>
              </w:rPr>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1"/>
              <w:ind w:right="19"/>
              <w:jc w:val="right"/>
              <w:rPr>
                <w:rFonts w:ascii="Times New Roman" w:hAnsi="Times New Roman" w:cs="Times New Roman" w:eastAsia="Times New Roman" w:hint="default"/>
                <w:sz w:val="18"/>
                <w:szCs w:val="18"/>
              </w:rPr>
            </w:pPr>
            <w:r>
              <w:rPr>
                <w:rFonts w:ascii="Times New Roman"/>
                <w:sz w:val="18"/>
              </w:rPr>
              <w:t>67.21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2,433.12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137"/>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机顶 盒及播放器技术改造 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8"/>
              <w:jc w:val="right"/>
              <w:rPr>
                <w:rFonts w:ascii="Times New Roman" w:hAnsi="Times New Roman" w:cs="Times New Roman" w:eastAsia="Times New Roman" w:hint="default"/>
                <w:sz w:val="18"/>
                <w:szCs w:val="18"/>
              </w:rPr>
            </w:pPr>
            <w:r>
              <w:rPr>
                <w:rFonts w:ascii="Times New Roman"/>
                <w:sz w:val="18"/>
              </w:rPr>
              <w:t>2,900.0</w:t>
            </w:r>
          </w:p>
          <w:p>
            <w:pPr>
              <w:pStyle w:val="TableParagraph"/>
              <w:spacing w:line="207" w:lineRule="exact"/>
              <w:ind w:right="9"/>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2,900.0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2,900.0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w w:val="95"/>
                <w:sz w:val="18"/>
              </w:rPr>
              <w:t>-2,300.0</w:t>
            </w:r>
            <w:r>
              <w:rPr>
                <w:rFonts w:ascii="Times New Roman"/>
                <w:sz w:val="18"/>
              </w:rPr>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20.69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260.60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万件平板电视 彩光控制板技术改造 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6,130.0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6,130.0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-6,130.0</w:t>
            </w:r>
            <w:r>
              <w:rPr>
                <w:rFonts w:ascii="Times New Roman"/>
                <w:sz w:val="18"/>
              </w:rPr>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0.00%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万套背光产品 控制板技术改造项目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w w:val="95"/>
                <w:sz w:val="18"/>
              </w:rPr>
              <w:t>-4,500.0</w:t>
            </w:r>
            <w:r>
              <w:rPr>
                <w:rFonts w:ascii="Times New Roman"/>
                <w:sz w:val="18"/>
              </w:rPr>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0.00%</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Times New Roman" w:hAnsi="Times New Roman" w:cs="Times New Roman" w:eastAsia="Times New Roman" w:hint="default"/>
                <w:sz w:val="18"/>
                <w:szCs w:val="18"/>
              </w:rPr>
            </w:pPr>
            <w:r>
              <w:rPr>
                <w:rFonts w:ascii="Times New Roman"/>
                <w:sz w:val="18"/>
              </w:rPr>
              <w:t>25,260.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25,260.</w:t>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25,260.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8,931.2</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8,931.2</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w w:val="95"/>
                <w:sz w:val="18"/>
              </w:rPr>
              <w:t>-16,328.</w:t>
            </w:r>
            <w:r>
              <w:rPr>
                <w:rFonts w:ascii="Times New Roman"/>
                <w:sz w:val="18"/>
              </w:rPr>
            </w: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z w:val="18"/>
              </w:rPr>
              <w:t>6,433.25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1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139"/>
              <w:ind w:right="1"/>
              <w:jc w:val="center"/>
              <w:rPr>
                <w:rFonts w:ascii="宋体" w:hAnsi="宋体" w:cs="宋体" w:eastAsia="宋体" w:hint="default"/>
                <w:sz w:val="18"/>
                <w:szCs w:val="18"/>
              </w:rPr>
            </w:pPr>
            <w:r>
              <w:rPr>
                <w:rFonts w:ascii="宋体" w:hAnsi="宋体" w:cs="宋体" w:eastAsia="宋体" w:hint="default"/>
                <w:sz w:val="18"/>
                <w:szCs w:val="18"/>
              </w:rPr>
              <w:t>未达到计划进度原因</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8008"/>
      </w:tblGrid>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日，公司第一届董事会第十五次会议审议通过，以募集资金置换预先已投入募集资金</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25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经公司第一届董事会第十六次会议提议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年度第二次临时股东大会审议通</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过以部分闲置的募集资金暂时用于补充流动资金的议案，总额为人民币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万元，使用期限不超</w:t>
            </w:r>
          </w:p>
          <w:p>
            <w:pPr>
              <w:pStyle w:val="TableParagraph"/>
              <w:spacing w:line="230" w:lineRule="auto" w:before="1"/>
              <w:ind w:left="22" w:right="21" w:hanging="1"/>
              <w:jc w:val="both"/>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个月，预计还款时间为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w:t>
            </w:r>
            <w:r>
              <w:rPr>
                <w:rFonts w:ascii="Times New Roman" w:hAnsi="Times New Roman" w:cs="Times New Roman" w:eastAsia="Times New Roman" w:hint="default"/>
                <w:sz w:val="18"/>
                <w:szCs w:val="18"/>
              </w:rPr>
              <w:t>(</w:t>
            </w:r>
            <w:r>
              <w:rPr>
                <w:rFonts w:ascii="宋体" w:hAnsi="宋体" w:cs="宋体" w:eastAsia="宋体" w:hint="default"/>
                <w:sz w:val="18"/>
                <w:szCs w:val="18"/>
              </w:rPr>
              <w:t>实际还款时间为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。公司保荐机构</w:t>
            </w:r>
            <w:r>
              <w:rPr>
                <w:rFonts w:ascii="宋体" w:hAnsi="宋体" w:cs="宋体" w:eastAsia="宋体" w:hint="default"/>
                <w:sz w:val="18"/>
                <w:szCs w:val="18"/>
              </w:rPr>
              <w:t> 国信证券有限责任公司出具了《关于深圳市实益达科技股份有限公司运用部分闲置募集资金暂时补充 </w:t>
            </w:r>
            <w:r>
              <w:rPr>
                <w:rFonts w:ascii="宋体" w:hAnsi="宋体" w:cs="宋体" w:eastAsia="宋体" w:hint="default"/>
                <w:spacing w:val="-9"/>
                <w:sz w:val="18"/>
                <w:szCs w:val="18"/>
              </w:rPr>
              <w:t>流动资金的核查意见》。</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3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4" w:right="95" w:hanging="720"/>
              <w:jc w:val="left"/>
              <w:rPr>
                <w:rFonts w:ascii="宋体" w:hAnsi="宋体" w:cs="宋体" w:eastAsia="宋体" w:hint="default"/>
                <w:sz w:val="18"/>
                <w:szCs w:val="18"/>
              </w:rPr>
            </w:pPr>
            <w:r>
              <w:rPr>
                <w:rFonts w:ascii="宋体" w:hAnsi="宋体" w:cs="宋体" w:eastAsia="宋体" w:hint="default"/>
                <w:sz w:val="18"/>
                <w:szCs w:val="18"/>
              </w:rPr>
              <w:t>募集资金其它使用情 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0"/>
              <w:jc w:val="both"/>
              <w:rPr>
                <w:rFonts w:ascii="宋体" w:hAnsi="宋体" w:cs="宋体" w:eastAsia="宋体" w:hint="default"/>
                <w:sz w:val="18"/>
                <w:szCs w:val="18"/>
              </w:rPr>
            </w:pPr>
            <w:r>
              <w:rPr>
                <w:rFonts w:ascii="宋体" w:hAnsi="宋体" w:cs="宋体" w:eastAsia="宋体" w:hint="default"/>
                <w:spacing w:val="-3"/>
                <w:sz w:val="18"/>
                <w:szCs w:val="18"/>
              </w:rPr>
              <w:t>根据公司第一届董事会第十五次会议决议，本次实际募集资金净额超过项目投资计划部分共计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7,148.92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万元，根据《招股说明书》计划安排，用于补充公司流动资金。尚未使用的募集资金全部存放于在兴 业银行股份有限公司深圳南山支行开设的唯一募集资金专项账户中。</w:t>
            </w:r>
          </w:p>
        </w:tc>
      </w:tr>
    </w:tbl>
    <w:p>
      <w:pPr>
        <w:pStyle w:val="BodyText"/>
        <w:spacing w:line="336" w:lineRule="auto" w:before="71"/>
        <w:ind w:right="309" w:firstLine="480"/>
        <w:jc w:val="both"/>
      </w:pPr>
      <w:r>
        <w:rPr/>
        <w:t>根据中国证监会证监公司字［2007］25</w:t>
      </w:r>
      <w:r>
        <w:rPr>
          <w:spacing w:val="-80"/>
        </w:rPr>
        <w:t> </w:t>
      </w:r>
      <w:r>
        <w:rPr/>
        <w:t>号《关于进一步规范上市公司募集资金使用的通</w:t>
      </w:r>
      <w:r>
        <w:rPr/>
        <w:t> </w:t>
      </w:r>
      <w:r>
        <w:rPr>
          <w:spacing w:val="-3"/>
        </w:rPr>
        <w:t>知》和深圳证券交易所《中小企业板上市公司募集资金管理细则》（2007</w:t>
      </w:r>
      <w:r>
        <w:rPr>
          <w:spacing w:val="6"/>
        </w:rPr>
        <w:t> </w:t>
      </w:r>
      <w:r>
        <w:rPr/>
        <w:t>年修订）等有关法</w:t>
      </w:r>
      <w:r>
        <w:rPr/>
        <w:t> </w:t>
      </w:r>
      <w:r>
        <w:rPr>
          <w:spacing w:val="-1"/>
        </w:rPr>
        <w:t>律、法规的规定，经公司第一届董事会第十五次会议提议，2007年7月</w:t>
      </w:r>
      <w:r>
        <w:rPr>
          <w:spacing w:val="-58"/>
        </w:rPr>
        <w:t> </w:t>
      </w:r>
      <w:r>
        <w:rPr/>
        <w:t>13</w:t>
      </w:r>
      <w:r>
        <w:rPr>
          <w:spacing w:val="-58"/>
        </w:rPr>
        <w:t> </w:t>
      </w:r>
      <w:r>
        <w:rPr/>
        <w:t>日召开的公司</w:t>
      </w:r>
      <w:r>
        <w:rPr>
          <w:spacing w:val="-58"/>
        </w:rPr>
        <w:t> </w:t>
      </w:r>
      <w:r>
        <w:rPr/>
        <w:t>2007</w:t>
      </w:r>
      <w:r>
        <w:rPr/>
        <w:t> </w:t>
      </w:r>
      <w:r>
        <w:rPr>
          <w:spacing w:val="-4"/>
        </w:rPr>
        <w:t>年度第一次临时股东大会审议通过了修订后的《募集资金管理办法》。</w:t>
      </w:r>
    </w:p>
    <w:p>
      <w:pPr>
        <w:pStyle w:val="BodyText"/>
        <w:spacing w:line="336" w:lineRule="auto" w:before="29"/>
        <w:ind w:right="281" w:firstLine="480"/>
        <w:jc w:val="both"/>
      </w:pPr>
      <w:r>
        <w:rPr/>
        <w:t>公司于</w:t>
      </w:r>
      <w:r>
        <w:rPr>
          <w:spacing w:val="-74"/>
        </w:rPr>
        <w:t> </w:t>
      </w:r>
      <w:r>
        <w:rPr/>
        <w:t>2007</w:t>
      </w:r>
      <w:r>
        <w:rPr>
          <w:spacing w:val="-74"/>
        </w:rPr>
        <w:t> </w:t>
      </w:r>
      <w:r>
        <w:rPr/>
        <w:t>年</w:t>
      </w:r>
      <w:r>
        <w:rPr>
          <w:spacing w:val="-75"/>
        </w:rPr>
        <w:t> </w:t>
      </w:r>
      <w:r>
        <w:rPr>
          <w:spacing w:val="30"/>
        </w:rPr>
        <w:t>6月8</w:t>
      </w:r>
      <w:r>
        <w:rPr>
          <w:spacing w:val="-74"/>
        </w:rPr>
        <w:t> </w:t>
      </w:r>
      <w:r>
        <w:rPr/>
        <w:t>日与兴业银行股份有限公司深圳南山支行及国信证券有限责任公司</w:t>
      </w:r>
      <w:r>
        <w:rPr/>
        <w:t> </w:t>
      </w:r>
      <w:r>
        <w:rPr>
          <w:spacing w:val="-5"/>
        </w:rPr>
        <w:t>签订《募集资金三方监管协议》，该协定自签订之日起生效，于</w:t>
      </w:r>
      <w:r>
        <w:rPr>
          <w:spacing w:val="-51"/>
        </w:rPr>
        <w:t> </w:t>
      </w:r>
      <w:r>
        <w:rPr/>
        <w:t>2009</w:t>
      </w:r>
      <w:r>
        <w:rPr>
          <w:spacing w:val="-51"/>
        </w:rPr>
        <w:t> </w:t>
      </w:r>
      <w:r>
        <w:rPr/>
        <w:t>年</w:t>
      </w:r>
      <w:r>
        <w:rPr>
          <w:spacing w:val="-51"/>
        </w:rPr>
        <w:t> </w:t>
      </w:r>
      <w:r>
        <w:rPr/>
        <w:t>12</w:t>
      </w:r>
      <w:r>
        <w:rPr>
          <w:spacing w:val="-51"/>
        </w:rPr>
        <w:t> </w:t>
      </w:r>
      <w:r>
        <w:rPr/>
        <w:t>月</w:t>
      </w:r>
      <w:r>
        <w:rPr>
          <w:spacing w:val="-51"/>
        </w:rPr>
        <w:t> </w:t>
      </w:r>
      <w:r>
        <w:rPr/>
        <w:t>31</w:t>
      </w:r>
      <w:r>
        <w:rPr>
          <w:spacing w:val="-51"/>
        </w:rPr>
        <w:t> </w:t>
      </w:r>
      <w:r>
        <w:rPr/>
        <w:t>日解除。公</w:t>
      </w:r>
      <w:r>
        <w:rPr/>
        <w:t> </w:t>
      </w:r>
      <w:r>
        <w:rPr>
          <w:spacing w:val="27"/>
        </w:rPr>
        <w:t>司在兴业银行股份有限公司深圳南山支行开设唯一一个募集资金专项账户，账号为</w:t>
      </w:r>
      <w:r>
        <w:rPr>
          <w:spacing w:val="-114"/>
        </w:rPr>
        <w:t> </w:t>
      </w:r>
      <w:r>
        <w:rPr/>
        <w:t>337120100100084460。国信证券有限责任公司委派保荐代表人任兆成和凌文昌对该专户募集</w:t>
      </w:r>
      <w:r>
        <w:rPr>
          <w:spacing w:val="-89"/>
        </w:rPr>
        <w:t> </w:t>
      </w:r>
      <w:r>
        <w:rPr>
          <w:spacing w:val="-89"/>
        </w:rPr>
      </w:r>
      <w:r>
        <w:rPr/>
        <w:t>资金使用情况进行监督。上述《募集资金三方监管协议》与深圳证券交易所《中小企业板上</w:t>
      </w:r>
      <w:r>
        <w:rPr>
          <w:spacing w:val="-83"/>
        </w:rPr>
        <w:t> </w:t>
      </w:r>
      <w:r>
        <w:rPr>
          <w:spacing w:val="-83"/>
        </w:rPr>
      </w:r>
      <w:r>
        <w:rPr>
          <w:spacing w:val="-8"/>
        </w:rPr>
        <w:t>市公司募集资金管理细则》（2008</w:t>
      </w:r>
      <w:r>
        <w:rPr>
          <w:spacing w:val="-44"/>
        </w:rPr>
        <w:t> </w:t>
      </w:r>
      <w:r>
        <w:rPr/>
        <w:t>年修订）的范本无重大差异，且三方协议履行情况良好。</w:t>
      </w:r>
    </w:p>
    <w:p>
      <w:pPr>
        <w:pStyle w:val="BodyText"/>
        <w:spacing w:line="240" w:lineRule="auto" w:before="29"/>
        <w:ind w:left="614" w:right="271"/>
        <w:jc w:val="left"/>
      </w:pPr>
      <w:r>
        <w:rPr/>
        <w:t>北京立信会计师事务所有限公司对本公司募集资金 2007</w:t>
      </w:r>
      <w:r>
        <w:rPr>
          <w:spacing w:val="51"/>
        </w:rPr>
        <w:t> </w:t>
      </w:r>
      <w:r>
        <w:rPr/>
        <w:t>年度使用情况出具了京信核字</w:t>
      </w:r>
    </w:p>
    <w:p>
      <w:pPr>
        <w:pStyle w:val="BodyText"/>
        <w:spacing w:line="336" w:lineRule="auto" w:before="126"/>
        <w:ind w:right="295"/>
        <w:jc w:val="left"/>
      </w:pPr>
      <w:r>
        <w:rPr/>
        <w:t>[2008]414</w:t>
      </w:r>
      <w:r>
        <w:rPr>
          <w:spacing w:val="-60"/>
        </w:rPr>
        <w:t> </w:t>
      </w:r>
      <w:r>
        <w:rPr/>
        <w:t>号专项鉴证报告</w:t>
      </w:r>
      <w:r>
        <w:rPr>
          <w:spacing w:val="-8"/>
        </w:rPr>
        <w:t>，</w:t>
      </w:r>
      <w:r>
        <w:rPr/>
        <w:t>认为公司董事</w:t>
      </w:r>
      <w:r>
        <w:rPr>
          <w:spacing w:val="-8"/>
        </w:rPr>
        <w:t>会</w:t>
      </w:r>
      <w:r>
        <w:rPr>
          <w:spacing w:val="-120"/>
        </w:rPr>
        <w:t>“</w:t>
      </w:r>
      <w:r>
        <w:rPr/>
        <w:t>《募集资金年度使用情况的专项报告</w:t>
      </w:r>
      <w:r>
        <w:rPr>
          <w:spacing w:val="-8"/>
        </w:rPr>
        <w:t>》</w:t>
      </w:r>
      <w:r>
        <w:rPr/>
        <w:t>中关于</w:t>
      </w:r>
      <w:r>
        <w:rPr/>
        <w:t> 募集资金使用情况的披露与实际使用情况基本相符</w:t>
      </w:r>
      <w:r>
        <w:rPr>
          <w:spacing w:val="-120"/>
        </w:rPr>
        <w:t>”</w:t>
      </w:r>
      <w:r>
        <w:rPr/>
        <w:t>。</w:t>
      </w:r>
    </w:p>
    <w:p>
      <w:pPr>
        <w:pStyle w:val="BodyText"/>
        <w:spacing w:line="240" w:lineRule="auto" w:before="29"/>
        <w:ind w:left="633" w:right="3330"/>
        <w:jc w:val="left"/>
      </w:pPr>
      <w:r>
        <w:rPr/>
        <w:t>2、非募集资金投资情况</w:t>
      </w:r>
    </w:p>
    <w:p>
      <w:pPr>
        <w:pStyle w:val="BodyText"/>
        <w:spacing w:line="240" w:lineRule="auto" w:before="126"/>
        <w:ind w:left="614" w:right="271"/>
        <w:jc w:val="left"/>
      </w:pPr>
      <w:r>
        <w:rPr>
          <w:spacing w:val="-1"/>
        </w:rPr>
        <w:t>200</w:t>
      </w:r>
      <w:r>
        <w:rPr/>
        <w:t>7</w:t>
      </w:r>
      <w:r>
        <w:rPr>
          <w:spacing w:val="-60"/>
        </w:rPr>
        <w:t> </w:t>
      </w:r>
      <w:r>
        <w:rPr/>
        <w:t>年</w:t>
      </w:r>
      <w:r>
        <w:rPr>
          <w:spacing w:val="-60"/>
        </w:rPr>
        <w:t> </w:t>
      </w:r>
      <w:r>
        <w:rPr/>
        <w:t>11</w:t>
      </w:r>
      <w:r>
        <w:rPr>
          <w:spacing w:val="-60"/>
        </w:rPr>
        <w:t> </w:t>
      </w:r>
      <w:r>
        <w:rPr/>
        <w:t>月</w:t>
      </w:r>
      <w:r>
        <w:rPr>
          <w:spacing w:val="-60"/>
        </w:rPr>
        <w:t> </w:t>
      </w:r>
      <w:r>
        <w:rPr/>
        <w:t>10</w:t>
      </w:r>
      <w:r>
        <w:rPr>
          <w:spacing w:val="-60"/>
        </w:rPr>
        <w:t> </w:t>
      </w:r>
      <w:r>
        <w:rPr>
          <w:spacing w:val="-1"/>
        </w:rPr>
        <w:t>日公司董事会发布《重大投资公告</w:t>
      </w:r>
      <w:r>
        <w:rPr>
          <w:spacing w:val="-122"/>
        </w:rPr>
        <w:t>》</w:t>
      </w:r>
      <w:r>
        <w:rPr/>
        <w:t>（公告编号</w:t>
      </w:r>
      <w:r>
        <w:rPr>
          <w:spacing w:val="-60"/>
        </w:rPr>
        <w:t> </w:t>
      </w:r>
      <w:r>
        <w:rPr/>
        <w:t>2007—025</w:t>
      </w:r>
      <w:r>
        <w:rPr>
          <w:spacing w:val="-60"/>
        </w:rPr>
        <w:t> </w:t>
      </w:r>
      <w:r>
        <w:rPr/>
        <w:t>号</w:t>
      </w:r>
      <w:r>
        <w:rPr>
          <w:spacing w:val="-120"/>
        </w:rPr>
        <w:t>）</w:t>
      </w:r>
      <w:r>
        <w:rPr>
          <w:spacing w:val="-1"/>
        </w:rPr>
        <w:t>，投资标</w:t>
      </w:r>
      <w:r>
        <w:rPr/>
      </w:r>
    </w:p>
    <w:p>
      <w:pPr>
        <w:pStyle w:val="BodyText"/>
        <w:spacing w:line="240" w:lineRule="auto" w:before="126"/>
        <w:ind w:left="154" w:right="173"/>
        <w:jc w:val="left"/>
      </w:pPr>
      <w:r>
        <w:rPr>
          <w:spacing w:val="-4"/>
        </w:rPr>
        <w:t>的为位于深圳市龙岗区宝龙工业城的“实益达科技园总包工程”土建项目，项目总价款</w:t>
      </w:r>
      <w:r>
        <w:rPr>
          <w:spacing w:val="-49"/>
        </w:rPr>
        <w:t> </w:t>
      </w:r>
      <w:r>
        <w:rPr/>
        <w:t>6,237</w:t>
      </w:r>
    </w:p>
    <w:p>
      <w:pPr>
        <w:pStyle w:val="BodyText"/>
        <w:spacing w:line="336" w:lineRule="auto" w:before="125"/>
        <w:ind w:left="154" w:right="299"/>
        <w:jc w:val="left"/>
      </w:pPr>
      <w:r>
        <w:rPr>
          <w:spacing w:val="-3"/>
        </w:rPr>
        <w:t>万元，预计建设周期</w:t>
      </w:r>
      <w:r>
        <w:rPr>
          <w:spacing w:val="-58"/>
        </w:rPr>
        <w:t> </w:t>
      </w:r>
      <w:r>
        <w:rPr/>
        <w:t>270</w:t>
      </w:r>
      <w:r>
        <w:rPr>
          <w:spacing w:val="-58"/>
        </w:rPr>
        <w:t> </w:t>
      </w:r>
      <w:r>
        <w:rPr>
          <w:spacing w:val="-3"/>
        </w:rPr>
        <w:t>天。该公告全文刊登于</w:t>
      </w:r>
      <w:r>
        <w:rPr>
          <w:spacing w:val="-58"/>
        </w:rPr>
        <w:t> </w:t>
      </w:r>
      <w:r>
        <w:rPr/>
        <w:t>2007</w:t>
      </w:r>
      <w:r>
        <w:rPr>
          <w:spacing w:val="-58"/>
        </w:rPr>
        <w:t> </w:t>
      </w:r>
      <w:r>
        <w:rPr/>
        <w:t>年</w:t>
      </w:r>
      <w:r>
        <w:rPr>
          <w:spacing w:val="-58"/>
        </w:rPr>
        <w:t> </w:t>
      </w:r>
      <w:r>
        <w:rPr/>
        <w:t>11</w:t>
      </w:r>
      <w:r>
        <w:rPr>
          <w:spacing w:val="-58"/>
        </w:rPr>
        <w:t> </w:t>
      </w:r>
      <w:r>
        <w:rPr/>
        <w:t>月</w:t>
      </w:r>
      <w:r>
        <w:rPr>
          <w:spacing w:val="-58"/>
        </w:rPr>
        <w:t> </w:t>
      </w:r>
      <w:r>
        <w:rPr/>
        <w:t>10</w:t>
      </w:r>
      <w:r>
        <w:rPr>
          <w:spacing w:val="-58"/>
        </w:rPr>
        <w:t> </w:t>
      </w:r>
      <w:r>
        <w:rPr>
          <w:spacing w:val="-4"/>
        </w:rPr>
        <w:t>日的《证券时报》及本公司</w:t>
      </w:r>
      <w:r>
        <w:rPr/>
        <w:t> </w:t>
      </w:r>
      <w:r>
        <w:rPr>
          <w:spacing w:val="-8"/>
        </w:rPr>
        <w:t>指定信息披露网站“巨潮信息网”。</w:t>
      </w:r>
    </w:p>
    <w:p>
      <w:pPr>
        <w:pStyle w:val="BodyText"/>
        <w:spacing w:line="240" w:lineRule="auto"/>
        <w:ind w:left="614" w:right="271"/>
        <w:jc w:val="left"/>
      </w:pPr>
      <w:r>
        <w:rPr/>
        <w:t>该项目已经取得有关规划</w:t>
      </w:r>
      <w:r>
        <w:rPr>
          <w:spacing w:val="-14"/>
        </w:rPr>
        <w:t>、</w:t>
      </w:r>
      <w:r>
        <w:rPr/>
        <w:t>建设主管部门</w:t>
      </w:r>
      <w:r>
        <w:rPr>
          <w:spacing w:val="-14"/>
        </w:rPr>
        <w:t>的</w:t>
      </w:r>
      <w:r>
        <w:rPr/>
        <w:t>《规划许可证</w:t>
      </w:r>
      <w:r>
        <w:rPr>
          <w:spacing w:val="-14"/>
        </w:rPr>
        <w:t>》</w:t>
      </w:r>
      <w:r>
        <w:rPr>
          <w:spacing w:val="-12"/>
        </w:rPr>
        <w:t>和</w:t>
      </w:r>
      <w:r>
        <w:rPr/>
        <w:t>《施工许可证</w:t>
      </w:r>
      <w:r>
        <w:rPr>
          <w:spacing w:val="-120"/>
        </w:rPr>
        <w:t>》</w:t>
      </w:r>
      <w:r>
        <w:rPr>
          <w:spacing w:val="-14"/>
        </w:rPr>
        <w:t>，</w:t>
      </w:r>
      <w:r>
        <w:rPr/>
        <w:t>项目已经</w:t>
      </w:r>
    </w:p>
    <w:p>
      <w:pPr>
        <w:spacing w:after="0" w:line="240" w:lineRule="auto"/>
        <w:jc w:val="left"/>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154" w:right="0"/>
        <w:jc w:val="both"/>
      </w:pPr>
      <w:r>
        <w:rPr/>
        <w:t>在正式建设当中，目前建设进度正常，预计将于</w:t>
      </w:r>
      <w:r>
        <w:rPr>
          <w:spacing w:val="-60"/>
        </w:rPr>
        <w:t> </w:t>
      </w:r>
      <w:r>
        <w:rPr/>
        <w:t>2008</w:t>
      </w:r>
      <w:r>
        <w:rPr>
          <w:spacing w:val="-60"/>
        </w:rPr>
        <w:t> </w:t>
      </w:r>
      <w:r>
        <w:rPr/>
        <w:t>年</w:t>
      </w:r>
      <w:r>
        <w:rPr>
          <w:spacing w:val="-60"/>
        </w:rPr>
        <w:t> </w:t>
      </w:r>
      <w:r>
        <w:rPr/>
        <w:t>7</w:t>
      </w:r>
      <w:r>
        <w:rPr>
          <w:spacing w:val="-60"/>
        </w:rPr>
        <w:t> </w:t>
      </w:r>
      <w:r>
        <w:rPr/>
        <w:t>月份完工。</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336" w:lineRule="auto" w:before="0"/>
        <w:ind w:right="189" w:firstLine="460"/>
        <w:jc w:val="both"/>
      </w:pPr>
      <w:r>
        <w:rPr/>
        <w:t>四、执行新会计准则后，公司可能发生的会计政策、会计估计变更及其对公司的财务状</w:t>
      </w:r>
      <w:r>
        <w:rPr>
          <w:spacing w:val="1"/>
        </w:rPr>
        <w:t> </w:t>
      </w:r>
      <w:r>
        <w:rPr/>
        <w:t>况和经营成果的影响</w:t>
      </w:r>
    </w:p>
    <w:p>
      <w:pPr>
        <w:pStyle w:val="BodyText"/>
        <w:spacing w:line="240" w:lineRule="auto"/>
        <w:ind w:left="614" w:right="91"/>
        <w:jc w:val="left"/>
      </w:pPr>
      <w:r>
        <w:rPr/>
        <w:t>根据财政部财会[2006]3</w:t>
      </w:r>
      <w:r>
        <w:rPr>
          <w:spacing w:val="-61"/>
        </w:rPr>
        <w:t> </w:t>
      </w:r>
      <w:r>
        <w:rPr/>
        <w:t>号《关于印发&lt;企业会计准则第</w:t>
      </w:r>
      <w:r>
        <w:rPr>
          <w:spacing w:val="-61"/>
        </w:rPr>
        <w:t> </w:t>
      </w:r>
      <w:r>
        <w:rPr/>
        <w:t>1</w:t>
      </w:r>
      <w:r>
        <w:rPr>
          <w:spacing w:val="-61"/>
        </w:rPr>
        <w:t> </w:t>
      </w:r>
      <w:r>
        <w:rPr/>
        <w:t>号－存货&gt;等</w:t>
      </w:r>
      <w:r>
        <w:rPr>
          <w:spacing w:val="-61"/>
        </w:rPr>
        <w:t> </w:t>
      </w:r>
      <w:r>
        <w:rPr/>
        <w:t>38</w:t>
      </w:r>
      <w:r>
        <w:rPr>
          <w:spacing w:val="-61"/>
        </w:rPr>
        <w:t> </w:t>
      </w:r>
      <w:r>
        <w:rPr/>
        <w:t>项具体准则的</w:t>
      </w:r>
    </w:p>
    <w:p>
      <w:pPr>
        <w:pStyle w:val="BodyText"/>
        <w:spacing w:line="240" w:lineRule="auto" w:before="125"/>
        <w:ind w:right="0"/>
        <w:jc w:val="both"/>
      </w:pPr>
      <w:r>
        <w:rPr/>
        <w:t>通知</w:t>
      </w:r>
      <w:r>
        <w:rPr>
          <w:spacing w:val="-120"/>
        </w:rPr>
        <w:t>》</w:t>
      </w:r>
      <w:r>
        <w:rPr>
          <w:spacing w:val="-17"/>
        </w:rPr>
        <w:t>，</w:t>
      </w:r>
      <w:r>
        <w:rPr/>
        <w:t>公司从</w:t>
      </w:r>
      <w:r>
        <w:rPr>
          <w:spacing w:val="-60"/>
        </w:rPr>
        <w:t> </w:t>
      </w:r>
      <w:r>
        <w:rPr/>
        <w:t>200</w:t>
      </w:r>
      <w:r>
        <w:rPr>
          <w:spacing w:val="60"/>
        </w:rPr>
        <w:t>7年1月</w:t>
      </w:r>
      <w:r>
        <w:rPr/>
        <w:t>1</w:t>
      </w:r>
      <w:r>
        <w:rPr>
          <w:spacing w:val="-60"/>
        </w:rPr>
        <w:t> </w:t>
      </w:r>
      <w:r>
        <w:rPr/>
        <w:t>日起</w:t>
      </w:r>
      <w:r>
        <w:rPr>
          <w:spacing w:val="-17"/>
        </w:rPr>
        <w:t>，</w:t>
      </w:r>
      <w:r>
        <w:rPr/>
        <w:t>执行</w:t>
      </w:r>
      <w:r>
        <w:rPr>
          <w:spacing w:val="-17"/>
        </w:rPr>
        <w:t>新</w:t>
      </w:r>
      <w:r>
        <w:rPr/>
        <w:t>《企业会计准则</w:t>
      </w:r>
      <w:r>
        <w:rPr>
          <w:spacing w:val="-120"/>
        </w:rPr>
        <w:t>》</w:t>
      </w:r>
      <w:r>
        <w:rPr>
          <w:spacing w:val="-17"/>
        </w:rPr>
        <w:t>；</w:t>
      </w:r>
      <w:r>
        <w:rPr/>
        <w:t>本公司根</w:t>
      </w:r>
      <w:r>
        <w:rPr>
          <w:spacing w:val="-17"/>
        </w:rPr>
        <w:t>据</w:t>
      </w:r>
      <w:r>
        <w:rPr/>
        <w:t>《企业会计准则第</w:t>
      </w:r>
    </w:p>
    <w:p>
      <w:pPr>
        <w:pStyle w:val="BodyText"/>
        <w:spacing w:line="336" w:lineRule="auto" w:before="126"/>
        <w:ind w:right="191"/>
        <w:jc w:val="both"/>
      </w:pPr>
      <w:r>
        <w:rPr/>
        <w:t>38 号－首次执行企业会计准则》所规定的第五至十九条相关内容，对 2006</w:t>
      </w:r>
      <w:r>
        <w:rPr>
          <w:spacing w:val="-84"/>
        </w:rPr>
        <w:t> </w:t>
      </w:r>
      <w:r>
        <w:rPr/>
        <w:t>年的财务报表项</w:t>
      </w:r>
      <w:r>
        <w:rPr/>
        <w:t> 目进行了追溯调整。</w:t>
      </w:r>
    </w:p>
    <w:p>
      <w:pPr>
        <w:pStyle w:val="BodyText"/>
        <w:spacing w:line="240" w:lineRule="auto" w:before="29"/>
        <w:ind w:left="614" w:right="91"/>
        <w:jc w:val="left"/>
      </w:pPr>
      <w:r>
        <w:rPr/>
        <w:t>1、同一控制下企业合并形成的长期股权投资差额</w:t>
      </w:r>
    </w:p>
    <w:p>
      <w:pPr>
        <w:pStyle w:val="BodyText"/>
        <w:spacing w:line="336" w:lineRule="auto" w:before="126"/>
        <w:ind w:right="191" w:firstLine="460"/>
        <w:jc w:val="both"/>
      </w:pPr>
      <w:r>
        <w:rPr/>
        <w:t>在 </w:t>
      </w:r>
      <w:r>
        <w:rPr>
          <w:spacing w:val="30"/>
        </w:rPr>
        <w:t>2007年1月1</w:t>
      </w:r>
      <w:r>
        <w:rPr>
          <w:spacing w:val="-94"/>
        </w:rPr>
        <w:t> </w:t>
      </w:r>
      <w:r>
        <w:rPr>
          <w:spacing w:val="-3"/>
        </w:rPr>
        <w:t>日，属于同一控制下企业合并产生的长期股权投资，尚未摊销完毕的股</w:t>
      </w:r>
      <w:r>
        <w:rPr/>
        <w:t> 权投资差额应全额冲销，并调整留存收益，导致减少所有者权益</w:t>
      </w:r>
      <w:r>
        <w:rPr>
          <w:spacing w:val="-60"/>
        </w:rPr>
        <w:t> </w:t>
      </w:r>
      <w:r>
        <w:rPr/>
        <w:t>9,494,991.67</w:t>
      </w:r>
      <w:r>
        <w:rPr>
          <w:spacing w:val="-60"/>
        </w:rPr>
        <w:t> </w:t>
      </w:r>
      <w:r>
        <w:rPr/>
        <w:t>元。</w:t>
      </w:r>
    </w:p>
    <w:p>
      <w:pPr>
        <w:pStyle w:val="BodyText"/>
        <w:spacing w:line="240" w:lineRule="auto" w:before="29"/>
        <w:ind w:left="614" w:right="91"/>
        <w:jc w:val="left"/>
      </w:pPr>
      <w:r>
        <w:rPr/>
        <w:t>2、所得税</w:t>
      </w:r>
    </w:p>
    <w:p>
      <w:pPr>
        <w:pStyle w:val="BodyText"/>
        <w:spacing w:line="336" w:lineRule="auto" w:before="126"/>
        <w:ind w:right="188" w:firstLine="460"/>
        <w:jc w:val="both"/>
      </w:pPr>
      <w:r>
        <w:rPr/>
        <w:t>在 </w:t>
      </w:r>
      <w:r>
        <w:rPr>
          <w:spacing w:val="30"/>
        </w:rPr>
        <w:t>2007年1月1</w:t>
      </w:r>
      <w:r>
        <w:rPr>
          <w:spacing w:val="-95"/>
        </w:rPr>
        <w:t> </w:t>
      </w:r>
      <w:r>
        <w:rPr>
          <w:spacing w:val="-3"/>
        </w:rPr>
        <w:t>日，对资产、负债的账面价值与其计税基础不同形成的暂时性差异，应</w:t>
      </w:r>
      <w:r>
        <w:rPr/>
        <w:t> 当按照相关条件确认递延所得税资产或递延所得税负债，并将影响金额调整留存收益，导致</w:t>
      </w:r>
      <w:r>
        <w:rPr>
          <w:spacing w:val="-83"/>
        </w:rPr>
        <w:t> </w:t>
      </w:r>
      <w:r>
        <w:rPr>
          <w:spacing w:val="-83"/>
        </w:rPr>
      </w:r>
      <w:r>
        <w:rPr/>
        <w:t>增加所有者权益</w:t>
      </w:r>
      <w:r>
        <w:rPr>
          <w:spacing w:val="-51"/>
        </w:rPr>
        <w:t> </w:t>
      </w:r>
      <w:r>
        <w:rPr/>
        <w:t>504,880.79</w:t>
      </w:r>
      <w:r>
        <w:rPr>
          <w:spacing w:val="-51"/>
        </w:rPr>
        <w:t> </w:t>
      </w:r>
      <w:r>
        <w:rPr/>
        <w:t>元，其中归属于母公司所有者权益为</w:t>
      </w:r>
      <w:r>
        <w:rPr>
          <w:spacing w:val="-51"/>
        </w:rPr>
        <w:t> </w:t>
      </w:r>
      <w:r>
        <w:rPr/>
        <w:t>448,729.94</w:t>
      </w:r>
      <w:r>
        <w:rPr>
          <w:spacing w:val="-51"/>
        </w:rPr>
        <w:t> </w:t>
      </w:r>
      <w:r>
        <w:rPr/>
        <w:t>元，归属于少</w:t>
      </w:r>
    </w:p>
    <w:p>
      <w:pPr>
        <w:pStyle w:val="BodyText"/>
        <w:spacing w:line="240" w:lineRule="auto"/>
        <w:ind w:right="0"/>
        <w:jc w:val="both"/>
      </w:pPr>
      <w:r>
        <w:rPr/>
        <w:t>数股东权益为</w:t>
      </w:r>
      <w:r>
        <w:rPr>
          <w:spacing w:val="-60"/>
        </w:rPr>
        <w:t> </w:t>
      </w:r>
      <w:r>
        <w:rPr/>
        <w:t>56,150.85</w:t>
      </w:r>
      <w:r>
        <w:rPr>
          <w:spacing w:val="-60"/>
        </w:rPr>
        <w:t> </w:t>
      </w:r>
      <w:r>
        <w:rPr/>
        <w:t>元。</w:t>
      </w:r>
    </w:p>
    <w:p>
      <w:pPr>
        <w:pStyle w:val="BodyText"/>
        <w:spacing w:line="336" w:lineRule="auto" w:before="126"/>
        <w:ind w:right="188" w:firstLine="460"/>
        <w:jc w:val="both"/>
      </w:pPr>
      <w:r>
        <w:rPr>
          <w:spacing w:val="-1"/>
        </w:rPr>
        <w:t>根据财政部财会[2007]14</w:t>
      </w:r>
      <w:r>
        <w:rPr>
          <w:spacing w:val="-59"/>
        </w:rPr>
        <w:t> </w:t>
      </w:r>
      <w:r>
        <w:rPr>
          <w:spacing w:val="-1"/>
        </w:rPr>
        <w:t>号档---《企业会计准则解释第</w:t>
      </w:r>
      <w:r>
        <w:rPr>
          <w:spacing w:val="-59"/>
        </w:rPr>
        <w:t> </w:t>
      </w:r>
      <w:r>
        <w:rPr/>
        <w:t>1</w:t>
      </w:r>
      <w:r>
        <w:rPr>
          <w:spacing w:val="-59"/>
        </w:rPr>
        <w:t> </w:t>
      </w:r>
      <w:r>
        <w:rPr>
          <w:spacing w:val="-10"/>
        </w:rPr>
        <w:t>号》第七、（二）条规定，企</w:t>
      </w:r>
      <w:r>
        <w:rPr/>
        <w:t> 业在首次执行日以前已经持有的对子公司长期股权投资，应在首次执行日进行追溯调整，视</w:t>
      </w:r>
      <w:r>
        <w:rPr>
          <w:spacing w:val="-83"/>
        </w:rPr>
        <w:t> </w:t>
      </w:r>
      <w:r>
        <w:rPr>
          <w:spacing w:val="-83"/>
        </w:rPr>
      </w:r>
      <w:r>
        <w:rPr>
          <w:spacing w:val="-4"/>
        </w:rPr>
        <w:t>同该子公司自最初即采用成本法核算，根据该项规定，对</w:t>
      </w:r>
      <w:r>
        <w:rPr>
          <w:spacing w:val="-51"/>
        </w:rPr>
        <w:t> </w:t>
      </w:r>
      <w:r>
        <w:rPr/>
        <w:t>2006</w:t>
      </w:r>
      <w:r>
        <w:rPr>
          <w:spacing w:val="-51"/>
        </w:rPr>
        <w:t> </w:t>
      </w:r>
      <w:r>
        <w:rPr/>
        <w:t>年度财务报告中确认的投资损</w:t>
      </w:r>
    </w:p>
    <w:p>
      <w:pPr>
        <w:pStyle w:val="BodyText"/>
        <w:spacing w:line="240" w:lineRule="auto"/>
        <w:ind w:right="0"/>
        <w:jc w:val="both"/>
      </w:pPr>
      <w:r>
        <w:rPr/>
        <w:t>失</w:t>
      </w:r>
      <w:r>
        <w:rPr>
          <w:spacing w:val="-51"/>
        </w:rPr>
        <w:t> </w:t>
      </w:r>
      <w:r>
        <w:rPr/>
        <w:t>1,004,746.68</w:t>
      </w:r>
      <w:r>
        <w:rPr>
          <w:spacing w:val="-51"/>
        </w:rPr>
        <w:t> </w:t>
      </w:r>
      <w:r>
        <w:rPr/>
        <w:t>元，其中无锡实益达电子有限公司</w:t>
      </w:r>
      <w:r>
        <w:rPr>
          <w:spacing w:val="-51"/>
        </w:rPr>
        <w:t> </w:t>
      </w:r>
      <w:r>
        <w:rPr/>
        <w:t>909,244.29</w:t>
      </w:r>
      <w:r>
        <w:rPr>
          <w:spacing w:val="-51"/>
        </w:rPr>
        <w:t> </w:t>
      </w:r>
      <w:r>
        <w:rPr/>
        <w:t>元、实益达科技香港有限公</w:t>
      </w:r>
    </w:p>
    <w:p>
      <w:pPr>
        <w:pStyle w:val="BodyText"/>
        <w:spacing w:line="240" w:lineRule="auto" w:before="125"/>
        <w:ind w:right="0"/>
        <w:jc w:val="both"/>
      </w:pPr>
      <w:r>
        <w:rPr/>
        <w:t>司</w:t>
      </w:r>
      <w:r>
        <w:rPr>
          <w:spacing w:val="-60"/>
        </w:rPr>
        <w:t> </w:t>
      </w:r>
      <w:r>
        <w:rPr/>
        <w:t>95,502.39</w:t>
      </w:r>
      <w:r>
        <w:rPr>
          <w:spacing w:val="-60"/>
        </w:rPr>
        <w:t> </w:t>
      </w:r>
      <w:r>
        <w:rPr/>
        <w:t>元，调整增加母公司长期股权投资，该事项影响盈余公积增加</w:t>
      </w:r>
      <w:r>
        <w:rPr>
          <w:spacing w:val="-60"/>
        </w:rPr>
        <w:t> </w:t>
      </w:r>
      <w:r>
        <w:rPr/>
        <w:t>100,474.67</w:t>
      </w:r>
      <w:r>
        <w:rPr>
          <w:spacing w:val="-60"/>
        </w:rPr>
        <w:t> </w:t>
      </w:r>
      <w:r>
        <w:rPr/>
        <w:t>元，</w:t>
      </w:r>
    </w:p>
    <w:p>
      <w:pPr>
        <w:pStyle w:val="BodyText"/>
        <w:spacing w:line="240" w:lineRule="auto" w:before="126"/>
        <w:ind w:right="0"/>
        <w:jc w:val="both"/>
      </w:pPr>
      <w:r>
        <w:rPr>
          <w:spacing w:val="7"/>
        </w:rPr>
        <w:t>未分配利润减少 </w:t>
      </w:r>
      <w:r>
        <w:rPr/>
        <w:t>100,474.67 </w:t>
      </w:r>
      <w:r>
        <w:rPr>
          <w:spacing w:val="8"/>
        </w:rPr>
        <w:t>元，母公司盈余公积增加 </w:t>
      </w:r>
      <w:r>
        <w:rPr/>
        <w:t>100,474.67</w:t>
      </w:r>
      <w:r>
        <w:rPr>
          <w:spacing w:val="29"/>
        </w:rPr>
        <w:t> </w:t>
      </w:r>
      <w:r>
        <w:rPr>
          <w:spacing w:val="9"/>
        </w:rPr>
        <w:t>元，未分配利润增加</w:t>
      </w:r>
      <w:r>
        <w:rPr/>
      </w:r>
    </w:p>
    <w:p>
      <w:pPr>
        <w:pStyle w:val="BodyText"/>
        <w:spacing w:line="240" w:lineRule="auto" w:before="126"/>
        <w:ind w:right="0"/>
        <w:jc w:val="both"/>
      </w:pPr>
      <w:r>
        <w:rPr/>
        <w:t>904,272.01</w:t>
      </w:r>
      <w:r>
        <w:rPr>
          <w:spacing w:val="-60"/>
        </w:rPr>
        <w:t> </w:t>
      </w:r>
      <w:r>
        <w:rPr/>
        <w:t>元。</w:t>
      </w:r>
    </w:p>
    <w:p>
      <w:pPr>
        <w:pStyle w:val="BodyText"/>
        <w:spacing w:line="240" w:lineRule="auto" w:before="125"/>
        <w:ind w:left="614" w:right="91"/>
        <w:jc w:val="left"/>
      </w:pPr>
      <w:r>
        <w:rPr/>
        <w:t>根据财政部财会[2006]3</w:t>
      </w:r>
      <w:r>
        <w:rPr>
          <w:spacing w:val="-61"/>
        </w:rPr>
        <w:t> </w:t>
      </w:r>
      <w:r>
        <w:rPr/>
        <w:t>号《关于印发&lt;企业会计准则第</w:t>
      </w:r>
      <w:r>
        <w:rPr>
          <w:spacing w:val="-61"/>
        </w:rPr>
        <w:t> </w:t>
      </w:r>
      <w:r>
        <w:rPr/>
        <w:t>1</w:t>
      </w:r>
      <w:r>
        <w:rPr>
          <w:spacing w:val="-61"/>
        </w:rPr>
        <w:t> </w:t>
      </w:r>
      <w:r>
        <w:rPr/>
        <w:t>号－存货&gt;等</w:t>
      </w:r>
      <w:r>
        <w:rPr>
          <w:spacing w:val="-61"/>
        </w:rPr>
        <w:t> </w:t>
      </w:r>
      <w:r>
        <w:rPr/>
        <w:t>38</w:t>
      </w:r>
      <w:r>
        <w:rPr>
          <w:spacing w:val="-61"/>
        </w:rPr>
        <w:t> </w:t>
      </w:r>
      <w:r>
        <w:rPr/>
        <w:t>项具体准则的</w:t>
      </w:r>
    </w:p>
    <w:p>
      <w:pPr>
        <w:pStyle w:val="BodyText"/>
        <w:spacing w:line="336" w:lineRule="auto" w:before="126"/>
        <w:ind w:right="188"/>
        <w:jc w:val="both"/>
      </w:pPr>
      <w:r>
        <w:rPr>
          <w:spacing w:val="-20"/>
        </w:rPr>
        <w:t>通知》，公司从</w:t>
      </w:r>
      <w:r>
        <w:rPr>
          <w:spacing w:val="-56"/>
        </w:rPr>
        <w:t> </w:t>
      </w:r>
      <w:r>
        <w:rPr>
          <w:spacing w:val="30"/>
        </w:rPr>
        <w:t>2007年1月1</w:t>
      </w:r>
      <w:r>
        <w:rPr>
          <w:spacing w:val="-56"/>
        </w:rPr>
        <w:t> </w:t>
      </w:r>
      <w:r>
        <w:rPr>
          <w:spacing w:val="-7"/>
        </w:rPr>
        <w:t>日起，执行新《企业会计准则》；并根据准则规定，本期合并利</w:t>
      </w:r>
      <w:r>
        <w:rPr/>
        <w:t> 润表和合并现金流量表上年数中包含无锡实益达电子有限公司合并日当期期初至合并日所发</w:t>
      </w:r>
      <w:r>
        <w:rPr>
          <w:spacing w:val="-83"/>
        </w:rPr>
        <w:t> </w:t>
      </w:r>
      <w:r>
        <w:rPr>
          <w:spacing w:val="-83"/>
        </w:rPr>
      </w:r>
      <w:r>
        <w:rPr/>
        <w:t>生的收入、成本、利润、现金流量。</w:t>
      </w:r>
    </w:p>
    <w:p>
      <w:pPr>
        <w:spacing w:line="240" w:lineRule="auto" w:before="13"/>
        <w:rPr>
          <w:rFonts w:ascii="宋体" w:hAnsi="宋体" w:cs="宋体" w:eastAsia="宋体" w:hint="default"/>
          <w:sz w:val="35"/>
          <w:szCs w:val="35"/>
        </w:rPr>
      </w:pPr>
    </w:p>
    <w:p>
      <w:pPr>
        <w:pStyle w:val="BodyText"/>
        <w:spacing w:line="240" w:lineRule="auto" w:before="0"/>
        <w:ind w:left="633" w:right="91"/>
        <w:jc w:val="left"/>
      </w:pPr>
      <w:r>
        <w:rPr/>
        <w:t>五、董事会日常工作情况</w:t>
      </w:r>
    </w:p>
    <w:p>
      <w:pPr>
        <w:pStyle w:val="BodyText"/>
        <w:spacing w:line="336" w:lineRule="auto" w:before="125"/>
        <w:ind w:left="633" w:right="175"/>
        <w:jc w:val="left"/>
      </w:pPr>
      <w:r>
        <w:rPr/>
        <w:t>（一）董事会的会议情况及决议情况 </w:t>
      </w:r>
      <w:r>
        <w:rPr>
          <w:spacing w:val="-2"/>
        </w:rPr>
        <w:t>1、第一届董事会第十三次会议于2007年3月8日在深圳市南山区高新区北区清华信息港研</w:t>
      </w:r>
    </w:p>
    <w:p>
      <w:pPr>
        <w:spacing w:after="0" w:line="336" w:lineRule="auto"/>
        <w:jc w:val="left"/>
        <w:sectPr>
          <w:pgSz w:w="11910" w:h="16840"/>
          <w:pgMar w:header="747" w:footer="1339" w:top="980" w:bottom="152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154" w:right="212"/>
        <w:jc w:val="left"/>
      </w:pPr>
      <w:r>
        <w:rPr/>
        <w:t>发楼B栋501会议室召开，会议审议通过决议如下：</w:t>
      </w:r>
    </w:p>
    <w:p>
      <w:pPr>
        <w:pStyle w:val="BodyText"/>
        <w:spacing w:line="240" w:lineRule="auto" w:before="126"/>
        <w:ind w:left="634" w:right="212"/>
        <w:jc w:val="left"/>
      </w:pPr>
      <w:r>
        <w:rPr/>
        <w:t>（1）2006年度董事会工作报告；</w:t>
      </w:r>
    </w:p>
    <w:p>
      <w:pPr>
        <w:pStyle w:val="BodyText"/>
        <w:spacing w:line="240" w:lineRule="auto" w:before="125"/>
        <w:ind w:left="634" w:right="212"/>
        <w:jc w:val="left"/>
      </w:pPr>
      <w:r>
        <w:rPr/>
        <w:t>（2）2006年度财务决算报告；</w:t>
      </w:r>
    </w:p>
    <w:p>
      <w:pPr>
        <w:pStyle w:val="BodyText"/>
        <w:spacing w:line="240" w:lineRule="auto" w:before="126"/>
        <w:ind w:left="634" w:right="212"/>
        <w:jc w:val="left"/>
      </w:pPr>
      <w:r>
        <w:rPr/>
        <w:t>（3）2006年度利润分配预案；</w:t>
      </w:r>
    </w:p>
    <w:p>
      <w:pPr>
        <w:pStyle w:val="BodyText"/>
        <w:spacing w:line="240" w:lineRule="auto" w:before="126"/>
        <w:ind w:left="634" w:right="212"/>
        <w:jc w:val="left"/>
      </w:pPr>
      <w:r>
        <w:rPr/>
        <w:t>（4）关于续聘会计师事务所的议案；</w:t>
      </w:r>
    </w:p>
    <w:p>
      <w:pPr>
        <w:pStyle w:val="BodyText"/>
        <w:spacing w:line="336" w:lineRule="auto" w:before="125"/>
        <w:ind w:left="634" w:right="250"/>
        <w:jc w:val="left"/>
      </w:pPr>
      <w:r>
        <w:rPr/>
        <w:t>（5）关于提议召开2006年度股东大会的议案。 2、第一届董事会第十四次会议于2007年4月12日以通讯方式召开，会议审议通过决议如</w:t>
      </w:r>
    </w:p>
    <w:p>
      <w:pPr>
        <w:pStyle w:val="BodyText"/>
        <w:spacing w:line="240" w:lineRule="auto"/>
        <w:ind w:left="154" w:right="212"/>
        <w:jc w:val="left"/>
      </w:pPr>
      <w:r>
        <w:rPr/>
        <w:t>下：</w:t>
      </w:r>
    </w:p>
    <w:p>
      <w:pPr>
        <w:pStyle w:val="BodyText"/>
        <w:spacing w:line="336" w:lineRule="auto" w:before="125"/>
        <w:ind w:left="154" w:right="268" w:firstLine="480"/>
        <w:jc w:val="both"/>
      </w:pPr>
      <w:r>
        <w:rPr/>
        <w:t>根据公司2006年11月19日召开的2006年第四次临时股东大会决议：“授权董事会根据证 券主管部门的要求、市场与公司实际情况，与有关机构协商确定股票发行时间、发行数量、 发行价格及上市地点等事项”，董事会经审议决定，将公司首次公开发行人民币普通股的发 行股数调整为不超过3340万股。</w:t>
      </w:r>
    </w:p>
    <w:p>
      <w:pPr>
        <w:pStyle w:val="BodyText"/>
        <w:spacing w:line="336" w:lineRule="auto"/>
        <w:ind w:left="154" w:right="268" w:firstLine="480"/>
        <w:jc w:val="both"/>
      </w:pPr>
      <w:r>
        <w:rPr/>
        <w:t>3、第一届董事会第十五次会议于2007年6月27日在深圳市南山区高新区北区清华信息港 研发楼B栋501会议室召开， 该次董事会决议公告刊登于2007年6月28日的《证券时报》及本 公司指定信息披露网站“巨潮信息网”。</w:t>
      </w:r>
    </w:p>
    <w:p>
      <w:pPr>
        <w:pStyle w:val="BodyText"/>
        <w:spacing w:line="336" w:lineRule="auto"/>
        <w:ind w:left="154" w:right="231" w:firstLine="480"/>
        <w:jc w:val="both"/>
      </w:pPr>
      <w:r>
        <w:rPr>
          <w:spacing w:val="-2"/>
        </w:rPr>
        <w:t>4、第一届董事会第十六次会议于2007年8月2日以通讯表决的方式召开，该次董事会决议</w:t>
      </w:r>
      <w:r>
        <w:rPr/>
        <w:t> 公告刊登于2007年8月3日的《证券时报》及本公司指定信息披露网站“巨潮信息网”。</w:t>
      </w:r>
    </w:p>
    <w:p>
      <w:pPr>
        <w:pStyle w:val="BodyText"/>
        <w:spacing w:line="336" w:lineRule="auto" w:before="29"/>
        <w:ind w:left="154" w:right="231" w:firstLine="480"/>
        <w:jc w:val="both"/>
      </w:pPr>
      <w:r>
        <w:rPr/>
        <w:t>5、第一届董事会第十七次会议于2007年8月14日在深圳市南山区高新区北区清华信息港 </w:t>
      </w:r>
      <w:r>
        <w:rPr>
          <w:spacing w:val="-2"/>
        </w:rPr>
        <w:t>研发楼B栋501会议室召开，该次董事会决议公告刊登于2007年8月15日的《证券时报》及本公</w:t>
      </w:r>
      <w:r>
        <w:rPr>
          <w:spacing w:val="-112"/>
        </w:rPr>
        <w:t> </w:t>
      </w:r>
      <w:r>
        <w:rPr>
          <w:spacing w:val="-112"/>
        </w:rPr>
      </w:r>
      <w:r>
        <w:rPr/>
        <w:t>司指定信息披露网站“巨潮信息网”。</w:t>
      </w:r>
    </w:p>
    <w:p>
      <w:pPr>
        <w:pStyle w:val="BodyText"/>
        <w:spacing w:line="336" w:lineRule="auto" w:before="29"/>
        <w:ind w:left="154" w:right="268" w:firstLine="480"/>
        <w:jc w:val="both"/>
      </w:pPr>
      <w:r>
        <w:rPr/>
        <w:t>6、第一届董事会第十八次会议于2007年9月17日在深圳市南山区高新区北区清华信息港 研发楼B栋501会议室以现场会议和通讯表决相结合的方式召开，该次董事会决议公告刊登于 2007年9月18日的《证券时报》及本公司指定信息披露网站“巨潮信息网”。</w:t>
      </w:r>
    </w:p>
    <w:p>
      <w:pPr>
        <w:pStyle w:val="BodyText"/>
        <w:spacing w:line="336" w:lineRule="auto" w:before="29"/>
        <w:ind w:left="154" w:right="231" w:firstLine="480"/>
        <w:jc w:val="both"/>
      </w:pPr>
      <w:r>
        <w:rPr>
          <w:spacing w:val="-2"/>
        </w:rPr>
        <w:t>7、第一届董事会第十九次会议于2007年10月22日在深圳市南山区高新区北区清华信息港</w:t>
      </w:r>
      <w:r>
        <w:rPr/>
        <w:t> 研发楼B栋501会议室召开，该次董事会决议公告刊登于2007年10月23日的《证券时报》及本 公司指定信息披露网站“巨潮信息网”。</w:t>
      </w:r>
    </w:p>
    <w:p>
      <w:pPr>
        <w:pStyle w:val="BodyText"/>
        <w:spacing w:line="336" w:lineRule="auto" w:before="29"/>
        <w:ind w:left="154" w:right="268" w:firstLine="480"/>
        <w:jc w:val="both"/>
      </w:pPr>
      <w:r>
        <w:rPr/>
        <w:t>8、第一届董事会第二十次会议于2007年12月4日以通讯表决方式召开，该次董事会决议 公告刊登于2007年12月5日的《证券时报》及本公司指定信息披露网站“巨潮信息网”。</w:t>
      </w:r>
    </w:p>
    <w:p>
      <w:pPr>
        <w:pStyle w:val="BodyText"/>
        <w:spacing w:line="336" w:lineRule="auto"/>
        <w:ind w:left="634" w:right="92"/>
        <w:jc w:val="left"/>
      </w:pPr>
      <w:r>
        <w:rPr/>
        <w:t>（二）董事会对股东大会决议的执行情况 </w:t>
      </w:r>
      <w:r>
        <w:rPr>
          <w:spacing w:val="-6"/>
        </w:rPr>
        <w:t>1、报告期内公司股东大会未做出利润分配方案、公积金转增股本方案及股权激励方案等。</w:t>
      </w:r>
    </w:p>
    <w:p>
      <w:pPr>
        <w:pStyle w:val="BodyText"/>
        <w:spacing w:line="240" w:lineRule="auto"/>
        <w:ind w:left="634" w:right="212"/>
        <w:jc w:val="left"/>
      </w:pPr>
      <w:r>
        <w:rPr/>
        <w:t>2、公司首次公开发行股票并上市的执行情况：</w:t>
      </w:r>
    </w:p>
    <w:p>
      <w:pPr>
        <w:spacing w:after="0" w:line="240"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634" w:right="0"/>
        <w:jc w:val="left"/>
      </w:pPr>
      <w:r>
        <w:rPr/>
        <w:t>公司董事会根据于2006年11月19日召开的公司2006年度第四次临时股东大会审议通过的</w:t>
      </w:r>
    </w:p>
    <w:p>
      <w:pPr>
        <w:pStyle w:val="BodyText"/>
        <w:spacing w:line="336" w:lineRule="auto" w:before="126"/>
        <w:ind w:left="154" w:right="151"/>
        <w:jc w:val="both"/>
      </w:pPr>
      <w:r>
        <w:rPr>
          <w:spacing w:val="-3"/>
        </w:rPr>
        <w:t>《关于公司首次公开发行人民币普通股（A股）股票并上市的议案》中的授权，在报告期内全</w:t>
      </w:r>
      <w:r>
        <w:rPr>
          <w:spacing w:val="-81"/>
        </w:rPr>
        <w:t> </w:t>
      </w:r>
      <w:r>
        <w:rPr>
          <w:spacing w:val="-81"/>
        </w:rPr>
      </w:r>
      <w:r>
        <w:rPr>
          <w:spacing w:val="-2"/>
        </w:rPr>
        <w:t>权办理了本次公开发行股票并上市的有关事宜。经中国证监会核准，2007年6月本公司公开发</w:t>
      </w:r>
      <w:r>
        <w:rPr>
          <w:spacing w:val="-116"/>
        </w:rPr>
        <w:t> </w:t>
      </w:r>
      <w:r>
        <w:rPr>
          <w:spacing w:val="-116"/>
        </w:rPr>
      </w:r>
      <w:r>
        <w:rPr/>
        <w:t>行人民币普通股股票3,340万股；经深圳证券交易所同意，本公司股票于2007年6月13日上市 交易。</w:t>
      </w:r>
    </w:p>
    <w:p>
      <w:pPr>
        <w:pStyle w:val="BodyText"/>
        <w:spacing w:line="336" w:lineRule="auto" w:before="29"/>
        <w:ind w:left="634" w:right="290"/>
        <w:jc w:val="left"/>
      </w:pPr>
      <w:r>
        <w:rPr/>
        <w:t>（三）董事会审计委员会的履职情况 公司董事会审计委员会于2007年8月14日经公司第一届董事会第十七次会议决议批准设</w:t>
      </w:r>
    </w:p>
    <w:p>
      <w:pPr>
        <w:pStyle w:val="BodyText"/>
        <w:spacing w:line="336" w:lineRule="auto"/>
        <w:ind w:left="154" w:right="188"/>
        <w:jc w:val="both"/>
      </w:pPr>
      <w:r>
        <w:rPr/>
        <w:t>立，并根据《公司法》、《上市公司治理准则》及其它相关规定制定了《审计委员会工作细 则》。董事会审计委员会履行职责情况如下：</w:t>
      </w:r>
    </w:p>
    <w:p>
      <w:pPr>
        <w:pStyle w:val="BodyText"/>
        <w:spacing w:line="240" w:lineRule="auto"/>
        <w:ind w:left="634" w:right="0"/>
        <w:jc w:val="left"/>
      </w:pPr>
      <w:r>
        <w:rPr/>
        <w:t>1、对公司财务报告的两次审议意见以及对会计师事务所审计工作的督促情况</w:t>
      </w:r>
    </w:p>
    <w:p>
      <w:pPr>
        <w:pStyle w:val="BodyText"/>
        <w:spacing w:line="336" w:lineRule="auto" w:before="126"/>
        <w:ind w:left="154" w:right="151" w:firstLine="480"/>
        <w:jc w:val="both"/>
      </w:pPr>
      <w:r>
        <w:rPr>
          <w:spacing w:val="-2"/>
        </w:rPr>
        <w:t>（1）审计委员会认真审议了公司2007年度审计工作计划及其它相关资料，并与负责公司</w:t>
      </w:r>
      <w:r>
        <w:rPr/>
        <w:t> 年度审计工作的北京立信会计师事务所有限公司协商确定了公司2007年度财务报告审计工作 的时间安排。</w:t>
      </w:r>
    </w:p>
    <w:p>
      <w:pPr>
        <w:pStyle w:val="BodyText"/>
        <w:spacing w:line="336" w:lineRule="auto"/>
        <w:ind w:left="154" w:right="151" w:firstLine="480"/>
        <w:jc w:val="both"/>
      </w:pPr>
      <w:r>
        <w:rPr>
          <w:spacing w:val="-3"/>
        </w:rPr>
        <w:t>（2）审计委员会认真审阅了公司初步编制、未经会计师事务所审计的财务报表，并以审</w:t>
      </w:r>
      <w:r>
        <w:rPr/>
        <w:t> 计委员会决议的形式出具书面意见：公司2007年度财务报表的编制符合法律、法规和公司内 部管理制度的各项规定；财务报表的内容和格式符合证券监督管理部门的有关规定，相关资 料能够从重大方面公允地反映公司报告期末的资产负债状况以及报告期的经营成果和现金流 量状况；公司内部审计部门出具的《内部审计报告》符合法律、法规和公司内部管理制度的 各项规定。</w:t>
      </w:r>
    </w:p>
    <w:p>
      <w:pPr>
        <w:pStyle w:val="BodyText"/>
        <w:spacing w:line="336" w:lineRule="auto"/>
        <w:ind w:left="154" w:right="151" w:firstLine="480"/>
        <w:jc w:val="both"/>
      </w:pPr>
      <w:r>
        <w:rPr>
          <w:spacing w:val="-3"/>
        </w:rPr>
        <w:t>（3）会计师事务所进场后，审计委员会与负责公司年审的注册会计师就审计过程中发现</w:t>
      </w:r>
      <w:r>
        <w:rPr/>
        <w:t> 的问题以及审计报告提交的时间进行了沟通与交流，并提交了了《关于督促会计师事务所如 期提交审计报告的书面意见》。</w:t>
      </w:r>
    </w:p>
    <w:p>
      <w:pPr>
        <w:pStyle w:val="BodyText"/>
        <w:spacing w:line="336" w:lineRule="auto"/>
        <w:ind w:left="154" w:right="151" w:firstLine="480"/>
        <w:jc w:val="both"/>
      </w:pPr>
      <w:r>
        <w:rPr>
          <w:spacing w:val="-2"/>
        </w:rPr>
        <w:t>（4）年审会计师出具初步审计意见后，审计委员会对初步审计的2007年度财务会计报表</w:t>
      </w:r>
      <w:r>
        <w:rPr/>
        <w:t> 再次进行了审阅，并以审计委员会决议的形式出具书面意见：经初步审计的2007年度财务报 表已经按照企业会计准则的规定编制，在所有重大方面公允发言了公司报告期末的资产负债 状况以及2007年度的经营成果和现金流量状况。</w:t>
      </w:r>
    </w:p>
    <w:p>
      <w:pPr>
        <w:pStyle w:val="BodyText"/>
        <w:spacing w:line="336" w:lineRule="auto" w:before="29"/>
        <w:ind w:left="634" w:right="170"/>
        <w:jc w:val="left"/>
      </w:pPr>
      <w:r>
        <w:rPr/>
        <w:t>2、关于会计师事务所年报审计工作的总结报告以及对续聘会计师事务所的决议情况 董事会审计委员会以审计委员会会议决议的形式出具了关于会计师事务所年报审计工作</w:t>
      </w:r>
    </w:p>
    <w:p>
      <w:pPr>
        <w:pStyle w:val="BodyText"/>
        <w:spacing w:line="336" w:lineRule="auto"/>
        <w:ind w:left="154" w:right="151"/>
        <w:jc w:val="both"/>
      </w:pPr>
      <w:r>
        <w:rPr>
          <w:spacing w:val="-2"/>
        </w:rPr>
        <w:t>情况的总结报告，于2008年3月26日召开的第一届董事会审计委员会第四次会议审议通过了以</w:t>
      </w:r>
      <w:r>
        <w:rPr>
          <w:spacing w:val="-114"/>
        </w:rPr>
        <w:t> </w:t>
      </w:r>
      <w:r>
        <w:rPr>
          <w:spacing w:val="-114"/>
        </w:rPr>
      </w:r>
      <w:r>
        <w:rPr/>
        <w:t>下事项：</w:t>
      </w:r>
    </w:p>
    <w:p>
      <w:pPr>
        <w:pStyle w:val="BodyText"/>
        <w:spacing w:line="240" w:lineRule="auto"/>
        <w:ind w:left="634" w:right="0"/>
        <w:jc w:val="left"/>
      </w:pPr>
      <w:r>
        <w:rPr/>
        <w:t>（1）关于年度财务报告的审阅意见；</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634" w:right="0"/>
        <w:jc w:val="left"/>
      </w:pPr>
      <w:r>
        <w:rPr/>
        <w:t>（2）关于会计师事务所年报审计工作情况的总结报告；</w:t>
      </w:r>
    </w:p>
    <w:p>
      <w:pPr>
        <w:pStyle w:val="BodyText"/>
        <w:spacing w:line="336" w:lineRule="auto" w:before="126"/>
        <w:ind w:left="154" w:right="151" w:firstLine="480"/>
        <w:jc w:val="both"/>
      </w:pPr>
      <w:r>
        <w:rPr>
          <w:spacing w:val="-3"/>
        </w:rPr>
        <w:t>（3）关于续聘会计师事务所的议案：“北京立信会计师事务所有限公司在担任公司2007</w:t>
      </w:r>
      <w:r>
        <w:rPr/>
        <w:t> 年度财务审计机构的过程中，坚持独立审计准则，较好地履行了双方签订的《业务约定书》 所规定的责任和义务，审计委员会同意续聘北京立信会计师事务所有限公司为公司2008年度 审计机构”；</w:t>
      </w:r>
    </w:p>
    <w:p>
      <w:pPr>
        <w:pStyle w:val="BodyText"/>
        <w:spacing w:line="240" w:lineRule="auto" w:before="29"/>
        <w:ind w:left="634" w:right="0"/>
        <w:jc w:val="left"/>
      </w:pPr>
      <w:r>
        <w:rPr/>
        <w:t>（4）审计委员会2007年度工作总结及2008年度工作重点。</w:t>
      </w:r>
    </w:p>
    <w:p>
      <w:pPr>
        <w:pStyle w:val="BodyText"/>
        <w:spacing w:line="336" w:lineRule="auto" w:before="126"/>
        <w:ind w:left="634" w:right="290"/>
        <w:jc w:val="left"/>
      </w:pPr>
      <w:r>
        <w:rPr/>
        <w:t>（四）董事会薪酬委员会的履职情况 公司董事会薪酬委员会于2007年8月14日经公司第一届董事会第十七次会议决议批准设</w:t>
      </w:r>
    </w:p>
    <w:p>
      <w:pPr>
        <w:pStyle w:val="BodyText"/>
        <w:spacing w:line="336" w:lineRule="auto" w:before="29"/>
        <w:ind w:left="154" w:right="170"/>
        <w:jc w:val="left"/>
      </w:pPr>
      <w:r>
        <w:rPr/>
        <w:t>立，并根据《公司法》、《上市公司治理准则》及其它相关规定制定了《审计委员会工作细 则》。董事会薪酬委员会履行职责情况如下：</w:t>
      </w:r>
    </w:p>
    <w:p>
      <w:pPr>
        <w:pStyle w:val="BodyText"/>
        <w:spacing w:line="336" w:lineRule="auto"/>
        <w:ind w:right="148" w:firstLine="480"/>
        <w:jc w:val="both"/>
      </w:pPr>
      <w:r>
        <w:rPr/>
        <w:t>于</w:t>
      </w:r>
      <w:r>
        <w:rPr>
          <w:spacing w:val="-71"/>
        </w:rPr>
        <w:t> </w:t>
      </w:r>
      <w:r>
        <w:rPr/>
        <w:t>2008</w:t>
      </w:r>
      <w:r>
        <w:rPr>
          <w:spacing w:val="-71"/>
        </w:rPr>
        <w:t> </w:t>
      </w:r>
      <w:r>
        <w:rPr/>
        <w:t>年</w:t>
      </w:r>
      <w:r>
        <w:rPr>
          <w:spacing w:val="-70"/>
        </w:rPr>
        <w:t> </w:t>
      </w:r>
      <w:r>
        <w:rPr/>
        <w:t>3</w:t>
      </w:r>
      <w:r>
        <w:rPr>
          <w:spacing w:val="-71"/>
        </w:rPr>
        <w:t> </w:t>
      </w:r>
      <w:r>
        <w:rPr/>
        <w:t>月</w:t>
      </w:r>
      <w:r>
        <w:rPr>
          <w:spacing w:val="-71"/>
        </w:rPr>
        <w:t> </w:t>
      </w:r>
      <w:r>
        <w:rPr/>
        <w:t>26</w:t>
      </w:r>
      <w:r>
        <w:rPr>
          <w:spacing w:val="-71"/>
        </w:rPr>
        <w:t> </w:t>
      </w:r>
      <w:r>
        <w:rPr/>
        <w:t>日召开的公司第一届董事会薪酬委员会第二次会议审议了</w:t>
      </w:r>
      <w:r>
        <w:rPr>
          <w:spacing w:val="-71"/>
        </w:rPr>
        <w:t> </w:t>
      </w:r>
      <w:r>
        <w:rPr/>
        <w:t>2007</w:t>
      </w:r>
      <w:r>
        <w:rPr>
          <w:spacing w:val="-71"/>
        </w:rPr>
        <w:t> </w:t>
      </w:r>
      <w:r>
        <w:rPr/>
        <w:t>年度公</w:t>
      </w:r>
      <w:r>
        <w:rPr/>
        <w:t> 司董事、监事和高级管理人员所披露的薪酬发放情况，并以薪酬委员会决议的形式出具书面</w:t>
      </w:r>
      <w:r>
        <w:rPr>
          <w:spacing w:val="-83"/>
        </w:rPr>
        <w:t> </w:t>
      </w:r>
      <w:r>
        <w:rPr>
          <w:spacing w:val="-83"/>
        </w:rPr>
      </w:r>
      <w:r>
        <w:rPr/>
        <w:t>意见：“公司董事、监事和高级管理人员的薪酬决策程序符合有关规定；公司董事、监事和</w:t>
      </w:r>
      <w:r>
        <w:rPr>
          <w:spacing w:val="-83"/>
        </w:rPr>
        <w:t> </w:t>
      </w:r>
      <w:r>
        <w:rPr>
          <w:spacing w:val="-83"/>
        </w:rPr>
      </w:r>
      <w:r>
        <w:rPr/>
        <w:t>高级管理人员按照各自职务根据公司现行薪酬制度领取报酬，薪酬标准符合公司现行薪酬管</w:t>
      </w:r>
      <w:r>
        <w:rPr>
          <w:spacing w:val="-83"/>
        </w:rPr>
        <w:t> </w:t>
      </w:r>
      <w:r>
        <w:rPr>
          <w:spacing w:val="-83"/>
        </w:rPr>
      </w:r>
      <w:r>
        <w:rPr/>
        <w:t>理制度；公司</w:t>
      </w:r>
      <w:r>
        <w:rPr>
          <w:spacing w:val="-60"/>
        </w:rPr>
        <w:t> </w:t>
      </w:r>
      <w:r>
        <w:rPr/>
        <w:t>2007</w:t>
      </w:r>
      <w:r>
        <w:rPr>
          <w:spacing w:val="-60"/>
        </w:rPr>
        <w:t> </w:t>
      </w:r>
      <w:r>
        <w:rPr/>
        <w:t>年度报告中所披露的董事、监事和高级管理人员薪酬真实、准确”。</w:t>
      </w:r>
    </w:p>
    <w:p>
      <w:pPr>
        <w:spacing w:line="240" w:lineRule="auto" w:before="13"/>
        <w:rPr>
          <w:rFonts w:ascii="宋体" w:hAnsi="宋体" w:cs="宋体" w:eastAsia="宋体" w:hint="default"/>
          <w:sz w:val="35"/>
          <w:szCs w:val="35"/>
        </w:rPr>
      </w:pPr>
    </w:p>
    <w:p>
      <w:pPr>
        <w:pStyle w:val="BodyText"/>
        <w:spacing w:line="336" w:lineRule="auto" w:before="0"/>
        <w:ind w:left="633" w:right="0"/>
        <w:jc w:val="left"/>
      </w:pPr>
      <w:r>
        <w:rPr/>
        <w:t>六、公司</w:t>
      </w:r>
      <w:r>
        <w:rPr>
          <w:spacing w:val="-60"/>
        </w:rPr>
        <w:t> </w:t>
      </w:r>
      <w:r>
        <w:rPr/>
        <w:t>2007</w:t>
      </w:r>
      <w:r>
        <w:rPr>
          <w:spacing w:val="-60"/>
        </w:rPr>
        <w:t> </w:t>
      </w:r>
      <w:r>
        <w:rPr/>
        <w:t>年度利润分配及资本公积金转增股本预案</w:t>
      </w:r>
      <w:r>
        <w:rPr/>
        <w:t> </w:t>
      </w:r>
      <w:r>
        <w:rPr>
          <w:spacing w:val="7"/>
        </w:rPr>
        <w:t>根据北京立信会计师事务所有限公司为本公司出具的标准无保留意见审计报告，公司</w:t>
      </w:r>
      <w:r>
        <w:rPr/>
      </w:r>
    </w:p>
    <w:p>
      <w:pPr>
        <w:pStyle w:val="BodyText"/>
        <w:spacing w:line="240" w:lineRule="auto"/>
        <w:ind w:right="0"/>
        <w:jc w:val="left"/>
      </w:pPr>
      <w:r>
        <w:rPr/>
        <w:t>2007</w:t>
      </w:r>
      <w:r>
        <w:rPr>
          <w:spacing w:val="-28"/>
        </w:rPr>
        <w:t> </w:t>
      </w:r>
      <w:r>
        <w:rPr/>
        <w:t>年度实现净利润</w:t>
      </w:r>
      <w:r>
        <w:rPr>
          <w:spacing w:val="-28"/>
        </w:rPr>
        <w:t> </w:t>
      </w:r>
      <w:r>
        <w:rPr/>
        <w:t>61,717,919.49</w:t>
      </w:r>
      <w:r>
        <w:rPr>
          <w:spacing w:val="-28"/>
        </w:rPr>
        <w:t> </w:t>
      </w:r>
      <w:r>
        <w:rPr/>
        <w:t>元（人民币，下同</w:t>
      </w:r>
      <w:r>
        <w:rPr>
          <w:spacing w:val="-120"/>
        </w:rPr>
        <w:t>）</w:t>
      </w:r>
      <w:r>
        <w:rPr/>
        <w:t>；根据《公司章程》的有关规定，</w:t>
      </w:r>
    </w:p>
    <w:p>
      <w:pPr>
        <w:pStyle w:val="BodyText"/>
        <w:spacing w:line="240" w:lineRule="auto" w:before="126"/>
        <w:ind w:right="0"/>
        <w:jc w:val="left"/>
      </w:pPr>
      <w:r>
        <w:rPr/>
        <w:t>按照母公司净利润</w:t>
      </w:r>
      <w:r>
        <w:rPr>
          <w:spacing w:val="-41"/>
        </w:rPr>
        <w:t> </w:t>
      </w:r>
      <w:r>
        <w:rPr/>
        <w:t>68,494,371.78</w:t>
      </w:r>
      <w:r>
        <w:rPr>
          <w:spacing w:val="-41"/>
        </w:rPr>
        <w:t> </w:t>
      </w:r>
      <w:r>
        <w:rPr/>
        <w:t>元提取法定盈余公积金</w:t>
      </w:r>
      <w:r>
        <w:rPr>
          <w:spacing w:val="-41"/>
        </w:rPr>
        <w:t> </w:t>
      </w:r>
      <w:r>
        <w:rPr/>
        <w:t>6,849,437.18</w:t>
      </w:r>
      <w:r>
        <w:rPr>
          <w:spacing w:val="-41"/>
        </w:rPr>
        <w:t> </w:t>
      </w:r>
      <w:r>
        <w:rPr/>
        <w:t>元，2007</w:t>
      </w:r>
      <w:r>
        <w:rPr>
          <w:spacing w:val="-41"/>
        </w:rPr>
        <w:t> </w:t>
      </w:r>
      <w:r>
        <w:rPr/>
        <w:t>年度实际</w:t>
      </w:r>
    </w:p>
    <w:p>
      <w:pPr>
        <w:pStyle w:val="BodyText"/>
        <w:spacing w:line="240" w:lineRule="auto" w:before="125"/>
        <w:ind w:right="0"/>
        <w:jc w:val="left"/>
      </w:pPr>
      <w:r>
        <w:rPr/>
        <w:t>可供分配的利润净额为</w:t>
      </w:r>
      <w:r>
        <w:rPr>
          <w:spacing w:val="-51"/>
        </w:rPr>
        <w:t> </w:t>
      </w:r>
      <w:r>
        <w:rPr/>
        <w:t>54,868,482.31</w:t>
      </w:r>
      <w:r>
        <w:rPr>
          <w:spacing w:val="-51"/>
        </w:rPr>
        <w:t> </w:t>
      </w:r>
      <w:r>
        <w:rPr/>
        <w:t>元，加上以前年度未分配利润</w:t>
      </w:r>
      <w:r>
        <w:rPr>
          <w:spacing w:val="-51"/>
        </w:rPr>
        <w:t> </w:t>
      </w:r>
      <w:r>
        <w:rPr/>
        <w:t>23,648,306.77</w:t>
      </w:r>
      <w:r>
        <w:rPr>
          <w:spacing w:val="-51"/>
        </w:rPr>
        <w:t> </w:t>
      </w:r>
      <w:r>
        <w:rPr/>
        <w:t>元，报</w:t>
      </w:r>
    </w:p>
    <w:p>
      <w:pPr>
        <w:pStyle w:val="BodyText"/>
        <w:spacing w:line="240" w:lineRule="auto" w:before="126"/>
        <w:ind w:right="0"/>
        <w:jc w:val="left"/>
      </w:pPr>
      <w:r>
        <w:rPr/>
        <w:t>告期末新老股东共享的利润为</w:t>
      </w:r>
      <w:r>
        <w:rPr>
          <w:spacing w:val="-60"/>
        </w:rPr>
        <w:t> </w:t>
      </w:r>
      <w:r>
        <w:rPr/>
        <w:t>78,516,789.08</w:t>
      </w:r>
      <w:r>
        <w:rPr>
          <w:spacing w:val="-60"/>
        </w:rPr>
        <w:t> </w:t>
      </w:r>
      <w:r>
        <w:rPr/>
        <w:t>元。</w:t>
      </w:r>
    </w:p>
    <w:p>
      <w:pPr>
        <w:pStyle w:val="BodyText"/>
        <w:spacing w:line="240" w:lineRule="auto" w:before="126"/>
        <w:ind w:left="633" w:right="0"/>
        <w:jc w:val="left"/>
      </w:pPr>
      <w:r>
        <w:rPr>
          <w:spacing w:val="-3"/>
        </w:rPr>
        <w:t>董事会经过认真审议，拟以公司</w:t>
      </w:r>
      <w:r>
        <w:rPr>
          <w:spacing w:val="-60"/>
        </w:rPr>
        <w:t> </w:t>
      </w:r>
      <w:r>
        <w:rPr/>
        <w:t>2007</w:t>
      </w:r>
      <w:r>
        <w:rPr>
          <w:spacing w:val="-60"/>
        </w:rPr>
        <w:t> </w:t>
      </w:r>
      <w:r>
        <w:rPr/>
        <w:t>年末总股本</w:t>
      </w:r>
      <w:r>
        <w:rPr>
          <w:spacing w:val="-60"/>
        </w:rPr>
        <w:t> </w:t>
      </w:r>
      <w:r>
        <w:rPr/>
        <w:t>13340</w:t>
      </w:r>
      <w:r>
        <w:rPr>
          <w:spacing w:val="-60"/>
        </w:rPr>
        <w:t> </w:t>
      </w:r>
      <w:r>
        <w:rPr>
          <w:spacing w:val="-3"/>
        </w:rPr>
        <w:t>万股为基数，向全体股东实施每</w:t>
      </w:r>
    </w:p>
    <w:p>
      <w:pPr>
        <w:pStyle w:val="BodyText"/>
        <w:spacing w:line="240" w:lineRule="auto" w:before="125"/>
        <w:ind w:right="0"/>
        <w:jc w:val="left"/>
      </w:pPr>
      <w:r>
        <w:rPr/>
        <w:t>10</w:t>
      </w:r>
      <w:r>
        <w:rPr>
          <w:spacing w:val="-65"/>
        </w:rPr>
        <w:t> </w:t>
      </w:r>
      <w:r>
        <w:rPr/>
        <w:t>股派发现金红利</w:t>
      </w:r>
      <w:r>
        <w:rPr>
          <w:spacing w:val="-65"/>
        </w:rPr>
        <w:t> </w:t>
      </w:r>
      <w:r>
        <w:rPr/>
        <w:t>3</w:t>
      </w:r>
      <w:r>
        <w:rPr>
          <w:spacing w:val="-65"/>
        </w:rPr>
        <w:t> </w:t>
      </w:r>
      <w:r>
        <w:rPr/>
        <w:t>元（含税）的利润分配预案，共计派发现金红利</w:t>
      </w:r>
      <w:r>
        <w:rPr>
          <w:spacing w:val="-65"/>
        </w:rPr>
        <w:t> </w:t>
      </w:r>
      <w:r>
        <w:rPr/>
        <w:t>40,020,000.00</w:t>
      </w:r>
      <w:r>
        <w:rPr>
          <w:spacing w:val="-65"/>
        </w:rPr>
        <w:t> </w:t>
      </w:r>
      <w:r>
        <w:rPr/>
        <w:t>元，剩</w:t>
      </w:r>
    </w:p>
    <w:p>
      <w:pPr>
        <w:pStyle w:val="BodyText"/>
        <w:spacing w:line="240" w:lineRule="auto" w:before="126"/>
        <w:ind w:right="0"/>
        <w:jc w:val="left"/>
      </w:pPr>
      <w:r>
        <w:rPr/>
        <w:t>余未分配利润</w:t>
      </w:r>
      <w:r>
        <w:rPr>
          <w:spacing w:val="-60"/>
        </w:rPr>
        <w:t> </w:t>
      </w:r>
      <w:r>
        <w:rPr/>
        <w:t>38,496,789.08</w:t>
      </w:r>
      <w:r>
        <w:rPr>
          <w:spacing w:val="-60"/>
        </w:rPr>
        <w:t> </w:t>
      </w:r>
      <w:r>
        <w:rPr/>
        <w:t>元结转下一会计年度。</w:t>
      </w:r>
    </w:p>
    <w:p>
      <w:pPr>
        <w:pStyle w:val="BodyText"/>
        <w:spacing w:line="240" w:lineRule="auto" w:before="126"/>
        <w:ind w:left="633" w:right="0"/>
        <w:jc w:val="left"/>
      </w:pPr>
      <w:r>
        <w:rPr>
          <w:spacing w:val="-3"/>
        </w:rPr>
        <w:t>董事会经过认真审议，拟实施以资本公积金转增股本的预案。拟以公司</w:t>
      </w:r>
      <w:r>
        <w:rPr>
          <w:spacing w:val="-55"/>
        </w:rPr>
        <w:t> </w:t>
      </w:r>
      <w:r>
        <w:rPr/>
        <w:t>2007</w:t>
      </w:r>
      <w:r>
        <w:rPr>
          <w:spacing w:val="-55"/>
        </w:rPr>
        <w:t> </w:t>
      </w:r>
      <w:r>
        <w:rPr/>
        <w:t>年末总股本</w:t>
      </w:r>
    </w:p>
    <w:p>
      <w:pPr>
        <w:pStyle w:val="BodyText"/>
        <w:spacing w:line="336" w:lineRule="auto" w:before="125"/>
        <w:ind w:right="137"/>
        <w:jc w:val="left"/>
      </w:pPr>
      <w:r>
        <w:rPr/>
        <w:t>13340</w:t>
      </w:r>
      <w:r>
        <w:rPr>
          <w:spacing w:val="-58"/>
        </w:rPr>
        <w:t> </w:t>
      </w:r>
      <w:r>
        <w:rPr>
          <w:spacing w:val="-16"/>
        </w:rPr>
        <w:t>万股为基数，每</w:t>
      </w:r>
      <w:r>
        <w:rPr>
          <w:spacing w:val="-58"/>
        </w:rPr>
        <w:t> </w:t>
      </w:r>
      <w:r>
        <w:rPr/>
        <w:t>10</w:t>
      </w:r>
      <w:r>
        <w:rPr>
          <w:spacing w:val="-58"/>
        </w:rPr>
        <w:t> </w:t>
      </w:r>
      <w:r>
        <w:rPr>
          <w:spacing w:val="15"/>
        </w:rPr>
        <w:t>股转增5</w:t>
      </w:r>
      <w:r>
        <w:rPr>
          <w:spacing w:val="-58"/>
        </w:rPr>
        <w:t> </w:t>
      </w:r>
      <w:r>
        <w:rPr>
          <w:spacing w:val="-18"/>
        </w:rPr>
        <w:t>股，共计转增</w:t>
      </w:r>
      <w:r>
        <w:rPr>
          <w:spacing w:val="-58"/>
        </w:rPr>
        <w:t> </w:t>
      </w:r>
      <w:r>
        <w:rPr/>
        <w:t>6670</w:t>
      </w:r>
      <w:r>
        <w:rPr>
          <w:spacing w:val="-58"/>
        </w:rPr>
        <w:t> </w:t>
      </w:r>
      <w:r>
        <w:rPr>
          <w:spacing w:val="-8"/>
        </w:rPr>
        <w:t>万股，转增后公司总股本将增加至</w:t>
      </w:r>
      <w:r>
        <w:rPr>
          <w:spacing w:val="-58"/>
        </w:rPr>
        <w:t> </w:t>
      </w:r>
      <w:r>
        <w:rPr/>
        <w:t>20010</w:t>
      </w:r>
      <w:r>
        <w:rPr/>
        <w:t> 万股。</w:t>
      </w:r>
    </w:p>
    <w:p>
      <w:pPr>
        <w:spacing w:line="240" w:lineRule="auto" w:before="12"/>
        <w:rPr>
          <w:rFonts w:ascii="宋体" w:hAnsi="宋体" w:cs="宋体" w:eastAsia="宋体" w:hint="default"/>
          <w:sz w:val="35"/>
          <w:szCs w:val="35"/>
        </w:rPr>
      </w:pPr>
    </w:p>
    <w:p>
      <w:pPr>
        <w:pStyle w:val="BodyText"/>
        <w:spacing w:line="336" w:lineRule="auto" w:before="0"/>
        <w:ind w:left="633" w:right="771"/>
        <w:jc w:val="left"/>
      </w:pPr>
      <w:r>
        <w:rPr/>
        <w:t>七、其它需要披露的事项 1、报告期内公司选定《证券时报》为公司信息披露指定报刊，选定“巨潮信息网</w:t>
      </w:r>
    </w:p>
    <w:p>
      <w:pPr>
        <w:spacing w:after="0" w:line="336"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33" w:right="171" w:hanging="480"/>
        <w:jc w:val="left"/>
      </w:pPr>
      <w:r>
        <w:rPr/>
        <w:pict>
          <v:group style="position:absolute;margin-left:68.699997pt;margin-top:17.295923pt;width:102pt;height:.1pt;mso-position-horizontal-relative:page;mso-position-vertical-relative:paragraph;z-index:-421168" coordorigin="1374,346" coordsize="2040,2">
            <v:shape style="position:absolute;left:1374;top:346;width:2040;height:2" coordorigin="1374,346" coordsize="2040,0" path="m1374,346l3414,346e" filled="false" stroked="true" strokeweight=".599980pt" strokecolor="#0000ff">
              <v:path arrowok="t"/>
            </v:shape>
            <w10:wrap type="none"/>
          </v:group>
        </w:pict>
      </w:r>
      <w:r>
        <w:rPr/>
        <w:t>（</w:t>
      </w:r>
      <w:hyperlink r:id="rId10">
        <w:r>
          <w:rPr>
            <w:color w:val="0000FF"/>
          </w:rPr>
          <w:t>www.cninfo.com.cn</w:t>
        </w:r>
      </w:hyperlink>
      <w:r>
        <w:rPr/>
        <w:t>）”为公司指定信息披露网站。</w:t>
      </w:r>
      <w:r>
        <w:rPr/>
        <w:t> 2、于2007年9月17日召开的公司第一届董事会第十八次会议审议通过了公司《投资者关</w:t>
      </w:r>
    </w:p>
    <w:p>
      <w:pPr>
        <w:pStyle w:val="BodyText"/>
        <w:spacing w:line="336" w:lineRule="auto" w:before="29"/>
        <w:ind w:right="188"/>
        <w:jc w:val="both"/>
      </w:pPr>
      <w:r>
        <w:rPr/>
        <w:t>系管理制度》，规定“公司董事会秘书是公司投资者关系管理负责人，全面负责公司投资者 关系管理工作”，“公司董事会秘书办公室负责投资者关系管理的日常事务，负责投资者关 系管理的组织、协调工作”。</w:t>
      </w:r>
    </w:p>
    <w:p>
      <w:pPr>
        <w:pStyle w:val="BodyText"/>
        <w:spacing w:line="336" w:lineRule="auto" w:before="29"/>
        <w:ind w:right="188" w:firstLine="480"/>
        <w:jc w:val="both"/>
      </w:pPr>
      <w:r>
        <w:rPr/>
        <w:t>为加强与投资者的沟通，听取投资者对公司治理的意见和建议，进一步提高公司治理水 平，公司于2007 年9月21日在全景网平台（</w:t>
      </w:r>
      <w:r>
        <w:rPr>
          <w:color w:val="0000FF"/>
        </w:rPr>
      </w:r>
      <w:hyperlink r:id="rId17">
        <w:r>
          <w:rPr>
            <w:color w:val="0000FF"/>
            <w:u w:val="single" w:color="0000FF"/>
          </w:rPr>
          <w:t>http://irm.p5w.net/002137/</w:t>
        </w:r>
        <w:r>
          <w:rPr>
            <w:color w:val="0000FF"/>
          </w:rPr>
        </w:r>
      </w:hyperlink>
      <w:r>
        <w:rPr/>
        <w:t>）举行了公司治理</w:t>
      </w:r>
      <w:r>
        <w:rPr/>
        <w:t> 网上交流会，公司董事长陈亚妹女士、董事会秘书姜帆先生就公司治理现状及整改情况与投 资者进行了互动交流。</w:t>
      </w:r>
    </w:p>
    <w:p>
      <w:pPr>
        <w:spacing w:after="0" w:line="336"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1"/>
        <w:spacing w:line="240" w:lineRule="auto"/>
        <w:ind w:left="3293" w:right="2890"/>
        <w:jc w:val="center"/>
        <w:rPr>
          <w:b w:val="0"/>
          <w:bCs w:val="0"/>
        </w:rPr>
      </w:pPr>
      <w:bookmarkStart w:name="_TOC_250003" w:id="6"/>
      <w:r>
        <w:rPr/>
        <w:t>第九节、监事会报告</w:t>
      </w:r>
      <w:bookmarkEnd w:id="6"/>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BodyText"/>
        <w:spacing w:line="336" w:lineRule="auto" w:before="0"/>
        <w:ind w:left="154" w:right="228" w:firstLine="480"/>
        <w:jc w:val="both"/>
      </w:pPr>
      <w:r>
        <w:rPr/>
        <w:t>2007年度，监事会本着对公司和全体股东负责的态度认真执行了《公司法》、《公司章</w:t>
      </w:r>
      <w:r>
        <w:rPr>
          <w:spacing w:val="1"/>
        </w:rPr>
        <w:t> </w:t>
      </w:r>
      <w:r>
        <w:rPr/>
        <w:t>程》所赋予的各项职权，对公司的规范经营、财务状况和关联交易进行了监督，对公司董事</w:t>
      </w:r>
      <w:r>
        <w:rPr>
          <w:spacing w:val="-83"/>
        </w:rPr>
        <w:t> </w:t>
      </w:r>
      <w:r>
        <w:rPr>
          <w:spacing w:val="-83"/>
        </w:rPr>
      </w:r>
      <w:r>
        <w:rPr/>
        <w:t>及高级管理人员的公职行为进行了监督，促进公司规范运作，维护公司整体利益和全体股东</w:t>
      </w:r>
      <w:r>
        <w:rPr>
          <w:spacing w:val="-83"/>
        </w:rPr>
        <w:t> </w:t>
      </w:r>
      <w:r>
        <w:rPr>
          <w:spacing w:val="-83"/>
        </w:rPr>
      </w:r>
      <w:r>
        <w:rPr/>
        <w:t>的利益。</w:t>
      </w:r>
    </w:p>
    <w:p>
      <w:pPr>
        <w:pStyle w:val="BodyText"/>
        <w:spacing w:line="336" w:lineRule="auto" w:before="29"/>
        <w:ind w:left="634" w:right="210"/>
        <w:jc w:val="left"/>
      </w:pPr>
      <w:r>
        <w:rPr/>
        <w:t>一、监事会会议情况： 1、第一届监事会第一次会议于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日在深圳市高新区北区清华信息港研发楼</w:t>
      </w:r>
      <w:r>
        <w:rPr>
          <w:rFonts w:ascii="Times New Roman" w:hAnsi="Times New Roman" w:cs="Times New Roman" w:eastAsia="Times New Roman" w:hint="default"/>
        </w:rPr>
        <w:t>B</w:t>
      </w:r>
      <w:r>
        <w:rPr/>
        <w:t>栋</w:t>
      </w:r>
    </w:p>
    <w:p>
      <w:pPr>
        <w:pStyle w:val="BodyText"/>
        <w:spacing w:line="240" w:lineRule="auto" w:before="2"/>
        <w:ind w:left="135" w:right="5409"/>
        <w:jc w:val="center"/>
      </w:pPr>
      <w:r>
        <w:rPr>
          <w:rFonts w:ascii="Times New Roman" w:hAnsi="Times New Roman" w:cs="Times New Roman" w:eastAsia="Times New Roman" w:hint="default"/>
        </w:rPr>
        <w:t>501</w:t>
      </w:r>
      <w:r>
        <w:rPr/>
        <w:t>会议室召开，会议审议通过如下决议：</w:t>
      </w:r>
    </w:p>
    <w:p>
      <w:pPr>
        <w:pStyle w:val="BodyText"/>
        <w:spacing w:line="240" w:lineRule="auto" w:before="107"/>
        <w:ind w:left="634" w:right="212"/>
        <w:jc w:val="left"/>
      </w:pPr>
      <w:r>
        <w:rPr/>
        <w:t>（1）2006年度监事会工作报告；</w:t>
      </w:r>
    </w:p>
    <w:p>
      <w:pPr>
        <w:pStyle w:val="BodyText"/>
        <w:spacing w:line="336" w:lineRule="auto" w:before="126"/>
        <w:ind w:left="154" w:right="212" w:firstLine="480"/>
        <w:jc w:val="left"/>
      </w:pPr>
      <w:r>
        <w:rPr>
          <w:spacing w:val="-3"/>
        </w:rPr>
        <w:t>（2）报告期内监事会对公司的规范经营、财务状况和关联交易进行监督，以及对公司董</w:t>
      </w:r>
      <w:r>
        <w:rPr/>
        <w:t> 事及高级管理人员的公职行为进行监督的情况。</w:t>
      </w:r>
    </w:p>
    <w:p>
      <w:pPr>
        <w:pStyle w:val="BodyText"/>
        <w:spacing w:line="319" w:lineRule="auto" w:before="29"/>
        <w:ind w:left="154" w:right="212" w:firstLine="480"/>
        <w:jc w:val="left"/>
      </w:pPr>
      <w:r>
        <w:rPr>
          <w:spacing w:val="2"/>
        </w:rPr>
        <w:t>2、第一届监事会第二次会议于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日在深圳市高新区北区清华信息港研发楼</w:t>
      </w:r>
      <w:r>
        <w:rPr>
          <w:rFonts w:ascii="Times New Roman" w:hAnsi="Times New Roman" w:cs="Times New Roman" w:eastAsia="Times New Roman" w:hint="default"/>
          <w:spacing w:val="2"/>
        </w:rPr>
        <w:t>B</w:t>
      </w:r>
      <w:r>
        <w:rPr>
          <w:rFonts w:ascii="Times New Roman" w:hAnsi="Times New Roman" w:cs="Times New Roman" w:eastAsia="Times New Roman" w:hint="default"/>
        </w:rPr>
        <w:t> </w:t>
      </w:r>
      <w:r>
        <w:rPr/>
        <w:t>栋</w:t>
      </w:r>
      <w:r>
        <w:rPr>
          <w:rFonts w:ascii="Times New Roman" w:hAnsi="Times New Roman" w:cs="Times New Roman" w:eastAsia="Times New Roman" w:hint="default"/>
        </w:rPr>
        <w:t>501</w:t>
      </w:r>
      <w:r>
        <w:rPr/>
        <w:t>会议室召开，会议审议通过公司2007半年度报告及摘要。</w:t>
      </w:r>
    </w:p>
    <w:p>
      <w:pPr>
        <w:pStyle w:val="BodyText"/>
        <w:spacing w:line="240" w:lineRule="auto" w:before="20"/>
        <w:ind w:left="634" w:right="92"/>
        <w:jc w:val="left"/>
      </w:pPr>
      <w:r>
        <w:rPr/>
        <w:t>3、第一届监事会第三次会议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日在深圳市高新区北区清华信息港研发楼</w:t>
      </w:r>
      <w:r>
        <w:rPr>
          <w:rFonts w:ascii="Times New Roman" w:hAnsi="Times New Roman" w:cs="Times New Roman" w:eastAsia="Times New Roman" w:hint="default"/>
        </w:rPr>
        <w:t>B</w:t>
      </w:r>
      <w:r>
        <w:rPr/>
        <w:t>栋</w:t>
      </w:r>
    </w:p>
    <w:p>
      <w:pPr>
        <w:pStyle w:val="BodyText"/>
        <w:spacing w:line="240" w:lineRule="auto" w:before="107"/>
        <w:ind w:left="135" w:right="5409"/>
        <w:jc w:val="center"/>
      </w:pPr>
      <w:r>
        <w:rPr>
          <w:rFonts w:ascii="Times New Roman" w:hAnsi="Times New Roman" w:cs="Times New Roman" w:eastAsia="Times New Roman" w:hint="default"/>
        </w:rPr>
        <w:t>501</w:t>
      </w:r>
      <w:r>
        <w:rPr/>
        <w:t>会议室召开，会议审议通过如下决议：</w:t>
      </w:r>
    </w:p>
    <w:p>
      <w:pPr>
        <w:pStyle w:val="BodyText"/>
        <w:spacing w:line="240" w:lineRule="auto" w:before="108"/>
        <w:ind w:left="634" w:right="212"/>
        <w:jc w:val="left"/>
      </w:pPr>
      <w:r>
        <w:rPr/>
        <w:t>（1）公司2007年第三季度报告；</w:t>
      </w:r>
    </w:p>
    <w:p>
      <w:pPr>
        <w:pStyle w:val="BodyText"/>
        <w:spacing w:line="240" w:lineRule="auto" w:before="126"/>
        <w:ind w:left="634" w:right="212"/>
        <w:jc w:val="left"/>
      </w:pPr>
      <w:r>
        <w:rPr/>
        <w:t>（2）《公司治理专项活动整改报告》。</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336" w:lineRule="auto" w:before="0"/>
        <w:ind w:left="634" w:right="212"/>
        <w:jc w:val="left"/>
      </w:pPr>
      <w:r>
        <w:rPr/>
        <w:t>二、监事会发表的意见： </w:t>
      </w:r>
      <w:r>
        <w:rPr>
          <w:spacing w:val="-3"/>
        </w:rPr>
        <w:t>1、监事会对公司的规范经营、财务状况和关联交易进行监督，以及对公司董事及高级管</w:t>
      </w:r>
    </w:p>
    <w:p>
      <w:pPr>
        <w:pStyle w:val="BodyText"/>
        <w:spacing w:line="336" w:lineRule="auto" w:before="29"/>
        <w:ind w:left="634" w:right="6250" w:hanging="480"/>
        <w:jc w:val="left"/>
      </w:pPr>
      <w:r>
        <w:rPr/>
        <w:t>理人员的公职行为进行监督的情况 监事会经认真审议认为：</w:t>
      </w:r>
    </w:p>
    <w:p>
      <w:pPr>
        <w:pStyle w:val="BodyText"/>
        <w:spacing w:line="336" w:lineRule="auto"/>
        <w:ind w:left="154" w:right="92" w:firstLine="480"/>
        <w:jc w:val="left"/>
      </w:pPr>
      <w:r>
        <w:rPr>
          <w:spacing w:val="-6"/>
        </w:rPr>
        <w:t>（1）报告期内公司各项决策程序合法，公司董事及高级管理人员执行公务时无违反法律、</w:t>
      </w:r>
      <w:r>
        <w:rPr/>
        <w:t> 法规、公司章程及损害公司利益的行为；</w:t>
      </w:r>
    </w:p>
    <w:p>
      <w:pPr>
        <w:pStyle w:val="BodyText"/>
        <w:spacing w:line="336" w:lineRule="auto"/>
        <w:ind w:left="154" w:right="92" w:firstLine="480"/>
        <w:jc w:val="left"/>
      </w:pPr>
      <w:r>
        <w:rPr/>
        <w:t>（2）监事会认真审核了公司的财务状况，公司2007年度财务报告真实的反映了公司的财 </w:t>
      </w:r>
      <w:r>
        <w:rPr>
          <w:spacing w:val="-2"/>
        </w:rPr>
        <w:t>务状况和经营成果，北京立信会计师事务所有限公司为公司出具的审计报告是客观、公正的；</w:t>
      </w:r>
    </w:p>
    <w:p>
      <w:pPr>
        <w:pStyle w:val="BodyText"/>
        <w:spacing w:line="336" w:lineRule="auto" w:before="29"/>
        <w:ind w:left="154" w:right="212" w:firstLine="480"/>
        <w:jc w:val="left"/>
      </w:pPr>
      <w:r>
        <w:rPr>
          <w:spacing w:val="-3"/>
        </w:rPr>
        <w:t>（3）报告期内公司未发生关联交易以及对外担保等事项，没有损害公司及全体股东，特</w:t>
      </w:r>
      <w:r>
        <w:rPr/>
        <w:t> 别是中小股东的利益。</w:t>
      </w:r>
    </w:p>
    <w:p>
      <w:pPr>
        <w:spacing w:after="0" w:line="336"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34" w:right="145"/>
        <w:jc w:val="left"/>
      </w:pPr>
      <w:r>
        <w:rPr/>
        <w:t>2、募集资金使用情况 </w:t>
      </w:r>
      <w:r>
        <w:rPr>
          <w:spacing w:val="-5"/>
        </w:rPr>
        <w:t>监事会审议通过了公司《募集资金2007年度使用情况的专项报告》，认为：公司2007年度</w:t>
      </w:r>
    </w:p>
    <w:p>
      <w:pPr>
        <w:pStyle w:val="BodyText"/>
        <w:spacing w:line="336" w:lineRule="auto" w:before="29"/>
        <w:ind w:right="148"/>
        <w:jc w:val="both"/>
      </w:pPr>
      <w:r>
        <w:rPr/>
        <w:t>募集资金实际投入项目与《招股说明书》承诺投入项目一致，截止报告期末募集资金实际投</w:t>
      </w:r>
      <w:r>
        <w:rPr>
          <w:spacing w:val="-83"/>
        </w:rPr>
        <w:t> </w:t>
      </w:r>
      <w:r>
        <w:rPr>
          <w:spacing w:val="-83"/>
        </w:rPr>
      </w:r>
      <w:r>
        <w:rPr/>
        <w:t>资项目没有发生变更。</w:t>
      </w:r>
    </w:p>
    <w:p>
      <w:pPr>
        <w:pStyle w:val="BodyText"/>
        <w:spacing w:line="336" w:lineRule="auto"/>
        <w:ind w:left="633" w:right="171"/>
        <w:jc w:val="left"/>
      </w:pPr>
      <w:r>
        <w:rPr/>
        <w:t>3、关于《公司治理专项活动整改报告》 监事会经审议认为，公司根据中国证券监督管理委员会关于加强公司治理专项活动的要</w:t>
      </w:r>
    </w:p>
    <w:p>
      <w:pPr>
        <w:pStyle w:val="BodyText"/>
        <w:spacing w:line="336" w:lineRule="auto"/>
        <w:ind w:right="188"/>
        <w:jc w:val="both"/>
      </w:pPr>
      <w:r>
        <w:rPr/>
        <w:t>求，结合自查报告、公众评议及中国证监会深圳监管局现场检查的结果，制定《公司治理专 </w:t>
      </w:r>
      <w:r>
        <w:rPr>
          <w:spacing w:val="-6"/>
        </w:rPr>
        <w:t>项活动整改报告》。《整改报告》针对此次活动中发现的公司治理方面存在的问题，制定了切</w:t>
      </w:r>
      <w:r>
        <w:rPr>
          <w:spacing w:val="-114"/>
        </w:rPr>
        <w:t> </w:t>
      </w:r>
      <w:r>
        <w:rPr>
          <w:spacing w:val="-114"/>
        </w:rPr>
      </w:r>
      <w:r>
        <w:rPr/>
        <w:t>实可行的整改措施和计划，有利于公司进一步完善法人治理结构，有利于公司长远、健康发 展。</w:t>
      </w:r>
    </w:p>
    <w:p>
      <w:pPr>
        <w:spacing w:after="0" w:line="336"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1"/>
        <w:spacing w:line="240" w:lineRule="auto"/>
        <w:ind w:left="4249" w:right="212"/>
        <w:jc w:val="left"/>
        <w:rPr>
          <w:b w:val="0"/>
          <w:bCs w:val="0"/>
        </w:rPr>
      </w:pPr>
      <w:bookmarkStart w:name="_TOC_250002" w:id="7"/>
      <w:r>
        <w:rPr/>
        <w:t>第十节、重要事项</w:t>
      </w:r>
      <w:bookmarkEnd w:id="7"/>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8"/>
          <w:szCs w:val="28"/>
        </w:rPr>
      </w:pPr>
    </w:p>
    <w:p>
      <w:pPr>
        <w:pStyle w:val="BodyText"/>
        <w:spacing w:line="336" w:lineRule="auto" w:before="0"/>
        <w:ind w:left="633" w:right="3371"/>
        <w:jc w:val="left"/>
      </w:pPr>
      <w:r>
        <w:rPr/>
        <w:t>一、重大诉讼、仲裁事项 报告期内，公司无重大诉讼、仲裁事项。 二、收购及出售资产、吸收合并事项 报告期内，公司无重大收购及出售资产、吸收合并事项。 三、关联交易事项</w:t>
      </w:r>
    </w:p>
    <w:p>
      <w:pPr>
        <w:pStyle w:val="BodyText"/>
        <w:spacing w:line="336" w:lineRule="auto"/>
        <w:ind w:left="633" w:right="5291"/>
        <w:jc w:val="left"/>
      </w:pPr>
      <w:r>
        <w:rPr/>
        <w:t>报告期内，公司未发生关联交易事项。 四、重大合同及其履行情况</w:t>
      </w:r>
    </w:p>
    <w:p>
      <w:pPr>
        <w:pStyle w:val="BodyText"/>
        <w:spacing w:line="336" w:lineRule="auto"/>
        <w:ind w:right="212" w:firstLine="480"/>
        <w:jc w:val="left"/>
      </w:pPr>
      <w:r>
        <w:rPr/>
        <w:t>（一）报告期内，公司无委托、承包、租赁其它公司资产或其它公司托管、承包、租赁</w:t>
      </w:r>
      <w:r>
        <w:rPr>
          <w:spacing w:val="1"/>
        </w:rPr>
        <w:t> </w:t>
      </w:r>
      <w:r>
        <w:rPr/>
        <w:t>公司资产的事项。</w:t>
      </w:r>
    </w:p>
    <w:p>
      <w:pPr>
        <w:pStyle w:val="BodyText"/>
        <w:spacing w:line="240" w:lineRule="auto" w:before="29"/>
        <w:ind w:left="633" w:right="212"/>
        <w:jc w:val="left"/>
      </w:pPr>
      <w:r>
        <w:rPr/>
        <w:t>（二）报告期内，公司无重大担保事项。</w:t>
      </w:r>
    </w:p>
    <w:p>
      <w:pPr>
        <w:pStyle w:val="BodyText"/>
        <w:spacing w:line="240" w:lineRule="auto" w:before="126"/>
        <w:ind w:left="633" w:right="212"/>
        <w:jc w:val="left"/>
      </w:pPr>
      <w:r>
        <w:rPr/>
        <w:t>（三）报告期内，公司无委托他人进行现金资产管理事项。</w:t>
      </w:r>
    </w:p>
    <w:p>
      <w:pPr>
        <w:pStyle w:val="BodyText"/>
        <w:spacing w:line="336" w:lineRule="auto" w:before="126"/>
        <w:ind w:left="633" w:right="3851"/>
        <w:jc w:val="left"/>
      </w:pPr>
      <w:r>
        <w:rPr/>
        <w:t>（四）报告期内，公司无其它重大合同事项发生。 五、股权激励计划实施情况 报告期内，公司未制定或实施股权激励计划。 六、公司或持有公司5%以上（含5%）的股东承诺事项</w:t>
      </w:r>
    </w:p>
    <w:p>
      <w:pPr>
        <w:pStyle w:val="BodyText"/>
        <w:spacing w:line="336" w:lineRule="auto" w:before="29"/>
        <w:ind w:right="228" w:firstLine="480"/>
        <w:jc w:val="both"/>
      </w:pPr>
      <w:r>
        <w:rPr>
          <w:spacing w:val="-3"/>
        </w:rPr>
        <w:t>1、首次公开发行前股东所持股份自愿锁定的承诺：本公司控股股东恒顺昌公司、主要股</w:t>
      </w:r>
      <w:r>
        <w:rPr/>
        <w:t> 东冠德成公司承诺，自本股票上市之日起三十六个月内，不转让或者委托他人管理其持有的</w:t>
      </w:r>
      <w:r>
        <w:rPr>
          <w:spacing w:val="-83"/>
        </w:rPr>
        <w:t> </w:t>
      </w:r>
      <w:r>
        <w:rPr>
          <w:spacing w:val="-83"/>
        </w:rPr>
      </w:r>
      <w:r>
        <w:rPr/>
        <w:t>本公司股份，也不由本公司回购其持有的股份。</w:t>
      </w:r>
    </w:p>
    <w:p>
      <w:pPr>
        <w:pStyle w:val="BodyText"/>
        <w:spacing w:line="336" w:lineRule="auto" w:before="29"/>
        <w:ind w:right="215" w:firstLine="480"/>
        <w:jc w:val="left"/>
      </w:pPr>
      <w:r>
        <w:rPr>
          <w:spacing w:val="-2"/>
        </w:rPr>
        <w:t>本公司股票于2007年6月13日在深圳证券交易所挂牌上市，截止目前恒顺昌、冠德成持有</w:t>
      </w:r>
      <w:r>
        <w:rPr/>
        <w:t> 的本公司股份尚在锁定阶段。</w:t>
      </w:r>
    </w:p>
    <w:p>
      <w:pPr>
        <w:pStyle w:val="BodyText"/>
        <w:spacing w:line="336" w:lineRule="auto"/>
        <w:ind w:left="154" w:right="92" w:firstLine="480"/>
        <w:jc w:val="left"/>
      </w:pPr>
      <w:r>
        <w:rPr>
          <w:spacing w:val="-6"/>
        </w:rPr>
        <w:t>2、对于公司享有的企业所得税税收优惠事项的承诺：公司实际控制人乔昕、陈亚妹夫妇，</w:t>
      </w:r>
      <w:r>
        <w:rPr/>
        <w:t> 以及恒顺昌、冠德成承诺，若日后国家税务主管部门要求本公司补缴因享受有关税收政策而</w:t>
      </w:r>
      <w:r>
        <w:rPr>
          <w:spacing w:val="-83"/>
        </w:rPr>
        <w:t> </w:t>
      </w:r>
      <w:r>
        <w:rPr>
          <w:spacing w:val="-83"/>
        </w:rPr>
      </w:r>
      <w:r>
        <w:rPr/>
        <w:t>免缴及少缴的企业所得税，则乔昕、陈亚妹夫妇及恒顺昌、冠德成将以连带责任方式，无条</w:t>
      </w:r>
      <w:r>
        <w:rPr>
          <w:spacing w:val="-83"/>
        </w:rPr>
        <w:t> </w:t>
      </w:r>
      <w:r>
        <w:rPr>
          <w:spacing w:val="-83"/>
        </w:rPr>
      </w:r>
      <w:r>
        <w:rPr/>
        <w:t>件全额承担本公司在上市前应补缴的税款及/或因此所产生的相关费用。</w:t>
      </w:r>
    </w:p>
    <w:p>
      <w:pPr>
        <w:pStyle w:val="BodyText"/>
        <w:spacing w:line="336" w:lineRule="auto" w:before="29"/>
        <w:ind w:left="634" w:right="212"/>
        <w:jc w:val="left"/>
      </w:pPr>
      <w:r>
        <w:rPr/>
        <w:t>报告期内，公司未接到国家税务部门关于补缴企业所得税的要求。 </w:t>
      </w:r>
      <w:r>
        <w:rPr>
          <w:spacing w:val="-3"/>
        </w:rPr>
        <w:t>3、关于无锡实益达土地使用权出让金事宜的承诺：公司实际控制人乔昕、陈亚妹夫妇承</w:t>
      </w:r>
    </w:p>
    <w:p>
      <w:pPr>
        <w:spacing w:after="0" w:line="336"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213" w:right="147"/>
        <w:jc w:val="both"/>
      </w:pPr>
      <w:r>
        <w:rPr>
          <w:spacing w:val="-3"/>
        </w:rPr>
        <w:t>诺（1）如果日后有关政府部门要求无锡实益达缴付全部土地出让金，则乔昕、陈亚妹夫妇将</w:t>
      </w:r>
      <w:r>
        <w:rPr>
          <w:spacing w:val="-81"/>
        </w:rPr>
        <w:t> </w:t>
      </w:r>
      <w:r>
        <w:rPr>
          <w:spacing w:val="-81"/>
        </w:rPr>
      </w:r>
      <w:r>
        <w:rPr>
          <w:spacing w:val="-3"/>
        </w:rPr>
        <w:t>对无锡实益达欠缴得多土地使用权出让金承担连带责任；（2）如果日后有关政府部门因无锡</w:t>
      </w:r>
      <w:r>
        <w:rPr>
          <w:spacing w:val="-95"/>
        </w:rPr>
        <w:t> </w:t>
      </w:r>
      <w:r>
        <w:rPr>
          <w:spacing w:val="-95"/>
        </w:rPr>
      </w:r>
      <w:r>
        <w:rPr>
          <w:spacing w:val="3"/>
        </w:rPr>
        <w:t>实益达未能缴足土地使用权出让金而要求其支付相应滞纳金及/或要求其承担其它任何经济</w:t>
      </w:r>
      <w:r>
        <w:rPr>
          <w:spacing w:val="-101"/>
        </w:rPr>
        <w:t> </w:t>
      </w:r>
      <w:r>
        <w:rPr>
          <w:spacing w:val="-101"/>
        </w:rPr>
      </w:r>
      <w:r>
        <w:rPr>
          <w:spacing w:val="-2"/>
        </w:rPr>
        <w:t>处罚，乔昕、陈亚妹夫妇将以连带责任方式代无锡实益达支付滞纳金及/或承担其它任何经济</w:t>
      </w:r>
      <w:r>
        <w:rPr/>
        <w:t> 处罚，且不向无锡实益达进行追偿。</w:t>
      </w:r>
    </w:p>
    <w:p>
      <w:pPr>
        <w:pStyle w:val="BodyText"/>
        <w:spacing w:line="336" w:lineRule="auto" w:before="29"/>
        <w:ind w:left="213" w:right="131" w:firstLine="480"/>
        <w:jc w:val="left"/>
      </w:pPr>
      <w:r>
        <w:rPr/>
        <w:t>报告期内，公司未接到任何政府部门关于追缴无锡实益达土地使用权出让金，以及支付</w:t>
      </w:r>
      <w:r>
        <w:rPr>
          <w:spacing w:val="1"/>
        </w:rPr>
        <w:t> </w:t>
      </w:r>
      <w:r>
        <w:rPr/>
        <w:t>与之相关的滞纳金及/或其它经济处罚的要求。</w:t>
      </w:r>
    </w:p>
    <w:p>
      <w:pPr>
        <w:pStyle w:val="BodyText"/>
        <w:spacing w:line="336" w:lineRule="auto"/>
        <w:ind w:left="693" w:right="131"/>
        <w:jc w:val="left"/>
      </w:pPr>
      <w:r>
        <w:rPr/>
        <w:t>七、聘任、解聘会计师事务所的情况 报告期内公司续聘北京立信会计师事务所有限公司为本公司财务审计机构，该所已连续</w:t>
      </w:r>
    </w:p>
    <w:p>
      <w:pPr>
        <w:pStyle w:val="BodyText"/>
        <w:spacing w:line="336" w:lineRule="auto"/>
        <w:ind w:left="693" w:right="131" w:hanging="480"/>
        <w:jc w:val="left"/>
      </w:pPr>
      <w:r>
        <w:rPr/>
        <w:t>为4年为本公司提供审计服务。2007年度公司支付该所审计费用合计人民币33万元。 八、报告期内，本公司及公司董事、监事、高级管理人员、主要股东、实际控制人没有</w:t>
      </w:r>
    </w:p>
    <w:p>
      <w:pPr>
        <w:pStyle w:val="BodyText"/>
        <w:spacing w:line="336" w:lineRule="auto" w:before="29"/>
        <w:ind w:left="213" w:right="148"/>
        <w:jc w:val="both"/>
      </w:pPr>
      <w:r>
        <w:rPr/>
        <w:t>受到中国证监会稽查、行政处罚、通报批评，以及证券交易所公开谴责的情形；公司董事、</w:t>
      </w:r>
      <w:r>
        <w:rPr>
          <w:spacing w:val="-83"/>
        </w:rPr>
        <w:t> </w:t>
      </w:r>
      <w:r>
        <w:rPr>
          <w:spacing w:val="-83"/>
        </w:rPr>
      </w:r>
      <w:r>
        <w:rPr/>
        <w:t>监事、高级管理人员没有被采取司法强制措施的情况。</w:t>
      </w:r>
    </w:p>
    <w:p>
      <w:pPr>
        <w:pStyle w:val="BodyText"/>
        <w:spacing w:line="240" w:lineRule="auto"/>
        <w:ind w:left="693" w:right="131"/>
        <w:jc w:val="left"/>
      </w:pPr>
      <w:r>
        <w:rPr/>
        <w:t>九、报告期内公司发布的重大信息索引</w:t>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908"/>
        <w:gridCol w:w="5040"/>
        <w:gridCol w:w="2700"/>
      </w:tblGrid>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公告时间</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公告名称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披露媒体</w:t>
            </w:r>
          </w:p>
        </w:tc>
      </w:tr>
      <w:tr>
        <w:trPr>
          <w:trHeight w:val="8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2007年5月23日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首次公开发行股票照顾意向书摘要、首次公开</w:t>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发行股票初步询价及推介公告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17"/>
              <w:jc w:val="left"/>
              <w:rPr>
                <w:rFonts w:ascii="宋体" w:hAnsi="宋体" w:cs="宋体" w:eastAsia="宋体" w:hint="default"/>
                <w:sz w:val="24"/>
                <w:szCs w:val="24"/>
              </w:rPr>
            </w:pPr>
            <w:r>
              <w:rPr>
                <w:rFonts w:ascii="宋体" w:hAnsi="宋体" w:cs="宋体" w:eastAsia="宋体" w:hint="default"/>
                <w:spacing w:val="-4"/>
                <w:sz w:val="24"/>
                <w:szCs w:val="24"/>
              </w:rPr>
              <w:t>证券时报、中国证券报、</w:t>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上海证券报</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2007年5月23日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首次公开发行股票招股意向书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巨潮信息网</w:t>
            </w:r>
          </w:p>
        </w:tc>
      </w:tr>
      <w:tr>
        <w:trPr>
          <w:trHeight w:val="8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2007年5月29日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首次公开发行股票网上路演公告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17"/>
              <w:jc w:val="left"/>
              <w:rPr>
                <w:rFonts w:ascii="宋体" w:hAnsi="宋体" w:cs="宋体" w:eastAsia="宋体" w:hint="default"/>
                <w:sz w:val="24"/>
                <w:szCs w:val="24"/>
              </w:rPr>
            </w:pPr>
            <w:r>
              <w:rPr>
                <w:rFonts w:ascii="宋体" w:hAnsi="宋体" w:cs="宋体" w:eastAsia="宋体" w:hint="default"/>
                <w:spacing w:val="-4"/>
                <w:sz w:val="24"/>
                <w:szCs w:val="24"/>
              </w:rPr>
              <w:t>证券时报、中国证券报、</w:t>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上海证券报、证券日报</w:t>
            </w:r>
          </w:p>
        </w:tc>
      </w:tr>
      <w:tr>
        <w:trPr>
          <w:trHeight w:val="13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2007年5月30日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101"/>
              <w:jc w:val="left"/>
              <w:rPr>
                <w:rFonts w:ascii="宋体" w:hAnsi="宋体" w:cs="宋体" w:eastAsia="宋体" w:hint="default"/>
                <w:sz w:val="24"/>
                <w:szCs w:val="24"/>
              </w:rPr>
            </w:pPr>
            <w:r>
              <w:rPr>
                <w:rFonts w:ascii="宋体" w:hAnsi="宋体" w:cs="宋体" w:eastAsia="宋体" w:hint="default"/>
                <w:sz w:val="24"/>
                <w:szCs w:val="24"/>
              </w:rPr>
              <w:t>首次公开发行股票招股说明书摘要、首次公开</w:t>
            </w:r>
            <w:r>
              <w:rPr>
                <w:rFonts w:ascii="宋体" w:hAnsi="宋体" w:cs="宋体" w:eastAsia="宋体" w:hint="default"/>
                <w:spacing w:val="-101"/>
                <w:sz w:val="24"/>
                <w:szCs w:val="24"/>
              </w:rPr>
              <w:t> </w:t>
            </w:r>
            <w:r>
              <w:rPr>
                <w:rFonts w:ascii="宋体" w:hAnsi="宋体" w:cs="宋体" w:eastAsia="宋体" w:hint="default"/>
                <w:sz w:val="24"/>
                <w:szCs w:val="24"/>
              </w:rPr>
              <w:t>发行股票网下向询价对象配售和网上向社会公</w:t>
            </w:r>
          </w:p>
          <w:p>
            <w:pPr>
              <w:pStyle w:val="TableParagraph"/>
              <w:spacing w:line="240" w:lineRule="auto" w:before="30"/>
              <w:ind w:left="103" w:right="0"/>
              <w:jc w:val="left"/>
              <w:rPr>
                <w:rFonts w:ascii="宋体" w:hAnsi="宋体" w:cs="宋体" w:eastAsia="宋体" w:hint="default"/>
                <w:sz w:val="24"/>
                <w:szCs w:val="24"/>
              </w:rPr>
            </w:pPr>
            <w:r>
              <w:rPr>
                <w:rFonts w:ascii="宋体" w:hAnsi="宋体" w:cs="宋体" w:eastAsia="宋体" w:hint="default"/>
                <w:sz w:val="24"/>
                <w:szCs w:val="24"/>
              </w:rPr>
              <w:t>众投资者定价发行公告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17"/>
              <w:jc w:val="left"/>
              <w:rPr>
                <w:rFonts w:ascii="宋体" w:hAnsi="宋体" w:cs="宋体" w:eastAsia="宋体" w:hint="default"/>
                <w:sz w:val="24"/>
                <w:szCs w:val="24"/>
              </w:rPr>
            </w:pPr>
            <w:r>
              <w:rPr>
                <w:rFonts w:ascii="宋体" w:hAnsi="宋体" w:cs="宋体" w:eastAsia="宋体" w:hint="default"/>
                <w:spacing w:val="-4"/>
                <w:sz w:val="24"/>
                <w:szCs w:val="24"/>
              </w:rPr>
              <w:t>证券时报、中国证券报、</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上海证券报、证券日报</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2007年5月30日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首次公开发行股票招股说明书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巨潮信息网</w:t>
            </w:r>
          </w:p>
        </w:tc>
      </w:tr>
      <w:tr>
        <w:trPr>
          <w:trHeight w:val="8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2007年6月4日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首次公开发行股票网下配售结果公告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17"/>
              <w:jc w:val="left"/>
              <w:rPr>
                <w:rFonts w:ascii="宋体" w:hAnsi="宋体" w:cs="宋体" w:eastAsia="宋体" w:hint="default"/>
                <w:sz w:val="24"/>
                <w:szCs w:val="24"/>
              </w:rPr>
            </w:pPr>
            <w:r>
              <w:rPr>
                <w:rFonts w:ascii="宋体" w:hAnsi="宋体" w:cs="宋体" w:eastAsia="宋体" w:hint="default"/>
                <w:spacing w:val="-4"/>
                <w:sz w:val="24"/>
                <w:szCs w:val="24"/>
              </w:rPr>
              <w:t>证券时报、中国证券报、</w:t>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上海证券报、证券日报</w:t>
            </w:r>
          </w:p>
        </w:tc>
      </w:tr>
      <w:tr>
        <w:trPr>
          <w:trHeight w:val="88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2007年6月5日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ind w:left="103" w:right="101"/>
              <w:jc w:val="left"/>
              <w:rPr>
                <w:rFonts w:ascii="宋体" w:hAnsi="宋体" w:cs="宋体" w:eastAsia="宋体" w:hint="default"/>
                <w:sz w:val="24"/>
                <w:szCs w:val="24"/>
              </w:rPr>
            </w:pPr>
            <w:r>
              <w:rPr>
                <w:rFonts w:ascii="宋体" w:hAnsi="宋体" w:cs="宋体" w:eastAsia="宋体" w:hint="default"/>
                <w:sz w:val="24"/>
                <w:szCs w:val="24"/>
              </w:rPr>
              <w:t>首次公开发行股票网上定价发行申购情况及中</w:t>
            </w:r>
            <w:r>
              <w:rPr>
                <w:rFonts w:ascii="宋体" w:hAnsi="宋体" w:cs="宋体" w:eastAsia="宋体" w:hint="default"/>
                <w:spacing w:val="-101"/>
                <w:sz w:val="24"/>
                <w:szCs w:val="24"/>
              </w:rPr>
              <w:t> </w:t>
            </w:r>
            <w:r>
              <w:rPr>
                <w:rFonts w:ascii="宋体" w:hAnsi="宋体" w:cs="宋体" w:eastAsia="宋体" w:hint="default"/>
                <w:sz w:val="24"/>
                <w:szCs w:val="24"/>
              </w:rPr>
              <w:t>签率公告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ind w:left="103" w:right="-17"/>
              <w:jc w:val="left"/>
              <w:rPr>
                <w:rFonts w:ascii="宋体" w:hAnsi="宋体" w:cs="宋体" w:eastAsia="宋体" w:hint="default"/>
                <w:sz w:val="24"/>
                <w:szCs w:val="24"/>
              </w:rPr>
            </w:pPr>
            <w:r>
              <w:rPr>
                <w:rFonts w:ascii="宋体" w:hAnsi="宋体" w:cs="宋体" w:eastAsia="宋体" w:hint="default"/>
                <w:spacing w:val="-4"/>
                <w:sz w:val="24"/>
                <w:szCs w:val="24"/>
              </w:rPr>
              <w:t>证券时报、中国证券报、</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上海证券报、证券日报</w:t>
            </w:r>
          </w:p>
        </w:tc>
      </w:tr>
      <w:tr>
        <w:trPr>
          <w:trHeight w:val="8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2007年6月6日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pacing w:val="7"/>
                <w:sz w:val="24"/>
                <w:szCs w:val="24"/>
              </w:rPr>
              <w:t>首次公开发行A股网上定价发行摇号中签结果</w:t>
            </w:r>
            <w:r>
              <w:rPr>
                <w:rFonts w:ascii="宋体" w:hAnsi="宋体" w:cs="宋体" w:eastAsia="宋体" w:hint="default"/>
                <w:sz w:val="24"/>
                <w:szCs w:val="24"/>
              </w:rPr>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17"/>
              <w:jc w:val="left"/>
              <w:rPr>
                <w:rFonts w:ascii="宋体" w:hAnsi="宋体" w:cs="宋体" w:eastAsia="宋体" w:hint="default"/>
                <w:sz w:val="24"/>
                <w:szCs w:val="24"/>
              </w:rPr>
            </w:pPr>
            <w:r>
              <w:rPr>
                <w:rFonts w:ascii="宋体" w:hAnsi="宋体" w:cs="宋体" w:eastAsia="宋体" w:hint="default"/>
                <w:spacing w:val="-4"/>
                <w:sz w:val="24"/>
                <w:szCs w:val="24"/>
              </w:rPr>
              <w:t>证券时报、中国证券报、</w:t>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上海证券报、证券日报</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2007年6月12日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首次公开发行股票上市公告书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17"/>
              <w:jc w:val="left"/>
              <w:rPr>
                <w:rFonts w:ascii="宋体" w:hAnsi="宋体" w:cs="宋体" w:eastAsia="宋体" w:hint="default"/>
                <w:sz w:val="24"/>
                <w:szCs w:val="24"/>
              </w:rPr>
            </w:pPr>
            <w:r>
              <w:rPr>
                <w:rFonts w:ascii="宋体" w:hAnsi="宋体" w:cs="宋体" w:eastAsia="宋体" w:hint="default"/>
                <w:spacing w:val="-4"/>
                <w:sz w:val="24"/>
                <w:szCs w:val="24"/>
              </w:rPr>
              <w:t>证券时报、中国证券报、</w:t>
            </w:r>
          </w:p>
        </w:tc>
      </w:tr>
    </w:tbl>
    <w:p>
      <w:pPr>
        <w:spacing w:after="0" w:line="240" w:lineRule="auto"/>
        <w:jc w:val="left"/>
        <w:rPr>
          <w:rFonts w:ascii="宋体" w:hAnsi="宋体" w:cs="宋体" w:eastAsia="宋体" w:hint="default"/>
          <w:sz w:val="24"/>
          <w:szCs w:val="24"/>
        </w:rPr>
        <w:sectPr>
          <w:pgSz w:w="11910" w:h="16840"/>
          <w:pgMar w:header="747" w:footer="1339" w:top="980" w:bottom="1520" w:left="92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908"/>
        <w:gridCol w:w="5040"/>
        <w:gridCol w:w="2700"/>
      </w:tblGrid>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
        </w:tc>
        <w:tc>
          <w:tcPr>
            <w:tcW w:w="50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上海证券报、证券日报</w:t>
            </w:r>
          </w:p>
        </w:tc>
      </w:tr>
      <w:tr>
        <w:trPr>
          <w:trHeight w:val="8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2007年6月19日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7" w:right="0"/>
              <w:jc w:val="left"/>
              <w:rPr>
                <w:rFonts w:ascii="宋体" w:hAnsi="宋体" w:cs="宋体" w:eastAsia="宋体" w:hint="default"/>
                <w:sz w:val="24"/>
                <w:szCs w:val="24"/>
              </w:rPr>
            </w:pPr>
            <w:r>
              <w:rPr>
                <w:rFonts w:ascii="宋体" w:hAnsi="宋体" w:cs="宋体" w:eastAsia="宋体" w:hint="default"/>
                <w:sz w:val="24"/>
                <w:szCs w:val="24"/>
              </w:rPr>
              <w:t>关于签订募集资金三方监管协议的公告、2007</w:t>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年度1—6月份业绩预告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177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2007年6月28日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99"/>
              <w:jc w:val="both"/>
              <w:rPr>
                <w:rFonts w:ascii="宋体" w:hAnsi="宋体" w:cs="宋体" w:eastAsia="宋体" w:hint="default"/>
                <w:sz w:val="24"/>
                <w:szCs w:val="24"/>
              </w:rPr>
            </w:pPr>
            <w:r>
              <w:rPr>
                <w:rFonts w:ascii="宋体" w:hAnsi="宋体" w:cs="宋体" w:eastAsia="宋体" w:hint="default"/>
                <w:sz w:val="24"/>
                <w:szCs w:val="24"/>
              </w:rPr>
              <w:t>第一届董事会第十五次会议决议公告、关于召</w:t>
            </w:r>
            <w:r>
              <w:rPr>
                <w:rFonts w:ascii="宋体" w:hAnsi="宋体" w:cs="宋体" w:eastAsia="宋体" w:hint="default"/>
                <w:spacing w:val="-101"/>
                <w:sz w:val="24"/>
                <w:szCs w:val="24"/>
              </w:rPr>
              <w:t> </w:t>
            </w:r>
            <w:r>
              <w:rPr>
                <w:rFonts w:ascii="宋体" w:hAnsi="宋体" w:cs="宋体" w:eastAsia="宋体" w:hint="default"/>
                <w:sz w:val="24"/>
                <w:szCs w:val="24"/>
              </w:rPr>
              <w:t>开2007年度第一次临时股东大会通知的公告、</w:t>
            </w:r>
            <w:r>
              <w:rPr>
                <w:rFonts w:ascii="宋体" w:hAnsi="宋体" w:cs="宋体" w:eastAsia="宋体" w:hint="default"/>
                <w:spacing w:val="-99"/>
                <w:sz w:val="24"/>
                <w:szCs w:val="24"/>
              </w:rPr>
              <w:t> </w:t>
            </w:r>
            <w:r>
              <w:rPr>
                <w:rFonts w:ascii="宋体" w:hAnsi="宋体" w:cs="宋体" w:eastAsia="宋体" w:hint="default"/>
                <w:sz w:val="24"/>
                <w:szCs w:val="24"/>
              </w:rPr>
              <w:t>关于用募集资金置换预先已投入募集资金项目</w:t>
            </w:r>
          </w:p>
          <w:p>
            <w:pPr>
              <w:pStyle w:val="TableParagraph"/>
              <w:spacing w:line="240" w:lineRule="auto" w:before="30"/>
              <w:ind w:left="103" w:right="0"/>
              <w:jc w:val="both"/>
              <w:rPr>
                <w:rFonts w:ascii="宋体" w:hAnsi="宋体" w:cs="宋体" w:eastAsia="宋体" w:hint="default"/>
                <w:sz w:val="24"/>
                <w:szCs w:val="24"/>
              </w:rPr>
            </w:pPr>
            <w:r>
              <w:rPr>
                <w:rFonts w:ascii="宋体" w:hAnsi="宋体" w:cs="宋体" w:eastAsia="宋体" w:hint="default"/>
                <w:sz w:val="24"/>
                <w:szCs w:val="24"/>
              </w:rPr>
              <w:t>的自筹资金的公告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2007年7月14日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2007年度第一次临时股东大会决议公告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2007年7月31日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2007年半年度业绩快报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177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2007年8月3日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99"/>
              <w:jc w:val="both"/>
              <w:rPr>
                <w:rFonts w:ascii="宋体" w:hAnsi="宋体" w:cs="宋体" w:eastAsia="宋体" w:hint="default"/>
                <w:sz w:val="24"/>
                <w:szCs w:val="24"/>
              </w:rPr>
            </w:pPr>
            <w:r>
              <w:rPr>
                <w:rFonts w:ascii="宋体" w:hAnsi="宋体" w:cs="宋体" w:eastAsia="宋体" w:hint="default"/>
                <w:sz w:val="24"/>
                <w:szCs w:val="24"/>
              </w:rPr>
              <w:t>第一届董事会第十六次会议决议公告、关于使</w:t>
            </w:r>
            <w:r>
              <w:rPr>
                <w:rFonts w:ascii="宋体" w:hAnsi="宋体" w:cs="宋体" w:eastAsia="宋体" w:hint="default"/>
                <w:spacing w:val="-101"/>
                <w:sz w:val="24"/>
                <w:szCs w:val="24"/>
              </w:rPr>
              <w:t> </w:t>
            </w:r>
            <w:r>
              <w:rPr>
                <w:rFonts w:ascii="宋体" w:hAnsi="宋体" w:cs="宋体" w:eastAsia="宋体" w:hint="default"/>
                <w:sz w:val="24"/>
                <w:szCs w:val="24"/>
              </w:rPr>
              <w:t>用闲置的募集资金暂时补充流动资金的公告、</w:t>
            </w:r>
            <w:r>
              <w:rPr>
                <w:rFonts w:ascii="宋体" w:hAnsi="宋体" w:cs="宋体" w:eastAsia="宋体" w:hint="default"/>
                <w:spacing w:val="-101"/>
                <w:sz w:val="24"/>
                <w:szCs w:val="24"/>
              </w:rPr>
              <w:t> </w:t>
            </w:r>
            <w:r>
              <w:rPr>
                <w:rFonts w:ascii="宋体" w:hAnsi="宋体" w:cs="宋体" w:eastAsia="宋体" w:hint="default"/>
                <w:sz w:val="24"/>
                <w:szCs w:val="24"/>
              </w:rPr>
              <w:t>关于召开2007年度第二次临时股东大会通知的</w:t>
            </w:r>
          </w:p>
          <w:p>
            <w:pPr>
              <w:pStyle w:val="TableParagraph"/>
              <w:spacing w:line="240" w:lineRule="auto" w:before="30"/>
              <w:ind w:left="103" w:right="0"/>
              <w:jc w:val="both"/>
              <w:rPr>
                <w:rFonts w:ascii="宋体" w:hAnsi="宋体" w:cs="宋体" w:eastAsia="宋体" w:hint="default"/>
                <w:sz w:val="24"/>
                <w:szCs w:val="24"/>
              </w:rPr>
            </w:pPr>
            <w:r>
              <w:rPr>
                <w:rFonts w:ascii="宋体" w:hAnsi="宋体" w:cs="宋体" w:eastAsia="宋体" w:hint="default"/>
                <w:sz w:val="24"/>
                <w:szCs w:val="24"/>
              </w:rPr>
              <w:t>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2007年8月11日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关于高级管理人员辞职的公告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13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2007年8月16日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99"/>
              <w:jc w:val="left"/>
              <w:rPr>
                <w:rFonts w:ascii="宋体" w:hAnsi="宋体" w:cs="宋体" w:eastAsia="宋体" w:hint="default"/>
                <w:sz w:val="24"/>
                <w:szCs w:val="24"/>
              </w:rPr>
            </w:pPr>
            <w:r>
              <w:rPr>
                <w:rFonts w:ascii="宋体" w:hAnsi="宋体" w:cs="宋体" w:eastAsia="宋体" w:hint="default"/>
                <w:sz w:val="24"/>
                <w:szCs w:val="24"/>
              </w:rPr>
              <w:t>第一届董事会第十七次会议决议公告、第一届</w:t>
            </w:r>
            <w:r>
              <w:rPr>
                <w:rFonts w:ascii="宋体" w:hAnsi="宋体" w:cs="宋体" w:eastAsia="宋体" w:hint="default"/>
                <w:spacing w:val="-101"/>
                <w:sz w:val="24"/>
                <w:szCs w:val="24"/>
              </w:rPr>
              <w:t> </w:t>
            </w:r>
            <w:r>
              <w:rPr>
                <w:rFonts w:ascii="宋体" w:hAnsi="宋体" w:cs="宋体" w:eastAsia="宋体" w:hint="default"/>
                <w:sz w:val="24"/>
                <w:szCs w:val="24"/>
              </w:rPr>
              <w:t>监事会第二次会议决议公告、2007年半年度报</w:t>
            </w:r>
          </w:p>
          <w:p>
            <w:pPr>
              <w:pStyle w:val="TableParagraph"/>
              <w:spacing w:line="240" w:lineRule="auto" w:before="30"/>
              <w:ind w:left="103" w:right="0"/>
              <w:jc w:val="left"/>
              <w:rPr>
                <w:rFonts w:ascii="宋体" w:hAnsi="宋体" w:cs="宋体" w:eastAsia="宋体" w:hint="default"/>
                <w:sz w:val="24"/>
                <w:szCs w:val="24"/>
              </w:rPr>
            </w:pPr>
            <w:r>
              <w:rPr>
                <w:rFonts w:ascii="宋体" w:hAnsi="宋体" w:cs="宋体" w:eastAsia="宋体" w:hint="default"/>
                <w:sz w:val="24"/>
                <w:szCs w:val="24"/>
              </w:rPr>
              <w:t>告摘要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2007年8月16日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2007年半年度报告全文</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巨潮信息网</w:t>
            </w:r>
          </w:p>
        </w:tc>
      </w:tr>
      <w:tr>
        <w:trPr>
          <w:trHeight w:val="89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2007年8月17日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24"/>
                <w:szCs w:val="24"/>
              </w:rPr>
            </w:pPr>
            <w:r>
              <w:rPr>
                <w:rFonts w:ascii="宋体" w:hAnsi="宋体" w:cs="宋体" w:eastAsia="宋体" w:hint="default"/>
                <w:sz w:val="24"/>
                <w:szCs w:val="24"/>
              </w:rPr>
              <w:t>关于召开2007年度第二次临时股东大的提示公</w:t>
            </w:r>
          </w:p>
          <w:p>
            <w:pPr>
              <w:pStyle w:val="TableParagraph"/>
              <w:spacing w:line="240" w:lineRule="auto" w:before="126"/>
              <w:ind w:left="103" w:right="0"/>
              <w:jc w:val="left"/>
              <w:rPr>
                <w:rFonts w:ascii="宋体" w:hAnsi="宋体" w:cs="宋体" w:eastAsia="宋体" w:hint="default"/>
                <w:sz w:val="24"/>
                <w:szCs w:val="24"/>
              </w:rPr>
            </w:pPr>
            <w:r>
              <w:rPr>
                <w:rFonts w:ascii="宋体" w:hAnsi="宋体" w:cs="宋体" w:eastAsia="宋体" w:hint="default"/>
                <w:sz w:val="24"/>
                <w:szCs w:val="24"/>
              </w:rPr>
              <w:t>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2007年8月22日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2007年度第二次临时股东大会的决议公告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2007年9月10日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网下配售股份上市流通提示性公告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13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2007年9月18日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1"/>
              <w:ind w:left="103" w:right="86"/>
              <w:jc w:val="left"/>
              <w:rPr>
                <w:rFonts w:ascii="宋体" w:hAnsi="宋体" w:cs="宋体" w:eastAsia="宋体" w:hint="default"/>
                <w:sz w:val="24"/>
                <w:szCs w:val="24"/>
              </w:rPr>
            </w:pPr>
            <w:r>
              <w:rPr>
                <w:rFonts w:ascii="宋体" w:hAnsi="宋体" w:cs="宋体" w:eastAsia="宋体" w:hint="default"/>
                <w:sz w:val="24"/>
                <w:szCs w:val="24"/>
              </w:rPr>
              <w:t>第一届董事会第十八次会议决议公告、关于加</w:t>
            </w:r>
            <w:r>
              <w:rPr>
                <w:rFonts w:ascii="宋体" w:hAnsi="宋体" w:cs="宋体" w:eastAsia="宋体" w:hint="default"/>
                <w:spacing w:val="-101"/>
                <w:sz w:val="24"/>
                <w:szCs w:val="24"/>
              </w:rPr>
              <w:t> </w:t>
            </w:r>
            <w:r>
              <w:rPr>
                <w:rFonts w:ascii="宋体" w:hAnsi="宋体" w:cs="宋体" w:eastAsia="宋体" w:hint="default"/>
                <w:spacing w:val="14"/>
                <w:sz w:val="24"/>
                <w:szCs w:val="24"/>
              </w:rPr>
              <w:t>强公司治理专项活动自查报告及整改计划公</w:t>
            </w:r>
            <w:r>
              <w:rPr>
                <w:rFonts w:ascii="宋体" w:hAnsi="宋体" w:cs="宋体" w:eastAsia="宋体" w:hint="default"/>
                <w:sz w:val="24"/>
                <w:szCs w:val="24"/>
              </w:rPr>
            </w:r>
          </w:p>
          <w:p>
            <w:pPr>
              <w:pStyle w:val="TableParagraph"/>
              <w:spacing w:line="240" w:lineRule="auto" w:before="30"/>
              <w:ind w:left="103" w:right="0"/>
              <w:jc w:val="left"/>
              <w:rPr>
                <w:rFonts w:ascii="宋体" w:hAnsi="宋体" w:cs="宋体" w:eastAsia="宋体" w:hint="default"/>
                <w:sz w:val="24"/>
                <w:szCs w:val="24"/>
              </w:rPr>
            </w:pPr>
            <w:r>
              <w:rPr>
                <w:rFonts w:ascii="宋体" w:hAnsi="宋体" w:cs="宋体" w:eastAsia="宋体" w:hint="default"/>
                <w:sz w:val="24"/>
                <w:szCs w:val="24"/>
              </w:rPr>
              <w:t>告、关于举行公司治理网上交流会的公告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133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2007年10月24日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第一届董事会第十九次会议决议公告、第一届</w:t>
            </w:r>
          </w:p>
          <w:p>
            <w:pPr>
              <w:pStyle w:val="TableParagraph"/>
              <w:spacing w:line="440" w:lineRule="atLeast"/>
              <w:ind w:left="103" w:right="99"/>
              <w:jc w:val="left"/>
              <w:rPr>
                <w:rFonts w:ascii="宋体" w:hAnsi="宋体" w:cs="宋体" w:eastAsia="宋体" w:hint="default"/>
                <w:sz w:val="24"/>
                <w:szCs w:val="24"/>
              </w:rPr>
            </w:pPr>
            <w:r>
              <w:rPr>
                <w:rFonts w:ascii="宋体" w:hAnsi="宋体" w:cs="宋体" w:eastAsia="宋体" w:hint="default"/>
                <w:sz w:val="24"/>
                <w:szCs w:val="24"/>
              </w:rPr>
              <w:t>监事会第三次会议决议公告、2007年第三季度</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报告、公司治理专项活动整改报告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2007年11月7日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关于高级管理人员辞职的公告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2007年11月10日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重大投资公告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r>
        <w:trPr>
          <w:trHeight w:val="45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2007年12月6日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第一届董事会第二十次会议决议公告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bl>
    <w:p>
      <w:pPr>
        <w:spacing w:after="0" w:line="240" w:lineRule="auto"/>
        <w:jc w:val="left"/>
        <w:rPr>
          <w:rFonts w:ascii="宋体" w:hAnsi="宋体" w:cs="宋体" w:eastAsia="宋体" w:hint="default"/>
          <w:sz w:val="24"/>
          <w:szCs w:val="24"/>
        </w:rPr>
        <w:sectPr>
          <w:pgSz w:w="11910" w:h="16840"/>
          <w:pgMar w:header="747" w:footer="1339" w:top="980" w:bottom="1560" w:left="92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908"/>
        <w:gridCol w:w="5040"/>
        <w:gridCol w:w="2700"/>
      </w:tblGrid>
      <w:tr>
        <w:trPr>
          <w:trHeight w:val="450"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2007年12月18日</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关于获得政府资助的公告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证券时报、巨潮信息网</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pStyle w:val="Heading1"/>
        <w:spacing w:line="240" w:lineRule="auto"/>
        <w:ind w:left="3708" w:right="131"/>
        <w:jc w:val="left"/>
        <w:rPr>
          <w:b w:val="0"/>
          <w:bCs w:val="0"/>
        </w:rPr>
      </w:pPr>
      <w:bookmarkStart w:name="_TOC_250001" w:id="8"/>
      <w:r>
        <w:rPr/>
        <w:t>第十一节、财务报告</w:t>
      </w:r>
      <w:bookmarkEnd w:id="8"/>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pStyle w:val="BodyText"/>
        <w:spacing w:line="240" w:lineRule="auto" w:before="0"/>
        <w:ind w:left="694" w:right="131"/>
        <w:jc w:val="left"/>
      </w:pPr>
      <w:r>
        <w:rPr/>
        <w:t>一、审计报告（全文附后）</w:t>
      </w:r>
    </w:p>
    <w:p>
      <w:pPr>
        <w:pStyle w:val="BodyText"/>
        <w:spacing w:line="336" w:lineRule="auto" w:before="164"/>
        <w:ind w:left="214" w:right="615" w:firstLine="480"/>
        <w:jc w:val="left"/>
      </w:pPr>
      <w:r>
        <w:rPr/>
        <w:t>北京立信会计师事务所有限公司对公司 2007</w:t>
      </w:r>
      <w:r>
        <w:rPr>
          <w:spacing w:val="35"/>
        </w:rPr>
        <w:t> </w:t>
      </w:r>
      <w:r>
        <w:rPr/>
        <w:t>年度报告出具了标准无保留意见审计</w:t>
      </w:r>
      <w:r>
        <w:rPr>
          <w:spacing w:val="1"/>
        </w:rPr>
        <w:t> </w:t>
      </w:r>
      <w:r>
        <w:rPr/>
        <w:t>报告。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240" w:lineRule="auto" w:before="0"/>
        <w:ind w:left="684" w:right="131"/>
        <w:jc w:val="left"/>
      </w:pPr>
      <w:r>
        <w:rPr/>
        <w:t>二、会计报表（附后）</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684" w:right="131"/>
        <w:jc w:val="left"/>
      </w:pPr>
      <w:r>
        <w:rPr/>
        <w:t>三、会计报表附注（附后）</w:t>
      </w:r>
    </w:p>
    <w:p>
      <w:pPr>
        <w:spacing w:after="0" w:line="240" w:lineRule="auto"/>
        <w:jc w:val="left"/>
        <w:sectPr>
          <w:pgSz w:w="11910" w:h="16840"/>
          <w:pgMar w:header="747" w:footer="1339" w:top="980" w:bottom="1520" w:left="9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7"/>
        <w:ind w:left="0" w:right="434" w:firstLine="0"/>
        <w:jc w:val="center"/>
        <w:rPr>
          <w:rFonts w:ascii="宋体" w:hAnsi="宋体" w:cs="宋体" w:eastAsia="宋体" w:hint="default"/>
          <w:sz w:val="24"/>
          <w:szCs w:val="24"/>
        </w:rPr>
      </w:pPr>
      <w:r>
        <w:rPr>
          <w:rFonts w:ascii="宋体" w:hAnsi="宋体" w:cs="宋体" w:eastAsia="宋体" w:hint="default"/>
          <w:b/>
          <w:bCs/>
          <w:sz w:val="24"/>
          <w:szCs w:val="24"/>
        </w:rPr>
        <w:t>审 计 报</w:t>
      </w:r>
      <w:r>
        <w:rPr>
          <w:rFonts w:ascii="宋体" w:hAnsi="宋体" w:cs="宋体" w:eastAsia="宋体" w:hint="default"/>
          <w:b/>
          <w:bCs/>
          <w:spacing w:val="116"/>
          <w:sz w:val="24"/>
          <w:szCs w:val="24"/>
        </w:rPr>
        <w:t> </w:t>
      </w:r>
      <w:r>
        <w:rPr>
          <w:rFonts w:ascii="宋体" w:hAnsi="宋体" w:cs="宋体" w:eastAsia="宋体" w:hint="default"/>
          <w:b/>
          <w:bCs/>
          <w:sz w:val="24"/>
          <w:szCs w:val="24"/>
        </w:rPr>
        <w:t>告</w:t>
      </w:r>
      <w:r>
        <w:rPr>
          <w:rFonts w:ascii="宋体" w:hAnsi="宋体" w:cs="宋体" w:eastAsia="宋体" w:hint="default"/>
          <w:sz w:val="24"/>
          <w:szCs w:val="24"/>
        </w:rPr>
      </w:r>
    </w:p>
    <w:p>
      <w:pPr>
        <w:spacing w:before="37"/>
        <w:ind w:left="0" w:right="427" w:firstLine="0"/>
        <w:jc w:val="right"/>
        <w:rPr>
          <w:rFonts w:ascii="宋体" w:hAnsi="宋体" w:cs="宋体" w:eastAsia="宋体" w:hint="default"/>
          <w:sz w:val="24"/>
          <w:szCs w:val="24"/>
        </w:rPr>
      </w:pPr>
      <w:r>
        <w:rPr>
          <w:rFonts w:ascii="宋体" w:hAnsi="宋体" w:cs="宋体" w:eastAsia="宋体" w:hint="default"/>
          <w:b/>
          <w:bCs/>
          <w:w w:val="95"/>
          <w:sz w:val="24"/>
          <w:szCs w:val="24"/>
        </w:rPr>
        <w:t>京信审字[2008]580号</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pStyle w:val="BodyText"/>
        <w:spacing w:line="336" w:lineRule="auto" w:before="196"/>
        <w:ind w:left="634" w:right="410" w:hanging="480"/>
        <w:jc w:val="left"/>
      </w:pPr>
      <w:r>
        <w:rPr/>
        <w:t>深圳市实益达科技股份有限公司全体股东： 我们审计了后附的深圳市实益达科技股份有限公司（以下简称实益达）财务报表，包</w:t>
      </w:r>
    </w:p>
    <w:p>
      <w:pPr>
        <w:pStyle w:val="BodyText"/>
        <w:spacing w:line="336" w:lineRule="auto"/>
        <w:ind w:left="154" w:right="410"/>
        <w:jc w:val="left"/>
      </w:pPr>
      <w:r>
        <w:rPr/>
        <w:t>括2007年12月31日的资产负债表，2007年度的利润表、股东权益变动表和现金流量表以及 财务报表附注。</w:t>
      </w:r>
    </w:p>
    <w:p>
      <w:pPr>
        <w:spacing w:line="336" w:lineRule="auto" w:before="30"/>
        <w:ind w:left="634" w:right="290" w:firstLine="87"/>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36"/>
          <w:sz w:val="24"/>
          <w:szCs w:val="24"/>
        </w:rPr>
        <w:t> </w:t>
      </w:r>
      <w:r>
        <w:rPr>
          <w:rFonts w:ascii="宋体" w:hAnsi="宋体" w:cs="宋体" w:eastAsia="宋体" w:hint="default"/>
          <w:b/>
          <w:bCs/>
          <w:sz w:val="24"/>
          <w:szCs w:val="24"/>
        </w:rPr>
        <w:t>管理层对财务报表的责任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按照企业会计准则的规定编制财务报表是实益达管理层的责任。这种责任包括：（1）</w:t>
      </w:r>
    </w:p>
    <w:p>
      <w:pPr>
        <w:pStyle w:val="BodyText"/>
        <w:spacing w:line="336" w:lineRule="auto" w:before="29"/>
        <w:ind w:left="154" w:right="410"/>
        <w:jc w:val="left"/>
      </w:pPr>
      <w:r>
        <w:rPr/>
        <w:t>设计、实施和维护与财务报表编制相关的内部控制，以使财务报表不存在由于舞弊或错误 而导致的重大错报；（2）选择和运用恰当的会计政策；（3）作出合理的会计估计。</w:t>
      </w:r>
    </w:p>
    <w:p>
      <w:pPr>
        <w:spacing w:line="336" w:lineRule="auto" w:before="30"/>
        <w:ind w:left="634" w:right="410" w:firstLine="87"/>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36"/>
          <w:sz w:val="24"/>
          <w:szCs w:val="24"/>
        </w:rPr>
        <w:t> </w:t>
      </w:r>
      <w:r>
        <w:rPr>
          <w:rFonts w:ascii="宋体" w:hAnsi="宋体" w:cs="宋体" w:eastAsia="宋体" w:hint="default"/>
          <w:b/>
          <w:bCs/>
          <w:sz w:val="24"/>
          <w:szCs w:val="24"/>
        </w:rPr>
        <w:t>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我们的责任是在实施审计工作的基础上对财务报表发表审计意见。我们按照中国注册</w:t>
      </w:r>
    </w:p>
    <w:p>
      <w:pPr>
        <w:pStyle w:val="BodyText"/>
        <w:spacing w:line="336" w:lineRule="auto"/>
        <w:ind w:left="154" w:right="410"/>
        <w:jc w:val="left"/>
      </w:pPr>
      <w:r>
        <w:rPr/>
        <w:t>会计师审计准则的规定执行了审计工作。中国注册会计师审计准则要求我们遵守职业道德 规范，计划和实施审计工作以对财务报表是否不存在重大错报获取合理保证。</w:t>
      </w:r>
    </w:p>
    <w:p>
      <w:pPr>
        <w:pStyle w:val="BodyText"/>
        <w:spacing w:line="336" w:lineRule="auto" w:before="29"/>
        <w:ind w:left="154" w:right="428" w:firstLine="480"/>
        <w:jc w:val="both"/>
      </w:pPr>
      <w:r>
        <w:rPr/>
        <w:t>审计工作涉及实施审计程序，以获取有关财务报表金额和披露的审计证据。选择的审 计程序取决于注册会计师的判断，包括对由于舞弊或错误导致的财务报表重大错报风险的 评估。在进行风险评估时，我们考虑与财务报表编制相关的内部控制，以设计恰当的审计 程序，但目的并非对内部控制的有效性发表意见。审计工作还包括评价管理层选用会计政 策的恰当性和作出会计估计的合理性，以及评价财务报表的总体列报。</w:t>
      </w:r>
    </w:p>
    <w:p>
      <w:pPr>
        <w:pStyle w:val="BodyText"/>
        <w:spacing w:line="336" w:lineRule="auto"/>
        <w:ind w:left="634" w:right="428"/>
        <w:jc w:val="left"/>
      </w:pPr>
      <w:r>
        <w:rPr/>
        <w:t>我们相信，我们获取的审计证据是充分、适当的，为发表审计意见提供了基础。 </w:t>
      </w:r>
      <w:r>
        <w:rPr>
          <w:rFonts w:ascii="宋体" w:hAnsi="宋体" w:cs="宋体" w:eastAsia="宋体" w:hint="default"/>
          <w:b/>
          <w:bCs/>
        </w:rPr>
        <w:t>三、</w:t>
      </w:r>
      <w:r>
        <w:rPr>
          <w:rFonts w:ascii="宋体" w:hAnsi="宋体" w:cs="宋体" w:eastAsia="宋体" w:hint="default"/>
          <w:b/>
          <w:bCs/>
          <w:spacing w:val="-36"/>
        </w:rPr>
        <w:t> </w:t>
      </w:r>
      <w:r>
        <w:rPr>
          <w:rFonts w:ascii="宋体" w:hAnsi="宋体" w:cs="宋体" w:eastAsia="宋体" w:hint="default"/>
          <w:b/>
          <w:bCs/>
        </w:rPr>
        <w:t>审计意见</w:t>
      </w:r>
      <w:r>
        <w:rPr>
          <w:rFonts w:ascii="宋体" w:hAnsi="宋体" w:cs="宋体" w:eastAsia="宋体" w:hint="default"/>
          <w:b/>
          <w:bCs/>
          <w:spacing w:val="1"/>
          <w:w w:val="99"/>
        </w:rPr>
        <w:t> </w:t>
      </w:r>
      <w:r>
        <w:rPr/>
        <w:t>我们认为，实益达财务报表已经按照企业会计准则的规定编制，在所有重大方面公允</w:t>
      </w:r>
    </w:p>
    <w:p>
      <w:pPr>
        <w:pStyle w:val="BodyText"/>
        <w:spacing w:line="240" w:lineRule="auto"/>
        <w:ind w:left="154" w:right="0"/>
        <w:jc w:val="left"/>
      </w:pPr>
      <w:r>
        <w:rPr/>
        <w:t>反映了实益达2007年12月31日的财务状况以及2007年度的经营成果和现金流量。</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4643" w:val="left" w:leader="none"/>
        </w:tabs>
        <w:spacing w:line="240" w:lineRule="auto" w:before="26"/>
        <w:ind w:left="816" w:right="0"/>
        <w:jc w:val="left"/>
      </w:pPr>
      <w:r>
        <w:rPr/>
        <w:t>北京立信会计师事务所</w:t>
        <w:tab/>
        <w:t>中国注册会计师： 谢家伟</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pStyle w:val="BodyText"/>
        <w:tabs>
          <w:tab w:pos="4643" w:val="left" w:leader="none"/>
          <w:tab w:pos="6683" w:val="left" w:leader="none"/>
        </w:tabs>
        <w:spacing w:line="240" w:lineRule="auto" w:before="0"/>
        <w:ind w:left="1536" w:right="0"/>
        <w:jc w:val="left"/>
      </w:pPr>
      <w:r>
        <w:rPr/>
        <w:t>有限公司</w:t>
        <w:tab/>
        <w:t>中国注册会计师:</w:t>
        <w:tab/>
        <w:t>杨熹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4"/>
          <w:szCs w:val="34"/>
        </w:rPr>
      </w:pPr>
    </w:p>
    <w:p>
      <w:pPr>
        <w:pStyle w:val="BodyText"/>
        <w:tabs>
          <w:tab w:pos="5004" w:val="left" w:leader="none"/>
        </w:tabs>
        <w:spacing w:line="240" w:lineRule="auto" w:before="0"/>
        <w:ind w:left="1296" w:right="0"/>
        <w:jc w:val="left"/>
      </w:pPr>
      <w:r>
        <w:rPr/>
        <w:t>中国 ● 北京</w:t>
        <w:tab/>
        <w:t>二○○八年三月二十七日</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9"/>
        <w:ind w:left="0" w:right="637"/>
        <w:jc w:val="center"/>
      </w:pPr>
      <w:r>
        <w:rPr/>
        <w:t>合并资产负债表（一）</w:t>
      </w:r>
    </w:p>
    <w:p>
      <w:pPr>
        <w:spacing w:line="240" w:lineRule="auto" w:before="0"/>
        <w:rPr>
          <w:rFonts w:ascii="宋体" w:hAnsi="宋体" w:cs="宋体" w:eastAsia="宋体" w:hint="default"/>
          <w:sz w:val="24"/>
          <w:szCs w:val="24"/>
        </w:rPr>
      </w:pPr>
    </w:p>
    <w:p>
      <w:pPr>
        <w:tabs>
          <w:tab w:pos="5181" w:val="left" w:leader="none"/>
          <w:tab w:pos="8286" w:val="left" w:leader="none"/>
        </w:tabs>
        <w:spacing w:before="194"/>
        <w:ind w:left="154" w:right="271"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2"/>
          <w:sz w:val="18"/>
          <w:szCs w:val="18"/>
        </w:rPr>
        <w:t>：</w:t>
      </w:r>
      <w:r>
        <w:rPr>
          <w:rFonts w:ascii="宋体" w:hAnsi="宋体" w:cs="宋体" w:eastAsia="宋体" w:hint="default"/>
          <w:sz w:val="18"/>
          <w:szCs w:val="18"/>
        </w:rPr>
        <w:t>深圳市实益达科技股份有限公司</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tab/>
        <w:t>单位</w:t>
      </w:r>
      <w:r>
        <w:rPr>
          <w:rFonts w:ascii="宋体" w:hAnsi="宋体" w:cs="宋体" w:eastAsia="宋体" w:hint="default"/>
          <w:spacing w:val="-102"/>
          <w:sz w:val="18"/>
          <w:szCs w:val="18"/>
        </w:rPr>
        <w:t>：</w:t>
      </w:r>
      <w:r>
        <w:rPr>
          <w:rFonts w:ascii="宋体" w:hAnsi="宋体" w:cs="宋体" w:eastAsia="宋体" w:hint="default"/>
          <w:sz w:val="18"/>
          <w:szCs w:val="18"/>
        </w:rPr>
        <w:t>（人民币</w:t>
      </w:r>
      <w:r>
        <w:rPr>
          <w:rFonts w:ascii="宋体" w:hAnsi="宋体" w:cs="宋体" w:eastAsia="宋体" w:hint="default"/>
          <w:spacing w:val="-12"/>
          <w:sz w:val="18"/>
          <w:szCs w:val="18"/>
        </w:rPr>
        <w:t>）</w:t>
      </w:r>
      <w:r>
        <w:rPr>
          <w:rFonts w:ascii="宋体" w:hAnsi="宋体" w:cs="宋体" w:eastAsia="宋体" w:hint="default"/>
          <w:sz w:val="18"/>
          <w:szCs w:val="18"/>
        </w:rPr>
        <w:t>元</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145"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
              <w:ind w:left="109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
              <w:ind w:left="107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45"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4"/>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5"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
              <w:ind w:left="1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55"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219,892,797.75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206,224,167.91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76,380,379.74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63,595,927.91</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384,210.00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103,210.00</w:t>
            </w: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311,200,755.55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309,394,611.80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104,617,598.20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104,069,165.39</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14,478,015.92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13,257,761.99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13,417,469.51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24,097,010.84</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3,712,637.82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3,514,479.29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1,903,230.52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1,823,938.43</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114,236,397.80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109,406,728.17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80,446,453.67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80,287,721.60</w:t>
            </w: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663,620,604.84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641,797,749.16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277,149,341.64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273,976,974.17</w:t>
            </w: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30,274,193.46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30,274,193.46</w:t>
            </w: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177,889,436.14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127,047,209.59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103,792,907.22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95,661,043.35</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1,655,989.64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1,257,881.19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15,869,375.01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53,313,201.64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44,172,136.66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9,591,384.87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253,385.00</w:t>
            </w: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2,445,306.51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2,445,306.51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3,429,590.35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3,104,002.12</w:t>
            </w:r>
          </w:p>
        </w:tc>
      </w:tr>
    </w:tbl>
    <w:p>
      <w:pPr>
        <w:spacing w:after="0" w:line="240" w:lineRule="auto"/>
        <w:jc w:val="right"/>
        <w:rPr>
          <w:rFonts w:ascii="宋体" w:hAnsi="宋体" w:cs="宋体" w:eastAsia="宋体" w:hint="default"/>
          <w:sz w:val="18"/>
          <w:szCs w:val="18"/>
        </w:rPr>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9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073"/>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1,637,545.49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1,122,468.60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504,880.79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390,287.22</w:t>
            </w:r>
          </w:p>
        </w:tc>
      </w:tr>
      <w:tr>
        <w:trPr>
          <w:trHeight w:val="289"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right="1073"/>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236,941,479.42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206,319,196.01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133,188,138.24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129,682,911.15</w:t>
            </w:r>
          </w:p>
        </w:tc>
      </w:tr>
      <w:tr>
        <w:trPr>
          <w:trHeight w:val="29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900,562,084.26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18"/>
                <w:szCs w:val="18"/>
              </w:rPr>
            </w:pPr>
            <w:r>
              <w:rPr>
                <w:rFonts w:ascii="宋体"/>
                <w:sz w:val="18"/>
              </w:rPr>
              <w:t>848,116,945.17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410,337,479.88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18"/>
                <w:szCs w:val="18"/>
              </w:rPr>
            </w:pPr>
            <w:r>
              <w:rPr>
                <w:rFonts w:ascii="宋体"/>
                <w:sz w:val="18"/>
              </w:rPr>
              <w:t>403,659,885.32</w:t>
            </w:r>
          </w:p>
        </w:tc>
      </w:tr>
    </w:tbl>
    <w:p>
      <w:pPr>
        <w:tabs>
          <w:tab w:pos="3059" w:val="left" w:leader="none"/>
          <w:tab w:pos="6569" w:val="left" w:leader="none"/>
        </w:tabs>
        <w:spacing w:before="14"/>
        <w:ind w:left="0" w:right="794" w:firstLine="0"/>
        <w:jc w:val="center"/>
        <w:rPr>
          <w:rFonts w:ascii="宋体" w:hAnsi="宋体" w:cs="宋体" w:eastAsia="宋体" w:hint="default"/>
          <w:sz w:val="18"/>
          <w:szCs w:val="18"/>
        </w:rPr>
      </w:pPr>
      <w:r>
        <w:rPr>
          <w:rFonts w:ascii="宋体" w:hAnsi="宋体" w:cs="宋体" w:eastAsia="宋体" w:hint="default"/>
          <w:sz w:val="18"/>
          <w:szCs w:val="18"/>
        </w:rPr>
        <w:t>公司法定代表人：陈亚妹</w:t>
        <w:tab/>
        <w:t>主管会计工作的公司负责人：乔盺</w:t>
        <w:tab/>
        <w:t>公司会计机构负责人： 吕培荣</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before="0"/>
        <w:ind w:left="0" w:right="637"/>
        <w:jc w:val="center"/>
      </w:pPr>
      <w:r>
        <w:rPr/>
        <w:t>合并资产负债表（二）</w:t>
      </w:r>
    </w:p>
    <w:p>
      <w:pPr>
        <w:spacing w:line="240" w:lineRule="auto" w:before="0"/>
        <w:rPr>
          <w:rFonts w:ascii="宋体" w:hAnsi="宋体" w:cs="宋体" w:eastAsia="宋体" w:hint="default"/>
          <w:sz w:val="24"/>
          <w:szCs w:val="24"/>
        </w:rPr>
      </w:pPr>
    </w:p>
    <w:p>
      <w:pPr>
        <w:tabs>
          <w:tab w:pos="5181" w:val="left" w:leader="none"/>
          <w:tab w:pos="8286" w:val="left" w:leader="none"/>
        </w:tabs>
        <w:spacing w:before="177"/>
        <w:ind w:left="154" w:right="271"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2"/>
          <w:sz w:val="18"/>
          <w:szCs w:val="18"/>
        </w:rPr>
        <w:t>：</w:t>
      </w:r>
      <w:r>
        <w:rPr>
          <w:rFonts w:ascii="宋体" w:hAnsi="宋体" w:cs="宋体" w:eastAsia="宋体" w:hint="default"/>
          <w:sz w:val="18"/>
          <w:szCs w:val="18"/>
        </w:rPr>
        <w:t>深圳市实益达科技股份有限公司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2"/>
          <w:sz w:val="18"/>
          <w:szCs w:val="18"/>
        </w:rPr>
        <w:t>：</w:t>
      </w:r>
      <w:r>
        <w:rPr>
          <w:rFonts w:ascii="宋体" w:hAnsi="宋体" w:cs="宋体" w:eastAsia="宋体" w:hint="default"/>
          <w:sz w:val="18"/>
          <w:szCs w:val="18"/>
        </w:rPr>
        <w:t>（人民币</w:t>
      </w:r>
      <w:r>
        <w:rPr>
          <w:rFonts w:ascii="宋体" w:hAnsi="宋体" w:cs="宋体" w:eastAsia="宋体" w:hint="default"/>
          <w:spacing w:val="-12"/>
          <w:sz w:val="18"/>
          <w:szCs w:val="18"/>
        </w:rPr>
        <w:t>）</w:t>
      </w:r>
      <w:r>
        <w:rPr>
          <w:rFonts w:ascii="宋体" w:hAnsi="宋体" w:cs="宋体" w:eastAsia="宋体" w:hint="default"/>
          <w:sz w:val="18"/>
          <w:szCs w:val="18"/>
        </w:rPr>
        <w:t>元</w:t>
      </w: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134"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left="10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left="10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6"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7"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25"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left="1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45"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7"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119,569,000.00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109,569,000.00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66,852,200.00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66,852,200.00</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1,614,478.51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1,614,478.51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2,447,726.28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2,447,726.28</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207,738,253.19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192,046,829.84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130,127,519.35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151,606,257.01</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1,348,333.78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1,302,230.99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11,746,754.99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11,740,000.00</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3,839,888.63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3,578,562.14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7,550,196.80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7,429,024.75</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2,635,218.81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2,974,868.93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396,408.60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407,447.73</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387,040.81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387,040.81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16,877,159.97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14,620,329.49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35,084,674.94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33,737,196.87</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354,009,373.70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326,093,340.71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254,205,480.96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274,219,852.64</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8,881,810.95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8,881,810.95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362,891,184.65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326,093,340.71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254,205,480.96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274,219,852.64</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133,400,000.00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133,400,000.00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290,689,200.00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290,689,200.00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11,636,416.41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11,636,416.41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4,786,979.23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4,786,979.23</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339" w:top="980" w:bottom="15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20"/>
        <w:gridCol w:w="1848"/>
        <w:gridCol w:w="1820"/>
        <w:gridCol w:w="1819"/>
        <w:gridCol w:w="1820"/>
      </w:tblGrid>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78,516,789.08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86,297,988.05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23,648,306.77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24,653,053.45</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43,365.35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w w:val="95"/>
                <w:sz w:val="18"/>
              </w:rPr>
              <w:t>-17,350.00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514,285,770.84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522,023,604.46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128,417,936.00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129,440,032.68</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23,385,128.77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27,714,062.92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537,670,899.61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522,023,604.46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156,131,998.92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129,440,032.68</w:t>
            </w:r>
          </w:p>
        </w:tc>
      </w:tr>
      <w:tr>
        <w:trPr>
          <w:trHeight w:val="27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900,562,084.26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848,116,945.17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410,337,479.88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403,659,885.32</w:t>
            </w:r>
          </w:p>
        </w:tc>
      </w:tr>
    </w:tbl>
    <w:p>
      <w:pPr>
        <w:tabs>
          <w:tab w:pos="3059" w:val="left" w:leader="none"/>
          <w:tab w:pos="6569" w:val="left" w:leader="none"/>
        </w:tabs>
        <w:spacing w:line="210" w:lineRule="exact" w:before="0"/>
        <w:ind w:left="0" w:right="794" w:firstLine="0"/>
        <w:jc w:val="center"/>
        <w:rPr>
          <w:rFonts w:ascii="宋体" w:hAnsi="宋体" w:cs="宋体" w:eastAsia="宋体" w:hint="default"/>
          <w:sz w:val="18"/>
          <w:szCs w:val="18"/>
        </w:rPr>
      </w:pPr>
      <w:r>
        <w:rPr>
          <w:rFonts w:ascii="宋体" w:hAnsi="宋体" w:cs="宋体" w:eastAsia="宋体" w:hint="default"/>
          <w:sz w:val="18"/>
          <w:szCs w:val="18"/>
        </w:rPr>
        <w:t>公司法定代表人：陈亚妹</w:t>
        <w:tab/>
        <w:t>主管会计工作的公司负责人：乔盺</w:t>
        <w:tab/>
        <w:t>公司会计机构负责人： 吕培荣</w:t>
      </w:r>
    </w:p>
    <w:p>
      <w:pPr>
        <w:pStyle w:val="BodyText"/>
        <w:spacing w:line="291" w:lineRule="exact" w:before="0"/>
        <w:ind w:left="0" w:right="637"/>
        <w:jc w:val="center"/>
      </w:pPr>
      <w:r>
        <w:rPr/>
        <w:t>合并利润表</w:t>
      </w:r>
    </w:p>
    <w:p>
      <w:pPr>
        <w:spacing w:line="240" w:lineRule="auto" w:before="1"/>
        <w:rPr>
          <w:rFonts w:ascii="宋体" w:hAnsi="宋体" w:cs="宋体" w:eastAsia="宋体" w:hint="default"/>
          <w:sz w:val="21"/>
          <w:szCs w:val="21"/>
        </w:rPr>
      </w:pPr>
    </w:p>
    <w:p>
      <w:pPr>
        <w:tabs>
          <w:tab w:pos="5283" w:val="left" w:leader="none"/>
          <w:tab w:pos="8178" w:val="left" w:leader="none"/>
        </w:tabs>
        <w:spacing w:before="0"/>
        <w:ind w:left="154" w:right="271" w:firstLine="0"/>
        <w:jc w:val="left"/>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34"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7"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36"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25"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33" w:lineRule="exact"/>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45"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1,202,703,869.46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1,198,225,342.73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483,290,129.29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481,558,571.67</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1,202,703,869.46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1,198,225,342.73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483,290,129.29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481,558,571.67</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1,142,531,399.33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1,126,518,004.84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439,067,731.53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430,372,596.55</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1,088,532,991.96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1,082,910,931.42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410,930,044.97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406,850,796.87</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6,452.74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5,300.52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276,113.36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274,735.27</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1,947,202.05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1,666,807.16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913,936.90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812,898.16</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33,995,510.68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25,326,822.19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21,563,076.11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18,781,344.07</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6,476,238.98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5,664,573.31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2,515,826.11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2,340,867.29</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11,573,002.92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10,943,570.24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2,868,734.08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1,311,954.89</w:t>
            </w:r>
          </w:p>
        </w:tc>
      </w:tr>
      <w:tr>
        <w:trPr>
          <w:trHeight w:val="5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auto"/>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auto"/>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auto"/>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60,172,470.13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71,707,337.89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44,222,397.76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51,185,975.12</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2,433,050.00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2,403,050.00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1,150,000.00</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219,684.64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218,682.64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585,704.95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583,804.95</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582,588.69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582,588.69</w:t>
            </w:r>
          </w:p>
        </w:tc>
      </w:tr>
      <w:tr>
        <w:trPr>
          <w:trHeight w:val="5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auto"/>
              <w:ind w:left="11"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01"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5" w:lineRule="exact"/>
              <w:ind w:left="752" w:right="0"/>
              <w:jc w:val="left"/>
              <w:rPr>
                <w:rFonts w:ascii="Times New Roman" w:hAnsi="Times New Roman" w:cs="Times New Roman" w:eastAsia="Times New Roman" w:hint="default"/>
                <w:sz w:val="18"/>
                <w:szCs w:val="18"/>
              </w:rPr>
            </w:pPr>
            <w:r>
              <w:rPr>
                <w:rFonts w:ascii="Times New Roman"/>
                <w:sz w:val="18"/>
              </w:rPr>
              <w:t>62,385,835.49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73,891,705.25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44,786,692.81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51,752,170.17</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4,996,850.15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5,397,333.47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3,767,784.30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3,882,377.87</w:t>
            </w:r>
          </w:p>
        </w:tc>
      </w:tr>
      <w:tr>
        <w:trPr>
          <w:trHeight w:val="52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auto"/>
              <w:ind w:left="11" w:right="1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57,388,985.34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68,494,371.78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41,018,908.51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47,869,792.30</w:t>
            </w:r>
          </w:p>
        </w:tc>
      </w:tr>
      <w:tr>
        <w:trPr>
          <w:trHeight w:val="27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61,717,919.49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68,494,371.78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46,865,045.62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47,869,792.30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339" w:top="980" w:bottom="152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-4,328,934.15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-5,846,137.11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right="52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0.5289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0.5869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0.4687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0.4787</w:t>
            </w:r>
          </w:p>
        </w:tc>
      </w:tr>
      <w:tr>
        <w:trPr>
          <w:trHeight w:val="27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right="52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0.5289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0.5869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0.4687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0.4787</w:t>
            </w:r>
          </w:p>
        </w:tc>
      </w:tr>
    </w:tbl>
    <w:p>
      <w:pPr>
        <w:tabs>
          <w:tab w:pos="3059" w:val="left" w:leader="none"/>
          <w:tab w:pos="6569" w:val="left" w:leader="none"/>
        </w:tabs>
        <w:spacing w:line="233" w:lineRule="exact" w:before="0"/>
        <w:ind w:left="0" w:right="794" w:firstLine="0"/>
        <w:jc w:val="center"/>
        <w:rPr>
          <w:rFonts w:ascii="宋体" w:hAnsi="宋体" w:cs="宋体" w:eastAsia="宋体" w:hint="default"/>
          <w:sz w:val="18"/>
          <w:szCs w:val="18"/>
        </w:rPr>
      </w:pPr>
      <w:r>
        <w:rPr>
          <w:rFonts w:ascii="宋体" w:hAnsi="宋体" w:cs="宋体" w:eastAsia="宋体" w:hint="default"/>
          <w:sz w:val="18"/>
          <w:szCs w:val="18"/>
        </w:rPr>
        <w:t>公司法定代表人：陈亚妹</w:t>
        <w:tab/>
        <w:t>主管会计工作的公司负责人：乔盺</w:t>
        <w:tab/>
        <w:t>公司会计机构负责人： 吕培荣</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BodyText"/>
        <w:spacing w:line="240" w:lineRule="auto" w:before="0"/>
        <w:ind w:left="0" w:right="637"/>
        <w:jc w:val="center"/>
      </w:pPr>
      <w:r>
        <w:rPr/>
        <w:t>合并现金流量表</w:t>
      </w:r>
    </w:p>
    <w:p>
      <w:pPr>
        <w:spacing w:line="240" w:lineRule="auto" w:before="0"/>
        <w:rPr>
          <w:rFonts w:ascii="宋体" w:hAnsi="宋体" w:cs="宋体" w:eastAsia="宋体" w:hint="default"/>
          <w:sz w:val="24"/>
          <w:szCs w:val="24"/>
        </w:rPr>
      </w:pPr>
    </w:p>
    <w:p>
      <w:pPr>
        <w:tabs>
          <w:tab w:pos="5283" w:val="left" w:leader="none"/>
          <w:tab w:pos="8178" w:val="left" w:leader="none"/>
        </w:tabs>
        <w:spacing w:before="177"/>
        <w:ind w:left="154" w:right="271" w:firstLine="0"/>
        <w:jc w:val="left"/>
        <w:rPr>
          <w:rFonts w:ascii="宋体" w:hAnsi="宋体" w:cs="宋体" w:eastAsia="宋体" w:hint="default"/>
          <w:sz w:val="18"/>
          <w:szCs w:val="18"/>
        </w:rPr>
      </w:pPr>
      <w:r>
        <w:rPr/>
        <w:pict>
          <v:shape style="position:absolute;margin-left:57.029995pt;margin-top:22.00198pt;width:491.55pt;height:528.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5"/>
                    <w:gridCol w:w="1832"/>
                    <w:gridCol w:w="1820"/>
                    <w:gridCol w:w="1819"/>
                    <w:gridCol w:w="1820"/>
                  </w:tblGrid>
                  <w:tr>
                    <w:trPr>
                      <w:trHeight w:val="175"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8"/>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上年同期</w:t>
                        </w:r>
                      </w:p>
                    </w:tc>
                  </w:tr>
                  <w:tr>
                    <w:trPr>
                      <w:trHeight w:val="174"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66"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8"/>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85"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right="-17"/>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907,293,067.30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898,099,632.74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458,748,403.63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457,893,423.11</w:t>
                        </w:r>
                      </w:p>
                    </w:tc>
                  </w:tr>
                  <w:tr>
                    <w:trPr>
                      <w:trHeight w:val="6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1,554,054.01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1,554,054.01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1,930,800.95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1,930,800.95</w:t>
                        </w:r>
                      </w:p>
                    </w:tc>
                  </w:tr>
                  <w:tr>
                    <w:trPr>
                      <w:trHeight w:val="6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5,964,086.48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5,054,707.86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84,927,895.07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84,045,918.85</w:t>
                        </w:r>
                      </w:p>
                    </w:tc>
                  </w:tr>
                  <w:tr>
                    <w:trPr>
                      <w:trHeight w:val="34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914,811,207.79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904,708,394.61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545,607,099.65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543,870,142.91</w:t>
                        </w:r>
                      </w:p>
                    </w:tc>
                  </w:tr>
                  <w:tr>
                    <w:trPr>
                      <w:trHeight w:val="6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977,718,310.56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959,762,183.83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420,498,777.07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404,550,166.40</w:t>
                        </w:r>
                      </w:p>
                    </w:tc>
                  </w:tr>
                  <w:tr>
                    <w:trPr>
                      <w:trHeight w:val="34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right="9"/>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pgSz w:w="11910" w:h="16840"/>
          <w:pgMar w:header="747" w:footer="1339" w:top="980" w:bottom="16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53,503,080.23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44,862,389.41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26,139,206.07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25,284,069.46</w:t>
            </w: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5,280,226.77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5,226,376.58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5,202,724.36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5,060,140.95</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37,342,220.32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57,114,159.33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73,459,348.25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72,345,241.76</w:t>
            </w: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1,073,843,837.88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1,066,965,109.15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525,300,055.75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507,239,618.57</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-159,032,630.09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-162,256,714.54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20,307,043.90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36,630,524.34</w:t>
            </w: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11" w:right="-21"/>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360,000.00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360,000.00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82,843,673.45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62,719,244.17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56,262,588.97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39,998,546.04</w:t>
            </w: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40,038,155.92</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82,843,673.45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62,719,244.17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56,292,588.97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80,036,701.96</w:t>
            </w:r>
          </w:p>
        </w:tc>
      </w:tr>
      <w:tr>
        <w:trPr>
          <w:trHeight w:val="67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7" w:type="dxa"/>
            <w:tcBorders>
              <w:top w:val="single" w:sz="4" w:space="0" w:color="000000"/>
              <w:left w:val="single" w:sz="13" w:space="0" w:color="DCDCDC"/>
              <w:bottom w:val="single" w:sz="55"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-82,483,673.45</w:t>
            </w:r>
          </w:p>
        </w:tc>
        <w:tc>
          <w:tcPr>
            <w:tcW w:w="182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-62,359,244.17</w:t>
            </w:r>
          </w:p>
        </w:tc>
        <w:tc>
          <w:tcPr>
            <w:tcW w:w="1819"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-56,192,588.97</w:t>
            </w:r>
          </w:p>
        </w:tc>
        <w:tc>
          <w:tcPr>
            <w:tcW w:w="182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-79,936,701.96</w:t>
            </w:r>
          </w:p>
        </w:tc>
      </w:tr>
      <w:tr>
        <w:trPr>
          <w:trHeight w:val="4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9"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1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7" w:type="dxa"/>
            <w:tcBorders>
              <w:top w:val="single" w:sz="56" w:space="0" w:color="DCDCDC"/>
              <w:left w:val="single" w:sz="13" w:space="0" w:color="DCDCDC"/>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330,259,200.00</w:t>
            </w:r>
          </w:p>
        </w:tc>
        <w:tc>
          <w:tcPr>
            <w:tcW w:w="1820" w:type="dxa"/>
            <w:tcBorders>
              <w:top w:val="single" w:sz="56" w:space="0" w:color="DCDCDC"/>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330,259,200.00</w:t>
            </w:r>
          </w:p>
        </w:tc>
        <w:tc>
          <w:tcPr>
            <w:tcW w:w="1819" w:type="dxa"/>
            <w:tcBorders>
              <w:top w:val="single" w:sz="56" w:space="0" w:color="DCDCDC"/>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4,748,317.29</w:t>
            </w:r>
          </w:p>
        </w:tc>
        <w:tc>
          <w:tcPr>
            <w:tcW w:w="1820" w:type="dxa"/>
            <w:tcBorders>
              <w:top w:val="single" w:sz="56" w:space="0" w:color="DCDCDC"/>
              <w:left w:val="single" w:sz="4" w:space="0" w:color="000000"/>
              <w:bottom w:val="single" w:sz="4" w:space="0" w:color="000000"/>
              <w:right w:val="single" w:sz="4" w:space="0" w:color="000000"/>
            </w:tcBorders>
          </w:tcPr>
          <w:p>
            <w:pPr/>
          </w:p>
        </w:tc>
      </w:tr>
      <w:tr>
        <w:trPr>
          <w:trHeight w:val="6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4,748,317.29</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445,110,344.18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421,556,170.00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162,828,040.00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162,828,040.00</w:t>
            </w: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11" w:right="157"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775,369,544.18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751,815,370.00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167,576,357.29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162,828,040.00</w:t>
            </w: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378,615,892.93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373,471,378.76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110,404,000.00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110,404,000.00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339" w:top="980" w:bottom="152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61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6,426,637.03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5,997,450.95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1,936,494.61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1,936,494.61</w:t>
            </w:r>
          </w:p>
        </w:tc>
      </w:tr>
      <w:tr>
        <w:trPr>
          <w:trHeight w:val="61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5,017,976.70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5,017,976.70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6,093.04</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390,060,506.66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384,486,806.41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112,346,587.65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112,340,494.61</w:t>
            </w:r>
          </w:p>
        </w:tc>
      </w:tr>
      <w:tr>
        <w:trPr>
          <w:trHeight w:val="61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385,309,037.52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367,328,563.59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55,229,769.64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50,487,545.39</w:t>
            </w:r>
          </w:p>
        </w:tc>
      </w:tr>
      <w:tr>
        <w:trPr>
          <w:trHeight w:val="61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-865,833.20</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-669,882.11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-648,445.83</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-646,369.74</w:t>
            </w:r>
            <w:r>
              <w:rPr>
                <w:rFonts w:ascii="Times New Roman"/>
                <w:sz w:val="18"/>
              </w:rPr>
            </w:r>
          </w:p>
        </w:tc>
      </w:tr>
      <w:tr>
        <w:trPr>
          <w:trHeight w:val="3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right="20"/>
              <w:jc w:val="right"/>
              <w:rPr>
                <w:rFonts w:ascii="宋体" w:hAnsi="宋体" w:cs="宋体" w:eastAsia="宋体" w:hint="default"/>
                <w:sz w:val="18"/>
                <w:szCs w:val="18"/>
              </w:rPr>
            </w:pPr>
            <w:r>
              <w:rPr>
                <w:rFonts w:ascii="宋体" w:hAnsi="宋体" w:cs="宋体" w:eastAsia="宋体" w:hint="default"/>
                <w:spacing w:val="-2"/>
                <w:w w:val="95"/>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142,926,900.78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142,042,722.77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18,695,778.74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6,534,998.03</w:t>
            </w:r>
          </w:p>
        </w:tc>
      </w:tr>
      <w:tr>
        <w:trPr>
          <w:trHeight w:val="61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38"/>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72,462,653.46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59,678,201.63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53,766,874.72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53,143,203.60</w:t>
            </w:r>
          </w:p>
        </w:tc>
      </w:tr>
      <w:tr>
        <w:trPr>
          <w:trHeight w:val="350"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right="20"/>
              <w:jc w:val="right"/>
              <w:rPr>
                <w:rFonts w:ascii="宋体" w:hAnsi="宋体" w:cs="宋体" w:eastAsia="宋体" w:hint="default"/>
                <w:sz w:val="18"/>
                <w:szCs w:val="18"/>
              </w:rPr>
            </w:pPr>
            <w:r>
              <w:rPr>
                <w:rFonts w:ascii="宋体" w:hAnsi="宋体" w:cs="宋体" w:eastAsia="宋体" w:hint="default"/>
                <w:spacing w:val="-2"/>
                <w:w w:val="95"/>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215,389,554.24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201,720,924.40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72,462,653.46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59,678,201.63</w:t>
            </w:r>
          </w:p>
        </w:tc>
      </w:tr>
    </w:tbl>
    <w:p>
      <w:pPr>
        <w:tabs>
          <w:tab w:pos="3213" w:val="left" w:leader="none"/>
          <w:tab w:pos="6723" w:val="left" w:leader="none"/>
        </w:tabs>
        <w:spacing w:line="233" w:lineRule="exact" w:before="0"/>
        <w:ind w:left="154" w:right="271" w:firstLine="0"/>
        <w:jc w:val="left"/>
        <w:rPr>
          <w:rFonts w:ascii="宋体" w:hAnsi="宋体" w:cs="宋体" w:eastAsia="宋体" w:hint="default"/>
          <w:sz w:val="18"/>
          <w:szCs w:val="18"/>
        </w:rPr>
      </w:pPr>
      <w:r>
        <w:rPr>
          <w:rFonts w:ascii="宋体" w:hAnsi="宋体" w:cs="宋体" w:eastAsia="宋体" w:hint="default"/>
          <w:sz w:val="18"/>
          <w:szCs w:val="18"/>
        </w:rPr>
        <w:t>公司法定代表人：陈亚妹</w:t>
        <w:tab/>
        <w:t>主管会计工作的公司负责人：乔盺</w:t>
        <w:tab/>
        <w:t>公司会计机构负责人： 吕培荣</w:t>
      </w:r>
    </w:p>
    <w:p>
      <w:pPr>
        <w:spacing w:after="0" w:line="233" w:lineRule="exact"/>
        <w:jc w:val="left"/>
        <w:rPr>
          <w:rFonts w:ascii="宋体" w:hAnsi="宋体" w:cs="宋体" w:eastAsia="宋体" w:hint="default"/>
          <w:sz w:val="18"/>
          <w:szCs w:val="18"/>
        </w:rPr>
        <w:sectPr>
          <w:pgSz w:w="11910" w:h="16840"/>
          <w:pgMar w:header="747" w:footer="1339" w:top="980" w:bottom="1520" w:left="980" w:right="82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1339" w:top="980" w:bottom="1520" w:left="980" w:right="980"/>
        </w:sectPr>
      </w:pPr>
    </w:p>
    <w:p>
      <w:pPr>
        <w:spacing w:line="240" w:lineRule="auto" w:before="9"/>
        <w:rPr>
          <w:rFonts w:ascii="Times New Roman" w:hAnsi="Times New Roman" w:cs="Times New Roman" w:eastAsia="Times New Roman" w:hint="default"/>
          <w:sz w:val="25"/>
          <w:szCs w:val="25"/>
        </w:rPr>
      </w:pPr>
    </w:p>
    <w:p>
      <w:pPr>
        <w:pStyle w:val="BodyText"/>
        <w:spacing w:line="240" w:lineRule="auto" w:before="26"/>
        <w:ind w:left="6460" w:right="6539"/>
        <w:jc w:val="center"/>
      </w:pPr>
      <w:r>
        <w:rPr/>
        <w:t>所有者权益变动表</w:t>
      </w:r>
    </w:p>
    <w:p>
      <w:pPr>
        <w:spacing w:line="240" w:lineRule="auto" w:before="4"/>
        <w:rPr>
          <w:rFonts w:ascii="宋体" w:hAnsi="宋体" w:cs="宋体" w:eastAsia="宋体" w:hint="default"/>
          <w:sz w:val="31"/>
          <w:szCs w:val="31"/>
        </w:rPr>
      </w:pPr>
    </w:p>
    <w:p>
      <w:pPr>
        <w:tabs>
          <w:tab w:pos="7173" w:val="left" w:leader="none"/>
          <w:tab w:pos="12258"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编制单位：深圳市实益达科技股份有限公司</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9"/>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277"/>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330" w:hRule="exact"/>
        </w:trPr>
        <w:tc>
          <w:tcPr>
            <w:tcW w:w="2277" w:type="dxa"/>
            <w:vMerge w:val="restart"/>
            <w:tcBorders>
              <w:top w:val="single" w:sz="4" w:space="0" w:color="000000"/>
              <w:left w:val="single" w:sz="4" w:space="0" w:color="000000"/>
              <w:right w:val="single" w:sz="4" w:space="0" w:color="000000"/>
            </w:tcBorders>
            <w:shd w:val="clear" w:color="auto" w:fill="DCDCDC"/>
          </w:tcPr>
          <w:p>
            <w:pPr/>
          </w:p>
        </w:tc>
        <w:tc>
          <w:tcPr>
            <w:tcW w:w="620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4"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1"/>
              <w:ind w:left="14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1"/>
              <w:ind w:left="14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90"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88" w:hRule="exact"/>
        </w:trPr>
        <w:tc>
          <w:tcPr>
            <w:tcW w:w="227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auto" w:before="21"/>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44" w:lineRule="auto" w:before="5"/>
              <w:ind w:left="68" w:right="68"/>
              <w:jc w:val="center"/>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78"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22" w:right="0" w:firstLine="45"/>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44" w:lineRule="auto" w:before="5"/>
              <w:ind w:left="158" w:right="20" w:hanging="136"/>
              <w:jc w:val="left"/>
              <w:rPr>
                <w:rFonts w:ascii="宋体" w:hAnsi="宋体" w:cs="宋体" w:eastAsia="宋体" w:hint="default"/>
                <w:sz w:val="18"/>
                <w:szCs w:val="18"/>
              </w:rPr>
            </w:pP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248"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249" w:right="6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90"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69"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151" w:lineRule="exact"/>
              <w:ind w:left="68"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before="5"/>
              <w:ind w:left="68"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23" w:right="0" w:firstLine="45"/>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44" w:lineRule="auto" w:before="5"/>
              <w:ind w:left="159" w:right="19" w:hanging="136"/>
              <w:jc w:val="left"/>
              <w:rPr>
                <w:rFonts w:ascii="宋体" w:hAnsi="宋体" w:cs="宋体" w:eastAsia="宋体" w:hint="default"/>
                <w:sz w:val="18"/>
                <w:szCs w:val="18"/>
              </w:rPr>
            </w:pP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90"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249"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248" w:right="6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68"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81"/>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151" w:lineRule="exact"/>
              <w:ind w:left="69"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before="5"/>
              <w:ind w:left="69"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89" w:type="dxa"/>
            <w:vMerge/>
            <w:tcBorders>
              <w:left w:val="single" w:sz="4" w:space="0" w:color="000000"/>
              <w:right w:val="single" w:sz="4" w:space="0" w:color="000000"/>
            </w:tcBorders>
            <w:shd w:val="clear" w:color="auto" w:fill="DCDCDC"/>
          </w:tcPr>
          <w:p>
            <w:pPr/>
          </w:p>
        </w:tc>
      </w:tr>
      <w:tr>
        <w:trPr>
          <w:trHeight w:val="299" w:hRule="exact"/>
        </w:trPr>
        <w:tc>
          <w:tcPr>
            <w:tcW w:w="2277" w:type="dxa"/>
            <w:vMerge w:val="restart"/>
            <w:tcBorders>
              <w:top w:val="nil" w:sz="6" w:space="0" w:color="auto"/>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25"/>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vMerge/>
            <w:tcBorders>
              <w:left w:val="single" w:sz="4" w:space="0" w:color="000000"/>
              <w:bottom w:val="single" w:sz="20"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20" w:space="0" w:color="FFFFFF"/>
              <w:right w:val="single" w:sz="4" w:space="0" w:color="000000"/>
            </w:tcBorders>
            <w:shd w:val="clear" w:color="auto" w:fill="DCDCDC"/>
          </w:tcPr>
          <w:p>
            <w:pPr>
              <w:pStyle w:val="TableParagraph"/>
              <w:spacing w:line="240" w:lineRule="auto" w:before="25"/>
              <w:ind w:left="1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vMerge/>
            <w:tcBorders>
              <w:left w:val="single" w:sz="4" w:space="0" w:color="000000"/>
              <w:bottom w:val="single" w:sz="20"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r>
      <w:tr>
        <w:trPr>
          <w:trHeight w:val="95" w:hRule="exact"/>
        </w:trPr>
        <w:tc>
          <w:tcPr>
            <w:tcW w:w="2277"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single" w:sz="20" w:space="0" w:color="FFFFFF"/>
              <w:left w:val="single" w:sz="4" w:space="0" w:color="000000"/>
              <w:right w:val="single" w:sz="4" w:space="0" w:color="000000"/>
            </w:tcBorders>
            <w:shd w:val="clear" w:color="auto" w:fill="DCDCDC"/>
          </w:tcPr>
          <w:p>
            <w:pPr/>
          </w:p>
        </w:tc>
        <w:tc>
          <w:tcPr>
            <w:tcW w:w="690" w:type="dxa"/>
            <w:vMerge w:val="restart"/>
            <w:tcBorders>
              <w:top w:val="single" w:sz="20"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75" w:hRule="exact"/>
        </w:trPr>
        <w:tc>
          <w:tcPr>
            <w:tcW w:w="2277"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25"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Style w:val="TableParagraph"/>
              <w:spacing w:line="240" w:lineRule="auto" w:before="63"/>
              <w:ind w:right="8"/>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34"/>
              <w:ind w:left="123" w:right="0"/>
              <w:jc w:val="center"/>
              <w:rPr>
                <w:rFonts w:ascii="Times New Roman" w:hAnsi="Times New Roman" w:cs="Times New Roman" w:eastAsia="Times New Roman" w:hint="default"/>
                <w:sz w:val="18"/>
                <w:szCs w:val="18"/>
              </w:rPr>
            </w:pPr>
            <w:r>
              <w:rPr>
                <w:rFonts w:ascii="Times New Roman"/>
                <w:sz w:val="18"/>
              </w:rPr>
              <w:t>000.00</w:t>
            </w:r>
          </w:p>
        </w:tc>
        <w:tc>
          <w:tcPr>
            <w:tcW w:w="689" w:type="dxa"/>
            <w:vMerge w:val="restart"/>
            <w:tcBorders>
              <w:top w:val="single" w:sz="48" w:space="0" w:color="DCDCDC"/>
              <w:left w:val="single" w:sz="4" w:space="0" w:color="000000"/>
              <w:right w:val="single" w:sz="4" w:space="0" w:color="000000"/>
            </w:tcBorders>
          </w:tcPr>
          <w:p>
            <w:pPr/>
          </w:p>
        </w:tc>
        <w:tc>
          <w:tcPr>
            <w:tcW w:w="689" w:type="dxa"/>
            <w:vMerge w:val="restart"/>
            <w:tcBorders>
              <w:top w:val="single" w:sz="52" w:space="0" w:color="DCDCDC"/>
              <w:left w:val="single" w:sz="4" w:space="0" w:color="000000"/>
              <w:right w:val="single" w:sz="4" w:space="0" w:color="000000"/>
            </w:tcBorders>
          </w:tcPr>
          <w:p>
            <w:pPr/>
          </w:p>
        </w:tc>
        <w:tc>
          <w:tcPr>
            <w:tcW w:w="689" w:type="dxa"/>
            <w:vMerge w:val="restart"/>
            <w:tcBorders>
              <w:top w:val="single" w:sz="52" w:space="0" w:color="DCDCDC"/>
              <w:left w:val="single" w:sz="4" w:space="0" w:color="000000"/>
              <w:right w:val="single" w:sz="4" w:space="0" w:color="000000"/>
            </w:tcBorders>
          </w:tcPr>
          <w:p>
            <w:pPr>
              <w:pStyle w:val="TableParagraph"/>
              <w:spacing w:line="240" w:lineRule="auto" w:before="3"/>
              <w:ind w:left="26" w:right="0"/>
              <w:jc w:val="left"/>
              <w:rPr>
                <w:rFonts w:ascii="Times New Roman" w:hAnsi="Times New Roman" w:cs="Times New Roman" w:eastAsia="Times New Roman" w:hint="default"/>
                <w:sz w:val="18"/>
                <w:szCs w:val="18"/>
              </w:rPr>
            </w:pPr>
            <w:r>
              <w:rPr>
                <w:rFonts w:ascii="Times New Roman"/>
                <w:sz w:val="18"/>
              </w:rPr>
              <w:t>4,786,97</w:t>
            </w:r>
          </w:p>
          <w:p>
            <w:pPr>
              <w:pStyle w:val="TableParagraph"/>
              <w:spacing w:line="240" w:lineRule="auto" w:before="34"/>
              <w:ind w:left="340" w:right="0"/>
              <w:jc w:val="left"/>
              <w:rPr>
                <w:rFonts w:ascii="Times New Roman" w:hAnsi="Times New Roman" w:cs="Times New Roman" w:eastAsia="Times New Roman" w:hint="default"/>
                <w:sz w:val="18"/>
                <w:szCs w:val="18"/>
              </w:rPr>
            </w:pPr>
            <w:r>
              <w:rPr>
                <w:rFonts w:ascii="Times New Roman"/>
                <w:sz w:val="18"/>
              </w:rPr>
              <w:t>9.23</w:t>
            </w:r>
          </w:p>
        </w:tc>
        <w:tc>
          <w:tcPr>
            <w:tcW w:w="690" w:type="dxa"/>
            <w:vMerge w:val="restart"/>
            <w:tcBorders>
              <w:top w:val="single" w:sz="52" w:space="0" w:color="DCDCDC"/>
              <w:left w:val="single" w:sz="4" w:space="0" w:color="000000"/>
              <w:right w:val="single" w:sz="4" w:space="0" w:color="000000"/>
            </w:tcBorders>
          </w:tcPr>
          <w:p>
            <w:pPr/>
          </w:p>
        </w:tc>
        <w:tc>
          <w:tcPr>
            <w:tcW w:w="689" w:type="dxa"/>
            <w:vMerge w:val="restart"/>
            <w:tcBorders>
              <w:top w:val="single" w:sz="52" w:space="0" w:color="DCDCDC"/>
              <w:left w:val="single" w:sz="4" w:space="0" w:color="000000"/>
              <w:right w:val="single" w:sz="4" w:space="0" w:color="000000"/>
            </w:tcBorders>
          </w:tcPr>
          <w:p>
            <w:pPr>
              <w:pStyle w:val="TableParagraph"/>
              <w:spacing w:line="240" w:lineRule="auto" w:before="3"/>
              <w:ind w:left="25" w:right="0"/>
              <w:jc w:val="left"/>
              <w:rPr>
                <w:rFonts w:ascii="Times New Roman" w:hAnsi="Times New Roman" w:cs="Times New Roman" w:eastAsia="Times New Roman" w:hint="default"/>
                <w:sz w:val="18"/>
                <w:szCs w:val="18"/>
              </w:rPr>
            </w:pPr>
            <w:r>
              <w:rPr>
                <w:rFonts w:ascii="Times New Roman"/>
                <w:sz w:val="18"/>
              </w:rPr>
              <w:t>23,648,3</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06.77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27,714,0</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62.92</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156,131,</w:t>
            </w:r>
          </w:p>
          <w:p>
            <w:pPr>
              <w:pStyle w:val="TableParagraph"/>
              <w:spacing w:line="240" w:lineRule="auto" w:before="34"/>
              <w:ind w:left="135" w:right="0"/>
              <w:jc w:val="center"/>
              <w:rPr>
                <w:rFonts w:ascii="Times New Roman" w:hAnsi="Times New Roman" w:cs="Times New Roman" w:eastAsia="Times New Roman" w:hint="default"/>
                <w:sz w:val="18"/>
                <w:szCs w:val="18"/>
              </w:rPr>
            </w:pPr>
            <w:r>
              <w:rPr>
                <w:rFonts w:ascii="Times New Roman"/>
                <w:sz w:val="18"/>
              </w:rPr>
              <w:t>998.92</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64,791,0</w:t>
            </w:r>
          </w:p>
          <w:p>
            <w:pPr>
              <w:pStyle w:val="TableParagraph"/>
              <w:spacing w:line="240" w:lineRule="auto" w:before="34"/>
              <w:ind w:left="250" w:right="0"/>
              <w:jc w:val="left"/>
              <w:rPr>
                <w:rFonts w:ascii="Times New Roman" w:hAnsi="Times New Roman" w:cs="Times New Roman" w:eastAsia="Times New Roman" w:hint="default"/>
                <w:sz w:val="18"/>
                <w:szCs w:val="18"/>
              </w:rPr>
            </w:pPr>
            <w:r>
              <w:rPr>
                <w:rFonts w:ascii="Times New Roman"/>
                <w:sz w:val="18"/>
              </w:rPr>
              <w:t>25.00</w:t>
            </w:r>
          </w:p>
        </w:tc>
        <w:tc>
          <w:tcPr>
            <w:tcW w:w="690" w:type="dxa"/>
            <w:vMerge w:val="restart"/>
            <w:tcBorders>
              <w:top w:val="single" w:sz="52" w:space="0" w:color="DCDCDC"/>
              <w:left w:val="single" w:sz="4" w:space="0" w:color="000000"/>
              <w:right w:val="single" w:sz="4" w:space="0" w:color="000000"/>
            </w:tcBorders>
          </w:tcPr>
          <w:p>
            <w:pPr>
              <w:pStyle w:val="TableParagraph"/>
              <w:spacing w:line="240" w:lineRule="auto" w:before="123"/>
              <w:ind w:left="340" w:right="0"/>
              <w:jc w:val="left"/>
              <w:rPr>
                <w:rFonts w:ascii="Times New Roman" w:hAnsi="Times New Roman" w:cs="Times New Roman" w:eastAsia="Times New Roman" w:hint="default"/>
                <w:sz w:val="18"/>
                <w:szCs w:val="18"/>
              </w:rPr>
            </w:pPr>
            <w:r>
              <w:rPr>
                <w:rFonts w:ascii="Times New Roman"/>
                <w:sz w:val="18"/>
              </w:rPr>
              <w:t>0.44</w:t>
            </w:r>
          </w:p>
        </w:tc>
        <w:tc>
          <w:tcPr>
            <w:tcW w:w="689" w:type="dxa"/>
            <w:vMerge w:val="restart"/>
            <w:tcBorders>
              <w:top w:val="single" w:sz="52" w:space="0" w:color="DCDCDC"/>
              <w:left w:val="single" w:sz="4" w:space="0" w:color="000000"/>
              <w:right w:val="single" w:sz="4" w:space="0" w:color="000000"/>
            </w:tcBorders>
          </w:tcPr>
          <w:p>
            <w:pPr/>
          </w:p>
        </w:tc>
        <w:tc>
          <w:tcPr>
            <w:tcW w:w="689" w:type="dxa"/>
            <w:vMerge w:val="restart"/>
            <w:tcBorders>
              <w:top w:val="single" w:sz="52" w:space="0" w:color="DCDCDC"/>
              <w:left w:val="single" w:sz="4" w:space="0" w:color="000000"/>
              <w:right w:val="single" w:sz="4" w:space="0" w:color="000000"/>
            </w:tcBorders>
          </w:tcPr>
          <w:p>
            <w:pPr>
              <w:pStyle w:val="TableParagraph"/>
              <w:spacing w:line="240" w:lineRule="auto" w:before="3"/>
              <w:ind w:left="25" w:right="0"/>
              <w:jc w:val="left"/>
              <w:rPr>
                <w:rFonts w:ascii="Times New Roman" w:hAnsi="Times New Roman" w:cs="Times New Roman" w:eastAsia="Times New Roman" w:hint="default"/>
                <w:sz w:val="18"/>
                <w:szCs w:val="18"/>
              </w:rPr>
            </w:pPr>
            <w:r>
              <w:rPr>
                <w:rFonts w:ascii="Times New Roman"/>
                <w:sz w:val="18"/>
              </w:rPr>
              <w:t>3,935,79</w:t>
            </w:r>
          </w:p>
          <w:p>
            <w:pPr>
              <w:pStyle w:val="TableParagraph"/>
              <w:spacing w:line="240" w:lineRule="auto" w:before="34"/>
              <w:ind w:left="339" w:right="0"/>
              <w:jc w:val="left"/>
              <w:rPr>
                <w:rFonts w:ascii="Times New Roman" w:hAnsi="Times New Roman" w:cs="Times New Roman" w:eastAsia="Times New Roman" w:hint="default"/>
                <w:sz w:val="18"/>
                <w:szCs w:val="18"/>
              </w:rPr>
            </w:pPr>
            <w:r>
              <w:rPr>
                <w:rFonts w:ascii="Times New Roman"/>
                <w:sz w:val="18"/>
              </w:rPr>
              <w:t>1.22</w:t>
            </w:r>
          </w:p>
        </w:tc>
        <w:tc>
          <w:tcPr>
            <w:tcW w:w="689" w:type="dxa"/>
            <w:vMerge w:val="restart"/>
            <w:tcBorders>
              <w:top w:val="single" w:sz="52" w:space="0" w:color="DCDCDC"/>
              <w:left w:val="single" w:sz="4" w:space="0" w:color="000000"/>
              <w:right w:val="single" w:sz="4" w:space="0" w:color="000000"/>
            </w:tcBorders>
          </w:tcPr>
          <w:p>
            <w:pPr/>
          </w:p>
        </w:tc>
        <w:tc>
          <w:tcPr>
            <w:tcW w:w="689" w:type="dxa"/>
            <w:vMerge w:val="restart"/>
            <w:tcBorders>
              <w:top w:val="single" w:sz="52" w:space="0" w:color="DCDCDC"/>
              <w:left w:val="single" w:sz="4" w:space="0" w:color="000000"/>
              <w:right w:val="single" w:sz="4" w:space="0" w:color="000000"/>
            </w:tcBorders>
          </w:tcPr>
          <w:p>
            <w:pPr>
              <w:pStyle w:val="TableParagraph"/>
              <w:spacing w:line="240" w:lineRule="auto" w:before="3"/>
              <w:ind w:left="25" w:right="0"/>
              <w:jc w:val="left"/>
              <w:rPr>
                <w:rFonts w:ascii="Times New Roman" w:hAnsi="Times New Roman" w:cs="Times New Roman" w:eastAsia="Times New Roman" w:hint="default"/>
                <w:sz w:val="18"/>
                <w:szCs w:val="18"/>
              </w:rPr>
            </w:pPr>
            <w:r>
              <w:rPr>
                <w:rFonts w:ascii="Times New Roman"/>
                <w:sz w:val="18"/>
              </w:rPr>
              <w:t>22,302,8</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16.92</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91,029,6</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33.58</w:t>
            </w:r>
          </w:p>
        </w:tc>
      </w:tr>
      <w:tr>
        <w:trPr>
          <w:trHeight w:val="445"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125"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41,087.2</w:t>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4,598.13</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258,883.</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87</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304,569.</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26</w:t>
            </w:r>
          </w:p>
        </w:tc>
      </w:tr>
      <w:tr>
        <w:trPr>
          <w:trHeight w:val="445"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330"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Style w:val="TableParagraph"/>
              <w:spacing w:line="240" w:lineRule="auto" w:before="63"/>
              <w:ind w:right="8"/>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34"/>
              <w:ind w:left="123" w:right="0"/>
              <w:jc w:val="center"/>
              <w:rPr>
                <w:rFonts w:ascii="Times New Roman" w:hAnsi="Times New Roman" w:cs="Times New Roman" w:eastAsia="Times New Roman" w:hint="default"/>
                <w:sz w:val="18"/>
                <w:szCs w:val="18"/>
              </w:rPr>
            </w:pPr>
            <w:r>
              <w:rPr>
                <w:rFonts w:ascii="Times New Roman"/>
                <w:sz w:val="18"/>
              </w:rPr>
              <w:t>000.00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4,786,97</w:t>
            </w:r>
          </w:p>
          <w:p>
            <w:pPr>
              <w:pStyle w:val="TableParagraph"/>
              <w:spacing w:line="240" w:lineRule="auto" w:before="34"/>
              <w:ind w:left="340" w:right="0"/>
              <w:jc w:val="left"/>
              <w:rPr>
                <w:rFonts w:ascii="Times New Roman" w:hAnsi="Times New Roman" w:cs="Times New Roman" w:eastAsia="Times New Roman" w:hint="default"/>
                <w:sz w:val="18"/>
                <w:szCs w:val="18"/>
              </w:rPr>
            </w:pPr>
            <w:r>
              <w:rPr>
                <w:rFonts w:ascii="Times New Roman"/>
                <w:sz w:val="18"/>
              </w:rPr>
              <w:t>9.23</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23,648,3</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06.77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27,714,0</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62.92</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156,131,</w:t>
            </w:r>
          </w:p>
          <w:p>
            <w:pPr>
              <w:pStyle w:val="TableParagraph"/>
              <w:spacing w:line="240" w:lineRule="auto" w:before="34"/>
              <w:ind w:left="135" w:right="0"/>
              <w:jc w:val="center"/>
              <w:rPr>
                <w:rFonts w:ascii="Times New Roman" w:hAnsi="Times New Roman" w:cs="Times New Roman" w:eastAsia="Times New Roman" w:hint="default"/>
                <w:sz w:val="18"/>
                <w:szCs w:val="18"/>
              </w:rPr>
            </w:pPr>
            <w:r>
              <w:rPr>
                <w:rFonts w:ascii="Times New Roman"/>
                <w:sz w:val="18"/>
              </w:rPr>
              <w:t>998.92</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64,791,0</w:t>
            </w:r>
          </w:p>
          <w:p>
            <w:pPr>
              <w:pStyle w:val="TableParagraph"/>
              <w:spacing w:line="240" w:lineRule="auto" w:before="34"/>
              <w:ind w:left="250" w:right="0"/>
              <w:jc w:val="left"/>
              <w:rPr>
                <w:rFonts w:ascii="Times New Roman" w:hAnsi="Times New Roman" w:cs="Times New Roman" w:eastAsia="Times New Roman" w:hint="default"/>
                <w:sz w:val="18"/>
                <w:szCs w:val="18"/>
              </w:rPr>
            </w:pPr>
            <w:r>
              <w:rPr>
                <w:rFonts w:ascii="Times New Roman"/>
                <w:sz w:val="18"/>
              </w:rPr>
              <w:t>25.00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41,087.7</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3,940,38</w:t>
            </w:r>
          </w:p>
          <w:p>
            <w:pPr>
              <w:pStyle w:val="TableParagraph"/>
              <w:spacing w:line="240" w:lineRule="auto" w:before="34"/>
              <w:ind w:left="339" w:right="0"/>
              <w:jc w:val="left"/>
              <w:rPr>
                <w:rFonts w:ascii="Times New Roman" w:hAnsi="Times New Roman" w:cs="Times New Roman" w:eastAsia="Times New Roman" w:hint="default"/>
                <w:sz w:val="18"/>
                <w:szCs w:val="18"/>
              </w:rPr>
            </w:pPr>
            <w:r>
              <w:rPr>
                <w:rFonts w:ascii="Times New Roman"/>
                <w:sz w:val="18"/>
              </w:rPr>
              <w:t>9.35</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22,561,7</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00.79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91,334,2</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02.84</w:t>
            </w:r>
          </w:p>
        </w:tc>
      </w:tr>
      <w:tr>
        <w:trPr>
          <w:trHeight w:val="445"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570"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auto" w:before="21"/>
              <w:ind w:left="11" w:right="94"/>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3"/>
              <w:ind w:left="13" w:right="0"/>
              <w:jc w:val="left"/>
              <w:rPr>
                <w:rFonts w:ascii="Times New Roman" w:hAnsi="Times New Roman" w:cs="Times New Roman" w:eastAsia="Times New Roman" w:hint="default"/>
                <w:sz w:val="18"/>
                <w:szCs w:val="18"/>
              </w:rPr>
            </w:pPr>
            <w:r>
              <w:rPr>
                <w:rFonts w:ascii="Times New Roman"/>
                <w:sz w:val="18"/>
              </w:rPr>
              <w:t>33,400,0</w:t>
            </w:r>
          </w:p>
          <w:p>
            <w:pPr>
              <w:pStyle w:val="TableParagraph"/>
              <w:spacing w:line="240" w:lineRule="auto" w:before="34"/>
              <w:ind w:left="237"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34"/>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6,849,43</w:t>
            </w:r>
          </w:p>
          <w:p>
            <w:pPr>
              <w:pStyle w:val="TableParagraph"/>
              <w:spacing w:line="240" w:lineRule="auto" w:before="34"/>
              <w:ind w:left="340" w:right="0"/>
              <w:jc w:val="left"/>
              <w:rPr>
                <w:rFonts w:ascii="Times New Roman" w:hAnsi="Times New Roman" w:cs="Times New Roman" w:eastAsia="Times New Roman" w:hint="default"/>
                <w:sz w:val="18"/>
                <w:szCs w:val="18"/>
              </w:rPr>
            </w:pPr>
            <w:r>
              <w:rPr>
                <w:rFonts w:ascii="Times New Roman"/>
                <w:sz w:val="18"/>
              </w:rPr>
              <w:t>7.18</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54,868,4</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82.31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-4,328,9</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34.15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381,538,</w:t>
            </w:r>
          </w:p>
          <w:p>
            <w:pPr>
              <w:pStyle w:val="TableParagraph"/>
              <w:spacing w:line="240" w:lineRule="auto" w:before="34"/>
              <w:ind w:left="135" w:right="0"/>
              <w:jc w:val="center"/>
              <w:rPr>
                <w:rFonts w:ascii="Times New Roman" w:hAnsi="Times New Roman" w:cs="Times New Roman" w:eastAsia="Times New Roman" w:hint="default"/>
                <w:sz w:val="18"/>
                <w:szCs w:val="18"/>
              </w:rPr>
            </w:pPr>
            <w:r>
              <w:rPr>
                <w:rFonts w:ascii="Times New Roman"/>
                <w:sz w:val="18"/>
              </w:rPr>
              <w:t>900.69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35,208,9</w:t>
            </w:r>
          </w:p>
          <w:p>
            <w:pPr>
              <w:pStyle w:val="TableParagraph"/>
              <w:spacing w:line="240" w:lineRule="auto" w:before="34"/>
              <w:ind w:left="250" w:right="0"/>
              <w:jc w:val="left"/>
              <w:rPr>
                <w:rFonts w:ascii="Times New Roman" w:hAnsi="Times New Roman" w:cs="Times New Roman" w:eastAsia="Times New Roman" w:hint="default"/>
                <w:sz w:val="18"/>
                <w:szCs w:val="18"/>
              </w:rPr>
            </w:pPr>
            <w:r>
              <w:rPr>
                <w:rFonts w:ascii="Times New Roman"/>
                <w:sz w:val="18"/>
              </w:rPr>
              <w:t>75.00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-41,087.</w:t>
            </w:r>
            <w:r>
              <w:rPr>
                <w:rFonts w:ascii="Times New Roman"/>
                <w:sz w:val="18"/>
              </w:rPr>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70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846,589.</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88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1,086,60</w:t>
            </w:r>
          </w:p>
          <w:p>
            <w:pPr>
              <w:pStyle w:val="TableParagraph"/>
              <w:spacing w:line="240" w:lineRule="auto" w:before="34"/>
              <w:ind w:left="339" w:right="0"/>
              <w:jc w:val="left"/>
              <w:rPr>
                <w:rFonts w:ascii="Times New Roman" w:hAnsi="Times New Roman" w:cs="Times New Roman" w:eastAsia="Times New Roman" w:hint="default"/>
                <w:sz w:val="18"/>
                <w:szCs w:val="18"/>
              </w:rPr>
            </w:pPr>
            <w:r>
              <w:rPr>
                <w:rFonts w:ascii="Times New Roman"/>
                <w:sz w:val="18"/>
              </w:rPr>
              <w:t>5.98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27,714,0</w:t>
            </w:r>
          </w:p>
          <w:p>
            <w:pPr>
              <w:pStyle w:val="TableParagraph"/>
              <w:spacing w:line="240" w:lineRule="auto" w:before="34"/>
              <w:ind w:left="250" w:right="0"/>
              <w:jc w:val="left"/>
              <w:rPr>
                <w:rFonts w:ascii="Times New Roman" w:hAnsi="Times New Roman" w:cs="Times New Roman" w:eastAsia="Times New Roman" w:hint="default"/>
                <w:sz w:val="18"/>
                <w:szCs w:val="18"/>
              </w:rPr>
            </w:pPr>
            <w:r>
              <w:rPr>
                <w:rFonts w:ascii="Times New Roman"/>
                <w:sz w:val="18"/>
              </w:rPr>
              <w:t>62.92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64,797,7</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96.08</w:t>
            </w:r>
          </w:p>
        </w:tc>
      </w:tr>
      <w:tr>
        <w:trPr>
          <w:trHeight w:val="125"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61,717,9</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19.49</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-4,328,9</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34.15</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57,388,9</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85.34</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46,865,0</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45.62</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3"/>
              <w:ind w:left="56" w:right="0"/>
              <w:jc w:val="left"/>
              <w:rPr>
                <w:rFonts w:ascii="Times New Roman" w:hAnsi="Times New Roman" w:cs="Times New Roman" w:eastAsia="Times New Roman" w:hint="default"/>
                <w:sz w:val="18"/>
                <w:szCs w:val="18"/>
              </w:rPr>
            </w:pPr>
            <w:r>
              <w:rPr>
                <w:rFonts w:ascii="Times New Roman"/>
                <w:sz w:val="18"/>
              </w:rPr>
              <w:t>-5,846,1</w:t>
            </w:r>
          </w:p>
          <w:p>
            <w:pPr>
              <w:pStyle w:val="TableParagraph"/>
              <w:spacing w:line="240" w:lineRule="auto" w:before="34"/>
              <w:ind w:left="258" w:right="0"/>
              <w:jc w:val="left"/>
              <w:rPr>
                <w:rFonts w:ascii="Times New Roman" w:hAnsi="Times New Roman" w:cs="Times New Roman" w:eastAsia="Times New Roman" w:hint="default"/>
                <w:sz w:val="18"/>
                <w:szCs w:val="18"/>
              </w:rPr>
            </w:pPr>
            <w:r>
              <w:rPr>
                <w:rFonts w:ascii="Times New Roman"/>
                <w:sz w:val="18"/>
              </w:rPr>
              <w:t>37.11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41,018,9</w:t>
            </w:r>
          </w:p>
          <w:p>
            <w:pPr>
              <w:pStyle w:val="TableParagraph"/>
              <w:spacing w:line="240" w:lineRule="auto" w:before="34"/>
              <w:ind w:left="249" w:right="0"/>
              <w:jc w:val="left"/>
              <w:rPr>
                <w:rFonts w:ascii="Times New Roman" w:hAnsi="Times New Roman" w:cs="Times New Roman" w:eastAsia="Times New Roman" w:hint="default"/>
                <w:sz w:val="18"/>
                <w:szCs w:val="18"/>
              </w:rPr>
            </w:pPr>
            <w:r>
              <w:rPr>
                <w:rFonts w:ascii="Times New Roman"/>
                <w:sz w:val="18"/>
              </w:rPr>
              <w:t>08.51</w:t>
            </w:r>
          </w:p>
        </w:tc>
      </w:tr>
      <w:tr>
        <w:trPr>
          <w:trHeight w:val="445"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570"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auto" w:before="21"/>
              <w:ind w:left="11" w:right="94" w:firstLine="180"/>
              <w:jc w:val="left"/>
              <w:rPr>
                <w:rFonts w:ascii="宋体" w:hAnsi="宋体" w:cs="宋体" w:eastAsia="宋体" w:hint="default"/>
                <w:sz w:val="18"/>
                <w:szCs w:val="18"/>
              </w:rPr>
            </w:pPr>
            <w:r>
              <w:rPr>
                <w:rFonts w:ascii="宋体" w:hAnsi="宋体" w:cs="宋体" w:eastAsia="宋体" w:hint="default"/>
                <w:sz w:val="18"/>
                <w:szCs w:val="18"/>
              </w:rPr>
              <w:t>（二）直接计入所有者权 益的利得和损失</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-41,087.</w:t>
            </w:r>
            <w:r>
              <w:rPr>
                <w:rFonts w:ascii="Times New Roman"/>
                <w:sz w:val="18"/>
              </w:rPr>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70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-3,940,3</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89.35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-5,782,4</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85.41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-9,781,3</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12.46</w:t>
            </w:r>
          </w:p>
        </w:tc>
      </w:tr>
      <w:tr>
        <w:trPr>
          <w:trHeight w:val="570"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38"/>
              <w:ind w:left="11"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．可供出售金融资产公</w:t>
            </w:r>
            <w:r>
              <w:rPr>
                <w:rFonts w:ascii="宋体" w:hAnsi="宋体" w:cs="宋体" w:eastAsia="宋体" w:hint="default"/>
                <w:sz w:val="18"/>
                <w:szCs w:val="18"/>
              </w:rPr>
              <w:t> 允价值变动净额</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38"/>
              <w:ind w:left="11"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．权益法下被投资单位</w:t>
            </w:r>
            <w:r>
              <w:rPr>
                <w:rFonts w:ascii="宋体" w:hAnsi="宋体" w:cs="宋体" w:eastAsia="宋体" w:hint="default"/>
                <w:sz w:val="18"/>
                <w:szCs w:val="18"/>
              </w:rPr>
              <w:t> 其他所有者权益变动的影响</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before="38"/>
              <w:ind w:left="11"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．与计入所有者权益项</w:t>
            </w:r>
            <w:r>
              <w:rPr>
                <w:rFonts w:ascii="宋体" w:hAnsi="宋体" w:cs="宋体" w:eastAsia="宋体" w:hint="default"/>
                <w:sz w:val="18"/>
                <w:szCs w:val="18"/>
              </w:rPr>
              <w:t> 目相关的所得税影响</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5</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5</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-41,087.</w:t>
            </w:r>
            <w:r>
              <w:rPr>
                <w:rFonts w:ascii="Times New Roman"/>
                <w:sz w:val="18"/>
              </w:rPr>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70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-3,940,3</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89.35</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-5,782,4</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85.41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-9,781,3</w:t>
            </w:r>
          </w:p>
          <w:p>
            <w:pPr>
              <w:pStyle w:val="TableParagraph"/>
              <w:spacing w:line="240" w:lineRule="auto" w:before="34"/>
              <w:ind w:left="225" w:right="0"/>
              <w:jc w:val="center"/>
              <w:rPr>
                <w:rFonts w:ascii="Times New Roman" w:hAnsi="Times New Roman" w:cs="Times New Roman" w:eastAsia="Times New Roman" w:hint="default"/>
                <w:sz w:val="18"/>
                <w:szCs w:val="18"/>
              </w:rPr>
            </w:pPr>
            <w:r>
              <w:rPr>
                <w:rFonts w:ascii="Times New Roman"/>
                <w:sz w:val="18"/>
              </w:rPr>
              <w:t>12.46</w:t>
            </w:r>
          </w:p>
        </w:tc>
      </w:tr>
      <w:tr>
        <w:trPr>
          <w:trHeight w:val="446"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77" w:footer="1464" w:top="1100" w:bottom="1660" w:left="980" w:right="900"/>
          <w:pgNumType w:start="52"/>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61,717,9</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19.49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60,715.3</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-4,328,9</w:t>
            </w:r>
          </w:p>
          <w:p>
            <w:pPr>
              <w:pStyle w:val="TableParagraph"/>
              <w:spacing w:line="240" w:lineRule="auto" w:before="33"/>
              <w:ind w:left="225" w:right="0"/>
              <w:jc w:val="center"/>
              <w:rPr>
                <w:rFonts w:ascii="Times New Roman" w:hAnsi="Times New Roman" w:cs="Times New Roman" w:eastAsia="Times New Roman" w:hint="default"/>
                <w:sz w:val="18"/>
                <w:szCs w:val="18"/>
              </w:rPr>
            </w:pPr>
            <w:r>
              <w:rPr>
                <w:rFonts w:ascii="Times New Roman"/>
                <w:sz w:val="18"/>
              </w:rPr>
              <w:t>34.15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57,449,7</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00.69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-41,087.</w:t>
            </w:r>
            <w:r>
              <w:rPr>
                <w:rFonts w:ascii="Times New Roman"/>
                <w:sz w:val="18"/>
              </w:rPr>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70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-3,940,3</w:t>
            </w:r>
          </w:p>
          <w:p>
            <w:pPr>
              <w:pStyle w:val="TableParagraph"/>
              <w:spacing w:line="240" w:lineRule="auto" w:before="33"/>
              <w:ind w:left="225" w:right="0"/>
              <w:jc w:val="center"/>
              <w:rPr>
                <w:rFonts w:ascii="Times New Roman" w:hAnsi="Times New Roman" w:cs="Times New Roman" w:eastAsia="Times New Roman" w:hint="default"/>
                <w:sz w:val="18"/>
                <w:szCs w:val="18"/>
              </w:rPr>
            </w:pPr>
            <w:r>
              <w:rPr>
                <w:rFonts w:ascii="Times New Roman"/>
                <w:sz w:val="18"/>
              </w:rPr>
              <w:t>89.35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41,082,5</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60.21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 w:right="0"/>
              <w:jc w:val="left"/>
              <w:rPr>
                <w:rFonts w:ascii="Times New Roman" w:hAnsi="Times New Roman" w:cs="Times New Roman" w:eastAsia="Times New Roman" w:hint="default"/>
                <w:sz w:val="18"/>
                <w:szCs w:val="18"/>
              </w:rPr>
            </w:pPr>
            <w:r>
              <w:rPr>
                <w:rFonts w:ascii="Times New Roman"/>
                <w:sz w:val="18"/>
              </w:rPr>
              <w:t>-5,846,1</w:t>
            </w:r>
          </w:p>
          <w:p>
            <w:pPr>
              <w:pStyle w:val="TableParagraph"/>
              <w:spacing w:line="240" w:lineRule="auto" w:before="33"/>
              <w:ind w:left="257" w:right="0"/>
              <w:jc w:val="left"/>
              <w:rPr>
                <w:rFonts w:ascii="Times New Roman" w:hAnsi="Times New Roman" w:cs="Times New Roman" w:eastAsia="Times New Roman" w:hint="default"/>
                <w:sz w:val="18"/>
                <w:szCs w:val="18"/>
              </w:rPr>
            </w:pPr>
            <w:r>
              <w:rPr>
                <w:rFonts w:ascii="Times New Roman"/>
                <w:sz w:val="18"/>
              </w:rPr>
              <w:t>37.11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31,237,5</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96.05</w:t>
            </w: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auto" w:before="21"/>
              <w:ind w:left="22" w:right="94"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33,400,0</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324,089,</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33,560,2</w:t>
            </w:r>
          </w:p>
          <w:p>
            <w:pPr>
              <w:pStyle w:val="TableParagraph"/>
              <w:spacing w:line="240" w:lineRule="auto" w:before="33"/>
              <w:ind w:left="250" w:right="0"/>
              <w:jc w:val="left"/>
              <w:rPr>
                <w:rFonts w:ascii="Times New Roman" w:hAnsi="Times New Roman" w:cs="Times New Roman" w:eastAsia="Times New Roman" w:hint="default"/>
                <w:sz w:val="18"/>
                <w:szCs w:val="18"/>
              </w:rPr>
            </w:pPr>
            <w:r>
              <w:rPr>
                <w:rFonts w:ascii="Times New Roman"/>
                <w:sz w:val="18"/>
              </w:rPr>
              <w:t>00.03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33,560,2</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00.03</w:t>
            </w: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33,400,0</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324,089,</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33,560,2</w:t>
            </w:r>
          </w:p>
          <w:p>
            <w:pPr>
              <w:pStyle w:val="TableParagraph"/>
              <w:spacing w:line="240" w:lineRule="auto" w:before="33"/>
              <w:ind w:left="250" w:right="0"/>
              <w:jc w:val="left"/>
              <w:rPr>
                <w:rFonts w:ascii="Times New Roman" w:hAnsi="Times New Roman" w:cs="Times New Roman" w:eastAsia="Times New Roman" w:hint="default"/>
                <w:sz w:val="18"/>
                <w:szCs w:val="18"/>
              </w:rPr>
            </w:pPr>
            <w:r>
              <w:rPr>
                <w:rFonts w:ascii="Times New Roman"/>
                <w:sz w:val="18"/>
              </w:rPr>
              <w:t>00.03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33,560,2</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00.03</w:t>
            </w: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39"/>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．股份支付计入所有者</w:t>
            </w:r>
            <w:r>
              <w:rPr>
                <w:rFonts w:ascii="宋体" w:hAnsi="宋体" w:cs="宋体" w:eastAsia="宋体" w:hint="default"/>
                <w:sz w:val="18"/>
                <w:szCs w:val="18"/>
              </w:rPr>
              <w:t> 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6,849,43</w:t>
            </w:r>
          </w:p>
          <w:p>
            <w:pPr>
              <w:pStyle w:val="TableParagraph"/>
              <w:spacing w:line="240" w:lineRule="auto" w:before="33"/>
              <w:ind w:left="340" w:right="0"/>
              <w:jc w:val="left"/>
              <w:rPr>
                <w:rFonts w:ascii="Times New Roman" w:hAnsi="Times New Roman" w:cs="Times New Roman" w:eastAsia="Times New Roman" w:hint="default"/>
                <w:sz w:val="18"/>
                <w:szCs w:val="18"/>
              </w:rPr>
            </w:pPr>
            <w:r>
              <w:rPr>
                <w:rFonts w:ascii="Times New Roman"/>
                <w:sz w:val="18"/>
              </w:rPr>
              <w:t>7.18</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-6,849,4</w:t>
            </w:r>
          </w:p>
          <w:p>
            <w:pPr>
              <w:pStyle w:val="TableParagraph"/>
              <w:spacing w:line="240" w:lineRule="auto" w:before="33"/>
              <w:ind w:left="225" w:right="0"/>
              <w:jc w:val="center"/>
              <w:rPr>
                <w:rFonts w:ascii="Times New Roman" w:hAnsi="Times New Roman" w:cs="Times New Roman" w:eastAsia="Times New Roman" w:hint="default"/>
                <w:sz w:val="18"/>
                <w:szCs w:val="18"/>
              </w:rPr>
            </w:pPr>
            <w:r>
              <w:rPr>
                <w:rFonts w:ascii="Times New Roman"/>
                <w:sz w:val="18"/>
              </w:rPr>
              <w:t>37.18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4,786,97</w:t>
            </w:r>
          </w:p>
          <w:p>
            <w:pPr>
              <w:pStyle w:val="TableParagraph"/>
              <w:spacing w:line="240" w:lineRule="auto" w:before="33"/>
              <w:ind w:left="339" w:right="0"/>
              <w:jc w:val="left"/>
              <w:rPr>
                <w:rFonts w:ascii="Times New Roman" w:hAnsi="Times New Roman" w:cs="Times New Roman" w:eastAsia="Times New Roman" w:hint="default"/>
                <w:sz w:val="18"/>
                <w:szCs w:val="18"/>
              </w:rPr>
            </w:pPr>
            <w:r>
              <w:rPr>
                <w:rFonts w:ascii="Times New Roman"/>
                <w:sz w:val="18"/>
              </w:rPr>
              <w:t>9.23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-4,786,9</w:t>
            </w:r>
          </w:p>
          <w:p>
            <w:pPr>
              <w:pStyle w:val="TableParagraph"/>
              <w:spacing w:line="240" w:lineRule="auto" w:before="33"/>
              <w:ind w:left="225" w:right="0"/>
              <w:jc w:val="center"/>
              <w:rPr>
                <w:rFonts w:ascii="Times New Roman" w:hAnsi="Times New Roman" w:cs="Times New Roman" w:eastAsia="Times New Roman" w:hint="default"/>
                <w:sz w:val="18"/>
                <w:szCs w:val="18"/>
              </w:rPr>
            </w:pPr>
            <w:r>
              <w:rPr>
                <w:rFonts w:ascii="Times New Roman"/>
                <w:sz w:val="18"/>
              </w:rPr>
              <w:t>79.23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6,849,43</w:t>
            </w:r>
          </w:p>
          <w:p>
            <w:pPr>
              <w:pStyle w:val="TableParagraph"/>
              <w:spacing w:line="240" w:lineRule="auto" w:before="33"/>
              <w:ind w:left="340" w:right="0"/>
              <w:jc w:val="left"/>
              <w:rPr>
                <w:rFonts w:ascii="Times New Roman" w:hAnsi="Times New Roman" w:cs="Times New Roman" w:eastAsia="Times New Roman" w:hint="default"/>
                <w:sz w:val="18"/>
                <w:szCs w:val="18"/>
              </w:rPr>
            </w:pPr>
            <w:r>
              <w:rPr>
                <w:rFonts w:ascii="Times New Roman"/>
                <w:sz w:val="18"/>
              </w:rPr>
              <w:t>7.18</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-6,849,4</w:t>
            </w:r>
          </w:p>
          <w:p>
            <w:pPr>
              <w:pStyle w:val="TableParagraph"/>
              <w:spacing w:line="240" w:lineRule="auto" w:before="33"/>
              <w:ind w:left="225" w:right="0"/>
              <w:jc w:val="center"/>
              <w:rPr>
                <w:rFonts w:ascii="Times New Roman" w:hAnsi="Times New Roman" w:cs="Times New Roman" w:eastAsia="Times New Roman" w:hint="default"/>
                <w:sz w:val="18"/>
                <w:szCs w:val="18"/>
              </w:rPr>
            </w:pPr>
            <w:r>
              <w:rPr>
                <w:rFonts w:ascii="Times New Roman"/>
                <w:sz w:val="18"/>
              </w:rPr>
              <w:t>37.18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4,786,97</w:t>
            </w:r>
          </w:p>
          <w:p>
            <w:pPr>
              <w:pStyle w:val="TableParagraph"/>
              <w:spacing w:line="240" w:lineRule="auto" w:before="33"/>
              <w:ind w:left="339" w:right="0"/>
              <w:jc w:val="left"/>
              <w:rPr>
                <w:rFonts w:ascii="Times New Roman" w:hAnsi="Times New Roman" w:cs="Times New Roman" w:eastAsia="Times New Roman" w:hint="default"/>
                <w:sz w:val="18"/>
                <w:szCs w:val="18"/>
              </w:rPr>
            </w:pPr>
            <w:r>
              <w:rPr>
                <w:rFonts w:ascii="Times New Roman"/>
                <w:sz w:val="18"/>
              </w:rPr>
              <w:t>9.23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2" w:right="0"/>
              <w:jc w:val="center"/>
              <w:rPr>
                <w:rFonts w:ascii="Times New Roman" w:hAnsi="Times New Roman" w:cs="Times New Roman" w:eastAsia="Times New Roman" w:hint="default"/>
                <w:sz w:val="18"/>
                <w:szCs w:val="18"/>
              </w:rPr>
            </w:pPr>
            <w:r>
              <w:rPr>
                <w:rFonts w:ascii="Times New Roman"/>
                <w:sz w:val="18"/>
              </w:rPr>
              <w:t>-4,786,9</w:t>
            </w:r>
          </w:p>
          <w:p>
            <w:pPr>
              <w:pStyle w:val="TableParagraph"/>
              <w:spacing w:line="240" w:lineRule="auto" w:before="33"/>
              <w:ind w:left="225" w:right="0"/>
              <w:jc w:val="center"/>
              <w:rPr>
                <w:rFonts w:ascii="Times New Roman" w:hAnsi="Times New Roman" w:cs="Times New Roman" w:eastAsia="Times New Roman" w:hint="default"/>
                <w:sz w:val="18"/>
                <w:szCs w:val="18"/>
              </w:rPr>
            </w:pPr>
            <w:r>
              <w:rPr>
                <w:rFonts w:ascii="Times New Roman"/>
                <w:sz w:val="18"/>
              </w:rPr>
              <w:t>79.23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39"/>
              <w:ind w:left="22" w:right="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auto" w:before="21"/>
              <w:ind w:left="22" w:right="94"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35,208,9</w:t>
            </w:r>
          </w:p>
          <w:p>
            <w:pPr>
              <w:pStyle w:val="TableParagraph"/>
              <w:spacing w:line="240" w:lineRule="auto" w:before="33"/>
              <w:ind w:left="250" w:right="0"/>
              <w:jc w:val="left"/>
              <w:rPr>
                <w:rFonts w:ascii="Times New Roman" w:hAnsi="Times New Roman" w:cs="Times New Roman" w:eastAsia="Times New Roman" w:hint="default"/>
                <w:sz w:val="18"/>
                <w:szCs w:val="18"/>
              </w:rPr>
            </w:pPr>
            <w:r>
              <w:rPr>
                <w:rFonts w:ascii="Times New Roman"/>
                <w:sz w:val="18"/>
              </w:rPr>
              <w:t>75.00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center"/>
              <w:rPr>
                <w:rFonts w:ascii="Times New Roman" w:hAnsi="Times New Roman" w:cs="Times New Roman" w:eastAsia="Times New Roman" w:hint="default"/>
                <w:sz w:val="18"/>
                <w:szCs w:val="18"/>
              </w:rPr>
            </w:pPr>
            <w:r>
              <w:rPr>
                <w:rFonts w:ascii="Times New Roman"/>
                <w:sz w:val="18"/>
              </w:rPr>
              <w:t>-35,208,</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975.00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5" w:lineRule="exact"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5" w:lineRule="exact"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35,208,9</w:t>
            </w:r>
          </w:p>
          <w:p>
            <w:pPr>
              <w:pStyle w:val="TableParagraph"/>
              <w:spacing w:line="240" w:lineRule="auto" w:before="33"/>
              <w:ind w:left="250" w:right="0"/>
              <w:jc w:val="left"/>
              <w:rPr>
                <w:rFonts w:ascii="Times New Roman" w:hAnsi="Times New Roman" w:cs="Times New Roman" w:eastAsia="Times New Roman" w:hint="default"/>
                <w:sz w:val="18"/>
                <w:szCs w:val="18"/>
              </w:rPr>
            </w:pPr>
            <w:r>
              <w:rPr>
                <w:rFonts w:ascii="Times New Roman"/>
                <w:sz w:val="18"/>
              </w:rPr>
              <w:t>75.00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center"/>
              <w:rPr>
                <w:rFonts w:ascii="Times New Roman" w:hAnsi="Times New Roman" w:cs="Times New Roman" w:eastAsia="Times New Roman" w:hint="default"/>
                <w:sz w:val="18"/>
                <w:szCs w:val="18"/>
              </w:rPr>
            </w:pPr>
            <w:r>
              <w:rPr>
                <w:rFonts w:ascii="Times New Roman"/>
                <w:sz w:val="18"/>
              </w:rPr>
              <w:t>-35,208,</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975.00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290,689,</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200.00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3" w:right="0"/>
              <w:jc w:val="left"/>
              <w:rPr>
                <w:rFonts w:ascii="Times New Roman" w:hAnsi="Times New Roman" w:cs="Times New Roman" w:eastAsia="Times New Roman" w:hint="default"/>
                <w:sz w:val="18"/>
                <w:szCs w:val="18"/>
              </w:rPr>
            </w:pPr>
            <w:r>
              <w:rPr>
                <w:rFonts w:ascii="Times New Roman"/>
                <w:sz w:val="18"/>
              </w:rPr>
              <w:t>11,636,4</w:t>
            </w:r>
          </w:p>
          <w:p>
            <w:pPr>
              <w:pStyle w:val="TableParagraph"/>
              <w:spacing w:line="240" w:lineRule="auto" w:before="33"/>
              <w:ind w:left="250" w:right="0"/>
              <w:jc w:val="left"/>
              <w:rPr>
                <w:rFonts w:ascii="Times New Roman" w:hAnsi="Times New Roman" w:cs="Times New Roman" w:eastAsia="Times New Roman" w:hint="default"/>
                <w:sz w:val="18"/>
                <w:szCs w:val="18"/>
              </w:rPr>
            </w:pPr>
            <w:r>
              <w:rPr>
                <w:rFonts w:ascii="Times New Roman"/>
                <w:sz w:val="18"/>
              </w:rPr>
              <w:t>16.41</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78,516,7</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89.08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43,365.3</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23,385,1</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28.77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537,670,</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899.61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33"/>
              <w:ind w:left="138" w:right="0"/>
              <w:jc w:val="center"/>
              <w:rPr>
                <w:rFonts w:ascii="Times New Roman" w:hAnsi="Times New Roman" w:cs="Times New Roman" w:eastAsia="Times New Roman" w:hint="default"/>
                <w:sz w:val="18"/>
                <w:szCs w:val="18"/>
              </w:rPr>
            </w:pPr>
            <w:r>
              <w:rPr>
                <w:rFonts w:ascii="Times New Roman"/>
                <w:sz w:val="18"/>
              </w:rPr>
              <w:t>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4,786,97</w:t>
            </w:r>
          </w:p>
          <w:p>
            <w:pPr>
              <w:pStyle w:val="TableParagraph"/>
              <w:spacing w:line="240" w:lineRule="auto" w:before="33"/>
              <w:ind w:left="339" w:right="0"/>
              <w:jc w:val="left"/>
              <w:rPr>
                <w:rFonts w:ascii="Times New Roman" w:hAnsi="Times New Roman" w:cs="Times New Roman" w:eastAsia="Times New Roman" w:hint="default"/>
                <w:sz w:val="18"/>
                <w:szCs w:val="18"/>
              </w:rPr>
            </w:pPr>
            <w:r>
              <w:rPr>
                <w:rFonts w:ascii="Times New Roman"/>
                <w:sz w:val="18"/>
              </w:rPr>
              <w:t>9.23</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sz w:val="18"/>
              </w:rPr>
              <w:t>23,648,3</w:t>
            </w:r>
          </w:p>
          <w:p>
            <w:pPr>
              <w:pStyle w:val="TableParagraph"/>
              <w:spacing w:line="240" w:lineRule="auto" w:before="33"/>
              <w:ind w:left="249" w:right="0"/>
              <w:jc w:val="left"/>
              <w:rPr>
                <w:rFonts w:ascii="Times New Roman" w:hAnsi="Times New Roman" w:cs="Times New Roman" w:eastAsia="Times New Roman" w:hint="default"/>
                <w:sz w:val="18"/>
                <w:szCs w:val="18"/>
              </w:rPr>
            </w:pPr>
            <w:r>
              <w:rPr>
                <w:rFonts w:ascii="Times New Roman"/>
                <w:sz w:val="18"/>
              </w:rPr>
              <w:t>06.77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-17,350.</w:t>
            </w:r>
            <w:r>
              <w:rPr>
                <w:rFonts w:ascii="Times New Roman"/>
                <w:sz w:val="18"/>
              </w:rPr>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27,714,0</w:t>
            </w:r>
          </w:p>
          <w:p>
            <w:pPr>
              <w:pStyle w:val="TableParagraph"/>
              <w:spacing w:line="240" w:lineRule="auto" w:before="33"/>
              <w:ind w:left="250" w:right="0"/>
              <w:jc w:val="left"/>
              <w:rPr>
                <w:rFonts w:ascii="Times New Roman" w:hAnsi="Times New Roman" w:cs="Times New Roman" w:eastAsia="Times New Roman" w:hint="default"/>
                <w:sz w:val="18"/>
                <w:szCs w:val="18"/>
              </w:rPr>
            </w:pPr>
            <w:r>
              <w:rPr>
                <w:rFonts w:ascii="Times New Roman"/>
                <w:sz w:val="18"/>
              </w:rPr>
              <w:t>62.92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156,131,</w:t>
            </w:r>
          </w:p>
          <w:p>
            <w:pPr>
              <w:pStyle w:val="TableParagraph"/>
              <w:spacing w:line="240" w:lineRule="auto" w:before="33"/>
              <w:ind w:left="135" w:right="0"/>
              <w:jc w:val="center"/>
              <w:rPr>
                <w:rFonts w:ascii="Times New Roman" w:hAnsi="Times New Roman" w:cs="Times New Roman" w:eastAsia="Times New Roman" w:hint="default"/>
                <w:sz w:val="18"/>
                <w:szCs w:val="18"/>
              </w:rPr>
            </w:pPr>
            <w:r>
              <w:rPr>
                <w:rFonts w:ascii="Times New Roman"/>
                <w:sz w:val="18"/>
              </w:rPr>
              <w:t>998.92</w:t>
            </w:r>
          </w:p>
        </w:tc>
      </w:tr>
    </w:tbl>
    <w:p>
      <w:pPr>
        <w:tabs>
          <w:tab w:pos="5720" w:val="left" w:leader="none"/>
          <w:tab w:pos="11827" w:val="left" w:leader="none"/>
        </w:tabs>
        <w:spacing w:line="233" w:lineRule="exact"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公司法定代表人：陈亚妹</w:t>
        <w:tab/>
      </w:r>
      <w:r>
        <w:rPr>
          <w:rFonts w:ascii="宋体" w:hAnsi="宋体" w:cs="宋体" w:eastAsia="宋体" w:hint="default"/>
          <w:spacing w:val="-1"/>
          <w:sz w:val="18"/>
          <w:szCs w:val="18"/>
        </w:rPr>
        <w:t>主管会计工作的公司负责人：乔盺</w:t>
        <w:tab/>
      </w:r>
      <w:r>
        <w:rPr>
          <w:rFonts w:ascii="宋体" w:hAnsi="宋体" w:cs="宋体" w:eastAsia="宋体" w:hint="default"/>
          <w:sz w:val="18"/>
          <w:szCs w:val="18"/>
        </w:rPr>
        <w:t>公司会计机构负责人：</w:t>
      </w:r>
      <w:r>
        <w:rPr>
          <w:rFonts w:ascii="宋体" w:hAnsi="宋体" w:cs="宋体" w:eastAsia="宋体" w:hint="default"/>
          <w:spacing w:val="-14"/>
          <w:sz w:val="18"/>
          <w:szCs w:val="18"/>
        </w:rPr>
        <w:t> </w:t>
      </w:r>
      <w:r>
        <w:rPr>
          <w:rFonts w:ascii="宋体" w:hAnsi="宋体" w:cs="宋体" w:eastAsia="宋体" w:hint="default"/>
          <w:sz w:val="18"/>
          <w:szCs w:val="18"/>
        </w:rPr>
        <w:t>吕培荣</w:t>
      </w:r>
    </w:p>
    <w:p>
      <w:pPr>
        <w:spacing w:after="0" w:line="233" w:lineRule="exact"/>
        <w:jc w:val="left"/>
        <w:rPr>
          <w:rFonts w:ascii="宋体" w:hAnsi="宋体" w:cs="宋体" w:eastAsia="宋体" w:hint="default"/>
          <w:sz w:val="18"/>
          <w:szCs w:val="18"/>
        </w:rPr>
        <w:sectPr>
          <w:pgSz w:w="16840" w:h="11910" w:orient="landscape"/>
          <w:pgMar w:header="877" w:footer="1464" w:top="1100" w:bottom="166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3293" w:right="3369"/>
        <w:jc w:val="center"/>
      </w:pPr>
      <w:r>
        <w:rPr/>
        <w:t>深圳市实益达科技股份有限公司 财务报表附注</w:t>
      </w:r>
    </w:p>
    <w:p>
      <w:pPr>
        <w:spacing w:line="240" w:lineRule="auto" w:before="0"/>
        <w:rPr>
          <w:rFonts w:ascii="宋体" w:hAnsi="宋体" w:cs="宋体" w:eastAsia="宋体" w:hint="default"/>
          <w:sz w:val="31"/>
          <w:szCs w:val="31"/>
        </w:rPr>
      </w:pPr>
    </w:p>
    <w:p>
      <w:pPr>
        <w:pStyle w:val="BodyText"/>
        <w:spacing w:line="240" w:lineRule="auto" w:before="0"/>
        <w:ind w:left="624" w:right="212"/>
        <w:jc w:val="left"/>
      </w:pPr>
      <w:r>
        <w:rPr/>
        <w:t>一、公司基本情况</w:t>
      </w:r>
    </w:p>
    <w:p>
      <w:pPr>
        <w:pStyle w:val="BodyText"/>
        <w:spacing w:line="336" w:lineRule="auto" w:before="109"/>
        <w:ind w:right="131" w:firstLine="540"/>
        <w:jc w:val="left"/>
      </w:pPr>
      <w:r>
        <w:rPr>
          <w:spacing w:val="-5"/>
        </w:rPr>
        <w:t>深圳市实益达科技股份有限公司（以下简称“公司”或“本公司”）</w:t>
      </w:r>
      <w:r>
        <w:rPr>
          <w:spacing w:val="1"/>
        </w:rPr>
        <w:t> </w:t>
      </w:r>
      <w:r>
        <w:rPr/>
        <w:t>前身系深圳市实益</w:t>
      </w:r>
      <w:r>
        <w:rPr/>
        <w:t> 达实业有限公司(以下简称原有限公司)，于</w:t>
      </w:r>
      <w:r>
        <w:rPr>
          <w:spacing w:val="-60"/>
        </w:rPr>
        <w:t> </w:t>
      </w:r>
      <w:r>
        <w:rPr>
          <w:spacing w:val="30"/>
        </w:rPr>
        <w:t>1998年6月5</w:t>
      </w:r>
      <w:r>
        <w:rPr>
          <w:spacing w:val="-60"/>
        </w:rPr>
        <w:t> </w:t>
      </w:r>
      <w:r>
        <w:rPr/>
        <w:t>日在深圳市工商管理局注册成立，</w:t>
      </w:r>
      <w:r>
        <w:rPr/>
        <w:t> 成立时的注册资本为人民币</w:t>
      </w:r>
      <w:r>
        <w:rPr>
          <w:spacing w:val="-61"/>
        </w:rPr>
        <w:t> </w:t>
      </w:r>
      <w:r>
        <w:rPr/>
        <w:t>100</w:t>
      </w:r>
      <w:r>
        <w:rPr>
          <w:spacing w:val="-61"/>
        </w:rPr>
        <w:t> </w:t>
      </w:r>
      <w:r>
        <w:rPr>
          <w:spacing w:val="20"/>
        </w:rPr>
        <w:t>万元；2001年9月3</w:t>
      </w:r>
      <w:r>
        <w:rPr>
          <w:spacing w:val="-61"/>
        </w:rPr>
        <w:t> </w:t>
      </w:r>
      <w:r>
        <w:rPr/>
        <w:t>日，原有限公司注册资本变更为人民币</w:t>
      </w:r>
      <w:r>
        <w:rPr/>
        <w:t> 500</w:t>
      </w:r>
      <w:r>
        <w:rPr>
          <w:spacing w:val="-63"/>
        </w:rPr>
        <w:t> </w:t>
      </w:r>
      <w:r>
        <w:rPr>
          <w:spacing w:val="-4"/>
        </w:rPr>
        <w:t>万元；2001</w:t>
      </w:r>
      <w:r>
        <w:rPr>
          <w:spacing w:val="-63"/>
        </w:rPr>
        <w:t> </w:t>
      </w:r>
      <w:r>
        <w:rPr/>
        <w:t>年</w:t>
      </w:r>
      <w:r>
        <w:rPr>
          <w:spacing w:val="-63"/>
        </w:rPr>
        <w:t> </w:t>
      </w:r>
      <w:r>
        <w:rPr/>
        <w:t>12</w:t>
      </w:r>
      <w:r>
        <w:rPr>
          <w:spacing w:val="-63"/>
        </w:rPr>
        <w:t> </w:t>
      </w:r>
      <w:r>
        <w:rPr/>
        <w:t>月</w:t>
      </w:r>
      <w:r>
        <w:rPr>
          <w:spacing w:val="-63"/>
        </w:rPr>
        <w:t> </w:t>
      </w:r>
      <w:r>
        <w:rPr/>
        <w:t>21</w:t>
      </w:r>
      <w:r>
        <w:rPr>
          <w:spacing w:val="-63"/>
        </w:rPr>
        <w:t> </w:t>
      </w:r>
      <w:r>
        <w:rPr/>
        <w:t>日，原有限公司注册资本变更为人民币</w:t>
      </w:r>
      <w:r>
        <w:rPr>
          <w:spacing w:val="-63"/>
        </w:rPr>
        <w:t> </w:t>
      </w:r>
      <w:r>
        <w:rPr/>
        <w:t>1000</w:t>
      </w:r>
      <w:r>
        <w:rPr>
          <w:spacing w:val="-63"/>
        </w:rPr>
        <w:t> </w:t>
      </w:r>
      <w:r>
        <w:rPr>
          <w:spacing w:val="19"/>
        </w:rPr>
        <w:t>万元。2005年7月4</w:t>
      </w:r>
      <w:r>
        <w:rPr>
          <w:spacing w:val="-60"/>
        </w:rPr>
        <w:t> </w:t>
      </w:r>
      <w:r>
        <w:rPr/>
        <w:t>日，经深圳市人民政府深府股[2005]13</w:t>
      </w:r>
      <w:r>
        <w:rPr>
          <w:spacing w:val="-70"/>
        </w:rPr>
        <w:t> </w:t>
      </w:r>
      <w:r>
        <w:rPr/>
        <w:t>号文件批准，以原有限公司净资产折股，深圳市实益</w:t>
      </w:r>
      <w:r>
        <w:rPr/>
        <w:t> </w:t>
      </w:r>
      <w:r>
        <w:rPr>
          <w:spacing w:val="4"/>
        </w:rPr>
        <w:t>达实业有限公司整体变更为深圳市实益达科技股份有限公司，2006年8月</w:t>
      </w:r>
      <w:r>
        <w:rPr>
          <w:spacing w:val="-54"/>
        </w:rPr>
        <w:t> </w:t>
      </w:r>
      <w:r>
        <w:rPr/>
        <w:t>15</w:t>
      </w:r>
      <w:r>
        <w:rPr>
          <w:spacing w:val="-54"/>
        </w:rPr>
        <w:t> </w:t>
      </w:r>
      <w:r>
        <w:rPr>
          <w:spacing w:val="-4"/>
        </w:rPr>
        <w:t>日，经</w:t>
      </w:r>
      <w:r>
        <w:rPr>
          <w:spacing w:val="-54"/>
        </w:rPr>
        <w:t> </w:t>
      </w:r>
      <w:r>
        <w:rPr/>
        <w:t>2006</w:t>
      </w:r>
      <w:r>
        <w:rPr>
          <w:spacing w:val="-54"/>
        </w:rPr>
        <w:t> </w:t>
      </w:r>
      <w:r>
        <w:rPr/>
        <w:t>年</w:t>
      </w:r>
      <w:r>
        <w:rPr>
          <w:spacing w:val="-111"/>
        </w:rPr>
        <w:t> </w:t>
      </w:r>
      <w:r>
        <w:rPr>
          <w:spacing w:val="-111"/>
        </w:rPr>
      </w:r>
      <w:r>
        <w:rPr>
          <w:spacing w:val="10"/>
        </w:rPr>
        <w:t>第二次临时股东大会决议，本公司以经审计的截至 </w:t>
      </w:r>
      <w:r>
        <w:rPr/>
        <w:t>2006 年 6 月 30</w:t>
      </w:r>
      <w:r>
        <w:rPr>
          <w:spacing w:val="74"/>
        </w:rPr>
        <w:t> </w:t>
      </w:r>
      <w:r>
        <w:rPr>
          <w:spacing w:val="11"/>
        </w:rPr>
        <w:t>日止的未分配利润</w:t>
      </w:r>
      <w:r>
        <w:rPr/>
      </w:r>
    </w:p>
    <w:p>
      <w:pPr>
        <w:pStyle w:val="BodyText"/>
        <w:spacing w:line="336" w:lineRule="auto"/>
        <w:ind w:left="154" w:right="97"/>
        <w:jc w:val="left"/>
      </w:pPr>
      <w:r>
        <w:rPr/>
        <w:t>35,208,975.00</w:t>
      </w:r>
      <w:r>
        <w:rPr>
          <w:spacing w:val="-64"/>
        </w:rPr>
        <w:t> </w:t>
      </w:r>
      <w:r>
        <w:rPr/>
        <w:t>元实施每</w:t>
      </w:r>
      <w:r>
        <w:rPr>
          <w:spacing w:val="-64"/>
        </w:rPr>
        <w:t> </w:t>
      </w:r>
      <w:r>
        <w:rPr/>
        <w:t>10</w:t>
      </w:r>
      <w:r>
        <w:rPr>
          <w:spacing w:val="-64"/>
        </w:rPr>
        <w:t> </w:t>
      </w:r>
      <w:r>
        <w:rPr/>
        <w:t>股派送</w:t>
      </w:r>
      <w:r>
        <w:rPr>
          <w:spacing w:val="-64"/>
        </w:rPr>
        <w:t> </w:t>
      </w:r>
      <w:r>
        <w:rPr/>
        <w:t>5.4342</w:t>
      </w:r>
      <w:r>
        <w:rPr>
          <w:spacing w:val="-63"/>
        </w:rPr>
        <w:t> </w:t>
      </w:r>
      <w:r>
        <w:rPr>
          <w:spacing w:val="-8"/>
        </w:rPr>
        <w:t>股红股的利润分配方案，共送红股</w:t>
      </w:r>
      <w:r>
        <w:rPr>
          <w:spacing w:val="-64"/>
        </w:rPr>
        <w:t> </w:t>
      </w:r>
      <w:r>
        <w:rPr/>
        <w:t>35,208,975</w:t>
      </w:r>
      <w:r>
        <w:rPr>
          <w:spacing w:val="-64"/>
        </w:rPr>
        <w:t> </w:t>
      </w:r>
      <w:r>
        <w:rPr/>
        <w:t>股，</w:t>
      </w:r>
      <w:r>
        <w:rPr/>
        <w:t> 注册资本变更为人民币</w:t>
      </w:r>
      <w:r>
        <w:rPr>
          <w:spacing w:val="-61"/>
        </w:rPr>
        <w:t> </w:t>
      </w:r>
      <w:r>
        <w:rPr/>
        <w:t>10,000</w:t>
      </w:r>
      <w:r>
        <w:rPr>
          <w:spacing w:val="-61"/>
        </w:rPr>
        <w:t> </w:t>
      </w:r>
      <w:r>
        <w:rPr>
          <w:spacing w:val="16"/>
        </w:rPr>
        <w:t>万元。2007年6月</w:t>
      </w:r>
      <w:r>
        <w:rPr>
          <w:spacing w:val="-61"/>
        </w:rPr>
        <w:t> </w:t>
      </w:r>
      <w:r>
        <w:rPr/>
        <w:t>13</w:t>
      </w:r>
      <w:r>
        <w:rPr>
          <w:spacing w:val="-61"/>
        </w:rPr>
        <w:t> </w:t>
      </w:r>
      <w:r>
        <w:rPr/>
        <w:t>日在深圳证券交易所上市，注册资本变</w:t>
      </w:r>
      <w:r>
        <w:rPr/>
        <w:t> 更为人民币</w:t>
      </w:r>
      <w:r>
        <w:rPr>
          <w:spacing w:val="-60"/>
        </w:rPr>
        <w:t> </w:t>
      </w:r>
      <w:r>
        <w:rPr/>
        <w:t>13,340</w:t>
      </w:r>
      <w:r>
        <w:rPr>
          <w:spacing w:val="-60"/>
        </w:rPr>
        <w:t> </w:t>
      </w:r>
      <w:r>
        <w:rPr/>
        <w:t>万元。</w:t>
      </w:r>
    </w:p>
    <w:p>
      <w:pPr>
        <w:pStyle w:val="BodyText"/>
        <w:spacing w:line="336" w:lineRule="auto"/>
        <w:ind w:left="154" w:right="231" w:firstLine="540"/>
        <w:jc w:val="both"/>
      </w:pPr>
      <w:r>
        <w:rPr/>
        <w:t>公司所属行业为</w:t>
      </w:r>
      <w:r>
        <w:rPr>
          <w:spacing w:val="-37"/>
        </w:rPr>
        <w:t> </w:t>
      </w:r>
      <w:r>
        <w:rPr>
          <w:spacing w:val="-3"/>
        </w:rPr>
        <w:t>EMS(电子制造服务)行业，EMS(电子制造服务)是指为品牌生产商提供电</w:t>
      </w:r>
      <w:r>
        <w:rPr/>
        <w:t> 子产品设计、工程、制造、测试以及物料采购等一系列服务，从事 EMS 业务的公司称为</w:t>
      </w:r>
      <w:r>
        <w:rPr>
          <w:spacing w:val="-84"/>
        </w:rPr>
        <w:t> </w:t>
      </w:r>
      <w:r>
        <w:rPr/>
        <w:t>EMS</w:t>
      </w:r>
      <w:r>
        <w:rPr/>
        <w:t> 公司。</w:t>
      </w:r>
    </w:p>
    <w:p>
      <w:pPr>
        <w:pStyle w:val="BodyText"/>
        <w:spacing w:line="336" w:lineRule="auto"/>
        <w:ind w:left="154" w:right="228" w:firstLine="540"/>
        <w:jc w:val="both"/>
      </w:pPr>
      <w:r>
        <w:rPr>
          <w:spacing w:val="-2"/>
        </w:rPr>
        <w:t>本公司经批准的经营范围：兴办实业（具体项目另行申报）；电子产品的生产，国内商</w:t>
      </w:r>
      <w:r>
        <w:rPr>
          <w:spacing w:val="2"/>
        </w:rPr>
        <w:t> </w:t>
      </w:r>
      <w:r>
        <w:rPr>
          <w:spacing w:val="-5"/>
        </w:rPr>
        <w:t>业、物资供应业（不含专营、专控、专卖商品及限制项目）；进口；生产所需的机械设备和原</w:t>
      </w:r>
      <w:r>
        <w:rPr/>
        <w:t> </w:t>
      </w:r>
      <w:r>
        <w:rPr>
          <w:spacing w:val="-3"/>
        </w:rPr>
        <w:t>材料；出口；经营范围内的自产产品（配额许可证商品按深贸管登证字第</w:t>
      </w:r>
      <w:r>
        <w:rPr>
          <w:spacing w:val="-55"/>
        </w:rPr>
        <w:t> </w:t>
      </w:r>
      <w:r>
        <w:rPr/>
        <w:t>2000-043</w:t>
      </w:r>
      <w:r>
        <w:rPr>
          <w:spacing w:val="-55"/>
        </w:rPr>
        <w:t> </w:t>
      </w:r>
      <w:r>
        <w:rPr/>
        <w:t>号规定办</w:t>
      </w:r>
      <w:r>
        <w:rPr/>
        <w:t> </w:t>
      </w:r>
      <w:r>
        <w:rPr>
          <w:spacing w:val="-2"/>
        </w:rPr>
        <w:t>理）（由分支机构生产）。本公司的住所为：深圳市高新区北区清华信息港研发楼B栋</w:t>
      </w:r>
      <w:r>
        <w:rPr>
          <w:spacing w:val="-10"/>
        </w:rPr>
        <w:t> </w:t>
      </w:r>
      <w:r>
        <w:rPr/>
        <w:t>501，</w:t>
      </w:r>
      <w:r>
        <w:rPr>
          <w:spacing w:val="-118"/>
        </w:rPr>
        <w:t> </w:t>
      </w:r>
      <w:r>
        <w:rPr>
          <w:spacing w:val="-118"/>
        </w:rPr>
      </w:r>
      <w:r>
        <w:rPr/>
        <w:t>企业法人营业执照注册号：440301102743049，经营期限为</w:t>
      </w:r>
      <w:r>
        <w:rPr>
          <w:spacing w:val="-60"/>
        </w:rPr>
        <w:t> </w:t>
      </w:r>
      <w:r>
        <w:rPr/>
        <w:t>20</w:t>
      </w:r>
      <w:r>
        <w:rPr>
          <w:spacing w:val="-60"/>
        </w:rPr>
        <w:t> </w:t>
      </w:r>
      <w:r>
        <w:rPr/>
        <w:t>年。</w:t>
      </w:r>
    </w:p>
    <w:p>
      <w:pPr>
        <w:pStyle w:val="BodyText"/>
        <w:spacing w:line="281" w:lineRule="exact" w:before="0"/>
        <w:ind w:left="694" w:right="212"/>
        <w:jc w:val="left"/>
      </w:pPr>
      <w:r>
        <w:rPr/>
        <w:t>二、主要会计政策、会计估计和前期差错</w:t>
      </w:r>
    </w:p>
    <w:p>
      <w:pPr>
        <w:pStyle w:val="BodyText"/>
        <w:spacing w:line="336" w:lineRule="auto" w:before="109"/>
        <w:ind w:left="694" w:right="106"/>
        <w:jc w:val="left"/>
      </w:pPr>
      <w:r>
        <w:rPr/>
        <w:t>(一)遵循企业会计准则的声明。 </w:t>
      </w:r>
      <w:r>
        <w:rPr>
          <w:spacing w:val="-4"/>
        </w:rPr>
        <w:t>公司所编制的财务报表符合企业会计准则的要求，真实、完整地反映了公司的财务状况、</w:t>
      </w:r>
    </w:p>
    <w:p>
      <w:pPr>
        <w:pStyle w:val="BodyText"/>
        <w:spacing w:line="336" w:lineRule="auto" w:before="29"/>
        <w:ind w:left="694" w:right="4570" w:hanging="540"/>
        <w:jc w:val="left"/>
      </w:pPr>
      <w:r>
        <w:rPr/>
        <w:t>经营成果、股东权益变动和现金流量等有关信息。 (二)编制基础</w:t>
      </w:r>
    </w:p>
    <w:p>
      <w:pPr>
        <w:pStyle w:val="BodyText"/>
        <w:spacing w:line="336" w:lineRule="auto"/>
        <w:ind w:right="107" w:firstLine="540"/>
        <w:jc w:val="left"/>
      </w:pPr>
      <w:r>
        <w:rPr>
          <w:spacing w:val="-4"/>
        </w:rPr>
        <w:t>公司以持续经营为基础，根据实际发生的交易和事项，按照《企业会计准则—基本准则》</w:t>
      </w:r>
      <w:r>
        <w:rPr/>
        <w:t> 和其他各项会计准则的规定进行确认和计量，在此基础上编制财务报表。</w:t>
      </w:r>
    </w:p>
    <w:p>
      <w:pPr>
        <w:pStyle w:val="BodyText"/>
        <w:spacing w:line="336" w:lineRule="auto"/>
        <w:ind w:left="154" w:right="214" w:firstLine="540"/>
        <w:jc w:val="left"/>
      </w:pPr>
      <w:r>
        <w:rPr>
          <w:spacing w:val="4"/>
        </w:rPr>
        <w:t>资产负债表年初数和可比期间的利润表，系按照证监发[2006]136</w:t>
      </w:r>
      <w:r>
        <w:rPr>
          <w:spacing w:val="20"/>
        </w:rPr>
        <w:t> </w:t>
      </w:r>
      <w:r>
        <w:rPr>
          <w:spacing w:val="6"/>
        </w:rPr>
        <w:t>号文和证监会计字</w:t>
      </w:r>
      <w:r>
        <w:rPr>
          <w:spacing w:val="7"/>
        </w:rPr>
        <w:t> </w:t>
      </w:r>
      <w:r>
        <w:rPr/>
        <w:t>[2007]10 号文的规定，对《企业会计准则第 38</w:t>
      </w:r>
      <w:r>
        <w:rPr>
          <w:spacing w:val="-84"/>
        </w:rPr>
        <w:t> </w:t>
      </w:r>
      <w:r>
        <w:rPr/>
        <w:t>号—首次执行企业会计准则》第五条至第十</w:t>
      </w:r>
    </w:p>
    <w:p>
      <w:pPr>
        <w:spacing w:after="0" w:line="336" w:lineRule="auto"/>
        <w:jc w:val="left"/>
        <w:sectPr>
          <w:headerReference w:type="default" r:id="rId20"/>
          <w:footerReference w:type="default" r:id="rId21"/>
          <w:pgSz w:w="11910" w:h="16840"/>
          <w:pgMar w:header="747" w:footer="1339" w:top="980" w:bottom="1520" w:left="980" w:right="900"/>
          <w:pgNumType w:start="54"/>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1850" w:hanging="540"/>
        <w:jc w:val="left"/>
      </w:pPr>
      <w:r>
        <w:rPr/>
        <w:t>九条规定需要追溯调整的事项，按照追溯调整的原则进行调整后而编制的。 (三)会计期间</w:t>
      </w:r>
    </w:p>
    <w:p>
      <w:pPr>
        <w:pStyle w:val="BodyText"/>
        <w:spacing w:line="336" w:lineRule="auto" w:before="29"/>
        <w:ind w:left="694" w:right="3950"/>
        <w:jc w:val="left"/>
      </w:pPr>
      <w:r>
        <w:rPr>
          <w:spacing w:val="30"/>
        </w:rPr>
        <w:t>自公历1月1</w:t>
      </w:r>
      <w:r>
        <w:rPr>
          <w:spacing w:val="-60"/>
        </w:rPr>
        <w:t> </w:t>
      </w:r>
      <w:r>
        <w:rPr/>
        <w:t>日至</w:t>
      </w:r>
      <w:r>
        <w:rPr>
          <w:spacing w:val="-60"/>
        </w:rPr>
        <w:t> </w:t>
      </w:r>
      <w:r>
        <w:rPr>
          <w:spacing w:val="20"/>
        </w:rPr>
        <w:t>12月</w:t>
      </w:r>
      <w:r>
        <w:rPr>
          <w:spacing w:val="-60"/>
        </w:rPr>
        <w:t> </w:t>
      </w:r>
      <w:r>
        <w:rPr/>
        <w:t>31</w:t>
      </w:r>
      <w:r>
        <w:rPr>
          <w:spacing w:val="-60"/>
        </w:rPr>
        <w:t> </w:t>
      </w:r>
      <w:r>
        <w:rPr/>
        <w:t>日止为一个会计年度。</w:t>
      </w:r>
      <w:r>
        <w:rPr/>
        <w:t> (四)记账本位币</w:t>
      </w:r>
    </w:p>
    <w:p>
      <w:pPr>
        <w:pStyle w:val="BodyText"/>
        <w:spacing w:line="336" w:lineRule="auto"/>
        <w:ind w:left="694" w:right="148"/>
        <w:jc w:val="left"/>
      </w:pPr>
      <w:r>
        <w:rPr/>
        <w:t>采用人民币为记账本位币。 (五)计量属性在本年发生变化的报表项目及其本年采用的计量属性 </w:t>
      </w:r>
      <w:r>
        <w:rPr>
          <w:spacing w:val="-1"/>
        </w:rPr>
        <w:t>本公司在对会计报表项目进行计量时，一般采用历史成本，如所确定的会计要素金额能</w:t>
      </w:r>
    </w:p>
    <w:p>
      <w:pPr>
        <w:pStyle w:val="BodyText"/>
        <w:spacing w:line="336" w:lineRule="auto"/>
        <w:ind w:left="694" w:right="410" w:hanging="540"/>
        <w:jc w:val="left"/>
      </w:pPr>
      <w:r>
        <w:rPr/>
        <w:t>够取得并可靠计量则对个别会计要素采用重置成本、可变现净值、现值、公允价值计量。 1.计量属性在本年度发生变化的报表项目 报告期内报表项目的计量属性未发生变化。</w:t>
      </w:r>
    </w:p>
    <w:p>
      <w:pPr>
        <w:pStyle w:val="BodyText"/>
        <w:spacing w:line="336" w:lineRule="auto"/>
        <w:ind w:left="694" w:right="148"/>
        <w:jc w:val="left"/>
      </w:pPr>
      <w:r>
        <w:rPr/>
        <w:t>2.本年度采用的计量属性 </w:t>
      </w:r>
      <w:r>
        <w:rPr>
          <w:spacing w:val="-1"/>
        </w:rPr>
        <w:t>历史成本。在历史成本计量下，资产按照购置时支付的现金或者现金等价物的金额，或</w:t>
      </w:r>
    </w:p>
    <w:p>
      <w:pPr>
        <w:pStyle w:val="BodyText"/>
        <w:spacing w:line="336" w:lineRule="auto"/>
        <w:ind w:right="148"/>
        <w:jc w:val="both"/>
      </w:pPr>
      <w:r>
        <w:rPr/>
        <w:t>者按照购置资产时所付出的对价的公允价值计量。负债按照因承担现时义务而实际收到的款</w:t>
      </w:r>
      <w:r>
        <w:rPr>
          <w:spacing w:val="-83"/>
        </w:rPr>
        <w:t> </w:t>
      </w:r>
      <w:r>
        <w:rPr>
          <w:spacing w:val="-83"/>
        </w:rPr>
      </w:r>
      <w:r>
        <w:rPr/>
        <w:t>项或者资产的金额，或者承担现时义务的合同金额、或者按照日常活动中为偿还负债预期需</w:t>
      </w:r>
      <w:r>
        <w:rPr>
          <w:spacing w:val="-83"/>
        </w:rPr>
        <w:t> </w:t>
      </w:r>
      <w:r>
        <w:rPr>
          <w:spacing w:val="-83"/>
        </w:rPr>
      </w:r>
      <w:r>
        <w:rPr/>
        <w:t>要支付的现金或者现金等价物的金额计量。</w:t>
      </w:r>
    </w:p>
    <w:p>
      <w:pPr>
        <w:pStyle w:val="BodyText"/>
        <w:spacing w:line="336" w:lineRule="auto"/>
        <w:ind w:left="694" w:right="0"/>
        <w:jc w:val="left"/>
      </w:pPr>
      <w:r>
        <w:rPr/>
        <w:t>(六)现金等价物的确定标准 </w:t>
      </w:r>
      <w:r>
        <w:rPr>
          <w:spacing w:val="-2"/>
        </w:rPr>
        <w:t>在编制现金流量表时，将同时具备期限短（从购买日起三个月内到期）、流动性强、易</w:t>
      </w:r>
      <w:r>
        <w:rPr/>
      </w:r>
    </w:p>
    <w:p>
      <w:pPr>
        <w:pStyle w:val="BodyText"/>
        <w:spacing w:line="336" w:lineRule="auto" w:before="29"/>
        <w:ind w:left="694" w:right="148" w:hanging="540"/>
        <w:jc w:val="left"/>
      </w:pPr>
      <w:r>
        <w:rPr/>
        <w:t>于转换为已知现金、价值变动风险很小四个条件的投资，确定为现金等价物。 (七)外币业务核算方法 外币业务采用交易发生日的即期汇率作为折算汇率折合成人民币记账。 </w:t>
      </w:r>
      <w:r>
        <w:rPr>
          <w:spacing w:val="-1"/>
        </w:rPr>
        <w:t>外币货币性项目余额按资产负债表日即期汇率折合成人民币金额进行调整，以公允价值</w:t>
      </w:r>
    </w:p>
    <w:p>
      <w:pPr>
        <w:pStyle w:val="BodyText"/>
        <w:spacing w:line="336" w:lineRule="auto"/>
        <w:ind w:right="148"/>
        <w:jc w:val="both"/>
      </w:pPr>
      <w:r>
        <w:rPr/>
        <w:t>计量的外币非货币性项目按公允价值确定日的即期汇率折合成人民币金额进行调整。外币专</w:t>
      </w:r>
      <w:r>
        <w:rPr>
          <w:spacing w:val="-83"/>
        </w:rPr>
        <w:t> </w:t>
      </w:r>
      <w:r>
        <w:rPr>
          <w:spacing w:val="-83"/>
        </w:rPr>
      </w:r>
      <w:r>
        <w:rPr/>
        <w:t>门借款账户年末折算差额，可直接归属于符合资本化条件的资产的购建或者生产的，按规定</w:t>
      </w:r>
      <w:r>
        <w:rPr>
          <w:spacing w:val="-83"/>
        </w:rPr>
        <w:t> </w:t>
      </w:r>
      <w:r>
        <w:rPr>
          <w:spacing w:val="-83"/>
        </w:rPr>
      </w:r>
      <w:r>
        <w:rPr/>
        <w:t>予以资本化，计入相关资产成本；其余的外币账户折算差额均计入财务费用。不同货币兑换</w:t>
      </w:r>
      <w:r>
        <w:rPr>
          <w:spacing w:val="-83"/>
        </w:rPr>
        <w:t> </w:t>
      </w:r>
      <w:r>
        <w:rPr>
          <w:spacing w:val="-83"/>
        </w:rPr>
      </w:r>
      <w:r>
        <w:rPr/>
        <w:t>形成的折算差额，计入财务费用。</w:t>
      </w:r>
    </w:p>
    <w:p>
      <w:pPr>
        <w:pStyle w:val="BodyText"/>
        <w:spacing w:line="336" w:lineRule="auto"/>
        <w:ind w:left="694" w:right="148"/>
        <w:jc w:val="left"/>
      </w:pPr>
      <w:r>
        <w:rPr/>
        <w:t>(八)外币财务报表的折算方法 </w:t>
      </w:r>
      <w:r>
        <w:rPr>
          <w:spacing w:val="-1"/>
        </w:rPr>
        <w:t>资产负债表中的资产和负债项目，采用资产负债表日的即期汇率折算，所有者权益项目</w:t>
      </w:r>
    </w:p>
    <w:p>
      <w:pPr>
        <w:pStyle w:val="BodyText"/>
        <w:spacing w:line="336" w:lineRule="auto"/>
        <w:ind w:right="148"/>
        <w:jc w:val="both"/>
      </w:pPr>
      <w:r>
        <w:rPr/>
        <w:t>除“未分配利润”项目外，其他项目采用发生时的即期汇率折算。利润表中的收入和费用项</w:t>
      </w:r>
      <w:r>
        <w:rPr>
          <w:spacing w:val="-83"/>
        </w:rPr>
        <w:t> </w:t>
      </w:r>
      <w:r>
        <w:rPr>
          <w:spacing w:val="-83"/>
        </w:rPr>
      </w:r>
      <w:r>
        <w:rPr/>
        <w:t>目，采用交易发生日的平均汇率折算。按照上述折算产生的外币财务报表折算差额，在资产</w:t>
      </w:r>
      <w:r>
        <w:rPr>
          <w:spacing w:val="-83"/>
        </w:rPr>
        <w:t> </w:t>
      </w:r>
      <w:r>
        <w:rPr>
          <w:spacing w:val="-83"/>
        </w:rPr>
      </w:r>
      <w:r>
        <w:rPr/>
        <w:t>负债表所有者权益项目下单独列示。</w:t>
      </w:r>
    </w:p>
    <w:p>
      <w:pPr>
        <w:pStyle w:val="BodyText"/>
        <w:spacing w:line="240" w:lineRule="auto"/>
        <w:ind w:left="694" w:right="0"/>
        <w:jc w:val="left"/>
      </w:pPr>
      <w:r>
        <w:rPr/>
        <w:t>(九)金融资产和金融负债的核算方法</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148"/>
        <w:jc w:val="left"/>
      </w:pPr>
      <w:r>
        <w:rPr/>
        <w:t>1.金融资产和金融负债的分类 </w:t>
      </w:r>
      <w:r>
        <w:rPr>
          <w:spacing w:val="-1"/>
        </w:rPr>
        <w:t>管理层按照取得持有金融资产和承担金融负债的目的，将其划分为：以公允价值计量且</w:t>
      </w:r>
    </w:p>
    <w:p>
      <w:pPr>
        <w:pStyle w:val="BodyText"/>
        <w:spacing w:line="336" w:lineRule="auto" w:before="29"/>
        <w:ind w:right="148"/>
        <w:jc w:val="both"/>
      </w:pPr>
      <w:r>
        <w:rPr/>
        <w:t>其变动计入当期损益的金融资产或金融负债，包括交易性金融资产或金融负债和直接指定为</w:t>
      </w:r>
      <w:r>
        <w:rPr>
          <w:spacing w:val="-83"/>
        </w:rPr>
        <w:t> </w:t>
      </w:r>
      <w:r>
        <w:rPr>
          <w:spacing w:val="-83"/>
        </w:rPr>
      </w:r>
      <w:r>
        <w:rPr/>
        <w:t>以公允价值计量且其变动计入当期损益的金融资产或金融负债；持有至到期投资；贷款和应</w:t>
      </w:r>
      <w:r>
        <w:rPr>
          <w:spacing w:val="-83"/>
        </w:rPr>
        <w:t> </w:t>
      </w:r>
      <w:r>
        <w:rPr>
          <w:spacing w:val="-83"/>
        </w:rPr>
      </w:r>
      <w:r>
        <w:rPr/>
        <w:t>收款项；可供出售金融资产；其他金融负债等。</w:t>
      </w:r>
    </w:p>
    <w:p>
      <w:pPr>
        <w:pStyle w:val="BodyText"/>
        <w:spacing w:line="336" w:lineRule="auto" w:before="29"/>
        <w:ind w:left="694" w:right="148"/>
        <w:jc w:val="left"/>
      </w:pPr>
      <w:r>
        <w:rPr/>
        <w:t>2.金融资产和金融负债的确认和计量方法 (1)以公允价值计量且其变动计入当期损益的金融资产（金融负债） </w:t>
      </w:r>
      <w:r>
        <w:rPr>
          <w:spacing w:val="-1"/>
        </w:rPr>
        <w:t>取得时以公允价值（扣除已宣告但尚未发放的现金股利或已到付息期但尚未领取的债券</w:t>
      </w:r>
    </w:p>
    <w:p>
      <w:pPr>
        <w:pStyle w:val="BodyText"/>
        <w:spacing w:line="336" w:lineRule="auto" w:before="29"/>
        <w:ind w:left="694" w:right="128" w:hanging="540"/>
        <w:jc w:val="left"/>
      </w:pPr>
      <w:r>
        <w:rPr/>
        <w:t>利息）作为初始确认金额，相关的交易费用计入当期损益。 </w:t>
      </w:r>
      <w:r>
        <w:rPr>
          <w:spacing w:val="6"/>
        </w:rPr>
        <w:t>持有期间将取得的利息或现金股利确认为投资收益，年末将公允价值变动计入当期损</w:t>
      </w:r>
      <w:r>
        <w:rPr/>
      </w:r>
    </w:p>
    <w:p>
      <w:pPr>
        <w:pStyle w:val="BodyText"/>
        <w:spacing w:line="240" w:lineRule="auto"/>
        <w:ind w:right="0"/>
        <w:jc w:val="left"/>
      </w:pPr>
      <w:r>
        <w:rPr/>
        <w:t>益。</w:t>
      </w:r>
    </w:p>
    <w:p>
      <w:pPr>
        <w:pStyle w:val="BodyText"/>
        <w:spacing w:line="240" w:lineRule="auto" w:before="125"/>
        <w:ind w:left="694" w:right="0"/>
        <w:jc w:val="left"/>
      </w:pPr>
      <w:r>
        <w:rPr/>
        <w:t>处置时，其公允价值与初始入账金额之间的差额确认为投资收益，同时调整公允价值变</w:t>
      </w:r>
    </w:p>
    <w:p>
      <w:pPr>
        <w:spacing w:line="240" w:lineRule="auto" w:before="9"/>
        <w:rPr>
          <w:rFonts w:ascii="宋体" w:hAnsi="宋体" w:cs="宋体" w:eastAsia="宋体" w:hint="default"/>
          <w:sz w:val="7"/>
          <w:szCs w:val="7"/>
        </w:rPr>
      </w:pPr>
    </w:p>
    <w:p>
      <w:pPr>
        <w:pStyle w:val="BodyText"/>
        <w:spacing w:line="240" w:lineRule="auto" w:before="26"/>
        <w:ind w:right="0"/>
        <w:jc w:val="both"/>
      </w:pPr>
      <w:r>
        <w:rPr/>
        <w:t>动损益。</w:t>
      </w:r>
    </w:p>
    <w:p>
      <w:pPr>
        <w:pStyle w:val="BodyText"/>
        <w:spacing w:line="336" w:lineRule="auto" w:before="126"/>
        <w:ind w:left="694" w:right="148"/>
        <w:jc w:val="left"/>
      </w:pPr>
      <w:r>
        <w:rPr/>
        <w:t>(2)持有至到期投资 </w:t>
      </w:r>
      <w:r>
        <w:rPr>
          <w:spacing w:val="-1"/>
        </w:rPr>
        <w:t>取得时按公允价值（扣除已到付息期但尚未领取的债券利息）和相关交易费用之和作为</w:t>
      </w:r>
    </w:p>
    <w:p>
      <w:pPr>
        <w:pStyle w:val="BodyText"/>
        <w:spacing w:line="240" w:lineRule="auto"/>
        <w:ind w:right="0"/>
        <w:jc w:val="both"/>
      </w:pPr>
      <w:r>
        <w:rPr/>
        <w:t>初始确认金额。</w:t>
      </w:r>
    </w:p>
    <w:p>
      <w:pPr>
        <w:pStyle w:val="BodyText"/>
        <w:spacing w:line="336" w:lineRule="auto" w:before="126"/>
        <w:ind w:right="128" w:firstLine="540"/>
        <w:jc w:val="both"/>
      </w:pPr>
      <w:r>
        <w:rPr/>
        <w:t>持有期间按照摊余成本和实际利率（如实际利率与票面利率差别较小的，按票面利率） 计算确认利息收入，计入投资收益。实际利率在取得时确定，在该预期存续期间或适用的更</w:t>
      </w:r>
      <w:r>
        <w:rPr>
          <w:spacing w:val="-83"/>
        </w:rPr>
        <w:t> </w:t>
      </w:r>
      <w:r>
        <w:rPr>
          <w:spacing w:val="-83"/>
        </w:rPr>
      </w:r>
      <w:r>
        <w:rPr/>
        <w:t>短期间内保持不变。</w:t>
      </w:r>
    </w:p>
    <w:p>
      <w:pPr>
        <w:pStyle w:val="BodyText"/>
        <w:spacing w:line="336" w:lineRule="auto"/>
        <w:ind w:left="694" w:right="148"/>
        <w:jc w:val="left"/>
      </w:pPr>
      <w:r>
        <w:rPr/>
        <w:t>处置时，将所取得价款与该投资账面价值之间的差额计入投资收益。 </w:t>
      </w:r>
      <w:r>
        <w:rPr>
          <w:spacing w:val="-1"/>
        </w:rPr>
        <w:t>如果公司于到期日前出售或重分类了较大金额（公司管理层明确较大的标准）的持有至</w:t>
      </w:r>
    </w:p>
    <w:p>
      <w:pPr>
        <w:pStyle w:val="BodyText"/>
        <w:spacing w:line="336" w:lineRule="auto"/>
        <w:ind w:right="148"/>
        <w:jc w:val="both"/>
      </w:pPr>
      <w:r>
        <w:rPr>
          <w:spacing w:val="-5"/>
        </w:rPr>
        <w:t>到期类投资（较大金额是指相对该类投资出售或重分类前的总额而言），则公司将该类投资的</w:t>
      </w:r>
      <w:r>
        <w:rPr>
          <w:spacing w:val="-117"/>
        </w:rPr>
        <w:t> </w:t>
      </w:r>
      <w:r>
        <w:rPr>
          <w:spacing w:val="-117"/>
        </w:rPr>
      </w:r>
      <w:r>
        <w:rPr/>
        <w:t>剩余部分重分类为可供出售金融资产，且在本会计期间或以后两个完整会计年度内不再将任</w:t>
      </w:r>
      <w:r>
        <w:rPr>
          <w:spacing w:val="-83"/>
        </w:rPr>
        <w:t> </w:t>
      </w:r>
      <w:r>
        <w:rPr>
          <w:spacing w:val="-83"/>
        </w:rPr>
      </w:r>
      <w:r>
        <w:rPr/>
        <w:t>何金融资产分类为持有至到期，但下列情况除外：出售日或重分类日距离该项投资到期日或</w:t>
      </w:r>
      <w:r>
        <w:rPr>
          <w:spacing w:val="-83"/>
        </w:rPr>
        <w:t> </w:t>
      </w:r>
      <w:r>
        <w:rPr>
          <w:spacing w:val="-83"/>
        </w:rPr>
      </w:r>
      <w:r>
        <w:rPr>
          <w:spacing w:val="-5"/>
        </w:rPr>
        <w:t>赎回日较近（如到期前三个月内），市场利率变化对该项投资的公允价值没有显著影响；根据</w:t>
      </w:r>
      <w:r>
        <w:rPr/>
        <w:t> 合同约定的定期偿付或提前还款方式收回该投资几乎所有初始本金后，将剩余部分予以出售</w:t>
      </w:r>
      <w:r>
        <w:rPr>
          <w:spacing w:val="-83"/>
        </w:rPr>
        <w:t> </w:t>
      </w:r>
      <w:r>
        <w:rPr>
          <w:spacing w:val="-83"/>
        </w:rPr>
      </w:r>
      <w:r>
        <w:rPr/>
        <w:t>或重分类；出售或重分类是由于企业无法控制、预期不会重复发生且难以合理预计的独立事</w:t>
      </w:r>
      <w:r>
        <w:rPr>
          <w:spacing w:val="-83"/>
        </w:rPr>
        <w:t> </w:t>
      </w:r>
      <w:r>
        <w:rPr>
          <w:spacing w:val="-83"/>
        </w:rPr>
      </w:r>
      <w:r>
        <w:rPr/>
        <w:t>项所引起。</w:t>
      </w:r>
    </w:p>
    <w:p>
      <w:pPr>
        <w:pStyle w:val="BodyText"/>
        <w:spacing w:line="336" w:lineRule="auto"/>
        <w:ind w:left="694" w:right="148"/>
        <w:jc w:val="left"/>
      </w:pPr>
      <w:r>
        <w:rPr/>
        <w:t>(3)应收款项和贷款 </w:t>
      </w:r>
      <w:r>
        <w:rPr>
          <w:spacing w:val="-1"/>
        </w:rPr>
        <w:t>公司对外销售商品或提供劳务形成的应收债权，以及公司持有的其他企业的不包括在活</w:t>
      </w:r>
    </w:p>
    <w:p>
      <w:pPr>
        <w:pStyle w:val="BodyText"/>
        <w:spacing w:line="240" w:lineRule="auto"/>
        <w:ind w:right="0"/>
        <w:jc w:val="both"/>
      </w:pPr>
      <w:r>
        <w:rPr/>
        <w:t>跃市场上有报价的债务工具的债权，包括应收账款、应收票据、预付账款、其他应收款、长</w:t>
      </w:r>
    </w:p>
    <w:p>
      <w:pPr>
        <w:spacing w:after="0" w:line="240"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148"/>
        <w:jc w:val="both"/>
      </w:pPr>
      <w:r>
        <w:rPr/>
        <w:t>期应收款等，以向购货方应收的合同或协议价款作为初始确认金额；具有融资性质的，按其</w:t>
      </w:r>
      <w:r>
        <w:rPr>
          <w:spacing w:val="-83"/>
        </w:rPr>
        <w:t> </w:t>
      </w:r>
      <w:r>
        <w:rPr>
          <w:spacing w:val="-83"/>
        </w:rPr>
      </w:r>
      <w:r>
        <w:rPr/>
        <w:t>现值进行初始确认。</w:t>
      </w:r>
    </w:p>
    <w:p>
      <w:pPr>
        <w:pStyle w:val="BodyText"/>
        <w:spacing w:line="336" w:lineRule="auto" w:before="29"/>
        <w:ind w:left="694" w:right="148"/>
        <w:jc w:val="left"/>
      </w:pPr>
      <w:r>
        <w:rPr/>
        <w:t>收回或处置时，将取得的价款与该应收款项账面价值之间的差额计入当期损益。 (4)可供出售金融资产 </w:t>
      </w:r>
      <w:r>
        <w:rPr>
          <w:spacing w:val="-1"/>
        </w:rPr>
        <w:t>取得时按公允价值（扣除已宣告但尚未发放的现金股利或已到付息期但尚未领取的债券</w:t>
      </w:r>
    </w:p>
    <w:p>
      <w:pPr>
        <w:pStyle w:val="BodyText"/>
        <w:spacing w:line="336" w:lineRule="auto" w:before="29"/>
        <w:ind w:left="694" w:right="148" w:hanging="540"/>
        <w:jc w:val="left"/>
      </w:pPr>
      <w:r>
        <w:rPr/>
        <w:t>利息）和相关交易费用之和作为初始确认金额。 </w:t>
      </w:r>
      <w:r>
        <w:rPr>
          <w:spacing w:val="-1"/>
        </w:rPr>
        <w:t>持有期间将取得的利息或现金股利确认为投资收益。年末以公允价值计量且将公允价值</w:t>
      </w:r>
    </w:p>
    <w:p>
      <w:pPr>
        <w:pStyle w:val="BodyText"/>
        <w:spacing w:line="336" w:lineRule="auto"/>
        <w:ind w:left="694" w:right="148" w:hanging="540"/>
        <w:jc w:val="left"/>
      </w:pPr>
      <w:r>
        <w:rPr>
          <w:spacing w:val="-8"/>
        </w:rPr>
        <w:t>变动计入资本公积（其他资本公积）。</w:t>
      </w:r>
      <w:r>
        <w:rPr>
          <w:spacing w:val="-104"/>
        </w:rPr>
        <w:t> </w:t>
      </w:r>
      <w:r>
        <w:rPr>
          <w:spacing w:val="-104"/>
        </w:rPr>
      </w:r>
      <w:r>
        <w:rPr>
          <w:spacing w:val="-1"/>
        </w:rPr>
        <w:t>处置时，将取得的价款与该金融资产账面价值之间的差额，计入投资损益；同时，将原</w:t>
      </w:r>
    </w:p>
    <w:p>
      <w:pPr>
        <w:pStyle w:val="BodyText"/>
        <w:spacing w:line="336" w:lineRule="auto"/>
        <w:ind w:left="694" w:right="148" w:hanging="540"/>
        <w:jc w:val="left"/>
      </w:pPr>
      <w:r>
        <w:rPr/>
        <w:t>直接计入所有者权益的公允价值变动累计额对应处置部分的金额转出，计入投资损益。 (5)其他金融负债 按其公允价值和相关交易费用之和作为初始确认金额。采用摊余成本进行后续计量。 3.金融资产转移的确认依据和计量方法 </w:t>
      </w:r>
      <w:r>
        <w:rPr>
          <w:spacing w:val="-1"/>
        </w:rPr>
        <w:t>公司发生金融资产转移时，如已将金融资产所有权上几乎所有的风险和报酬转移给转入</w:t>
      </w:r>
    </w:p>
    <w:p>
      <w:pPr>
        <w:pStyle w:val="BodyText"/>
        <w:spacing w:line="336" w:lineRule="auto" w:before="29"/>
        <w:ind w:right="148"/>
        <w:jc w:val="both"/>
      </w:pPr>
      <w:r>
        <w:rPr/>
        <w:t>方，则终止确认该金融资产；如保留了金融资产所有权上几乎所有的风险和报酬的，则不终</w:t>
      </w:r>
      <w:r>
        <w:rPr>
          <w:spacing w:val="-83"/>
        </w:rPr>
        <w:t> </w:t>
      </w:r>
      <w:r>
        <w:rPr>
          <w:spacing w:val="-83"/>
        </w:rPr>
      </w:r>
      <w:r>
        <w:rPr/>
        <w:t>止确认该金融资产。</w:t>
      </w:r>
    </w:p>
    <w:p>
      <w:pPr>
        <w:pStyle w:val="BodyText"/>
        <w:spacing w:line="336" w:lineRule="auto"/>
        <w:ind w:right="129" w:firstLine="540"/>
        <w:jc w:val="left"/>
      </w:pPr>
      <w:r>
        <w:rPr>
          <w:spacing w:val="6"/>
        </w:rPr>
        <w:t>在判断金融资产转移是否满足上述金融资产终止确认条件时，采用实质重于形式的原 </w:t>
      </w:r>
      <w:r>
        <w:rPr/>
        <w:t>则。公司将金融资产转移区分为金融资产整体转移和部分转移。</w:t>
      </w:r>
    </w:p>
    <w:p>
      <w:pPr>
        <w:pStyle w:val="BodyText"/>
        <w:spacing w:line="336" w:lineRule="auto"/>
        <w:ind w:left="694" w:right="0"/>
        <w:jc w:val="left"/>
      </w:pPr>
      <w:r>
        <w:rPr/>
        <w:t>金融资产整体转移满足终止确认条件的，将下列两项金额的差额计入当期损益： (1)所转移金融资产的账面价值； (2)因转移而收到的对价，与原直接计入所有者权益的公允价值变动累计额（涉及转移</w:t>
      </w:r>
    </w:p>
    <w:p>
      <w:pPr>
        <w:pStyle w:val="BodyText"/>
        <w:spacing w:line="336" w:lineRule="auto"/>
        <w:ind w:left="694" w:right="148" w:hanging="540"/>
        <w:jc w:val="left"/>
      </w:pPr>
      <w:r>
        <w:rPr/>
        <w:t>的金融资产为可供出售金融资产的情形）之和。 </w:t>
      </w:r>
      <w:r>
        <w:rPr>
          <w:spacing w:val="-1"/>
        </w:rPr>
        <w:t>金融资产部分转移满足终止确认条件的，将所转移金融资产整体的账面价值，在终止确</w:t>
      </w:r>
    </w:p>
    <w:p>
      <w:pPr>
        <w:pStyle w:val="BodyText"/>
        <w:spacing w:line="336" w:lineRule="auto" w:before="29"/>
        <w:ind w:right="148"/>
        <w:jc w:val="both"/>
      </w:pPr>
      <w:r>
        <w:rPr/>
        <w:t>认部分和未终止确认部分（在此种情况下，所保留的服务资产应当视同未终止确认金融资产</w:t>
      </w:r>
      <w:r>
        <w:rPr>
          <w:spacing w:val="-83"/>
        </w:rPr>
        <w:t> </w:t>
      </w:r>
      <w:r>
        <w:rPr>
          <w:spacing w:val="-83"/>
        </w:rPr>
      </w:r>
      <w:r>
        <w:rPr/>
        <w:t>的一部分）之间，按照各自的相对公允价值进行分摊，并将下列两项金额的差额计入当期损</w:t>
      </w:r>
      <w:r>
        <w:rPr>
          <w:spacing w:val="-83"/>
        </w:rPr>
        <w:t> </w:t>
      </w:r>
      <w:r>
        <w:rPr>
          <w:spacing w:val="-83"/>
        </w:rPr>
      </w:r>
      <w:r>
        <w:rPr/>
        <w:t>益：</w:t>
      </w:r>
    </w:p>
    <w:p>
      <w:pPr>
        <w:pStyle w:val="BodyText"/>
        <w:spacing w:line="336" w:lineRule="auto" w:before="29"/>
        <w:ind w:left="694" w:right="0"/>
        <w:jc w:val="left"/>
      </w:pPr>
      <w:r>
        <w:rPr/>
        <w:t>(1)终止确认部分的账面价值； (2)终止确认部分的对价，与原直接计入所有者权益的公允价值变动累计额中对应终止</w:t>
      </w:r>
    </w:p>
    <w:p>
      <w:pPr>
        <w:pStyle w:val="BodyText"/>
        <w:spacing w:line="336" w:lineRule="auto"/>
        <w:ind w:left="694" w:right="148" w:hanging="540"/>
        <w:jc w:val="left"/>
      </w:pPr>
      <w:r>
        <w:rPr/>
        <w:t>确认部分的金额（涉及转移的金融资产为可供出售金融资产的情形）之和。 </w:t>
      </w:r>
      <w:r>
        <w:rPr>
          <w:spacing w:val="-1"/>
        </w:rPr>
        <w:t>金融资产转移不满足终止确认条件的，继续确认该金融资产，所收到的对价确认为一项</w:t>
      </w:r>
    </w:p>
    <w:p>
      <w:pPr>
        <w:pStyle w:val="BodyText"/>
        <w:spacing w:line="240" w:lineRule="auto"/>
        <w:ind w:right="0"/>
        <w:jc w:val="left"/>
      </w:pPr>
      <w:r>
        <w:rPr/>
        <w:t>金融负债。</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190"/>
        <w:jc w:val="left"/>
      </w:pPr>
      <w:r>
        <w:rPr/>
        <w:t>4.金融资产和金融负债公允价值的确定方法 本公司采用公允价值计量的金融资产和金融负债全部直接参考年末活跃市场中的报价。 5.金融工具的汇率风险 </w:t>
      </w:r>
      <w:r>
        <w:rPr>
          <w:spacing w:val="-1"/>
        </w:rPr>
        <w:t>报告期内本公司无已存在的承担汇率波动风险（指金融工具的公允价值或未来现金流量</w:t>
      </w:r>
    </w:p>
    <w:p>
      <w:pPr>
        <w:pStyle w:val="BodyText"/>
        <w:spacing w:line="336" w:lineRule="auto"/>
        <w:ind w:left="694" w:right="4570" w:hanging="540"/>
        <w:jc w:val="left"/>
      </w:pPr>
      <w:r>
        <w:rPr/>
        <w:t>因外汇汇率变动而发生波动的风险）的金融工具。 6.金融资产的减值准备 (1)可供出售金融资产的减值准备：</w:t>
      </w:r>
    </w:p>
    <w:p>
      <w:pPr>
        <w:pStyle w:val="BodyText"/>
        <w:spacing w:line="336" w:lineRule="auto"/>
        <w:ind w:right="228" w:firstLine="540"/>
        <w:jc w:val="both"/>
      </w:pPr>
      <w:r>
        <w:rPr>
          <w:spacing w:val="-1"/>
        </w:rPr>
        <w:t>年末如果可供出售金融资产的公允价值发生较大幅度下降，或在综合考虑各种相关因素</w:t>
      </w:r>
      <w:r>
        <w:rPr/>
        <w:t> 后，预期这种下降趋势属于非暂时性的，就认定其已发生减值，将原直接计入所有者权益的</w:t>
      </w:r>
      <w:r>
        <w:rPr>
          <w:spacing w:val="-83"/>
        </w:rPr>
        <w:t> </w:t>
      </w:r>
      <w:r>
        <w:rPr>
          <w:spacing w:val="-83"/>
        </w:rPr>
      </w:r>
      <w:r>
        <w:rPr/>
        <w:t>公允价值下降形成的累计损失一并转出，确认减值损失。</w:t>
      </w:r>
    </w:p>
    <w:p>
      <w:pPr>
        <w:pStyle w:val="BodyText"/>
        <w:spacing w:line="336" w:lineRule="auto"/>
        <w:ind w:left="694" w:right="228"/>
        <w:jc w:val="left"/>
      </w:pPr>
      <w:r>
        <w:rPr/>
        <w:t>(2)持有至到期投资的减值准备： 持有至到期投资减值损失的计量比照应收款项减值损失计量方法处理。 (十)应收款项坏账准备的确认标准和计提方法 </w:t>
      </w:r>
      <w:r>
        <w:rPr>
          <w:spacing w:val="-1"/>
        </w:rPr>
        <w:t>年末如果有客观证据表明应收款项发生减值，则将其账面价值减记至可收回金额，减记</w:t>
      </w:r>
    </w:p>
    <w:p>
      <w:pPr>
        <w:pStyle w:val="BodyText"/>
        <w:spacing w:line="336" w:lineRule="auto" w:before="29"/>
        <w:ind w:right="111"/>
        <w:jc w:val="both"/>
      </w:pPr>
      <w:r>
        <w:rPr/>
        <w:t>的金额确认为资产减值损失，计入当期损益。可收回金额是通过对其的未来现金流量（不包</w:t>
      </w:r>
      <w:r>
        <w:rPr>
          <w:spacing w:val="-83"/>
        </w:rPr>
        <w:t> </w:t>
      </w:r>
      <w:r>
        <w:rPr>
          <w:spacing w:val="-83"/>
        </w:rPr>
      </w:r>
      <w:r>
        <w:rPr/>
        <w:t>括尚未发生的信用损失）按原实际利率折现确定，并考虑相关担保物的价值（扣除预计处置</w:t>
      </w:r>
      <w:r>
        <w:rPr>
          <w:spacing w:val="-83"/>
        </w:rPr>
        <w:t> </w:t>
      </w:r>
      <w:r>
        <w:rPr>
          <w:spacing w:val="-83"/>
        </w:rPr>
      </w:r>
      <w:r>
        <w:rPr>
          <w:spacing w:val="-5"/>
        </w:rPr>
        <w:t>费用等）。原实际利率是初始确认该应收款项时计算确定的实际利率。短期应收款项的预计未</w:t>
      </w:r>
      <w:r>
        <w:rPr>
          <w:spacing w:val="-117"/>
        </w:rPr>
        <w:t> </w:t>
      </w:r>
      <w:r>
        <w:rPr>
          <w:spacing w:val="-117"/>
        </w:rPr>
      </w:r>
      <w:r>
        <w:rPr>
          <w:spacing w:val="-2"/>
        </w:rPr>
        <w:t>来现金流量与其现值相差很小，在确定相关减值损失时，不对其预计未来现金流量进行折现。</w:t>
      </w:r>
    </w:p>
    <w:p>
      <w:pPr>
        <w:pStyle w:val="BodyText"/>
        <w:spacing w:line="336" w:lineRule="auto"/>
        <w:ind w:right="107" w:firstLine="540"/>
        <w:jc w:val="left"/>
      </w:pPr>
      <w:r>
        <w:rPr>
          <w:spacing w:val="-4"/>
        </w:rPr>
        <w:t>年末对于单项金额重大的应收款项（包括应收账款、应收票据、预付账款、其他应收款、</w:t>
      </w:r>
      <w:r>
        <w:rPr/>
        <w:t> 长期应收款等）单独进行减值测试。如有客观证据表明其发生了减值的，根据其未来现金流</w:t>
      </w:r>
      <w:r>
        <w:rPr>
          <w:spacing w:val="-83"/>
        </w:rPr>
        <w:t> </w:t>
      </w:r>
      <w:r>
        <w:rPr>
          <w:spacing w:val="-83"/>
        </w:rPr>
      </w:r>
      <w:r>
        <w:rPr/>
        <w:t>量现值低于其账面价值的差额，确认减值损失，计提坏账准备。</w:t>
      </w:r>
    </w:p>
    <w:p>
      <w:pPr>
        <w:pStyle w:val="BodyText"/>
        <w:spacing w:line="336" w:lineRule="auto"/>
        <w:ind w:left="694" w:right="228"/>
        <w:jc w:val="left"/>
      </w:pPr>
      <w:r>
        <w:rPr/>
        <w:t>单项金额重大是指：应收款项余额前五名或占应收账款余额</w:t>
      </w:r>
      <w:r>
        <w:rPr>
          <w:spacing w:val="-60"/>
        </w:rPr>
        <w:t> </w:t>
      </w:r>
      <w:r>
        <w:rPr/>
        <w:t>10％以上的款项之和。</w:t>
      </w:r>
      <w:r>
        <w:rPr/>
        <w:t> </w:t>
      </w:r>
      <w:r>
        <w:rPr>
          <w:spacing w:val="-1"/>
        </w:rPr>
        <w:t>对于年末单项金额非重大的应收款项，采用与经单独测试后未减值的应收款项一起按账</w:t>
      </w:r>
    </w:p>
    <w:p>
      <w:pPr>
        <w:pStyle w:val="BodyText"/>
        <w:spacing w:line="336" w:lineRule="auto" w:before="29"/>
        <w:ind w:right="216"/>
        <w:jc w:val="left"/>
      </w:pPr>
      <w:r>
        <w:rPr>
          <w:spacing w:val="-5"/>
        </w:rPr>
        <w:t>龄作为类似信用风险特征划分为若干组合，再按这些应收款项组合在年末余额的一定比例（可</w:t>
      </w:r>
      <w:r>
        <w:rPr>
          <w:spacing w:val="-117"/>
        </w:rPr>
        <w:t> </w:t>
      </w:r>
      <w:r>
        <w:rPr>
          <w:spacing w:val="-117"/>
        </w:rPr>
      </w:r>
      <w:r>
        <w:rPr/>
        <w:t>以单独进行减值测试）计算确定减值损失，计提坏账准备。</w:t>
      </w:r>
    </w:p>
    <w:p>
      <w:pPr>
        <w:pStyle w:val="BodyText"/>
        <w:spacing w:line="336" w:lineRule="auto"/>
        <w:ind w:right="228" w:firstLine="540"/>
        <w:jc w:val="both"/>
      </w:pPr>
      <w:r>
        <w:rPr>
          <w:spacing w:val="-1"/>
        </w:rPr>
        <w:t>除已单独计提减值准备的应收款项外，公司根据以前年度与之相同或相类似的、具有应</w:t>
      </w:r>
      <w:r>
        <w:rPr/>
        <w:t> 收款项按账龄段划分的类似信用风险特征组合的实际损失率为基础，结合现时情况确定以下</w:t>
      </w:r>
      <w:r>
        <w:rPr>
          <w:spacing w:val="-83"/>
        </w:rPr>
        <w:t> </w:t>
      </w:r>
      <w:r>
        <w:rPr>
          <w:spacing w:val="-83"/>
        </w:rPr>
      </w:r>
      <w:r>
        <w:rPr/>
        <w:t>坏账准备计提的比例：</w:t>
      </w:r>
    </w:p>
    <w:p>
      <w:pPr>
        <w:pStyle w:val="BodyText"/>
        <w:tabs>
          <w:tab w:pos="2193" w:val="left" w:leader="none"/>
          <w:tab w:pos="4233" w:val="left" w:leader="none"/>
          <w:tab w:pos="6924" w:val="left" w:leader="none"/>
          <w:tab w:pos="7284" w:val="left" w:leader="none"/>
        </w:tabs>
        <w:spacing w:line="304" w:lineRule="auto" w:before="8"/>
        <w:ind w:left="2220" w:right="2139" w:hanging="627"/>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应收款项账龄</w:t>
        <w:tab/>
      </w:r>
      <w:r>
        <w:rPr/>
        <w:tab/>
      </w:r>
      <w:r>
        <w:rPr>
          <w:u w:val="single" w:color="000000"/>
        </w:rPr>
        <w:t>提取比例</w:t>
      </w:r>
      <w:r>
        <w:rPr/>
      </w:r>
      <w:r>
        <w:rPr/>
        <w:t> 1</w:t>
      </w:r>
      <w:r>
        <w:rPr>
          <w:spacing w:val="-60"/>
        </w:rPr>
        <w:t> </w:t>
      </w:r>
      <w:r>
        <w:rPr/>
        <w:t>年以内</w:t>
        <w:tab/>
        <w:tab/>
        <w:tab/>
        <w:t>5%</w:t>
      </w:r>
    </w:p>
    <w:p>
      <w:pPr>
        <w:pStyle w:val="BodyText"/>
        <w:tabs>
          <w:tab w:pos="7224" w:val="left" w:leader="none"/>
        </w:tabs>
        <w:spacing w:line="240" w:lineRule="auto" w:before="20"/>
        <w:ind w:left="2130" w:right="212"/>
        <w:jc w:val="left"/>
      </w:pPr>
      <w:r>
        <w:rPr/>
        <w:t>1</w:t>
      </w:r>
      <w:r>
        <w:rPr>
          <w:spacing w:val="-60"/>
        </w:rPr>
        <w:t> </w:t>
      </w:r>
      <w:r>
        <w:rPr/>
        <w:t>年－2</w:t>
      </w:r>
      <w:r>
        <w:rPr>
          <w:spacing w:val="-60"/>
        </w:rPr>
        <w:t> </w:t>
      </w:r>
      <w:r>
        <w:rPr/>
        <w:t>年</w:t>
        <w:tab/>
        <w:t>20%</w:t>
      </w:r>
    </w:p>
    <w:p>
      <w:pPr>
        <w:spacing w:after="0" w:line="240"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7224" w:val="left" w:leader="none"/>
        </w:tabs>
        <w:spacing w:line="240" w:lineRule="auto" w:before="26"/>
        <w:ind w:left="2130" w:right="0"/>
        <w:jc w:val="left"/>
      </w:pPr>
      <w:r>
        <w:rPr/>
        <w:t>2</w:t>
      </w:r>
      <w:r>
        <w:rPr>
          <w:spacing w:val="-60"/>
        </w:rPr>
        <w:t> </w:t>
      </w:r>
      <w:r>
        <w:rPr/>
        <w:t>年－3</w:t>
      </w:r>
      <w:r>
        <w:rPr>
          <w:spacing w:val="-60"/>
        </w:rPr>
        <w:t> </w:t>
      </w:r>
      <w:r>
        <w:rPr/>
        <w:t>年</w:t>
        <w:tab/>
        <w:t>50%</w:t>
      </w:r>
    </w:p>
    <w:p>
      <w:pPr>
        <w:pStyle w:val="BodyText"/>
        <w:tabs>
          <w:tab w:pos="7164" w:val="left" w:leader="none"/>
        </w:tabs>
        <w:spacing w:line="240" w:lineRule="auto" w:before="85"/>
        <w:ind w:left="2220" w:right="0"/>
        <w:jc w:val="left"/>
      </w:pPr>
      <w:r>
        <w:rPr/>
        <w:t>3</w:t>
      </w:r>
      <w:r>
        <w:rPr>
          <w:spacing w:val="-60"/>
        </w:rPr>
        <w:t> </w:t>
      </w:r>
      <w:r>
        <w:rPr/>
        <w:t>年以上</w:t>
        <w:tab/>
        <w:t>100%</w:t>
      </w:r>
    </w:p>
    <w:p>
      <w:pPr>
        <w:pStyle w:val="BodyText"/>
        <w:spacing w:line="336" w:lineRule="auto" w:before="108"/>
        <w:ind w:left="694" w:right="7070"/>
        <w:jc w:val="left"/>
      </w:pPr>
      <w:r>
        <w:rPr/>
        <w:t>(十一)存货核算方法 1.存货的分类</w:t>
      </w:r>
    </w:p>
    <w:p>
      <w:pPr>
        <w:pStyle w:val="BodyText"/>
        <w:spacing w:line="336" w:lineRule="auto"/>
        <w:ind w:left="694" w:right="830"/>
        <w:jc w:val="left"/>
      </w:pPr>
      <w:r>
        <w:rPr/>
        <w:t>存货分类为：在途物资、原材料、周转材料、库存商品、在产品、发出商品等。 2.发出存货的计价方法</w:t>
      </w:r>
    </w:p>
    <w:p>
      <w:pPr>
        <w:pStyle w:val="BodyText"/>
        <w:spacing w:line="336" w:lineRule="auto" w:before="29"/>
        <w:ind w:left="694" w:right="5510"/>
        <w:jc w:val="left"/>
      </w:pPr>
      <w:r>
        <w:rPr/>
        <w:t>(1)存货发出时按加权平均法计价。 (2)周转材料的摊销方法 低值易耗品采用一次摊销法； 包装物采用一次摊销法。 3.存货的盘存制度 采用永续盘存制。 4.存货跌价准备的计提方法</w:t>
      </w:r>
    </w:p>
    <w:p>
      <w:pPr>
        <w:pStyle w:val="BodyText"/>
        <w:spacing w:line="240" w:lineRule="auto"/>
        <w:ind w:left="694" w:right="0"/>
        <w:jc w:val="left"/>
      </w:pPr>
      <w:r>
        <w:rPr>
          <w:spacing w:val="6"/>
        </w:rPr>
        <w:t>年末对存货进行全面清查后，按存货的成本与可变现净值孰低提取或调整存货跌价准</w:t>
      </w:r>
      <w:r>
        <w:rPr/>
      </w:r>
    </w:p>
    <w:p>
      <w:pPr>
        <w:pStyle w:val="BodyText"/>
        <w:spacing w:line="240" w:lineRule="auto" w:before="126"/>
        <w:ind w:left="154" w:right="0"/>
        <w:jc w:val="left"/>
      </w:pPr>
      <w:r>
        <w:rPr/>
        <w:t>备。</w:t>
      </w:r>
    </w:p>
    <w:p>
      <w:pPr>
        <w:pStyle w:val="BodyText"/>
        <w:spacing w:line="240" w:lineRule="auto" w:before="125"/>
        <w:ind w:left="694" w:right="0"/>
        <w:jc w:val="left"/>
      </w:pPr>
      <w:r>
        <w:rPr/>
        <w:t>产成品、商品和用于出售的材料等直接用于出售的商品存货，在正常生产经营过程中，</w:t>
      </w:r>
    </w:p>
    <w:p>
      <w:pPr>
        <w:spacing w:line="240" w:lineRule="auto" w:before="9"/>
        <w:rPr>
          <w:rFonts w:ascii="宋体" w:hAnsi="宋体" w:cs="宋体" w:eastAsia="宋体" w:hint="default"/>
          <w:sz w:val="7"/>
          <w:szCs w:val="7"/>
        </w:rPr>
      </w:pPr>
    </w:p>
    <w:p>
      <w:pPr>
        <w:pStyle w:val="BodyText"/>
        <w:spacing w:line="336" w:lineRule="auto" w:before="26"/>
        <w:ind w:right="148"/>
        <w:jc w:val="both"/>
      </w:pPr>
      <w:r>
        <w:rPr/>
        <w:t>以该存货的估计售价减去估计的销售费用和相关税费后的金额，确定其可变现净值；需要经</w:t>
      </w:r>
      <w:r>
        <w:rPr>
          <w:spacing w:val="-83"/>
        </w:rPr>
        <w:t> </w:t>
      </w:r>
      <w:r>
        <w:rPr>
          <w:spacing w:val="-83"/>
        </w:rPr>
      </w:r>
      <w:r>
        <w:rPr/>
        <w:t>过加工的材料存货，在正常生产经营过程中，以所生产的产成品的估计售价减去至完工时估</w:t>
      </w:r>
      <w:r>
        <w:rPr>
          <w:spacing w:val="-83"/>
        </w:rPr>
        <w:t> </w:t>
      </w:r>
      <w:r>
        <w:rPr>
          <w:spacing w:val="-83"/>
        </w:rPr>
      </w:r>
      <w:r>
        <w:rPr/>
        <w:t>计将要发生的成本、估计的销售费用和相关税费后的金额，确定其可变现净值；为执行销售</w:t>
      </w:r>
      <w:r>
        <w:rPr>
          <w:spacing w:val="-83"/>
        </w:rPr>
        <w:t> </w:t>
      </w:r>
      <w:r>
        <w:rPr>
          <w:spacing w:val="-83"/>
        </w:rPr>
      </w:r>
      <w:r>
        <w:rPr/>
        <w:t>合同或者劳务合同而持有的存货，其可变现净值以合同价格为基础计算，若持有存货的数量</w:t>
      </w:r>
      <w:r>
        <w:rPr>
          <w:spacing w:val="-83"/>
        </w:rPr>
        <w:t> </w:t>
      </w:r>
      <w:r>
        <w:rPr>
          <w:spacing w:val="-83"/>
        </w:rPr>
      </w:r>
      <w:r>
        <w:rPr/>
        <w:t>多于销售合同订购数量的，超出部分的存货的可变现净值以一般销售价格为基础计算。</w:t>
      </w:r>
    </w:p>
    <w:p>
      <w:pPr>
        <w:pStyle w:val="BodyText"/>
        <w:spacing w:line="336" w:lineRule="auto" w:before="29"/>
        <w:ind w:right="148" w:firstLine="540"/>
        <w:jc w:val="both"/>
      </w:pPr>
      <w:r>
        <w:rPr>
          <w:spacing w:val="-1"/>
        </w:rPr>
        <w:t>年末按照单个存货项目计提存货跌价准备；但对于数量繁多、单价较低的存货，按照存</w:t>
      </w:r>
      <w:r>
        <w:rPr/>
        <w:t> 货类别计提存货跌价准备；与在同一地区生产和销售的产品系列相关、具有相同或类似最终</w:t>
      </w:r>
      <w:r>
        <w:rPr>
          <w:spacing w:val="-83"/>
        </w:rPr>
        <w:t> </w:t>
      </w:r>
      <w:r>
        <w:rPr>
          <w:spacing w:val="-83"/>
        </w:rPr>
      </w:r>
      <w:r>
        <w:rPr/>
        <w:t>用途或目的，且难以与其他项目分开计量的存货，则合并计提存货跌价准备。</w:t>
      </w:r>
    </w:p>
    <w:p>
      <w:pPr>
        <w:pStyle w:val="BodyText"/>
        <w:spacing w:line="336" w:lineRule="auto" w:before="29"/>
        <w:ind w:right="151" w:firstLine="540"/>
        <w:jc w:val="both"/>
      </w:pPr>
      <w:r>
        <w:rPr>
          <w:spacing w:val="-1"/>
        </w:rPr>
        <w:t>以前减记存货价值的影响因素已经消失的，减记的金额予以恢复，并在原已计提的存货</w:t>
      </w:r>
      <w:r>
        <w:rPr/>
        <w:t> 跌价准备金额内转回，转回的金额计入当期损益。</w:t>
      </w:r>
    </w:p>
    <w:p>
      <w:pPr>
        <w:pStyle w:val="BodyText"/>
        <w:spacing w:line="336" w:lineRule="auto"/>
        <w:ind w:left="694" w:right="148"/>
        <w:jc w:val="left"/>
      </w:pPr>
      <w:r>
        <w:rPr/>
        <w:t>(十二)投资性房地产的种类和计量模式 </w:t>
      </w:r>
      <w:r>
        <w:rPr>
          <w:spacing w:val="-1"/>
        </w:rPr>
        <w:t>投资性房地产是指为赚取租金或资本增值，或两者兼有而持有的房地产，包括已出租的</w:t>
      </w:r>
    </w:p>
    <w:p>
      <w:pPr>
        <w:pStyle w:val="BodyText"/>
        <w:spacing w:line="336" w:lineRule="auto"/>
        <w:ind w:left="694" w:right="148" w:hanging="540"/>
        <w:jc w:val="left"/>
      </w:pPr>
      <w:r>
        <w:rPr/>
        <w:t>土地使用权、持有并准备增值后转让的土地使用权、已出租的建筑物。 </w:t>
      </w:r>
      <w:r>
        <w:rPr>
          <w:spacing w:val="-1"/>
        </w:rPr>
        <w:t>公司对现有投资性房地产采用成本模式计量。对按照成本模式计量的投资性房地产－出</w:t>
      </w:r>
    </w:p>
    <w:p>
      <w:pPr>
        <w:pStyle w:val="BodyText"/>
        <w:spacing w:line="240" w:lineRule="auto" w:before="29"/>
        <w:ind w:right="0"/>
        <w:jc w:val="both"/>
      </w:pPr>
      <w:r>
        <w:rPr/>
        <w:t>租用资产采用与本公司固定资产相同的折旧政策，出租用土地使用权按与无形资产相同的摊</w:t>
      </w:r>
    </w:p>
    <w:p>
      <w:pPr>
        <w:spacing w:after="0" w:line="240"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right="0"/>
        <w:jc w:val="left"/>
      </w:pPr>
      <w:r>
        <w:rPr/>
        <w:t>销政策；对存在减值迹象的，估计其可收回金额，可收回金额低于其账面价值的，确认相应</w:t>
      </w:r>
      <w:r>
        <w:rPr>
          <w:spacing w:val="-83"/>
        </w:rPr>
        <w:t> </w:t>
      </w:r>
      <w:r>
        <w:rPr>
          <w:spacing w:val="-83"/>
        </w:rPr>
      </w:r>
      <w:r>
        <w:rPr/>
        <w:t>的减值损失。</w:t>
      </w:r>
    </w:p>
    <w:p>
      <w:pPr>
        <w:pStyle w:val="BodyText"/>
        <w:spacing w:line="336" w:lineRule="auto" w:before="29"/>
        <w:ind w:left="694" w:right="5630"/>
        <w:jc w:val="left"/>
      </w:pPr>
      <w:r>
        <w:rPr/>
        <w:t>(十三)固定资产的计价和折旧方法 1.固定资产确认条件</w:t>
      </w:r>
    </w:p>
    <w:p>
      <w:pPr>
        <w:pStyle w:val="BodyText"/>
        <w:spacing w:line="336" w:lineRule="auto"/>
        <w:ind w:right="149" w:firstLine="540"/>
        <w:jc w:val="left"/>
      </w:pPr>
      <w:r>
        <w:rPr>
          <w:spacing w:val="-1"/>
        </w:rPr>
        <w:t>固定资产指为生产商品、提供劳务、出租或经营管理而持有，并且使用年限超过一年的</w:t>
      </w:r>
      <w:r>
        <w:rPr/>
        <w:t> 有形资产。固定资产在同时满足下列条件时予以确认：</w:t>
      </w:r>
    </w:p>
    <w:p>
      <w:pPr>
        <w:pStyle w:val="BodyText"/>
        <w:spacing w:line="336" w:lineRule="auto"/>
        <w:ind w:left="694" w:right="3830"/>
        <w:jc w:val="left"/>
      </w:pPr>
      <w:r>
        <w:rPr/>
        <w:t>(1)与该固定资产有关的经济利益很可能流入企业； (2)该固定资产的成本能够可靠地计量。 2.固定资产的分类</w:t>
      </w:r>
    </w:p>
    <w:p>
      <w:pPr>
        <w:pStyle w:val="BodyText"/>
        <w:spacing w:line="336" w:lineRule="auto"/>
        <w:ind w:left="694" w:right="2030"/>
        <w:jc w:val="left"/>
      </w:pPr>
      <w:r>
        <w:rPr/>
        <w:t>固定资产分类为：房屋及建筑物、机器设备、运输设备、电子设备。 3.固定资产的初始计量</w:t>
      </w:r>
    </w:p>
    <w:p>
      <w:pPr>
        <w:pStyle w:val="BodyText"/>
        <w:spacing w:line="336" w:lineRule="auto" w:before="29"/>
        <w:ind w:left="694" w:right="148"/>
        <w:jc w:val="left"/>
      </w:pPr>
      <w:r>
        <w:rPr/>
        <w:t>固定资产取得时按照实际成本进行初始计量。 </w:t>
      </w:r>
      <w:r>
        <w:rPr>
          <w:spacing w:val="-1"/>
        </w:rPr>
        <w:t>外购固定资产的成本，以购买价款、相关税费、使固定资产达到预定可使用状态前所发</w:t>
      </w:r>
    </w:p>
    <w:p>
      <w:pPr>
        <w:pStyle w:val="BodyText"/>
        <w:spacing w:line="336" w:lineRule="auto"/>
        <w:ind w:left="694" w:right="148" w:hanging="540"/>
        <w:jc w:val="left"/>
      </w:pPr>
      <w:r>
        <w:rPr/>
        <w:t>生的可归属于该项资产的运输费、装卸费、安装费和专业人员服务费等确定。 </w:t>
      </w:r>
      <w:r>
        <w:rPr>
          <w:spacing w:val="-1"/>
        </w:rPr>
        <w:t>购买固定资产的价款超过正常信用条件延期支付，实质上具有融资性质的，固定资产的</w:t>
      </w:r>
    </w:p>
    <w:p>
      <w:pPr>
        <w:pStyle w:val="BodyText"/>
        <w:spacing w:line="336" w:lineRule="auto"/>
        <w:ind w:left="694" w:right="148" w:hanging="540"/>
        <w:jc w:val="left"/>
      </w:pPr>
      <w:r>
        <w:rPr/>
        <w:t>成本以购买价款的现值为基础确定。 </w:t>
      </w:r>
      <w:r>
        <w:rPr>
          <w:spacing w:val="-1"/>
        </w:rPr>
        <w:t>自行建造固定资产的成本，由建造该项资产达到预定可使用状态前所发生的必要支出构</w:t>
      </w:r>
    </w:p>
    <w:p>
      <w:pPr>
        <w:pStyle w:val="BodyText"/>
        <w:spacing w:line="240" w:lineRule="auto" w:before="29"/>
        <w:ind w:right="0"/>
        <w:jc w:val="left"/>
      </w:pPr>
      <w:r>
        <w:rPr/>
        <w:t>成。</w:t>
      </w:r>
    </w:p>
    <w:p>
      <w:pPr>
        <w:pStyle w:val="BodyText"/>
        <w:spacing w:line="240" w:lineRule="auto" w:before="126"/>
        <w:ind w:left="694" w:right="0"/>
        <w:jc w:val="left"/>
      </w:pPr>
      <w:r>
        <w:rPr/>
        <w:t>债务重组取得债务人用以抵债的固定资产，以该固定资产的公允价值为基础确定其入账</w:t>
      </w:r>
    </w:p>
    <w:p>
      <w:pPr>
        <w:spacing w:line="240" w:lineRule="auto" w:before="9"/>
        <w:rPr>
          <w:rFonts w:ascii="宋体" w:hAnsi="宋体" w:cs="宋体" w:eastAsia="宋体" w:hint="default"/>
          <w:sz w:val="7"/>
          <w:szCs w:val="7"/>
        </w:rPr>
      </w:pPr>
    </w:p>
    <w:p>
      <w:pPr>
        <w:pStyle w:val="BodyText"/>
        <w:spacing w:line="336" w:lineRule="auto" w:before="26"/>
        <w:ind w:right="0"/>
        <w:jc w:val="left"/>
      </w:pPr>
      <w:r>
        <w:rPr/>
        <w:t>价值，并将重组债务的账面价值与该用以抵债的固定资产公允价值之间的差额，计入当期损</w:t>
      </w:r>
      <w:r>
        <w:rPr>
          <w:spacing w:val="-83"/>
        </w:rPr>
        <w:t> </w:t>
      </w:r>
      <w:r>
        <w:rPr>
          <w:spacing w:val="-83"/>
        </w:rPr>
      </w:r>
      <w:r>
        <w:rPr/>
        <w:t>益；</w:t>
      </w:r>
    </w:p>
    <w:p>
      <w:pPr>
        <w:pStyle w:val="BodyText"/>
        <w:spacing w:line="336" w:lineRule="auto"/>
        <w:ind w:right="145" w:firstLine="540"/>
        <w:jc w:val="both"/>
      </w:pPr>
      <w:r>
        <w:rPr>
          <w:spacing w:val="6"/>
        </w:rPr>
        <w:t>在非货币性资产交换具备商业实质和换入资产或换出资产的公允价值能够可靠计量的 </w:t>
      </w:r>
      <w:r>
        <w:rPr/>
        <w:t>前提下，换入的固定资产以换出资产的公允价值为基础确定其入账价值，除非有确凿证据表</w:t>
      </w:r>
      <w:r>
        <w:rPr>
          <w:spacing w:val="-83"/>
        </w:rPr>
        <w:t> </w:t>
      </w:r>
      <w:r>
        <w:rPr>
          <w:spacing w:val="-83"/>
        </w:rPr>
      </w:r>
      <w:r>
        <w:rPr/>
        <w:t>明换入资产的公允价值更加可靠；不满足上述前提的非货币性资产交换，以换出资产的账面</w:t>
      </w:r>
      <w:r>
        <w:rPr>
          <w:spacing w:val="-83"/>
        </w:rPr>
        <w:t> </w:t>
      </w:r>
      <w:r>
        <w:rPr>
          <w:spacing w:val="-83"/>
        </w:rPr>
      </w:r>
      <w:r>
        <w:rPr/>
        <w:t>价值和应支付的相关税费作为换入固定资产的成本，不确认损益。</w:t>
      </w:r>
    </w:p>
    <w:p>
      <w:pPr>
        <w:pStyle w:val="BodyText"/>
        <w:spacing w:line="336" w:lineRule="auto"/>
        <w:ind w:right="145" w:firstLine="540"/>
        <w:jc w:val="both"/>
      </w:pPr>
      <w:r>
        <w:rPr>
          <w:spacing w:val="6"/>
        </w:rPr>
        <w:t>以同一控制下的企业吸收合并方式取得的固定资产按被合并方的账面价值确定其入账 </w:t>
      </w:r>
      <w:r>
        <w:rPr/>
        <w:t>价值；以非同一控制下的企业吸收合并方式取得的固定资产按公允价值确定其入账价值。</w:t>
      </w:r>
    </w:p>
    <w:p>
      <w:pPr>
        <w:pStyle w:val="BodyText"/>
        <w:spacing w:line="336" w:lineRule="auto"/>
        <w:ind w:right="151" w:firstLine="540"/>
        <w:jc w:val="both"/>
      </w:pPr>
      <w:r>
        <w:rPr>
          <w:spacing w:val="-1"/>
        </w:rPr>
        <w:t>融资租入的固定资产，按租赁开始日租赁资产公允价值与最低租赁付款额现值两者中较</w:t>
      </w:r>
      <w:r>
        <w:rPr/>
        <w:t> 低者作为入账价值。</w:t>
      </w:r>
    </w:p>
    <w:p>
      <w:pPr>
        <w:pStyle w:val="BodyText"/>
        <w:spacing w:line="336" w:lineRule="auto" w:before="29"/>
        <w:ind w:left="694" w:right="148"/>
        <w:jc w:val="left"/>
      </w:pPr>
      <w:r>
        <w:rPr/>
        <w:t>4.固定资产折旧计提方法 </w:t>
      </w:r>
      <w:r>
        <w:rPr>
          <w:spacing w:val="-1"/>
        </w:rPr>
        <w:t>固定资产折旧采用年限平均法分类计提，根据固定资产类别、预计使用寿命和预计净残</w:t>
      </w:r>
    </w:p>
    <w:p>
      <w:pPr>
        <w:spacing w:after="0" w:line="336"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148" w:hanging="540"/>
        <w:jc w:val="left"/>
      </w:pPr>
      <w:r>
        <w:rPr/>
        <w:t>值率确定折旧率。 </w:t>
      </w:r>
      <w:r>
        <w:rPr>
          <w:spacing w:val="-1"/>
        </w:rPr>
        <w:t>符合资本化条件的固定资产装修费用，在两次装修期间与固定资产尚可使用年限两者中</w:t>
      </w:r>
    </w:p>
    <w:p>
      <w:pPr>
        <w:pStyle w:val="BodyText"/>
        <w:spacing w:line="336" w:lineRule="auto" w:before="29"/>
        <w:ind w:left="694" w:right="4430" w:hanging="540"/>
        <w:jc w:val="left"/>
      </w:pPr>
      <w:r>
        <w:rPr/>
        <w:pict>
          <v:shape style="position:absolute;margin-left:81.949997pt;margin-top:41.973133pt;width:448.1pt;height:138.2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3"/>
                    <w:gridCol w:w="2028"/>
                    <w:gridCol w:w="1872"/>
                    <w:gridCol w:w="2069"/>
                  </w:tblGrid>
                  <w:tr>
                    <w:trPr>
                      <w:trHeight w:val="780" w:hRule="exact"/>
                    </w:trPr>
                    <w:tc>
                      <w:tcPr>
                        <w:tcW w:w="2993" w:type="dxa"/>
                        <w:tcBorders>
                          <w:top w:val="nil" w:sz="6" w:space="0" w:color="auto"/>
                          <w:left w:val="nil" w:sz="6" w:space="0" w:color="auto"/>
                          <w:bottom w:val="nil" w:sz="6" w:space="0" w:color="auto"/>
                          <w:right w:val="nil" w:sz="6" w:space="0" w:color="auto"/>
                        </w:tcBorders>
                      </w:tcPr>
                      <w:p>
                        <w:pPr>
                          <w:pStyle w:val="TableParagraph"/>
                          <w:tabs>
                            <w:tab w:pos="634" w:val="left" w:leader="none"/>
                            <w:tab w:pos="2537" w:val="left" w:leader="none"/>
                          </w:tabs>
                          <w:spacing w:line="273" w:lineRule="auto" w:before="48"/>
                          <w:ind w:left="35" w:right="436"/>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固定资产类别</w:t>
                          <w:tab/>
                        </w:r>
                        <w:r>
                          <w:rPr>
                            <w:rFonts w:ascii="宋体" w:hAnsi="宋体" w:cs="宋体" w:eastAsia="宋体" w:hint="default"/>
                            <w:w w:val="14"/>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r>
                          <w:rPr>
                            <w:rFonts w:ascii="宋体" w:hAnsi="宋体" w:cs="宋体" w:eastAsia="宋体" w:hint="default"/>
                            <w:sz w:val="24"/>
                            <w:szCs w:val="24"/>
                          </w:rPr>
                          <w:t> 房屋建筑物</w:t>
                        </w:r>
                      </w:p>
                    </w:tc>
                    <w:tc>
                      <w:tcPr>
                        <w:tcW w:w="2028" w:type="dxa"/>
                        <w:tcBorders>
                          <w:top w:val="nil" w:sz="6" w:space="0" w:color="auto"/>
                          <w:left w:val="nil" w:sz="6" w:space="0" w:color="auto"/>
                          <w:bottom w:val="nil" w:sz="6" w:space="0" w:color="auto"/>
                          <w:right w:val="nil" w:sz="6" w:space="0" w:color="auto"/>
                        </w:tcBorders>
                      </w:tcPr>
                      <w:p>
                        <w:pPr>
                          <w:pStyle w:val="TableParagraph"/>
                          <w:spacing w:line="273" w:lineRule="auto" w:before="48"/>
                          <w:ind w:left="767" w:right="269" w:hanging="45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预计使用寿命</w:t>
                        </w:r>
                        <w:r>
                          <w:rPr>
                            <w:rFonts w:ascii="宋体" w:hAnsi="宋体" w:cs="宋体" w:eastAsia="宋体" w:hint="default"/>
                            <w:sz w:val="24"/>
                            <w:szCs w:val="24"/>
                          </w:rPr>
                        </w:r>
                        <w:r>
                          <w:rPr>
                            <w:rFonts w:ascii="宋体" w:hAnsi="宋体" w:cs="宋体" w:eastAsia="宋体" w:hint="default"/>
                            <w:sz w:val="24"/>
                            <w:szCs w:val="24"/>
                          </w:rPr>
                          <w:t> 20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72" w:type="dxa"/>
                        <w:tcBorders>
                          <w:top w:val="nil" w:sz="6" w:space="0" w:color="auto"/>
                          <w:left w:val="nil" w:sz="6" w:space="0" w:color="auto"/>
                          <w:bottom w:val="nil" w:sz="6" w:space="0" w:color="auto"/>
                          <w:right w:val="nil" w:sz="6" w:space="0" w:color="auto"/>
                        </w:tcBorders>
                      </w:tcPr>
                      <w:p>
                        <w:pPr>
                          <w:pStyle w:val="TableParagraph"/>
                          <w:spacing w:line="273" w:lineRule="auto" w:before="48"/>
                          <w:ind w:left="630" w:right="160" w:hanging="36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预计净残值率</w:t>
                        </w:r>
                        <w:r>
                          <w:rPr>
                            <w:rFonts w:ascii="宋体" w:hAnsi="宋体" w:cs="宋体" w:eastAsia="宋体" w:hint="default"/>
                            <w:sz w:val="24"/>
                            <w:szCs w:val="24"/>
                          </w:rPr>
                        </w:r>
                        <w:r>
                          <w:rPr>
                            <w:rFonts w:ascii="宋体" w:hAnsi="宋体" w:cs="宋体" w:eastAsia="宋体" w:hint="default"/>
                            <w:sz w:val="24"/>
                            <w:szCs w:val="24"/>
                          </w:rPr>
                          <w:t> 10.00%</w:t>
                        </w:r>
                      </w:p>
                    </w:tc>
                    <w:tc>
                      <w:tcPr>
                        <w:tcW w:w="2069" w:type="dxa"/>
                        <w:tcBorders>
                          <w:top w:val="nil" w:sz="6" w:space="0" w:color="auto"/>
                          <w:left w:val="nil" w:sz="6" w:space="0" w:color="auto"/>
                          <w:bottom w:val="nil" w:sz="6" w:space="0" w:color="auto"/>
                          <w:right w:val="nil" w:sz="6" w:space="0" w:color="auto"/>
                        </w:tcBorders>
                      </w:tcPr>
                      <w:p>
                        <w:pPr>
                          <w:pStyle w:val="TableParagraph"/>
                          <w:tabs>
                            <w:tab w:pos="761" w:val="left" w:leader="none"/>
                            <w:tab w:pos="2016" w:val="left" w:leader="none"/>
                          </w:tabs>
                          <w:spacing w:line="290" w:lineRule="auto" w:before="26"/>
                          <w:ind w:left="798" w:right="33" w:hanging="636"/>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年折旧率</w:t>
                          <w:tab/>
                        </w:r>
                        <w:r>
                          <w:rPr>
                            <w:rFonts w:ascii="宋体" w:hAnsi="宋体" w:cs="宋体" w:eastAsia="宋体" w:hint="default"/>
                            <w:w w:val="14"/>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r>
                          <w:rPr>
                            <w:rFonts w:ascii="宋体" w:hAnsi="宋体" w:cs="宋体" w:eastAsia="宋体" w:hint="default"/>
                            <w:sz w:val="24"/>
                            <w:szCs w:val="24"/>
                          </w:rPr>
                          <w:t> 4.50%</w:t>
                        </w:r>
                      </w:p>
                    </w:tc>
                  </w:tr>
                  <w:tr>
                    <w:trPr>
                      <w:trHeight w:val="360"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028" w:type="dxa"/>
                        <w:tcBorders>
                          <w:top w:val="nil" w:sz="6" w:space="0" w:color="auto"/>
                          <w:left w:val="nil" w:sz="6" w:space="0" w:color="auto"/>
                          <w:bottom w:val="nil" w:sz="6" w:space="0" w:color="auto"/>
                          <w:right w:val="nil" w:sz="6" w:space="0" w:color="auto"/>
                        </w:tcBorders>
                      </w:tcPr>
                      <w:p>
                        <w:pPr>
                          <w:pStyle w:val="TableParagraph"/>
                          <w:spacing w:line="300" w:lineRule="exact"/>
                          <w:ind w:right="552"/>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72" w:type="dxa"/>
                        <w:tcBorders>
                          <w:top w:val="nil" w:sz="6" w:space="0" w:color="auto"/>
                          <w:left w:val="nil" w:sz="6" w:space="0" w:color="auto"/>
                          <w:bottom w:val="nil" w:sz="6" w:space="0" w:color="auto"/>
                          <w:right w:val="nil" w:sz="6" w:space="0" w:color="auto"/>
                        </w:tcBorders>
                      </w:tcPr>
                      <w:p>
                        <w:pPr>
                          <w:pStyle w:val="TableParagraph"/>
                          <w:spacing w:line="300" w:lineRule="exact"/>
                          <w:ind w:left="108" w:right="0"/>
                          <w:jc w:val="center"/>
                          <w:rPr>
                            <w:rFonts w:ascii="宋体" w:hAnsi="宋体" w:cs="宋体" w:eastAsia="宋体" w:hint="default"/>
                            <w:sz w:val="24"/>
                            <w:szCs w:val="24"/>
                          </w:rPr>
                        </w:pPr>
                        <w:r>
                          <w:rPr>
                            <w:rFonts w:ascii="宋体"/>
                            <w:sz w:val="24"/>
                          </w:rPr>
                          <w:t>10.00%</w:t>
                        </w:r>
                      </w:p>
                    </w:tc>
                    <w:tc>
                      <w:tcPr>
                        <w:tcW w:w="2069" w:type="dxa"/>
                        <w:tcBorders>
                          <w:top w:val="nil" w:sz="6" w:space="0" w:color="auto"/>
                          <w:left w:val="nil" w:sz="6" w:space="0" w:color="auto"/>
                          <w:bottom w:val="nil" w:sz="6" w:space="0" w:color="auto"/>
                          <w:right w:val="nil" w:sz="6" w:space="0" w:color="auto"/>
                        </w:tcBorders>
                      </w:tcPr>
                      <w:p>
                        <w:pPr>
                          <w:pStyle w:val="TableParagraph"/>
                          <w:spacing w:line="300" w:lineRule="exact"/>
                          <w:ind w:right="389"/>
                          <w:jc w:val="right"/>
                          <w:rPr>
                            <w:rFonts w:ascii="宋体" w:hAnsi="宋体" w:cs="宋体" w:eastAsia="宋体" w:hint="default"/>
                            <w:sz w:val="24"/>
                            <w:szCs w:val="24"/>
                          </w:rPr>
                        </w:pPr>
                        <w:r>
                          <w:rPr>
                            <w:rFonts w:ascii="宋体"/>
                            <w:sz w:val="24"/>
                          </w:rPr>
                          <w:t>18.00%-9.00%</w:t>
                        </w:r>
                      </w:p>
                    </w:tc>
                  </w:tr>
                  <w:tr>
                    <w:trPr>
                      <w:trHeight w:val="360"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028" w:type="dxa"/>
                        <w:tcBorders>
                          <w:top w:val="nil" w:sz="6" w:space="0" w:color="auto"/>
                          <w:left w:val="nil" w:sz="6" w:space="0" w:color="auto"/>
                          <w:bottom w:val="nil" w:sz="6" w:space="0" w:color="auto"/>
                          <w:right w:val="nil" w:sz="6" w:space="0" w:color="auto"/>
                        </w:tcBorders>
                      </w:tcPr>
                      <w:p>
                        <w:pPr>
                          <w:pStyle w:val="TableParagraph"/>
                          <w:spacing w:line="300" w:lineRule="exact"/>
                          <w:ind w:left="813"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72" w:type="dxa"/>
                        <w:tcBorders>
                          <w:top w:val="nil" w:sz="6" w:space="0" w:color="auto"/>
                          <w:left w:val="nil" w:sz="6" w:space="0" w:color="auto"/>
                          <w:bottom w:val="nil" w:sz="6" w:space="0" w:color="auto"/>
                          <w:right w:val="nil" w:sz="6" w:space="0" w:color="auto"/>
                        </w:tcBorders>
                      </w:tcPr>
                      <w:p>
                        <w:pPr>
                          <w:pStyle w:val="TableParagraph"/>
                          <w:spacing w:line="300" w:lineRule="exact"/>
                          <w:ind w:left="108" w:right="0"/>
                          <w:jc w:val="center"/>
                          <w:rPr>
                            <w:rFonts w:ascii="宋体" w:hAnsi="宋体" w:cs="宋体" w:eastAsia="宋体" w:hint="default"/>
                            <w:sz w:val="24"/>
                            <w:szCs w:val="24"/>
                          </w:rPr>
                        </w:pPr>
                        <w:r>
                          <w:rPr>
                            <w:rFonts w:ascii="宋体"/>
                            <w:sz w:val="24"/>
                          </w:rPr>
                          <w:t>3.00%-10.00%</w:t>
                        </w:r>
                      </w:p>
                    </w:tc>
                    <w:tc>
                      <w:tcPr>
                        <w:tcW w:w="2069" w:type="dxa"/>
                        <w:tcBorders>
                          <w:top w:val="nil" w:sz="6" w:space="0" w:color="auto"/>
                          <w:left w:val="nil" w:sz="6" w:space="0" w:color="auto"/>
                          <w:bottom w:val="nil" w:sz="6" w:space="0" w:color="auto"/>
                          <w:right w:val="nil" w:sz="6" w:space="0" w:color="auto"/>
                        </w:tcBorders>
                      </w:tcPr>
                      <w:p>
                        <w:pPr>
                          <w:pStyle w:val="TableParagraph"/>
                          <w:spacing w:line="300" w:lineRule="exact"/>
                          <w:ind w:right="389"/>
                          <w:jc w:val="right"/>
                          <w:rPr>
                            <w:rFonts w:ascii="宋体" w:hAnsi="宋体" w:cs="宋体" w:eastAsia="宋体" w:hint="default"/>
                            <w:sz w:val="24"/>
                            <w:szCs w:val="24"/>
                          </w:rPr>
                        </w:pPr>
                        <w:r>
                          <w:rPr>
                            <w:rFonts w:ascii="宋体"/>
                            <w:sz w:val="24"/>
                          </w:rPr>
                          <w:t>9.70%-9.00%</w:t>
                        </w:r>
                      </w:p>
                    </w:tc>
                  </w:tr>
                  <w:tr>
                    <w:trPr>
                      <w:trHeight w:val="392"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电子设备及其他设备</w:t>
                        </w:r>
                      </w:p>
                    </w:tc>
                    <w:tc>
                      <w:tcPr>
                        <w:tcW w:w="2028" w:type="dxa"/>
                        <w:tcBorders>
                          <w:top w:val="nil" w:sz="6" w:space="0" w:color="auto"/>
                          <w:left w:val="nil" w:sz="6" w:space="0" w:color="auto"/>
                          <w:bottom w:val="nil" w:sz="6" w:space="0" w:color="auto"/>
                          <w:right w:val="nil" w:sz="6" w:space="0" w:color="auto"/>
                        </w:tcBorders>
                      </w:tcPr>
                      <w:p>
                        <w:pPr>
                          <w:pStyle w:val="TableParagraph"/>
                          <w:spacing w:line="300" w:lineRule="exact"/>
                          <w:ind w:right="672"/>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72" w:type="dxa"/>
                        <w:tcBorders>
                          <w:top w:val="nil" w:sz="6" w:space="0" w:color="auto"/>
                          <w:left w:val="nil" w:sz="6" w:space="0" w:color="auto"/>
                          <w:bottom w:val="nil" w:sz="6" w:space="0" w:color="auto"/>
                          <w:right w:val="nil" w:sz="6" w:space="0" w:color="auto"/>
                        </w:tcBorders>
                      </w:tcPr>
                      <w:p>
                        <w:pPr>
                          <w:pStyle w:val="TableParagraph"/>
                          <w:spacing w:line="300" w:lineRule="exact"/>
                          <w:ind w:left="108" w:right="0"/>
                          <w:jc w:val="center"/>
                          <w:rPr>
                            <w:rFonts w:ascii="宋体" w:hAnsi="宋体" w:cs="宋体" w:eastAsia="宋体" w:hint="default"/>
                            <w:sz w:val="24"/>
                            <w:szCs w:val="24"/>
                          </w:rPr>
                        </w:pPr>
                        <w:r>
                          <w:rPr>
                            <w:rFonts w:ascii="宋体"/>
                            <w:sz w:val="24"/>
                          </w:rPr>
                          <w:t>10.00%</w:t>
                        </w:r>
                      </w:p>
                    </w:tc>
                    <w:tc>
                      <w:tcPr>
                        <w:tcW w:w="2069" w:type="dxa"/>
                        <w:tcBorders>
                          <w:top w:val="nil" w:sz="6" w:space="0" w:color="auto"/>
                          <w:left w:val="nil" w:sz="6" w:space="0" w:color="auto"/>
                          <w:bottom w:val="nil" w:sz="6" w:space="0" w:color="auto"/>
                          <w:right w:val="nil" w:sz="6" w:space="0" w:color="auto"/>
                        </w:tcBorders>
                      </w:tcPr>
                      <w:p>
                        <w:pPr>
                          <w:pStyle w:val="TableParagraph"/>
                          <w:spacing w:line="300" w:lineRule="exact"/>
                          <w:ind w:left="799" w:right="0"/>
                          <w:jc w:val="left"/>
                          <w:rPr>
                            <w:rFonts w:ascii="宋体" w:hAnsi="宋体" w:cs="宋体" w:eastAsia="宋体" w:hint="default"/>
                            <w:sz w:val="24"/>
                            <w:szCs w:val="24"/>
                          </w:rPr>
                        </w:pPr>
                        <w:r>
                          <w:rPr>
                            <w:rFonts w:ascii="宋体"/>
                            <w:sz w:val="24"/>
                          </w:rPr>
                          <w:t>18.00%</w:t>
                        </w:r>
                      </w:p>
                    </w:tc>
                  </w:tr>
                  <w:tr>
                    <w:trPr>
                      <w:trHeight w:val="432"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4"/>
                            <w:szCs w:val="24"/>
                          </w:rPr>
                        </w:pPr>
                        <w:r>
                          <w:rPr>
                            <w:rFonts w:ascii="宋体" w:hAnsi="宋体" w:cs="宋体" w:eastAsia="宋体" w:hint="default"/>
                            <w:sz w:val="24"/>
                            <w:szCs w:val="24"/>
                          </w:rPr>
                          <w:t>(十四)在建工程核算方法</w:t>
                        </w:r>
                      </w:p>
                    </w:tc>
                    <w:tc>
                      <w:tcPr>
                        <w:tcW w:w="202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r>
                    <w:trPr>
                      <w:trHeight w:val="440"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1.在建工程类别</w:t>
                        </w:r>
                      </w:p>
                    </w:tc>
                    <w:tc>
                      <w:tcPr>
                        <w:tcW w:w="202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较短的期间内，采用年限平均法单独计提折旧。 各类固定资产预计使用寿命和年折旧率如下：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336" w:lineRule="auto" w:before="26"/>
        <w:ind w:left="694" w:right="4910"/>
        <w:jc w:val="left"/>
      </w:pPr>
      <w:r>
        <w:rPr/>
        <w:t>在建工程以立项项目分类核算。 2.在建工程结转为固定资产的标准和时点</w:t>
      </w:r>
    </w:p>
    <w:p>
      <w:pPr>
        <w:pStyle w:val="BodyText"/>
        <w:spacing w:line="336" w:lineRule="auto"/>
        <w:ind w:right="148" w:firstLine="540"/>
        <w:jc w:val="both"/>
      </w:pPr>
      <w:r>
        <w:rPr>
          <w:spacing w:val="-1"/>
        </w:rPr>
        <w:t>在建工程项目按建造该项资产达到预定可使用状态前所发生的全部支出，作为固定资产</w:t>
      </w:r>
      <w:r>
        <w:rPr/>
        <w:t> 的入账价值。所建造的固定资产在建工程已达到预定可使用状态，但尚未办理竣工决算的，</w:t>
      </w:r>
      <w:r>
        <w:rPr>
          <w:spacing w:val="-83"/>
        </w:rPr>
        <w:t> </w:t>
      </w:r>
      <w:r>
        <w:rPr>
          <w:spacing w:val="-83"/>
        </w:rPr>
      </w:r>
      <w:r>
        <w:rPr/>
        <w:t>自达到预定可使用状态之日起，根据工程预算、造价或者工程实际成本等，按估计的价值转</w:t>
      </w:r>
      <w:r>
        <w:rPr>
          <w:spacing w:val="-83"/>
        </w:rPr>
        <w:t> </w:t>
      </w:r>
      <w:r>
        <w:rPr>
          <w:spacing w:val="-83"/>
        </w:rPr>
      </w:r>
      <w:r>
        <w:rPr/>
        <w:t>入固定资产，并按本公司固定资产折旧政策计提固定资产的折旧，待办理竣工决算后，再按</w:t>
      </w:r>
      <w:r>
        <w:rPr>
          <w:spacing w:val="-83"/>
        </w:rPr>
        <w:t> </w:t>
      </w:r>
      <w:r>
        <w:rPr>
          <w:spacing w:val="-83"/>
        </w:rPr>
      </w:r>
      <w:r>
        <w:rPr/>
        <w:t>实际成本调整原来的暂估价值，但不调整原已计提的折旧额。</w:t>
      </w:r>
    </w:p>
    <w:p>
      <w:pPr>
        <w:pStyle w:val="BodyText"/>
        <w:spacing w:line="336" w:lineRule="auto"/>
        <w:ind w:left="694" w:right="6350"/>
        <w:jc w:val="left"/>
      </w:pPr>
      <w:r>
        <w:rPr/>
        <w:t>(十五)无形资产核算方法 1.无形资产的计价方法 按取得时的实际成本入账；</w:t>
      </w:r>
    </w:p>
    <w:p>
      <w:pPr>
        <w:pStyle w:val="BodyText"/>
        <w:spacing w:line="336" w:lineRule="auto"/>
        <w:ind w:right="148" w:firstLine="540"/>
        <w:jc w:val="both"/>
      </w:pPr>
      <w:r>
        <w:rPr>
          <w:spacing w:val="-1"/>
        </w:rPr>
        <w:t>外购无形资产的成本，包括购买价款、相关税费以及直接归属于使该项资产达到预定用</w:t>
      </w:r>
      <w:r>
        <w:rPr/>
        <w:t> 途所发生的其他支出。购买无形资产的价款超过正常信用条件延期支付，实质上具有融资性</w:t>
      </w:r>
      <w:r>
        <w:rPr>
          <w:spacing w:val="-83"/>
        </w:rPr>
        <w:t> </w:t>
      </w:r>
      <w:r>
        <w:rPr>
          <w:spacing w:val="-83"/>
        </w:rPr>
      </w:r>
      <w:r>
        <w:rPr/>
        <w:t>质的，无形资产的成本以购买价款的现值为基础确定。</w:t>
      </w:r>
    </w:p>
    <w:p>
      <w:pPr>
        <w:pStyle w:val="BodyText"/>
        <w:spacing w:line="336" w:lineRule="auto"/>
        <w:ind w:right="148" w:firstLine="540"/>
        <w:jc w:val="both"/>
      </w:pPr>
      <w:r>
        <w:rPr>
          <w:spacing w:val="-1"/>
        </w:rPr>
        <w:t>债务重组取得债务人用以抵债的无形资产，以该无形资产的公允价值为基础确定其入账</w:t>
      </w:r>
      <w:r>
        <w:rPr/>
        <w:t> 价值，并将重组债务的账面价值与该用以抵债的无形资产公允价值之间的差额，计入当期损</w:t>
      </w:r>
      <w:r>
        <w:rPr>
          <w:spacing w:val="-83"/>
        </w:rPr>
        <w:t> </w:t>
      </w:r>
      <w:r>
        <w:rPr>
          <w:spacing w:val="-83"/>
        </w:rPr>
      </w:r>
      <w:r>
        <w:rPr/>
        <w:t>益；在非货币性资产交换具备商业实质和换入资产或换出资产的公允价值能够可靠计量的前</w:t>
      </w:r>
      <w:r>
        <w:rPr>
          <w:spacing w:val="-83"/>
        </w:rPr>
        <w:t> </w:t>
      </w:r>
      <w:r>
        <w:rPr>
          <w:spacing w:val="-83"/>
        </w:rPr>
      </w:r>
      <w:r>
        <w:rPr/>
        <w:t>提下，非货币性资产交换换入的无形资产以换出资产的公允价值为基础确定其入账价值，除</w:t>
      </w:r>
      <w:r>
        <w:rPr>
          <w:spacing w:val="-83"/>
        </w:rPr>
        <w:t> </w:t>
      </w:r>
      <w:r>
        <w:rPr>
          <w:spacing w:val="-83"/>
        </w:rPr>
      </w:r>
      <w:r>
        <w:rPr/>
        <w:t>非有确凿证据表明换入资产的公允价值更加可靠；不满足上述前提的非货币性资产交换，以</w:t>
      </w:r>
      <w:r>
        <w:rPr>
          <w:spacing w:val="-83"/>
        </w:rPr>
        <w:t> </w:t>
      </w:r>
      <w:r>
        <w:rPr>
          <w:spacing w:val="-83"/>
        </w:rPr>
      </w:r>
      <w:r>
        <w:rPr/>
        <w:t>换出资产的账面价值和应支付的相关税费作为换入无形资产的成本，不确认损益。</w:t>
      </w:r>
    </w:p>
    <w:p>
      <w:pPr>
        <w:pStyle w:val="BodyText"/>
        <w:spacing w:line="336" w:lineRule="auto"/>
        <w:ind w:right="145" w:firstLine="540"/>
        <w:jc w:val="both"/>
      </w:pPr>
      <w:r>
        <w:rPr>
          <w:spacing w:val="6"/>
        </w:rPr>
        <w:t>以同一控制下的企业吸收合并方式取得的无形资产按被合并方的账面价值确定其入账 </w:t>
      </w:r>
      <w:r>
        <w:rPr/>
        <w:t>价值；以非同一控制下的企业吸收合并方式取得的无形资产按公允价值确定其入账价值。</w:t>
      </w:r>
    </w:p>
    <w:p>
      <w:pPr>
        <w:spacing w:after="0" w:line="336"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148"/>
        <w:jc w:val="left"/>
      </w:pPr>
      <w:r>
        <w:rPr/>
        <w:t>2.无形资产使用寿命及摊销 </w:t>
      </w:r>
      <w:r>
        <w:rPr>
          <w:spacing w:val="-1"/>
        </w:rPr>
        <w:t>公司于取得无形资产时分析判断其使用寿命。无形资产的使用寿命为有限的，估计该使</w:t>
      </w:r>
    </w:p>
    <w:p>
      <w:pPr>
        <w:pStyle w:val="BodyText"/>
        <w:spacing w:line="336" w:lineRule="auto" w:before="29"/>
        <w:ind w:right="148"/>
        <w:jc w:val="both"/>
      </w:pPr>
      <w:r>
        <w:rPr/>
        <w:t>用寿命的年限或者构成使用寿命的产量等类似计量单位数量；无法预见无形资产为企业带来</w:t>
      </w:r>
      <w:r>
        <w:rPr>
          <w:spacing w:val="-83"/>
        </w:rPr>
        <w:t> </w:t>
      </w:r>
      <w:r>
        <w:rPr>
          <w:spacing w:val="-83"/>
        </w:rPr>
      </w:r>
      <w:r>
        <w:rPr/>
        <w:t>经济利益期限的，视为使用寿命不确定的无形资产。本公司报告期内使用寿命有限的无形资</w:t>
      </w:r>
      <w:r>
        <w:rPr>
          <w:spacing w:val="-83"/>
        </w:rPr>
        <w:t> </w:t>
      </w:r>
      <w:r>
        <w:rPr>
          <w:spacing w:val="-83"/>
        </w:rPr>
      </w:r>
      <w:r>
        <w:rPr/>
        <w:t>产包括土地使用权、考勤系统、MFG/PRO</w:t>
      </w:r>
      <w:r>
        <w:rPr>
          <w:spacing w:val="-60"/>
        </w:rPr>
        <w:t> </w:t>
      </w:r>
      <w:r>
        <w:rPr/>
        <w:t>系统，本年度不存在使用寿命不确定的无形资产。</w:t>
      </w:r>
    </w:p>
    <w:p>
      <w:pPr>
        <w:pStyle w:val="BodyText"/>
        <w:spacing w:line="336" w:lineRule="auto" w:before="29"/>
        <w:ind w:right="151" w:firstLine="540"/>
        <w:jc w:val="both"/>
      </w:pPr>
      <w:r>
        <w:rPr>
          <w:spacing w:val="-1"/>
        </w:rPr>
        <w:t>使用寿命有限的无形资产在使用寿命内采用直线法摊销，使用寿命不确定的无形资产不</w:t>
      </w:r>
      <w:r>
        <w:rPr/>
        <w:t> 予摊销。</w:t>
      </w:r>
    </w:p>
    <w:p>
      <w:pPr>
        <w:pStyle w:val="BodyText"/>
        <w:spacing w:line="336" w:lineRule="auto"/>
        <w:ind w:left="694" w:right="3230"/>
        <w:jc w:val="left"/>
      </w:pPr>
      <w:r>
        <w:rPr/>
        <w:t>各种无形资产在其有效期限内按直线法摊销。具体如下： MFG/PRO 系统：从使用后按</w:t>
      </w:r>
      <w:r>
        <w:rPr>
          <w:spacing w:val="-60"/>
        </w:rPr>
        <w:t> </w:t>
      </w:r>
      <w:r>
        <w:rPr/>
        <w:t>5</w:t>
      </w:r>
      <w:r>
        <w:rPr>
          <w:spacing w:val="-60"/>
        </w:rPr>
        <w:t> </w:t>
      </w:r>
      <w:r>
        <w:rPr/>
        <w:t>年平均摊销；</w:t>
      </w:r>
      <w:r>
        <w:rPr/>
        <w:t> 土地使用权：按</w:t>
      </w:r>
      <w:r>
        <w:rPr>
          <w:spacing w:val="-60"/>
        </w:rPr>
        <w:t> </w:t>
      </w:r>
      <w:r>
        <w:rPr/>
        <w:t>50</w:t>
      </w:r>
      <w:r>
        <w:rPr>
          <w:spacing w:val="-60"/>
        </w:rPr>
        <w:t> </w:t>
      </w:r>
      <w:r>
        <w:rPr/>
        <w:t>年平均摊销；</w:t>
      </w:r>
    </w:p>
    <w:p>
      <w:pPr>
        <w:pStyle w:val="BodyText"/>
        <w:spacing w:line="336" w:lineRule="auto"/>
        <w:ind w:left="694" w:right="0"/>
        <w:jc w:val="left"/>
      </w:pPr>
      <w:r>
        <w:rPr/>
        <w:t>其他：从使用后按</w:t>
      </w:r>
      <w:r>
        <w:rPr>
          <w:spacing w:val="-60"/>
        </w:rPr>
        <w:t> </w:t>
      </w:r>
      <w:r>
        <w:rPr/>
        <w:t>5</w:t>
      </w:r>
      <w:r>
        <w:rPr>
          <w:spacing w:val="-60"/>
        </w:rPr>
        <w:t> </w:t>
      </w:r>
      <w:r>
        <w:rPr/>
        <w:t>年平均摊销。</w:t>
      </w:r>
      <w:r>
        <w:rPr/>
        <w:t> 3.研究开发项目研究阶段支出与开发阶段支出的划分标准： 内部研究开发项目开发阶段的支出，同时满足下列条件的，才能确认为无形资产： (1)完成该无形资产以使其能够使用或出售在技术上具有可行性； (2)具有完成该无形资产并使用或出售的意图； (3)无形资产产生经济利益的方式，能够证明运用该无形资产生产的产品存在市场或无</w:t>
      </w:r>
    </w:p>
    <w:p>
      <w:pPr>
        <w:pStyle w:val="BodyText"/>
        <w:spacing w:line="336" w:lineRule="auto"/>
        <w:ind w:left="694" w:right="0" w:hanging="540"/>
        <w:jc w:val="left"/>
      </w:pPr>
      <w:r>
        <w:rPr/>
        <w:t>形资产自身存在市场，无形资产将在内部使用的，应当证明其有用性； (4)有足够的技术、财务资源和其他资源支持，以完成该无形资产的开发，并有能力使</w:t>
      </w:r>
    </w:p>
    <w:p>
      <w:pPr>
        <w:pStyle w:val="BodyText"/>
        <w:spacing w:line="336" w:lineRule="auto"/>
        <w:ind w:left="694" w:right="3350" w:hanging="540"/>
        <w:jc w:val="left"/>
      </w:pPr>
      <w:r>
        <w:rPr/>
        <w:t>用或出售该无形资产； (5)归属于该无形资产开发阶段的支出能够可靠地计量。 (十六)长期待摊费用的摊销方法及摊销年限 长期待摊费用在受益期内平均摊销，其中：</w:t>
      </w:r>
    </w:p>
    <w:p>
      <w:pPr>
        <w:pStyle w:val="BodyText"/>
        <w:spacing w:line="336" w:lineRule="auto"/>
        <w:ind w:right="151" w:firstLine="540"/>
        <w:jc w:val="both"/>
      </w:pPr>
      <w:r>
        <w:rPr>
          <w:spacing w:val="-1"/>
        </w:rPr>
        <w:t>1.预付经营租入固定资产的租金，按租赁合同规定的期限或其它合理方法（结合公司特</w:t>
      </w:r>
      <w:r>
        <w:rPr/>
        <w:t> 殊情况加以说明）平均摊销。</w:t>
      </w:r>
    </w:p>
    <w:p>
      <w:pPr>
        <w:pStyle w:val="BodyText"/>
        <w:spacing w:line="336" w:lineRule="auto"/>
        <w:ind w:right="151" w:firstLine="540"/>
        <w:jc w:val="both"/>
      </w:pPr>
      <w:r>
        <w:rPr>
          <w:spacing w:val="-1"/>
        </w:rPr>
        <w:t>2.经营租赁方式租入的固定资产改良支出，按剩余租赁期与租赁资产尚可使用年限两者</w:t>
      </w:r>
      <w:r>
        <w:rPr/>
        <w:t> 中较短的期限平均摊销。</w:t>
      </w:r>
    </w:p>
    <w:p>
      <w:pPr>
        <w:pStyle w:val="BodyText"/>
        <w:spacing w:line="336" w:lineRule="auto" w:before="29"/>
        <w:ind w:left="694" w:right="2270"/>
        <w:jc w:val="left"/>
      </w:pPr>
      <w:r>
        <w:rPr/>
        <w:t>(十七)除存货、投资性房地产及金融资产外的其他主要资产的减值 1.长期股权投资</w:t>
      </w:r>
    </w:p>
    <w:p>
      <w:pPr>
        <w:pStyle w:val="BodyText"/>
        <w:spacing w:line="336" w:lineRule="auto"/>
        <w:ind w:right="148" w:firstLine="540"/>
        <w:jc w:val="both"/>
      </w:pPr>
      <w:r>
        <w:rPr>
          <w:spacing w:val="-1"/>
        </w:rPr>
        <w:t>成本法核算的、在活跃市场中没有报价、公允价值不能可靠计量的长期股权投资，其减</w:t>
      </w:r>
      <w:r>
        <w:rPr/>
        <w:t> 值损失是根据其账面价值与按类似金融资产当时市场收益率对未来现金流量折现确定的现值</w:t>
      </w:r>
      <w:r>
        <w:rPr>
          <w:spacing w:val="-83"/>
        </w:rPr>
        <w:t> </w:t>
      </w:r>
      <w:r>
        <w:rPr>
          <w:spacing w:val="-83"/>
        </w:rPr>
      </w:r>
      <w:r>
        <w:rPr/>
        <w:t>之间的差额进行确定。</w:t>
      </w:r>
    </w:p>
    <w:p>
      <w:pPr>
        <w:spacing w:after="0" w:line="336"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154" w:right="151" w:firstLine="540"/>
        <w:jc w:val="both"/>
      </w:pPr>
      <w:r>
        <w:rPr>
          <w:spacing w:val="-1"/>
        </w:rPr>
        <w:t>其他长期股权投资，如果可收回金额的计量结果表明，该长期股权投资的可收回金额低</w:t>
      </w:r>
      <w:r>
        <w:rPr/>
        <w:t> 于其账面价值的，将差额确认为减值损失。</w:t>
      </w:r>
    </w:p>
    <w:p>
      <w:pPr>
        <w:pStyle w:val="BodyText"/>
        <w:spacing w:line="336" w:lineRule="auto" w:before="29"/>
        <w:ind w:left="694" w:right="148"/>
        <w:jc w:val="left"/>
      </w:pPr>
      <w:r>
        <w:rPr/>
        <w:t>长期股权投资减值损失一经确认，不再转回。 2.固定资产、在建工程、无形资产、商誉等长期非金融资产 </w:t>
      </w:r>
      <w:r>
        <w:rPr>
          <w:spacing w:val="-1"/>
        </w:rPr>
        <w:t>对于固定资产、在建工程、无形资产等长期非金融资产，公司在每年末判断相关资产是</w:t>
      </w:r>
    </w:p>
    <w:p>
      <w:pPr>
        <w:pStyle w:val="BodyText"/>
        <w:spacing w:line="336" w:lineRule="auto" w:before="29"/>
        <w:ind w:left="694" w:right="148" w:hanging="540"/>
        <w:jc w:val="left"/>
      </w:pPr>
      <w:r>
        <w:rPr/>
        <w:t>否存在可能发生减值的迹象。 </w:t>
      </w:r>
      <w:r>
        <w:rPr>
          <w:spacing w:val="-1"/>
        </w:rPr>
        <w:t>因企业合并所形成的商誉和使用寿命不确定的无形资产，无论是否存在减值迹象，每年</w:t>
      </w:r>
    </w:p>
    <w:p>
      <w:pPr>
        <w:pStyle w:val="BodyText"/>
        <w:spacing w:line="336" w:lineRule="auto"/>
        <w:ind w:left="694" w:right="148" w:hanging="540"/>
        <w:jc w:val="left"/>
      </w:pPr>
      <w:r>
        <w:rPr/>
        <w:t>都进行减值测试。 </w:t>
      </w:r>
      <w:r>
        <w:rPr>
          <w:spacing w:val="-1"/>
        </w:rPr>
        <w:t>资产存在减值迹象的，估计其可收回金额。可收回金额根据资产的公允价值减去处置费</w:t>
      </w:r>
    </w:p>
    <w:p>
      <w:pPr>
        <w:pStyle w:val="BodyText"/>
        <w:spacing w:line="336" w:lineRule="auto"/>
        <w:ind w:left="694" w:right="148" w:hanging="540"/>
        <w:jc w:val="left"/>
      </w:pPr>
      <w:r>
        <w:rPr/>
        <w:t>用后的净额与资产预计未来现金流量的现值两者之间较高者确定。 </w:t>
      </w:r>
      <w:r>
        <w:rPr>
          <w:spacing w:val="-1"/>
        </w:rPr>
        <w:t>当资产的可收回金额低于其账面价值的，将资产的账面价值减记至可收回金额，减记的</w:t>
      </w:r>
    </w:p>
    <w:p>
      <w:pPr>
        <w:pStyle w:val="BodyText"/>
        <w:spacing w:line="336" w:lineRule="auto" w:before="29"/>
        <w:ind w:left="694" w:right="148" w:hanging="540"/>
        <w:jc w:val="left"/>
      </w:pPr>
      <w:r>
        <w:rPr/>
        <w:t>金额确认为资产减值损失，计入当期损益，同时计提相应的资产减值准备。 </w:t>
      </w:r>
      <w:r>
        <w:rPr>
          <w:spacing w:val="-1"/>
        </w:rPr>
        <w:t>资产减值损失确认后，减值资产的折旧或者摊销费用在未来期间作相应调整，以使该资</w:t>
      </w:r>
    </w:p>
    <w:p>
      <w:pPr>
        <w:pStyle w:val="BodyText"/>
        <w:spacing w:line="336" w:lineRule="auto"/>
        <w:ind w:left="694" w:right="148" w:hanging="540"/>
        <w:jc w:val="left"/>
      </w:pPr>
      <w:r>
        <w:rPr>
          <w:spacing w:val="-4"/>
        </w:rPr>
        <w:t>产在剩余使用寿命内，系统地分摊调整后的资产账面价值（扣除预计净残值）。</w:t>
      </w:r>
      <w:r>
        <w:rPr>
          <w:spacing w:val="-100"/>
        </w:rPr>
        <w:t> </w:t>
      </w:r>
      <w:r>
        <w:rPr>
          <w:spacing w:val="-100"/>
        </w:rPr>
      </w:r>
      <w:r>
        <w:rPr>
          <w:spacing w:val="-1"/>
        </w:rPr>
        <w:t>固定资产、在建工程、无形资产等长期非金融资产资产减值损失一经确认，在以后会计</w:t>
      </w:r>
    </w:p>
    <w:p>
      <w:pPr>
        <w:pStyle w:val="BodyText"/>
        <w:spacing w:line="240" w:lineRule="auto"/>
        <w:ind w:right="0"/>
        <w:jc w:val="left"/>
      </w:pPr>
      <w:r>
        <w:rPr/>
        <w:t>期间不再转回。</w:t>
      </w:r>
    </w:p>
    <w:p>
      <w:pPr>
        <w:pStyle w:val="BodyText"/>
        <w:spacing w:line="336" w:lineRule="auto" w:before="126"/>
        <w:ind w:right="148" w:firstLine="540"/>
        <w:jc w:val="both"/>
      </w:pPr>
      <w:r>
        <w:rPr>
          <w:spacing w:val="-1"/>
        </w:rPr>
        <w:t>有迹象表明一项资产可能发生减值的，企业以单项资产为基础估计其可收回金额。企业</w:t>
      </w:r>
      <w:r>
        <w:rPr/>
        <w:t> 难以对单项资产的可收回金额进行估计的，以该资产所属的资产组为基础确定资产组的可收</w:t>
      </w:r>
      <w:r>
        <w:rPr>
          <w:spacing w:val="-83"/>
        </w:rPr>
        <w:t> </w:t>
      </w:r>
      <w:r>
        <w:rPr>
          <w:spacing w:val="-83"/>
        </w:rPr>
      </w:r>
      <w:r>
        <w:rPr/>
        <w:t>回金额。</w:t>
      </w:r>
    </w:p>
    <w:p>
      <w:pPr>
        <w:pStyle w:val="BodyText"/>
        <w:spacing w:line="336" w:lineRule="auto"/>
        <w:ind w:right="148" w:firstLine="540"/>
        <w:jc w:val="both"/>
      </w:pPr>
      <w:r>
        <w:rPr>
          <w:spacing w:val="-1"/>
        </w:rPr>
        <w:t>资产组的认定，以资产组产生的主要现金流入是否独立于其他资产或者资产组的现金流</w:t>
      </w:r>
      <w:r>
        <w:rPr/>
        <w:t> 入为依据。同时，在认定资产组时，考虑公司管理层管理生产经营活动的方式和对资产的持</w:t>
      </w:r>
      <w:r>
        <w:rPr>
          <w:spacing w:val="-83"/>
        </w:rPr>
        <w:t> </w:t>
      </w:r>
      <w:r>
        <w:rPr>
          <w:spacing w:val="-83"/>
        </w:rPr>
      </w:r>
      <w:r>
        <w:rPr/>
        <w:t>续使用或者处置的决策方式等。</w:t>
      </w:r>
    </w:p>
    <w:p>
      <w:pPr>
        <w:pStyle w:val="BodyText"/>
        <w:spacing w:line="336" w:lineRule="auto"/>
        <w:ind w:left="694" w:right="128"/>
        <w:jc w:val="left"/>
      </w:pPr>
      <w:r>
        <w:rPr/>
        <w:t>资产组的可收回金额低于其账面价值的，确认相应的减值损失。 </w:t>
      </w:r>
      <w:r>
        <w:rPr>
          <w:spacing w:val="6"/>
        </w:rPr>
        <w:t>资产组的可收回金额按该资产组的公允价值减去处置费用后的净额与其预计未来现金</w:t>
      </w:r>
      <w:r>
        <w:rPr/>
      </w:r>
    </w:p>
    <w:p>
      <w:pPr>
        <w:pStyle w:val="BodyText"/>
        <w:spacing w:line="336" w:lineRule="auto"/>
        <w:ind w:right="148"/>
        <w:jc w:val="both"/>
      </w:pPr>
      <w:r>
        <w:rPr/>
        <w:t>流量的现值两者之间较高者确定。在合并财务报表中反映的商誉，不包括子公司归属于少数</w:t>
      </w:r>
      <w:r>
        <w:rPr>
          <w:spacing w:val="-83"/>
        </w:rPr>
        <w:t> </w:t>
      </w:r>
      <w:r>
        <w:rPr>
          <w:spacing w:val="-83"/>
        </w:rPr>
      </w:r>
      <w:r>
        <w:rPr/>
        <w:t>股东权益的商誉。但对相关的资产组进行减值测试时，将归属于少数股东权益的商誉包括在</w:t>
      </w:r>
      <w:r>
        <w:rPr>
          <w:spacing w:val="-83"/>
        </w:rPr>
        <w:t> </w:t>
      </w:r>
      <w:r>
        <w:rPr>
          <w:spacing w:val="-83"/>
        </w:rPr>
      </w:r>
      <w:r>
        <w:rPr/>
        <w:t>内，调整资产组的账面价值，然后根据调整后的资产组账面价值与其可收回金额进行比较。</w:t>
      </w:r>
      <w:r>
        <w:rPr>
          <w:spacing w:val="-83"/>
        </w:rPr>
        <w:t> </w:t>
      </w:r>
      <w:r>
        <w:rPr>
          <w:spacing w:val="-83"/>
        </w:rPr>
      </w:r>
      <w:r>
        <w:rPr/>
        <w:t>如上述资产组发生减值的，该损失按比例扣除少数股东权益份额后，确认归属于母公司的商</w:t>
      </w:r>
      <w:r>
        <w:rPr>
          <w:spacing w:val="-83"/>
        </w:rPr>
        <w:t> </w:t>
      </w:r>
      <w:r>
        <w:rPr>
          <w:spacing w:val="-83"/>
        </w:rPr>
      </w:r>
      <w:r>
        <w:rPr>
          <w:spacing w:val="-18"/>
        </w:rPr>
        <w:t>誉减值损失。）</w:t>
      </w:r>
    </w:p>
    <w:p>
      <w:pPr>
        <w:pStyle w:val="BodyText"/>
        <w:spacing w:line="336" w:lineRule="auto" w:before="29"/>
        <w:ind w:left="694" w:right="1070"/>
        <w:jc w:val="left"/>
      </w:pPr>
      <w:r>
        <w:rPr/>
        <w:t>资产组一经认定，通常不进行调整，有确凿证据表明资产组确要调整的除外。 (十八)长期股权投资的核算</w:t>
      </w:r>
    </w:p>
    <w:p>
      <w:pPr>
        <w:spacing w:after="0" w:line="336"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5830"/>
        <w:jc w:val="left"/>
      </w:pPr>
      <w:r>
        <w:rPr/>
        <w:t>1.初始计量 (1)企业合并形成的长期股权投资</w:t>
      </w:r>
    </w:p>
    <w:p>
      <w:pPr>
        <w:pStyle w:val="BodyText"/>
        <w:spacing w:line="336" w:lineRule="auto" w:before="29"/>
        <w:ind w:right="228" w:firstLine="540"/>
        <w:jc w:val="both"/>
      </w:pPr>
      <w:r>
        <w:rPr>
          <w:spacing w:val="-1"/>
        </w:rPr>
        <w:t>同一控制下的企业合并：公司以支付现金、转让非现金资产或承担债务方式以及以发行</w:t>
      </w:r>
      <w:r>
        <w:rPr/>
        <w:t> 权益性证券作为合并对价的，在合并日按照取得被合并方所有者权益账面价值的份额作为长</w:t>
      </w:r>
      <w:r>
        <w:rPr>
          <w:spacing w:val="-83"/>
        </w:rPr>
        <w:t> </w:t>
      </w:r>
      <w:r>
        <w:rPr>
          <w:spacing w:val="-83"/>
        </w:rPr>
      </w:r>
      <w:r>
        <w:rPr/>
        <w:t>期股权投资的初始投资成本。长期股权投资初始投资成本与支付合并对价之间的差额，调整</w:t>
      </w:r>
      <w:r>
        <w:rPr>
          <w:spacing w:val="-83"/>
        </w:rPr>
        <w:t> </w:t>
      </w:r>
      <w:r>
        <w:rPr>
          <w:spacing w:val="-83"/>
        </w:rPr>
      </w:r>
      <w:r>
        <w:rPr/>
        <w:t>资本公积；资本公积不足冲减的，调整留存收益。合并发生的各项直接相关费用，包括为进</w:t>
      </w:r>
      <w:r>
        <w:rPr>
          <w:spacing w:val="-83"/>
        </w:rPr>
        <w:t> </w:t>
      </w:r>
      <w:r>
        <w:rPr>
          <w:spacing w:val="-83"/>
        </w:rPr>
      </w:r>
      <w:r>
        <w:rPr/>
        <w:t>行合并而支付的审计费用、评估费用、法律服务费用等，于发生时计入当期损益。</w:t>
      </w:r>
    </w:p>
    <w:p>
      <w:pPr>
        <w:pStyle w:val="BodyText"/>
        <w:spacing w:line="336" w:lineRule="auto"/>
        <w:ind w:right="231" w:firstLine="540"/>
        <w:jc w:val="both"/>
      </w:pPr>
      <w:r>
        <w:rPr/>
        <w:t>非同一控制下的企业合并：公司在购买日按照《企业会计准则第 20</w:t>
      </w:r>
      <w:r>
        <w:rPr>
          <w:spacing w:val="-22"/>
        </w:rPr>
        <w:t> </w:t>
      </w:r>
      <w:r>
        <w:rPr/>
        <w:t>号——企业合并》</w:t>
      </w:r>
      <w:r>
        <w:rPr/>
        <w:t> 确定的合并成本作为长期股权投资的初始投资成本。</w:t>
      </w:r>
    </w:p>
    <w:p>
      <w:pPr>
        <w:pStyle w:val="BodyText"/>
        <w:spacing w:line="336" w:lineRule="auto"/>
        <w:ind w:left="694" w:right="228"/>
        <w:jc w:val="left"/>
      </w:pPr>
      <w:r>
        <w:rPr/>
        <w:t>(2)其他方式取得的长期股权投资 以支付现金方式取得的长期股权投资，按照实际支付的购买价款作为初始投资成本。 </w:t>
      </w:r>
      <w:r>
        <w:rPr>
          <w:spacing w:val="-1"/>
        </w:rPr>
        <w:t>以发行权益性证券取得的长期股权投资，按照发行权益性证券的公允价值作为初始投资</w:t>
      </w:r>
    </w:p>
    <w:p>
      <w:pPr>
        <w:pStyle w:val="BodyText"/>
        <w:spacing w:line="240" w:lineRule="auto"/>
        <w:ind w:right="0"/>
        <w:jc w:val="both"/>
      </w:pPr>
      <w:r>
        <w:rPr/>
        <w:t>成本。</w:t>
      </w:r>
    </w:p>
    <w:p>
      <w:pPr>
        <w:pStyle w:val="BodyText"/>
        <w:spacing w:line="336" w:lineRule="auto" w:before="126"/>
        <w:ind w:right="231" w:firstLine="540"/>
        <w:jc w:val="both"/>
      </w:pPr>
      <w:r>
        <w:rPr>
          <w:spacing w:val="-1"/>
        </w:rPr>
        <w:t>投资者投入的长期股权投资，按照投资合同或协议约定的价值（扣除已宣告但尚未发放</w:t>
      </w:r>
      <w:r>
        <w:rPr/>
        <w:t> 的现金股利或利润）作为初始投资成本，但合同或协议约定价值不公允的除外。</w:t>
      </w:r>
    </w:p>
    <w:p>
      <w:pPr>
        <w:pStyle w:val="BodyText"/>
        <w:spacing w:line="336" w:lineRule="auto"/>
        <w:ind w:right="111" w:firstLine="540"/>
        <w:jc w:val="both"/>
      </w:pPr>
      <w:r>
        <w:rPr>
          <w:spacing w:val="6"/>
        </w:rPr>
        <w:t>在非货币性资产交换具备商业实质和换入资产或换出资产的公允价值能够可靠计量的 </w:t>
      </w:r>
      <w:r>
        <w:rPr/>
        <w:t>前提下，非货币性资产交换换入的长期股权投资以换出资产的公允价值为基础确定其初始投</w:t>
      </w:r>
      <w:r>
        <w:rPr>
          <w:spacing w:val="-83"/>
        </w:rPr>
        <w:t> </w:t>
      </w:r>
      <w:r>
        <w:rPr>
          <w:spacing w:val="-83"/>
        </w:rPr>
      </w:r>
      <w:r>
        <w:rPr/>
        <w:t>资成本，除非有确凿证据表明换入资产的公允价值更加可靠；不满足上述前提的非货币性资</w:t>
      </w:r>
      <w:r>
        <w:rPr>
          <w:spacing w:val="-83"/>
        </w:rPr>
        <w:t> </w:t>
      </w:r>
      <w:r>
        <w:rPr>
          <w:spacing w:val="-83"/>
        </w:rPr>
      </w:r>
      <w:r>
        <w:rPr>
          <w:spacing w:val="-2"/>
        </w:rPr>
        <w:t>产交换，以换出资产的账面价值和应支付的相关税费作为换入长期股权投资的初始投资成本。</w:t>
      </w:r>
    </w:p>
    <w:p>
      <w:pPr>
        <w:pStyle w:val="BodyText"/>
        <w:spacing w:line="336" w:lineRule="auto"/>
        <w:ind w:left="694" w:right="228"/>
        <w:jc w:val="left"/>
      </w:pPr>
      <w:r>
        <w:rPr/>
        <w:t>通过债务重组取得的长期股权投资，其初始投资成本按照公允价值为基础确定。 2.被投资单位具有共同控制、重大影响的依据 </w:t>
      </w:r>
      <w:r>
        <w:rPr>
          <w:spacing w:val="-1"/>
        </w:rPr>
        <w:t>按照合同约定对某项经济活动所共有的控制，仅在与该项经济活动相关的重要财务和经</w:t>
      </w:r>
    </w:p>
    <w:p>
      <w:pPr>
        <w:pStyle w:val="BodyText"/>
        <w:spacing w:line="336" w:lineRule="auto"/>
        <w:ind w:left="154" w:right="228"/>
        <w:jc w:val="both"/>
      </w:pPr>
      <w:r>
        <w:rPr/>
        <w:t>营决策需要分享控制权的投资方一致同意时存在，则视为与其他方对被投资单位实施共同控</w:t>
      </w:r>
      <w:r>
        <w:rPr>
          <w:spacing w:val="-83"/>
        </w:rPr>
        <w:t> </w:t>
      </w:r>
      <w:r>
        <w:rPr>
          <w:spacing w:val="-83"/>
        </w:rPr>
      </w:r>
      <w:r>
        <w:rPr/>
        <w:t>制；对一个企业的财务和经营决策有参与决策的权力，但并不能够控制或者与其他方一起共</w:t>
      </w:r>
      <w:r>
        <w:rPr>
          <w:spacing w:val="-83"/>
        </w:rPr>
        <w:t> </w:t>
      </w:r>
      <w:r>
        <w:rPr>
          <w:spacing w:val="-83"/>
        </w:rPr>
      </w:r>
      <w:r>
        <w:rPr/>
        <w:t>同控制这些政策的制定，则视为投资企业能够对被投资单位施加重大影响。</w:t>
      </w:r>
    </w:p>
    <w:p>
      <w:pPr>
        <w:pStyle w:val="BodyText"/>
        <w:spacing w:line="336" w:lineRule="auto"/>
        <w:ind w:left="694" w:right="228"/>
        <w:jc w:val="left"/>
      </w:pPr>
      <w:r>
        <w:rPr/>
        <w:t>3.后续计量及收益确认 </w:t>
      </w:r>
      <w:r>
        <w:rPr>
          <w:spacing w:val="-1"/>
        </w:rPr>
        <w:t>公司能够对被投资单位施加重大影响或共同控制的，初始投资成本大于投资时应享有被</w:t>
      </w:r>
    </w:p>
    <w:p>
      <w:pPr>
        <w:pStyle w:val="BodyText"/>
        <w:spacing w:line="336" w:lineRule="auto"/>
        <w:ind w:left="154" w:right="228"/>
        <w:jc w:val="both"/>
      </w:pPr>
      <w:r>
        <w:rPr/>
        <w:t>投资单位可辨认净资产公允价值份额的差额，不调整长期股权投资的初始投资成本；初始投</w:t>
      </w:r>
      <w:r>
        <w:rPr>
          <w:spacing w:val="-83"/>
        </w:rPr>
        <w:t> </w:t>
      </w:r>
      <w:r>
        <w:rPr>
          <w:spacing w:val="-83"/>
        </w:rPr>
      </w:r>
      <w:r>
        <w:rPr/>
        <w:t>资成本小于投资时应享有被投资单位可辨认净资产公允价值份额的差额，计入当期损益。</w:t>
      </w:r>
    </w:p>
    <w:p>
      <w:pPr>
        <w:pStyle w:val="BodyText"/>
        <w:spacing w:line="336" w:lineRule="auto" w:before="29"/>
        <w:ind w:left="154" w:right="231" w:firstLine="540"/>
        <w:jc w:val="both"/>
      </w:pPr>
      <w:r>
        <w:rPr>
          <w:spacing w:val="-1"/>
        </w:rPr>
        <w:t>公司对子公司的长期股权投资，采用成本法核算，编制合并财务报表时按照权益法进行</w:t>
      </w:r>
      <w:r>
        <w:rPr/>
        <w:t> 调整。</w:t>
      </w:r>
    </w:p>
    <w:p>
      <w:pPr>
        <w:spacing w:after="0" w:line="336" w:lineRule="auto"/>
        <w:jc w:val="both"/>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154" w:right="151" w:firstLine="540"/>
        <w:jc w:val="both"/>
      </w:pPr>
      <w:r>
        <w:rPr>
          <w:spacing w:val="-1"/>
        </w:rPr>
        <w:t>对被投资单位不具有共同控制或重大影响，并且在活跃市场中没有报价、公允价值不能</w:t>
      </w:r>
      <w:r>
        <w:rPr/>
        <w:t> 可靠计量的长期股权投资，采用成本法核算。</w:t>
      </w:r>
    </w:p>
    <w:p>
      <w:pPr>
        <w:pStyle w:val="BodyText"/>
        <w:spacing w:line="336" w:lineRule="auto" w:before="29"/>
        <w:ind w:left="694" w:right="128"/>
        <w:jc w:val="left"/>
      </w:pPr>
      <w:r>
        <w:rPr/>
        <w:t>对被投资单位具有共同控制或重大影响的长期股权投资，采用权益法核算。 </w:t>
      </w:r>
      <w:r>
        <w:rPr>
          <w:spacing w:val="6"/>
        </w:rPr>
        <w:t>成本法下公司确认投资收益，仅限于被投资单位接受投资后产生的累积净利润的分配</w:t>
      </w:r>
      <w:r>
        <w:rPr/>
      </w:r>
    </w:p>
    <w:p>
      <w:pPr>
        <w:pStyle w:val="BodyText"/>
        <w:spacing w:line="336" w:lineRule="auto"/>
        <w:ind w:left="694" w:right="110" w:hanging="540"/>
        <w:jc w:val="left"/>
      </w:pPr>
      <w:r>
        <w:rPr/>
        <w:t>额，所获得的利润或现金股利超过上述数额的部分作为初始投资成本的收回。 权益法下在公司确认应分担被投资单位发生的亏损时，按照以下顺序进行处理：首先，</w:t>
      </w:r>
    </w:p>
    <w:p>
      <w:pPr>
        <w:pStyle w:val="BodyText"/>
        <w:spacing w:line="336" w:lineRule="auto"/>
        <w:ind w:right="148"/>
        <w:jc w:val="both"/>
      </w:pPr>
      <w:r>
        <w:rPr/>
        <w:t>冲减长期股权投资的账面价值。其次，长期股权投资的账面价值不足以冲减的，以其他实质</w:t>
      </w:r>
      <w:r>
        <w:rPr>
          <w:spacing w:val="-83"/>
        </w:rPr>
        <w:t> </w:t>
      </w:r>
      <w:r>
        <w:rPr>
          <w:spacing w:val="-83"/>
        </w:rPr>
      </w:r>
      <w:r>
        <w:rPr/>
        <w:t>上构成对被投资单位净投资的长期权益账面价值为限继续确认投资损失，冲减长期应收项目</w:t>
      </w:r>
      <w:r>
        <w:rPr>
          <w:spacing w:val="-83"/>
        </w:rPr>
        <w:t> </w:t>
      </w:r>
      <w:r>
        <w:rPr>
          <w:spacing w:val="-83"/>
        </w:rPr>
      </w:r>
      <w:r>
        <w:rPr/>
        <w:t>等的账面价值。最后，经过上述处理，按照投资合同或协议约定企业仍承担额外义务的，按</w:t>
      </w:r>
      <w:r>
        <w:rPr>
          <w:spacing w:val="-83"/>
        </w:rPr>
        <w:t> </w:t>
      </w:r>
      <w:r>
        <w:rPr>
          <w:spacing w:val="-83"/>
        </w:rPr>
      </w:r>
      <w:r>
        <w:rPr/>
        <w:t>预计承担的义务确认预计负债，计入当期投资损失。</w:t>
      </w:r>
    </w:p>
    <w:p>
      <w:pPr>
        <w:pStyle w:val="BodyText"/>
        <w:spacing w:line="336" w:lineRule="auto"/>
        <w:ind w:right="148" w:firstLine="540"/>
        <w:jc w:val="both"/>
      </w:pPr>
      <w:r>
        <w:rPr>
          <w:spacing w:val="-1"/>
        </w:rPr>
        <w:t>被投资单位以后期间实现盈利的，公司在扣除未确认的亏损分担额后，按与上述相反的</w:t>
      </w:r>
      <w:r>
        <w:rPr/>
        <w:t> 顺序处理，减记已确认预计负债的账面余额、恢复其他实质上构成对被投资单位净投资的长</w:t>
      </w:r>
      <w:r>
        <w:rPr>
          <w:spacing w:val="-83"/>
        </w:rPr>
        <w:t> </w:t>
      </w:r>
      <w:r>
        <w:rPr>
          <w:spacing w:val="-83"/>
        </w:rPr>
      </w:r>
      <w:r>
        <w:rPr/>
        <w:t>期权益及长期股权投资的账面价值，同时确认投资收益。</w:t>
      </w:r>
    </w:p>
    <w:p>
      <w:pPr>
        <w:pStyle w:val="BodyText"/>
        <w:spacing w:line="336" w:lineRule="auto"/>
        <w:ind w:right="148" w:firstLine="540"/>
        <w:jc w:val="both"/>
      </w:pPr>
      <w:r>
        <w:rPr>
          <w:spacing w:val="-1"/>
        </w:rPr>
        <w:t>被投资单位除净损益以外所有者权益其他变动的处理：对于被投资单位除净损益以外所</w:t>
      </w:r>
      <w:r>
        <w:rPr/>
        <w:t> 有者权益的其他变动，在持股比例不变的情况下，公司按照持股比例计算应享有或承担的部</w:t>
      </w:r>
      <w:r>
        <w:rPr>
          <w:spacing w:val="-83"/>
        </w:rPr>
        <w:t> </w:t>
      </w:r>
      <w:r>
        <w:rPr>
          <w:spacing w:val="-83"/>
        </w:rPr>
      </w:r>
      <w:r>
        <w:rPr>
          <w:spacing w:val="-4"/>
        </w:rPr>
        <w:t>分，调整长期股权投资的账面价值，同时增加或减少资本公积（其他资本公积）。</w:t>
      </w:r>
    </w:p>
    <w:p>
      <w:pPr>
        <w:pStyle w:val="BodyText"/>
        <w:spacing w:line="336" w:lineRule="auto"/>
        <w:ind w:left="694" w:right="6110"/>
        <w:jc w:val="left"/>
      </w:pPr>
      <w:r>
        <w:rPr/>
        <w:t>(十九)借款费用资本化 1.借款费用资本化的确认原则</w:t>
      </w:r>
    </w:p>
    <w:p>
      <w:pPr>
        <w:pStyle w:val="BodyText"/>
        <w:spacing w:line="336" w:lineRule="auto"/>
        <w:ind w:right="148" w:firstLine="540"/>
        <w:jc w:val="both"/>
      </w:pPr>
      <w:r>
        <w:rPr>
          <w:spacing w:val="-1"/>
        </w:rPr>
        <w:t>公司发生的借款费用，可直接归属于符合资本化条件的资产的购建或者生产的，予以资</w:t>
      </w:r>
      <w:r>
        <w:rPr/>
        <w:t> 本化，计入相关资产成本；其他借款费用，在发生时根据其发生额确认为费用，计入当期损</w:t>
      </w:r>
      <w:r>
        <w:rPr>
          <w:spacing w:val="-83"/>
        </w:rPr>
        <w:t> </w:t>
      </w:r>
      <w:r>
        <w:rPr>
          <w:spacing w:val="-83"/>
        </w:rPr>
      </w:r>
      <w:r>
        <w:rPr/>
        <w:t>益。</w:t>
      </w:r>
    </w:p>
    <w:p>
      <w:pPr>
        <w:pStyle w:val="BodyText"/>
        <w:spacing w:line="336" w:lineRule="auto"/>
        <w:ind w:right="149" w:firstLine="540"/>
        <w:jc w:val="left"/>
      </w:pPr>
      <w:r>
        <w:rPr>
          <w:spacing w:val="-1"/>
        </w:rPr>
        <w:t>符合资本化条件的资产，是指需要经过相当长时间的购建或者生产活动才能达到预定可</w:t>
      </w:r>
      <w:r>
        <w:rPr/>
        <w:t> 使用或者可销售状态的固定资产、投资性房地产和存货等资产。</w:t>
      </w:r>
    </w:p>
    <w:p>
      <w:pPr>
        <w:pStyle w:val="BodyText"/>
        <w:spacing w:line="336" w:lineRule="auto" w:before="29"/>
        <w:ind w:left="694" w:right="0"/>
        <w:jc w:val="left"/>
      </w:pPr>
      <w:r>
        <w:rPr/>
        <w:t>借款费用同时满足下列条件时开始资本化： (1)资产支出已经发生，资产支出包括为购建或者生产符合资本化条件的资产而以支付</w:t>
      </w:r>
    </w:p>
    <w:p>
      <w:pPr>
        <w:pStyle w:val="BodyText"/>
        <w:spacing w:line="336" w:lineRule="auto"/>
        <w:ind w:left="694" w:right="3530" w:hanging="540"/>
        <w:jc w:val="left"/>
      </w:pPr>
      <w:r>
        <w:rPr/>
        <w:t>现金、转移非现金资产或者承担带息债务形式发生的支出； (2)借款费用已经发生；</w:t>
      </w:r>
    </w:p>
    <w:p>
      <w:pPr>
        <w:pStyle w:val="BodyText"/>
        <w:spacing w:line="336" w:lineRule="auto"/>
        <w:ind w:left="694" w:right="148"/>
        <w:jc w:val="left"/>
      </w:pPr>
      <w:r>
        <w:rPr/>
        <w:t>(3)为使资产达到预定可使用或者可销售状态所必要的购建或者生产活动已经开始。 </w:t>
      </w:r>
      <w:r>
        <w:rPr>
          <w:spacing w:val="-1"/>
        </w:rPr>
        <w:t>当符合资本化条件的资产在购建或者生产过程中发生非正常中断、且中断时间连续超过</w:t>
      </w:r>
    </w:p>
    <w:p>
      <w:pPr>
        <w:pStyle w:val="BodyText"/>
        <w:spacing w:line="336" w:lineRule="auto" w:before="29"/>
        <w:ind w:left="694" w:right="148" w:hanging="540"/>
        <w:jc w:val="left"/>
      </w:pPr>
      <w:r>
        <w:rPr/>
        <w:t>3 个月的，借款费用暂停资本化。 </w:t>
      </w:r>
      <w:r>
        <w:rPr>
          <w:spacing w:val="-1"/>
        </w:rPr>
        <w:t>当购建或者生产符合资本化条件的资产达到预定可使用或者可销售状态时，借款费用停</w:t>
      </w:r>
    </w:p>
    <w:p>
      <w:pPr>
        <w:spacing w:after="0" w:line="336"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154" w:right="0"/>
        <w:jc w:val="left"/>
      </w:pPr>
      <w:r>
        <w:rPr/>
        <w:t>止资本化。</w:t>
      </w:r>
    </w:p>
    <w:p>
      <w:pPr>
        <w:pStyle w:val="BodyText"/>
        <w:spacing w:line="336" w:lineRule="auto" w:before="126"/>
        <w:ind w:left="154" w:right="151" w:firstLine="540"/>
        <w:jc w:val="both"/>
      </w:pPr>
      <w:r>
        <w:rPr>
          <w:spacing w:val="-1"/>
        </w:rPr>
        <w:t>当购建或者生产符合资本化条件的资产中部分项目分别完工且可单独使用时，该部分资</w:t>
      </w:r>
      <w:r>
        <w:rPr/>
        <w:t> 产借款费用停止资本化。</w:t>
      </w:r>
    </w:p>
    <w:p>
      <w:pPr>
        <w:pStyle w:val="BodyText"/>
        <w:spacing w:line="336" w:lineRule="auto"/>
        <w:ind w:left="694" w:right="148"/>
        <w:jc w:val="left"/>
      </w:pPr>
      <w:r>
        <w:rPr/>
        <w:t>2.借款费用资本化期间 </w:t>
      </w:r>
      <w:r>
        <w:rPr>
          <w:spacing w:val="-1"/>
        </w:rPr>
        <w:t>资本化期间，指从借款费用开始资本化时点到停止资本化时点的期间，借款费用暂停资</w:t>
      </w:r>
    </w:p>
    <w:p>
      <w:pPr>
        <w:pStyle w:val="BodyText"/>
        <w:spacing w:line="336" w:lineRule="auto" w:before="29"/>
        <w:ind w:left="694" w:right="5630" w:hanging="540"/>
        <w:jc w:val="left"/>
      </w:pPr>
      <w:r>
        <w:rPr/>
        <w:t>本化的期间不包括在内。 3.借款费用资本化金额的计算方法</w:t>
      </w:r>
    </w:p>
    <w:p>
      <w:pPr>
        <w:pStyle w:val="BodyText"/>
        <w:spacing w:line="336" w:lineRule="auto"/>
        <w:ind w:right="148" w:firstLine="540"/>
        <w:jc w:val="both"/>
      </w:pPr>
      <w:r>
        <w:rPr>
          <w:spacing w:val="-1"/>
        </w:rPr>
        <w:t>专门借款的利息费用（扣除尚未动用的借款资金存入银行取得的利息收入或者进行暂时</w:t>
      </w:r>
      <w:r>
        <w:rPr/>
        <w:t> 性投资取得的投资收益）及其辅助费用在所购建或者生产的符合资本化条件的资产达到预定</w:t>
      </w:r>
      <w:r>
        <w:rPr>
          <w:spacing w:val="-83"/>
        </w:rPr>
        <w:t> </w:t>
      </w:r>
      <w:r>
        <w:rPr>
          <w:spacing w:val="-83"/>
        </w:rPr>
      </w:r>
      <w:r>
        <w:rPr/>
        <w:t>可使用或者可销售状态前，予以资本化。</w:t>
      </w:r>
    </w:p>
    <w:p>
      <w:pPr>
        <w:pStyle w:val="BodyText"/>
        <w:spacing w:line="336" w:lineRule="auto"/>
        <w:ind w:right="145" w:firstLine="540"/>
        <w:jc w:val="both"/>
      </w:pPr>
      <w:r>
        <w:rPr>
          <w:spacing w:val="6"/>
        </w:rPr>
        <w:t>根据累计资产支出超过专门借款部分的资产支出加权平均数乘以所占用一般借款的资 </w:t>
      </w:r>
      <w:r>
        <w:rPr/>
        <w:t>本化率，计算确定一般借款应予资本化的利息金额。资本化率根据一般借款加权平均利率计</w:t>
      </w:r>
      <w:r>
        <w:rPr>
          <w:spacing w:val="-83"/>
        </w:rPr>
        <w:t> </w:t>
      </w:r>
      <w:r>
        <w:rPr>
          <w:spacing w:val="-83"/>
        </w:rPr>
      </w:r>
      <w:r>
        <w:rPr/>
        <w:t>算确定。</w:t>
      </w:r>
    </w:p>
    <w:p>
      <w:pPr>
        <w:pStyle w:val="BodyText"/>
        <w:spacing w:line="336" w:lineRule="auto"/>
        <w:ind w:right="151" w:firstLine="540"/>
        <w:jc w:val="both"/>
      </w:pPr>
      <w:r>
        <w:rPr>
          <w:spacing w:val="-1"/>
        </w:rPr>
        <w:t>借款存在折价或者溢价的，按照实际利率法确定每一会计期间应摊销的折价或者溢价金</w:t>
      </w:r>
      <w:r>
        <w:rPr/>
        <w:t> 额，调整每期利息金额。</w:t>
      </w:r>
    </w:p>
    <w:p>
      <w:pPr>
        <w:pStyle w:val="BodyText"/>
        <w:spacing w:line="336" w:lineRule="auto"/>
        <w:ind w:left="694" w:right="7310"/>
        <w:jc w:val="left"/>
      </w:pPr>
      <w:r>
        <w:rPr/>
        <w:t>(二十)股份支付 1.股份支付的种类</w:t>
      </w:r>
    </w:p>
    <w:p>
      <w:pPr>
        <w:pStyle w:val="BodyText"/>
        <w:spacing w:line="336" w:lineRule="auto" w:before="29"/>
        <w:ind w:right="148" w:firstLine="540"/>
        <w:jc w:val="both"/>
      </w:pPr>
      <w:r>
        <w:rPr>
          <w:spacing w:val="-1"/>
        </w:rPr>
        <w:t>对于以权益结算的涉及职工的股份支付，按照授予日权益工具的公允价值计入成本费用</w:t>
      </w:r>
      <w:r>
        <w:rPr/>
        <w:t> 和资本公积，不确认其后续公允价值变动；在可行权之后不再对已确认的成本费用和所有者</w:t>
      </w:r>
      <w:r>
        <w:rPr>
          <w:spacing w:val="-83"/>
        </w:rPr>
        <w:t> </w:t>
      </w:r>
      <w:r>
        <w:rPr>
          <w:spacing w:val="-83"/>
        </w:rPr>
      </w:r>
      <w:r>
        <w:rPr/>
        <w:t>权益总额进行调整。按照行权情况，确认股本和股本溢价，同时结转等待期内确认的资本公</w:t>
      </w:r>
      <w:r>
        <w:rPr>
          <w:spacing w:val="-83"/>
        </w:rPr>
        <w:t> </w:t>
      </w:r>
      <w:r>
        <w:rPr>
          <w:spacing w:val="-83"/>
        </w:rPr>
      </w:r>
      <w:r>
        <w:rPr/>
        <w:t>积。其中：对于换取职工服务的股份支付，在等待期内的每个资产负债表日，以对可行权权</w:t>
      </w:r>
      <w:r>
        <w:rPr>
          <w:spacing w:val="-83"/>
        </w:rPr>
        <w:t> </w:t>
      </w:r>
      <w:r>
        <w:rPr>
          <w:spacing w:val="-83"/>
        </w:rPr>
      </w:r>
      <w:r>
        <w:rPr/>
        <w:t>益工具数量的最佳估计为基础，按照权益工具在授予日的公允价值，计相关资产成本或当期</w:t>
      </w:r>
      <w:r>
        <w:rPr>
          <w:spacing w:val="-83"/>
        </w:rPr>
        <w:t> </w:t>
      </w:r>
      <w:r>
        <w:rPr>
          <w:spacing w:val="-83"/>
        </w:rPr>
      </w:r>
      <w:r>
        <w:rPr/>
        <w:t>费用，同时计入资本公积；对于换取其他方服务的股份支付，以所换取其他方服务的公允价</w:t>
      </w:r>
      <w:r>
        <w:rPr>
          <w:spacing w:val="-83"/>
        </w:rPr>
        <w:t> </w:t>
      </w:r>
      <w:r>
        <w:rPr>
          <w:spacing w:val="-83"/>
        </w:rPr>
      </w:r>
      <w:r>
        <w:rPr/>
        <w:t>值计量。如果该公允价值不能可靠计量的，但权益工具的公允价值能够可靠计量的，则按权</w:t>
      </w:r>
      <w:r>
        <w:rPr>
          <w:spacing w:val="-83"/>
        </w:rPr>
        <w:t> </w:t>
      </w:r>
      <w:r>
        <w:rPr>
          <w:spacing w:val="-83"/>
        </w:rPr>
      </w:r>
      <w:r>
        <w:rPr/>
        <w:t>益工具在服务取得日的公允价值计量，计入相关资产成本或费用，同时计入资本公积中其他</w:t>
      </w:r>
      <w:r>
        <w:rPr>
          <w:spacing w:val="-83"/>
        </w:rPr>
        <w:t> </w:t>
      </w:r>
      <w:r>
        <w:rPr>
          <w:spacing w:val="-83"/>
        </w:rPr>
      </w:r>
      <w:r>
        <w:rPr/>
        <w:t>资本公积。</w:t>
      </w:r>
    </w:p>
    <w:p>
      <w:pPr>
        <w:pStyle w:val="BodyText"/>
        <w:spacing w:line="336" w:lineRule="auto" w:before="29"/>
        <w:ind w:right="148" w:firstLine="540"/>
        <w:jc w:val="both"/>
      </w:pPr>
      <w:r>
        <w:rPr>
          <w:spacing w:val="-1"/>
        </w:rPr>
        <w:t>对于以现金结算的涉及职工的股份支付，按照每个资产负债表日权益工具的公允价值重</w:t>
      </w:r>
      <w:r>
        <w:rPr/>
        <w:t> 新计量，确定成本费用和应付职工薪酬。在等待期内的每个资产负债表日，以对可行权权益</w:t>
      </w:r>
      <w:r>
        <w:rPr>
          <w:spacing w:val="-83"/>
        </w:rPr>
        <w:t> </w:t>
      </w:r>
      <w:r>
        <w:rPr>
          <w:spacing w:val="-83"/>
        </w:rPr>
      </w:r>
      <w:r>
        <w:rPr/>
        <w:t>工具数量的最佳估计为基础，按照承担的以股份或其他权益工具为基础计算确定的负债的公</w:t>
      </w:r>
      <w:r>
        <w:rPr>
          <w:spacing w:val="-83"/>
        </w:rPr>
        <w:t> </w:t>
      </w:r>
      <w:r>
        <w:rPr>
          <w:spacing w:val="-83"/>
        </w:rPr>
      </w:r>
      <w:r>
        <w:rPr/>
        <w:t>允价值计量，计入相关资产成本或费用，同时计入应付职工薪酬。在可行权之后不再确认成</w:t>
      </w:r>
      <w:r>
        <w:rPr>
          <w:spacing w:val="-83"/>
        </w:rPr>
        <w:t> </w:t>
      </w:r>
      <w:r>
        <w:rPr>
          <w:spacing w:val="-83"/>
        </w:rPr>
      </w:r>
      <w:r>
        <w:rPr/>
        <w:t>本费用，对应付职工薪酬的公允价值重新计量，将其变动计入公允价值变动损益。</w:t>
      </w:r>
    </w:p>
    <w:p>
      <w:pPr>
        <w:spacing w:after="0" w:line="336"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110"/>
        <w:jc w:val="left"/>
      </w:pPr>
      <w:r>
        <w:rPr/>
        <w:t>2.公允价值的确定方法 对于授予的期权等权益工具存在活跃市场的，按照活跃市场中的报价确定其公允价值。</w:t>
      </w:r>
    </w:p>
    <w:p>
      <w:pPr>
        <w:pStyle w:val="BodyText"/>
        <w:spacing w:line="336" w:lineRule="auto" w:before="29"/>
        <w:ind w:right="148"/>
        <w:jc w:val="both"/>
      </w:pPr>
      <w:r>
        <w:rPr/>
        <w:t>对于授予的期权等权益工具不存在活跃市场的，采用 Black-Scholes</w:t>
      </w:r>
      <w:r>
        <w:rPr>
          <w:spacing w:val="-82"/>
        </w:rPr>
        <w:t> </w:t>
      </w:r>
      <w:r>
        <w:rPr/>
        <w:t>期权定价模型等确定其</w:t>
      </w:r>
      <w:r>
        <w:rPr/>
        <w:t> 公允价值，选用的期权定价模型至少应当考虑以下因素：①期权的行权价格；②期权的有效</w:t>
      </w:r>
      <w:r>
        <w:rPr>
          <w:spacing w:val="-83"/>
        </w:rPr>
        <w:t> </w:t>
      </w:r>
      <w:r>
        <w:rPr>
          <w:spacing w:val="-83"/>
        </w:rPr>
      </w:r>
      <w:r>
        <w:rPr/>
        <w:t>期；③标的股份的现行价格④股价预计波动率；⑤股份的预计股利；⑥期权有效期内的无风</w:t>
      </w:r>
      <w:r>
        <w:rPr>
          <w:spacing w:val="-83"/>
        </w:rPr>
        <w:t> </w:t>
      </w:r>
      <w:r>
        <w:rPr>
          <w:spacing w:val="-83"/>
        </w:rPr>
      </w:r>
      <w:r>
        <w:rPr/>
        <w:t>险利率；⑦分期行权的股份支付；</w:t>
      </w:r>
    </w:p>
    <w:p>
      <w:pPr>
        <w:pStyle w:val="BodyText"/>
        <w:spacing w:line="336" w:lineRule="auto"/>
        <w:ind w:left="694" w:right="148"/>
        <w:jc w:val="left"/>
      </w:pPr>
      <w:r>
        <w:rPr/>
        <w:t>3.确认可行权权益工具最佳估计的依据 </w:t>
      </w:r>
      <w:r>
        <w:rPr>
          <w:spacing w:val="-1"/>
        </w:rPr>
        <w:t>等待期内每个资产负债表日，公司根据最新取得的可行权职工人数变动等后续信息作出</w:t>
      </w:r>
    </w:p>
    <w:p>
      <w:pPr>
        <w:pStyle w:val="BodyText"/>
        <w:spacing w:line="336" w:lineRule="auto" w:before="29"/>
        <w:ind w:right="148"/>
        <w:jc w:val="both"/>
      </w:pPr>
      <w:r>
        <w:rPr/>
        <w:t>最佳估计，修正预计可行权的权益工具数量。在可行权日，最终预计可行权权益工具的数量</w:t>
      </w:r>
      <w:r>
        <w:rPr>
          <w:spacing w:val="-83"/>
        </w:rPr>
        <w:t> </w:t>
      </w:r>
      <w:r>
        <w:rPr>
          <w:spacing w:val="-83"/>
        </w:rPr>
      </w:r>
      <w:r>
        <w:rPr/>
        <w:t>应当与实际可行权数量一致。</w:t>
      </w:r>
    </w:p>
    <w:p>
      <w:pPr>
        <w:pStyle w:val="BodyText"/>
        <w:spacing w:line="336" w:lineRule="auto"/>
        <w:ind w:right="151" w:firstLine="540"/>
        <w:jc w:val="both"/>
      </w:pPr>
      <w:r>
        <w:rPr>
          <w:spacing w:val="-1"/>
        </w:rPr>
        <w:t>根据上述权益工具的公允价值和预计可行权的权益工具数量，计算截至当期累计应确认</w:t>
      </w:r>
      <w:r>
        <w:rPr/>
        <w:t> 的成本费用金额，再减去前期累计已确认金额，作为当期应确认的成本费用金额。</w:t>
      </w:r>
    </w:p>
    <w:p>
      <w:pPr>
        <w:pStyle w:val="BodyText"/>
        <w:spacing w:line="336" w:lineRule="auto"/>
        <w:ind w:left="694" w:right="6830"/>
        <w:jc w:val="left"/>
      </w:pPr>
      <w:r>
        <w:rPr/>
        <w:t>(二十一)收入确认原则 1.销售商品</w:t>
      </w:r>
    </w:p>
    <w:p>
      <w:pPr>
        <w:pStyle w:val="BodyText"/>
        <w:spacing w:line="336" w:lineRule="auto" w:before="29"/>
        <w:ind w:right="148" w:firstLine="540"/>
        <w:jc w:val="both"/>
      </w:pPr>
      <w:r>
        <w:rPr>
          <w:spacing w:val="-1"/>
        </w:rPr>
        <w:t>公司已将商品所有权上的主要风险和报酬转移给购买方；公司既没有保留与所有权相联</w:t>
      </w:r>
      <w:r>
        <w:rPr/>
        <w:t> 系的继续管理权，也没有对已售出的商品实施有效控制；收入的金额能够可靠地计量；相关</w:t>
      </w:r>
      <w:r>
        <w:rPr>
          <w:spacing w:val="-83"/>
        </w:rPr>
        <w:t> </w:t>
      </w:r>
      <w:r>
        <w:rPr>
          <w:spacing w:val="-83"/>
        </w:rPr>
      </w:r>
      <w:r>
        <w:rPr/>
        <w:t>的经济利益很可能流入企业；相关的已发生或将发生的成本能够可靠地计量时，确认商品销</w:t>
      </w:r>
      <w:r>
        <w:rPr>
          <w:spacing w:val="-83"/>
        </w:rPr>
        <w:t> </w:t>
      </w:r>
      <w:r>
        <w:rPr>
          <w:spacing w:val="-83"/>
        </w:rPr>
      </w:r>
      <w:r>
        <w:rPr/>
        <w:t>售收入实现。</w:t>
      </w:r>
    </w:p>
    <w:p>
      <w:pPr>
        <w:pStyle w:val="BodyText"/>
        <w:spacing w:line="336" w:lineRule="auto"/>
        <w:ind w:left="694" w:right="148"/>
        <w:jc w:val="left"/>
      </w:pPr>
      <w:r>
        <w:rPr/>
        <w:t>2.提供劳务 </w:t>
      </w:r>
      <w:r>
        <w:rPr>
          <w:spacing w:val="-1"/>
        </w:rPr>
        <w:t>在资产负债表日提供劳务交易的结果能够可靠估计的，采用完工百分比法确认提供劳务</w:t>
      </w:r>
    </w:p>
    <w:p>
      <w:pPr>
        <w:pStyle w:val="BodyText"/>
        <w:spacing w:line="336" w:lineRule="auto" w:before="29"/>
        <w:ind w:left="694" w:right="2570" w:hanging="540"/>
        <w:jc w:val="left"/>
      </w:pPr>
      <w:r>
        <w:rPr/>
        <w:t>收入。提供劳务交易的完工进度，根据实际情况选用下列方法确定： (1)已完工作的测量。 (2)已经提供的劳务占应提供劳务总量的比例。 (3)已经发生的成本占估计总成本的比例。</w:t>
      </w:r>
    </w:p>
    <w:p>
      <w:pPr>
        <w:pStyle w:val="BodyText"/>
        <w:spacing w:line="336" w:lineRule="auto"/>
        <w:ind w:right="148" w:firstLine="540"/>
        <w:jc w:val="both"/>
      </w:pPr>
      <w:r>
        <w:rPr>
          <w:spacing w:val="-1"/>
        </w:rPr>
        <w:t>按照已收或应收的合同或协议价款确定提供劳务收入总额，但已收或应收的合同或协议</w:t>
      </w:r>
      <w:r>
        <w:rPr/>
        <w:t> 价款不公允的除外。资产负债表日按照提供劳务收入总额乘以完工进度扣除以前会计期间累</w:t>
      </w:r>
      <w:r>
        <w:rPr>
          <w:spacing w:val="-83"/>
        </w:rPr>
        <w:t> </w:t>
      </w:r>
      <w:r>
        <w:rPr>
          <w:spacing w:val="-83"/>
        </w:rPr>
      </w:r>
      <w:r>
        <w:rPr/>
        <w:t>计已确认提供劳务收入后的金额，确认当期提供劳务收入；同时，按照提供劳务估计总成本</w:t>
      </w:r>
      <w:r>
        <w:rPr>
          <w:spacing w:val="-83"/>
        </w:rPr>
        <w:t> </w:t>
      </w:r>
      <w:r>
        <w:rPr>
          <w:spacing w:val="-83"/>
        </w:rPr>
      </w:r>
      <w:r>
        <w:rPr/>
        <w:t>乘以完工进度扣除以前会计期间累计已确认劳务成本后的金额，结转当期劳务成本。</w:t>
      </w:r>
    </w:p>
    <w:p>
      <w:pPr>
        <w:pStyle w:val="BodyText"/>
        <w:spacing w:line="336" w:lineRule="auto"/>
        <w:ind w:left="694" w:right="0"/>
        <w:jc w:val="left"/>
      </w:pPr>
      <w:r>
        <w:rPr/>
        <w:t>在资产负债表日提供劳务交易结果不能够可靠估计的，分别下列情况处理： (1)已经发生的劳务成本预计能够得到补偿的，按照已经发生的劳务成本金额确认提供</w:t>
      </w:r>
    </w:p>
    <w:p>
      <w:pPr>
        <w:pStyle w:val="BodyText"/>
        <w:spacing w:line="240" w:lineRule="auto"/>
        <w:ind w:right="0"/>
        <w:jc w:val="left"/>
      </w:pPr>
      <w:r>
        <w:rPr/>
        <w:t>劳务收入，并按相同金额结转劳务成本。</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154" w:right="110" w:firstLine="540"/>
        <w:jc w:val="left"/>
      </w:pPr>
      <w:r>
        <w:rPr>
          <w:spacing w:val="-1"/>
        </w:rPr>
        <w:t>(2)已经发生的劳务成本预计不能够得到补偿的，将已经发生的劳务成本计入当期损益，</w:t>
      </w:r>
      <w:r>
        <w:rPr/>
        <w:t> 不确认提供劳务收入。</w:t>
      </w:r>
    </w:p>
    <w:p>
      <w:pPr>
        <w:pStyle w:val="BodyText"/>
        <w:spacing w:line="336" w:lineRule="auto" w:before="29"/>
        <w:ind w:left="694" w:right="228"/>
        <w:jc w:val="left"/>
      </w:pPr>
      <w:r>
        <w:rPr/>
        <w:t>3.让渡资产使用权 </w:t>
      </w:r>
      <w:r>
        <w:rPr>
          <w:spacing w:val="-1"/>
        </w:rPr>
        <w:t>与交易相关的经济利益很可能流入企业，收入的金额能够可靠地计量时。分别下列情况</w:t>
      </w:r>
    </w:p>
    <w:p>
      <w:pPr>
        <w:pStyle w:val="BodyText"/>
        <w:spacing w:line="336" w:lineRule="auto"/>
        <w:ind w:left="694" w:right="1030" w:hanging="540"/>
        <w:jc w:val="left"/>
      </w:pPr>
      <w:r>
        <w:rPr/>
        <w:t>确定让渡资产使用权收入金额： (1)利息收入金额，按照他人使用本企业货币资金的时间和实际利率计算确定。 (2)使用费收入金额，按照有关合同或协议约定的收费时间和方法计算确定。 (3)出租物业收入：</w:t>
      </w:r>
    </w:p>
    <w:p>
      <w:pPr>
        <w:pStyle w:val="BodyText"/>
        <w:spacing w:line="336" w:lineRule="auto" w:before="29"/>
        <w:ind w:left="694" w:right="1630"/>
        <w:jc w:val="left"/>
      </w:pPr>
      <w:r>
        <w:rPr/>
        <w:t>a.具有承租人认可的租赁合同、协议或其他结算通知书 b.履行了合同规定的义务，开具租赁发票且价款已经取得或确信可以取得 c.出租开发产品成本能够可靠地计量。 (二十二)确认递延所得税资产的依据</w:t>
      </w:r>
    </w:p>
    <w:p>
      <w:pPr>
        <w:pStyle w:val="BodyText"/>
        <w:spacing w:line="336" w:lineRule="auto"/>
        <w:ind w:left="154" w:right="228" w:firstLine="540"/>
        <w:jc w:val="left"/>
      </w:pPr>
      <w:r>
        <w:rPr>
          <w:spacing w:val="-1"/>
        </w:rPr>
        <w:t>公司以很可能取得用来抵扣可抵扣暂时性差异的应纳税所得额为限，确认由可抵扣暂时</w:t>
      </w:r>
      <w:r>
        <w:rPr/>
        <w:t> 性差异产生的递延所得税资产。</w:t>
      </w:r>
    </w:p>
    <w:p>
      <w:pPr>
        <w:pStyle w:val="BodyText"/>
        <w:spacing w:line="336" w:lineRule="auto" w:before="29"/>
        <w:ind w:left="694" w:right="214"/>
        <w:jc w:val="left"/>
      </w:pPr>
      <w:r>
        <w:rPr/>
        <w:t>(二十三)本年主要会计政策、会计估计的变更和重大会计差错更正及其影响 根据财政部财会[2006]3</w:t>
      </w:r>
      <w:r>
        <w:rPr>
          <w:spacing w:val="-60"/>
        </w:rPr>
        <w:t> </w:t>
      </w:r>
      <w:r>
        <w:rPr>
          <w:spacing w:val="-6"/>
        </w:rPr>
        <w:t>号《关于印发&lt;企业会计准则第</w:t>
      </w:r>
      <w:r>
        <w:rPr>
          <w:spacing w:val="-60"/>
        </w:rPr>
        <w:t> </w:t>
      </w:r>
      <w:r>
        <w:rPr/>
        <w:t>1</w:t>
      </w:r>
      <w:r>
        <w:rPr>
          <w:spacing w:val="-60"/>
        </w:rPr>
        <w:t> </w:t>
      </w:r>
      <w:r>
        <w:rPr/>
        <w:t>号－存货&gt;等</w:t>
      </w:r>
      <w:r>
        <w:rPr>
          <w:spacing w:val="-60"/>
        </w:rPr>
        <w:t> </w:t>
      </w:r>
      <w:r>
        <w:rPr/>
        <w:t>38</w:t>
      </w:r>
      <w:r>
        <w:rPr>
          <w:spacing w:val="-60"/>
        </w:rPr>
        <w:t> </w:t>
      </w:r>
      <w:r>
        <w:rPr/>
        <w:t>项具体准则的</w:t>
      </w:r>
    </w:p>
    <w:p>
      <w:pPr>
        <w:pStyle w:val="BodyText"/>
        <w:spacing w:line="240" w:lineRule="auto"/>
        <w:ind w:right="92"/>
        <w:jc w:val="left"/>
      </w:pPr>
      <w:r>
        <w:rPr/>
        <w:t>通知</w:t>
      </w:r>
      <w:r>
        <w:rPr>
          <w:spacing w:val="-120"/>
        </w:rPr>
        <w:t>》</w:t>
      </w:r>
      <w:r>
        <w:rPr>
          <w:spacing w:val="-17"/>
        </w:rPr>
        <w:t>，</w:t>
      </w:r>
      <w:r>
        <w:rPr/>
        <w:t>公司从</w:t>
      </w:r>
      <w:r>
        <w:rPr>
          <w:spacing w:val="-60"/>
        </w:rPr>
        <w:t> </w:t>
      </w:r>
      <w:r>
        <w:rPr/>
        <w:t>200</w:t>
      </w:r>
      <w:r>
        <w:rPr>
          <w:spacing w:val="60"/>
        </w:rPr>
        <w:t>7年1月</w:t>
      </w:r>
      <w:r>
        <w:rPr/>
        <w:t>1</w:t>
      </w:r>
      <w:r>
        <w:rPr>
          <w:spacing w:val="-60"/>
        </w:rPr>
        <w:t> </w:t>
      </w:r>
      <w:r>
        <w:rPr/>
        <w:t>日起</w:t>
      </w:r>
      <w:r>
        <w:rPr>
          <w:spacing w:val="-17"/>
        </w:rPr>
        <w:t>，</w:t>
      </w:r>
      <w:r>
        <w:rPr/>
        <w:t>执行</w:t>
      </w:r>
      <w:r>
        <w:rPr>
          <w:spacing w:val="-17"/>
        </w:rPr>
        <w:t>新</w:t>
      </w:r>
      <w:r>
        <w:rPr/>
        <w:t>《企业会计准则</w:t>
      </w:r>
      <w:r>
        <w:rPr>
          <w:spacing w:val="-120"/>
        </w:rPr>
        <w:t>》</w:t>
      </w:r>
      <w:r>
        <w:rPr>
          <w:spacing w:val="-17"/>
        </w:rPr>
        <w:t>；</w:t>
      </w:r>
      <w:r>
        <w:rPr/>
        <w:t>本公司根</w:t>
      </w:r>
      <w:r>
        <w:rPr>
          <w:spacing w:val="-17"/>
        </w:rPr>
        <w:t>据</w:t>
      </w:r>
      <w:r>
        <w:rPr/>
        <w:t>《企业会计准则第</w:t>
      </w:r>
    </w:p>
    <w:p>
      <w:pPr>
        <w:pStyle w:val="BodyText"/>
        <w:spacing w:line="336" w:lineRule="auto" w:before="125"/>
        <w:ind w:right="215"/>
        <w:jc w:val="left"/>
      </w:pPr>
      <w:r>
        <w:rPr/>
        <w:t>38 号－首次执行企业会计准则》所规定的第五至十九条相关内容，对 2006</w:t>
      </w:r>
      <w:r>
        <w:rPr>
          <w:spacing w:val="-84"/>
        </w:rPr>
        <w:t> </w:t>
      </w:r>
      <w:r>
        <w:rPr/>
        <w:t>年的财务报表项</w:t>
      </w:r>
      <w:r>
        <w:rPr/>
        <w:t> 目进行了追溯调整。</w:t>
      </w:r>
    </w:p>
    <w:p>
      <w:pPr>
        <w:pStyle w:val="BodyText"/>
        <w:spacing w:line="240" w:lineRule="auto"/>
        <w:ind w:left="633" w:right="212"/>
        <w:jc w:val="left"/>
      </w:pPr>
      <w:r>
        <w:rPr/>
        <w:t>1. 同一控制下企业合并形成的长期股权投资差额</w:t>
      </w:r>
    </w:p>
    <w:p>
      <w:pPr>
        <w:pStyle w:val="BodyText"/>
        <w:spacing w:line="336" w:lineRule="auto" w:before="125"/>
        <w:ind w:right="214" w:firstLine="600"/>
        <w:jc w:val="left"/>
      </w:pPr>
      <w:r>
        <w:rPr/>
        <w:t>在</w:t>
      </w:r>
      <w:r>
        <w:rPr>
          <w:spacing w:val="-54"/>
        </w:rPr>
        <w:t> </w:t>
      </w:r>
      <w:r>
        <w:rPr/>
        <w:t>2007</w:t>
      </w:r>
      <w:r>
        <w:rPr>
          <w:spacing w:val="-54"/>
        </w:rPr>
        <w:t> </w:t>
      </w:r>
      <w:r>
        <w:rPr/>
        <w:t>年</w:t>
      </w:r>
      <w:r>
        <w:rPr>
          <w:spacing w:val="-53"/>
        </w:rPr>
        <w:t> </w:t>
      </w:r>
      <w:r>
        <w:rPr>
          <w:spacing w:val="44"/>
        </w:rPr>
        <w:t>1月1</w:t>
      </w:r>
      <w:r>
        <w:rPr>
          <w:spacing w:val="-54"/>
        </w:rPr>
        <w:t> </w:t>
      </w:r>
      <w:r>
        <w:rPr/>
        <w:t>日，属于同一控制下企业合并产生的长期股权投资，尚未摊销完毕的</w:t>
      </w:r>
      <w:r>
        <w:rPr/>
        <w:t> 股权投资差额应全额冲销，并调整留存收益，导致减少所有者权益</w:t>
      </w:r>
      <w:r>
        <w:rPr>
          <w:spacing w:val="-60"/>
        </w:rPr>
        <w:t> </w:t>
      </w:r>
      <w:r>
        <w:rPr/>
        <w:t>9,494,991.67</w:t>
      </w:r>
      <w:r>
        <w:rPr>
          <w:spacing w:val="-60"/>
        </w:rPr>
        <w:t> </w:t>
      </w:r>
      <w:r>
        <w:rPr/>
        <w:t>元。</w:t>
      </w:r>
    </w:p>
    <w:p>
      <w:pPr>
        <w:pStyle w:val="BodyText"/>
        <w:spacing w:line="240" w:lineRule="auto"/>
        <w:ind w:left="633" w:right="212"/>
        <w:jc w:val="left"/>
      </w:pPr>
      <w:r>
        <w:rPr/>
        <w:t>2. 所得税</w:t>
      </w:r>
    </w:p>
    <w:p>
      <w:pPr>
        <w:pStyle w:val="BodyText"/>
        <w:spacing w:line="336" w:lineRule="auto" w:before="125"/>
        <w:ind w:right="228" w:firstLine="600"/>
        <w:jc w:val="both"/>
      </w:pPr>
      <w:r>
        <w:rPr/>
        <w:t>在</w:t>
      </w:r>
      <w:r>
        <w:rPr>
          <w:spacing w:val="-54"/>
        </w:rPr>
        <w:t> </w:t>
      </w:r>
      <w:r>
        <w:rPr/>
        <w:t>2007</w:t>
      </w:r>
      <w:r>
        <w:rPr>
          <w:spacing w:val="-54"/>
        </w:rPr>
        <w:t> </w:t>
      </w:r>
      <w:r>
        <w:rPr/>
        <w:t>年</w:t>
      </w:r>
      <w:r>
        <w:rPr>
          <w:spacing w:val="-53"/>
        </w:rPr>
        <w:t> </w:t>
      </w:r>
      <w:r>
        <w:rPr>
          <w:spacing w:val="44"/>
        </w:rPr>
        <w:t>1月1</w:t>
      </w:r>
      <w:r>
        <w:rPr>
          <w:spacing w:val="-54"/>
        </w:rPr>
        <w:t> </w:t>
      </w:r>
      <w:r>
        <w:rPr/>
        <w:t>日，对资产、负债的账面价值与其计税基础不同形成的暂时性差异，</w:t>
      </w:r>
      <w:r>
        <w:rPr/>
        <w:t> 应当按照相关条件确认递延所得税资产或递延所得税负债，并将影响金额调整留存收益，导</w:t>
      </w:r>
      <w:r>
        <w:rPr>
          <w:spacing w:val="-83"/>
        </w:rPr>
        <w:t> </w:t>
      </w:r>
      <w:r>
        <w:rPr>
          <w:spacing w:val="-83"/>
        </w:rPr>
      </w:r>
      <w:r>
        <w:rPr/>
        <w:t>致增加所有者权益</w:t>
      </w:r>
      <w:r>
        <w:rPr>
          <w:spacing w:val="-51"/>
        </w:rPr>
        <w:t> </w:t>
      </w:r>
      <w:r>
        <w:rPr/>
        <w:t>504,880.79</w:t>
      </w:r>
      <w:r>
        <w:rPr>
          <w:spacing w:val="-51"/>
        </w:rPr>
        <w:t> </w:t>
      </w:r>
      <w:r>
        <w:rPr/>
        <w:t>元，其中归属于母公司所有者权益为</w:t>
      </w:r>
      <w:r>
        <w:rPr>
          <w:spacing w:val="-51"/>
        </w:rPr>
        <w:t> </w:t>
      </w:r>
      <w:r>
        <w:rPr/>
        <w:t>448,729.94</w:t>
      </w:r>
      <w:r>
        <w:rPr>
          <w:spacing w:val="-51"/>
        </w:rPr>
        <w:t> </w:t>
      </w:r>
      <w:r>
        <w:rPr/>
        <w:t>元，归属于</w:t>
      </w:r>
    </w:p>
    <w:p>
      <w:pPr>
        <w:pStyle w:val="BodyText"/>
        <w:spacing w:line="240" w:lineRule="auto" w:before="29"/>
        <w:ind w:right="212"/>
        <w:jc w:val="left"/>
      </w:pPr>
      <w:r>
        <w:rPr/>
        <w:t>少数股东权益为</w:t>
      </w:r>
      <w:r>
        <w:rPr>
          <w:spacing w:val="-60"/>
        </w:rPr>
        <w:t> </w:t>
      </w:r>
      <w:r>
        <w:rPr/>
        <w:t>56,150.85</w:t>
      </w:r>
      <w:r>
        <w:rPr>
          <w:spacing w:val="-60"/>
        </w:rPr>
        <w:t> </w:t>
      </w:r>
      <w:r>
        <w:rPr/>
        <w:t>元。</w:t>
      </w:r>
    </w:p>
    <w:p>
      <w:pPr>
        <w:pStyle w:val="BodyText"/>
        <w:spacing w:line="336" w:lineRule="auto" w:before="126"/>
        <w:ind w:right="131" w:firstLine="540"/>
        <w:jc w:val="left"/>
      </w:pPr>
      <w:r>
        <w:rPr/>
        <w:t>根据财政部财会[2007]14</w:t>
      </w:r>
      <w:r>
        <w:rPr>
          <w:spacing w:val="-60"/>
        </w:rPr>
        <w:t> </w:t>
      </w:r>
      <w:r>
        <w:rPr/>
        <w:t>号文件---《企业会计准则解释第</w:t>
      </w:r>
      <w:r>
        <w:rPr>
          <w:spacing w:val="-60"/>
        </w:rPr>
        <w:t> </w:t>
      </w:r>
      <w:r>
        <w:rPr/>
        <w:t>1</w:t>
      </w:r>
      <w:r>
        <w:rPr>
          <w:spacing w:val="-60"/>
        </w:rPr>
        <w:t> </w:t>
      </w:r>
      <w:r>
        <w:rPr>
          <w:spacing w:val="-10"/>
        </w:rPr>
        <w:t>号》第七、（二）条规定，</w:t>
      </w:r>
      <w:r>
        <w:rPr/>
        <w:t> 企业在首次执行日以前已经持有的对子公司长期股权投资，应在首次执行日进行追溯调整，</w:t>
      </w:r>
      <w:r>
        <w:rPr>
          <w:spacing w:val="-83"/>
        </w:rPr>
        <w:t> </w:t>
      </w:r>
      <w:r>
        <w:rPr>
          <w:spacing w:val="-83"/>
        </w:rPr>
      </w:r>
      <w:r>
        <w:rPr>
          <w:spacing w:val="-4"/>
        </w:rPr>
        <w:t>视同该子公司自最初即采用成本法核算，根据该项规定，对 </w:t>
      </w:r>
      <w:r>
        <w:rPr/>
        <w:t>2006</w:t>
      </w:r>
      <w:r>
        <w:rPr>
          <w:spacing w:val="-94"/>
        </w:rPr>
        <w:t> </w:t>
      </w:r>
      <w:r>
        <w:rPr/>
        <w:t>年度财务报告中确认的投资</w:t>
      </w:r>
    </w:p>
    <w:p>
      <w:pPr>
        <w:pStyle w:val="BodyText"/>
        <w:spacing w:line="240" w:lineRule="auto"/>
        <w:ind w:right="92"/>
        <w:jc w:val="left"/>
      </w:pPr>
      <w:r>
        <w:rPr/>
        <w:t>损失</w:t>
      </w:r>
      <w:r>
        <w:rPr>
          <w:spacing w:val="-51"/>
        </w:rPr>
        <w:t> </w:t>
      </w:r>
      <w:r>
        <w:rPr/>
        <w:t>1,004,746.68</w:t>
      </w:r>
      <w:r>
        <w:rPr>
          <w:spacing w:val="-51"/>
        </w:rPr>
        <w:t> </w:t>
      </w:r>
      <w:r>
        <w:rPr/>
        <w:t>元，其中无锡实益达电子有限公司</w:t>
      </w:r>
      <w:r>
        <w:rPr>
          <w:spacing w:val="-51"/>
        </w:rPr>
        <w:t> </w:t>
      </w:r>
      <w:r>
        <w:rPr/>
        <w:t>909,244.29</w:t>
      </w:r>
      <w:r>
        <w:rPr>
          <w:spacing w:val="-51"/>
        </w:rPr>
        <w:t> </w:t>
      </w:r>
      <w:r>
        <w:rPr/>
        <w:t>元、实益达科技香港有限</w:t>
      </w:r>
    </w:p>
    <w:p>
      <w:pPr>
        <w:spacing w:after="0" w:line="240"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154" w:right="0"/>
        <w:jc w:val="both"/>
      </w:pPr>
      <w:r>
        <w:rPr/>
        <w:t>公司</w:t>
      </w:r>
      <w:r>
        <w:rPr>
          <w:spacing w:val="-60"/>
        </w:rPr>
        <w:t> </w:t>
      </w:r>
      <w:r>
        <w:rPr/>
        <w:t>95,502.39</w:t>
      </w:r>
      <w:r>
        <w:rPr>
          <w:spacing w:val="-60"/>
        </w:rPr>
        <w:t> </w:t>
      </w:r>
      <w:r>
        <w:rPr/>
        <w:t>元</w:t>
      </w:r>
      <w:r>
        <w:rPr>
          <w:spacing w:val="-101"/>
        </w:rPr>
        <w:t>，</w:t>
      </w:r>
      <w:r>
        <w:rPr/>
        <w:t>调整增加母公司长期股权投资</w:t>
      </w:r>
      <w:r>
        <w:rPr>
          <w:spacing w:val="-101"/>
        </w:rPr>
        <w:t>，</w:t>
      </w:r>
      <w:r>
        <w:rPr/>
        <w:t>该事项影响盈余公积增加</w:t>
      </w:r>
      <w:r>
        <w:rPr>
          <w:spacing w:val="-60"/>
        </w:rPr>
        <w:t> </w:t>
      </w:r>
      <w:r>
        <w:rPr/>
        <w:t>100,474.67</w:t>
      </w:r>
      <w:r>
        <w:rPr>
          <w:spacing w:val="-60"/>
        </w:rPr>
        <w:t> </w:t>
      </w:r>
      <w:r>
        <w:rPr/>
        <w:t>元，</w:t>
      </w:r>
    </w:p>
    <w:p>
      <w:pPr>
        <w:pStyle w:val="BodyText"/>
        <w:spacing w:line="240" w:lineRule="auto" w:before="126"/>
        <w:ind w:right="0"/>
        <w:jc w:val="both"/>
      </w:pPr>
      <w:r>
        <w:rPr>
          <w:spacing w:val="7"/>
        </w:rPr>
        <w:t>未分配利润减少 </w:t>
      </w:r>
      <w:r>
        <w:rPr/>
        <w:t>100,474.67 </w:t>
      </w:r>
      <w:r>
        <w:rPr>
          <w:spacing w:val="8"/>
        </w:rPr>
        <w:t>元，母公司盈余公积增加 </w:t>
      </w:r>
      <w:r>
        <w:rPr/>
        <w:t>100,474.67</w:t>
      </w:r>
      <w:r>
        <w:rPr>
          <w:spacing w:val="29"/>
        </w:rPr>
        <w:t> </w:t>
      </w:r>
      <w:r>
        <w:rPr>
          <w:spacing w:val="9"/>
        </w:rPr>
        <w:t>元，未分配利润增加</w:t>
      </w:r>
      <w:r>
        <w:rPr/>
      </w:r>
    </w:p>
    <w:p>
      <w:pPr>
        <w:pStyle w:val="BodyText"/>
        <w:spacing w:line="240" w:lineRule="auto" w:before="125"/>
        <w:ind w:left="154" w:right="0"/>
        <w:jc w:val="both"/>
      </w:pPr>
      <w:r>
        <w:rPr/>
        <w:t>904,272.01</w:t>
      </w:r>
      <w:r>
        <w:rPr>
          <w:spacing w:val="-60"/>
        </w:rPr>
        <w:t> </w:t>
      </w:r>
      <w:r>
        <w:rPr/>
        <w:t>元。</w:t>
      </w:r>
    </w:p>
    <w:p>
      <w:pPr>
        <w:pStyle w:val="BodyText"/>
        <w:spacing w:line="240" w:lineRule="auto" w:before="126"/>
        <w:ind w:left="694" w:right="92"/>
        <w:jc w:val="left"/>
      </w:pPr>
      <w:r>
        <w:rPr/>
        <w:t>根据财政部财会[2006]3</w:t>
      </w:r>
      <w:r>
        <w:rPr>
          <w:spacing w:val="-60"/>
        </w:rPr>
        <w:t> </w:t>
      </w:r>
      <w:r>
        <w:rPr>
          <w:spacing w:val="-6"/>
        </w:rPr>
        <w:t>号《关于印发&lt;企业会计准则第</w:t>
      </w:r>
      <w:r>
        <w:rPr>
          <w:spacing w:val="-60"/>
        </w:rPr>
        <w:t> </w:t>
      </w:r>
      <w:r>
        <w:rPr/>
        <w:t>1</w:t>
      </w:r>
      <w:r>
        <w:rPr>
          <w:spacing w:val="-60"/>
        </w:rPr>
        <w:t> </w:t>
      </w:r>
      <w:r>
        <w:rPr/>
        <w:t>号－存货&gt;等</w:t>
      </w:r>
      <w:r>
        <w:rPr>
          <w:spacing w:val="-60"/>
        </w:rPr>
        <w:t> </w:t>
      </w:r>
      <w:r>
        <w:rPr/>
        <w:t>38</w:t>
      </w:r>
      <w:r>
        <w:rPr>
          <w:spacing w:val="-60"/>
        </w:rPr>
        <w:t> </w:t>
      </w:r>
      <w:r>
        <w:rPr/>
        <w:t>项具体准则的</w:t>
      </w:r>
    </w:p>
    <w:p>
      <w:pPr>
        <w:pStyle w:val="BodyText"/>
        <w:spacing w:line="336" w:lineRule="auto" w:before="126"/>
        <w:ind w:left="154" w:right="228"/>
        <w:jc w:val="both"/>
      </w:pPr>
      <w:r>
        <w:rPr>
          <w:spacing w:val="-20"/>
        </w:rPr>
        <w:t>通知》，公司从</w:t>
      </w:r>
      <w:r>
        <w:rPr>
          <w:spacing w:val="-55"/>
        </w:rPr>
        <w:t> </w:t>
      </w:r>
      <w:r>
        <w:rPr>
          <w:spacing w:val="30"/>
        </w:rPr>
        <w:t>2007年1月1</w:t>
      </w:r>
      <w:r>
        <w:rPr>
          <w:spacing w:val="-55"/>
        </w:rPr>
        <w:t> </w:t>
      </w:r>
      <w:r>
        <w:rPr>
          <w:spacing w:val="-7"/>
        </w:rPr>
        <w:t>日起，执行新《企业会计准则》；并根据准则规定，本期合并利</w:t>
      </w:r>
      <w:r>
        <w:rPr/>
        <w:t> 润表和合并现金流量表上年数中包含无锡实益达电子有限公司合并日当期期初至合并日所发</w:t>
      </w:r>
      <w:r>
        <w:rPr>
          <w:spacing w:val="-83"/>
        </w:rPr>
        <w:t> </w:t>
      </w:r>
      <w:r>
        <w:rPr>
          <w:spacing w:val="-83"/>
        </w:rPr>
      </w:r>
      <w:r>
        <w:rPr/>
        <w:t>生的收入、成本、利润、现金流量。</w:t>
      </w:r>
    </w:p>
    <w:p>
      <w:pPr>
        <w:pStyle w:val="BodyText"/>
        <w:spacing w:line="281" w:lineRule="exact" w:before="0"/>
        <w:ind w:left="694" w:right="212"/>
        <w:jc w:val="left"/>
      </w:pPr>
      <w:r>
        <w:rPr/>
        <w:t>三、税项</w:t>
      </w:r>
    </w:p>
    <w:p>
      <w:pPr>
        <w:pStyle w:val="BodyText"/>
        <w:spacing w:line="336" w:lineRule="auto" w:before="109"/>
        <w:ind w:left="694" w:right="2830"/>
        <w:jc w:val="left"/>
      </w:pPr>
      <w:r>
        <w:rPr/>
        <w:pict>
          <v:shape style="position:absolute;margin-left:60.349998pt;margin-top:45.113155pt;width:468.5pt;height:22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3"/>
                    <w:gridCol w:w="4290"/>
                    <w:gridCol w:w="2417"/>
                  </w:tblGrid>
                  <w:tr>
                    <w:trPr>
                      <w:trHeight w:val="664" w:hRule="exact"/>
                    </w:trPr>
                    <w:tc>
                      <w:tcPr>
                        <w:tcW w:w="2663" w:type="dxa"/>
                        <w:tcBorders>
                          <w:top w:val="nil" w:sz="6" w:space="0" w:color="auto"/>
                          <w:left w:val="nil" w:sz="6" w:space="0" w:color="auto"/>
                          <w:bottom w:val="nil" w:sz="6" w:space="0" w:color="auto"/>
                          <w:right w:val="nil" w:sz="6" w:space="0" w:color="auto"/>
                        </w:tcBorders>
                      </w:tcPr>
                      <w:p>
                        <w:pPr>
                          <w:pStyle w:val="TableParagraph"/>
                          <w:tabs>
                            <w:tab w:pos="634" w:val="left" w:leader="none"/>
                            <w:tab w:pos="1354" w:val="left" w:leader="none"/>
                            <w:tab w:pos="2177" w:val="left" w:leader="none"/>
                          </w:tabs>
                          <w:spacing w:line="244" w:lineRule="auto"/>
                          <w:ind w:left="35" w:right="466"/>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税</w:t>
                          <w:tab/>
                          <w:t>项</w:t>
                          <w:tab/>
                        </w:r>
                        <w:r>
                          <w:rPr>
                            <w:rFonts w:ascii="宋体" w:hAnsi="宋体" w:cs="宋体" w:eastAsia="宋体" w:hint="default"/>
                            <w:w w:val="14"/>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r>
                          <w:rPr>
                            <w:rFonts w:ascii="宋体" w:hAnsi="宋体" w:cs="宋体" w:eastAsia="宋体" w:hint="default"/>
                            <w:sz w:val="24"/>
                            <w:szCs w:val="24"/>
                          </w:rPr>
                          <w:t> 增值税</w:t>
                        </w:r>
                      </w:p>
                    </w:tc>
                    <w:tc>
                      <w:tcPr>
                        <w:tcW w:w="4290" w:type="dxa"/>
                        <w:tcBorders>
                          <w:top w:val="nil" w:sz="6" w:space="0" w:color="auto"/>
                          <w:left w:val="nil" w:sz="6" w:space="0" w:color="auto"/>
                          <w:bottom w:val="nil" w:sz="6" w:space="0" w:color="auto"/>
                          <w:right w:val="nil" w:sz="6" w:space="0" w:color="auto"/>
                        </w:tcBorders>
                      </w:tcPr>
                      <w:p>
                        <w:pPr>
                          <w:pStyle w:val="TableParagraph"/>
                          <w:tabs>
                            <w:tab w:pos="1427" w:val="left" w:leader="none"/>
                            <w:tab w:pos="3450" w:val="left" w:leader="none"/>
                          </w:tabs>
                          <w:spacing w:line="244" w:lineRule="auto"/>
                          <w:ind w:left="468" w:right="82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计税基础</w:t>
                          <w:tab/>
                        </w:r>
                        <w:r>
                          <w:rPr>
                            <w:rFonts w:ascii="宋体" w:hAnsi="宋体" w:cs="宋体" w:eastAsia="宋体" w:hint="default"/>
                            <w:w w:val="14"/>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r>
                          <w:rPr>
                            <w:rFonts w:ascii="宋体" w:hAnsi="宋体" w:cs="宋体" w:eastAsia="宋体" w:hint="default"/>
                            <w:sz w:val="24"/>
                            <w:szCs w:val="24"/>
                          </w:rPr>
                          <w:t> 产品销售收入</w:t>
                        </w:r>
                      </w:p>
                    </w:tc>
                    <w:tc>
                      <w:tcPr>
                        <w:tcW w:w="2417" w:type="dxa"/>
                        <w:tcBorders>
                          <w:top w:val="nil" w:sz="6" w:space="0" w:color="auto"/>
                          <w:left w:val="nil" w:sz="6" w:space="0" w:color="auto"/>
                          <w:bottom w:val="nil" w:sz="6" w:space="0" w:color="auto"/>
                          <w:right w:val="nil" w:sz="6" w:space="0" w:color="auto"/>
                        </w:tcBorders>
                      </w:tcPr>
                      <w:p>
                        <w:pPr>
                          <w:pStyle w:val="TableParagraph"/>
                          <w:tabs>
                            <w:tab w:pos="1301" w:val="left" w:leader="none"/>
                            <w:tab w:pos="1781" w:val="left" w:leader="none"/>
                            <w:tab w:pos="2364" w:val="left" w:leader="none"/>
                          </w:tabs>
                          <w:spacing w:line="244" w:lineRule="auto"/>
                          <w:ind w:left="1164" w:right="33" w:hanging="342"/>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tab/>
                        </w:r>
                        <w:r>
                          <w:rPr>
                            <w:rFonts w:ascii="宋体" w:hAnsi="宋体" w:cs="宋体" w:eastAsia="宋体" w:hint="default"/>
                            <w:sz w:val="24"/>
                            <w:szCs w:val="24"/>
                            <w:u w:val="single" w:color="000000"/>
                          </w:rPr>
                          <w:t>税</w:t>
                          <w:tab/>
                          <w:t> 率</w:t>
                          <w:tab/>
                        </w:r>
                        <w:r>
                          <w:rPr>
                            <w:rFonts w:ascii="宋体" w:hAnsi="宋体" w:cs="宋体" w:eastAsia="宋体" w:hint="default"/>
                            <w:sz w:val="24"/>
                            <w:szCs w:val="24"/>
                          </w:rPr>
                        </w:r>
                        <w:r>
                          <w:rPr>
                            <w:rFonts w:ascii="宋体" w:hAnsi="宋体" w:cs="宋体" w:eastAsia="宋体" w:hint="default"/>
                            <w:sz w:val="24"/>
                            <w:szCs w:val="24"/>
                          </w:rPr>
                          <w:t>17%</w:t>
                        </w:r>
                      </w:p>
                    </w:tc>
                  </w:tr>
                  <w:tr>
                    <w:trPr>
                      <w:trHeight w:val="32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4290" w:type="dxa"/>
                        <w:tcBorders>
                          <w:top w:val="nil" w:sz="6" w:space="0" w:color="auto"/>
                          <w:left w:val="nil" w:sz="6" w:space="0" w:color="auto"/>
                          <w:bottom w:val="nil" w:sz="6" w:space="0" w:color="auto"/>
                          <w:right w:val="nil" w:sz="6" w:space="0" w:color="auto"/>
                        </w:tcBorders>
                      </w:tcPr>
                      <w:p>
                        <w:pPr>
                          <w:pStyle w:val="TableParagraph"/>
                          <w:spacing w:line="280" w:lineRule="exact"/>
                          <w:ind w:left="468" w:right="0"/>
                          <w:jc w:val="left"/>
                          <w:rPr>
                            <w:rFonts w:ascii="宋体" w:hAnsi="宋体" w:cs="宋体" w:eastAsia="宋体" w:hint="default"/>
                            <w:sz w:val="24"/>
                            <w:szCs w:val="24"/>
                          </w:rPr>
                        </w:pPr>
                        <w:r>
                          <w:rPr>
                            <w:rFonts w:ascii="宋体" w:hAnsi="宋体" w:cs="宋体" w:eastAsia="宋体" w:hint="default"/>
                            <w:sz w:val="24"/>
                            <w:szCs w:val="24"/>
                          </w:rPr>
                          <w:t>应交增值税、营业税</w:t>
                        </w:r>
                      </w:p>
                    </w:tc>
                    <w:tc>
                      <w:tcPr>
                        <w:tcW w:w="2417" w:type="dxa"/>
                        <w:tcBorders>
                          <w:top w:val="nil" w:sz="6" w:space="0" w:color="auto"/>
                          <w:left w:val="nil" w:sz="6" w:space="0" w:color="auto"/>
                          <w:bottom w:val="nil" w:sz="6" w:space="0" w:color="auto"/>
                          <w:right w:val="nil" w:sz="6" w:space="0" w:color="auto"/>
                        </w:tcBorders>
                      </w:tcPr>
                      <w:p>
                        <w:pPr>
                          <w:pStyle w:val="TableParagraph"/>
                          <w:spacing w:line="280" w:lineRule="exact"/>
                          <w:ind w:left="271" w:right="0"/>
                          <w:jc w:val="center"/>
                          <w:rPr>
                            <w:rFonts w:ascii="宋体" w:hAnsi="宋体" w:cs="宋体" w:eastAsia="宋体" w:hint="default"/>
                            <w:sz w:val="24"/>
                            <w:szCs w:val="24"/>
                          </w:rPr>
                        </w:pPr>
                        <w:r>
                          <w:rPr>
                            <w:rFonts w:ascii="宋体"/>
                            <w:sz w:val="24"/>
                          </w:rPr>
                          <w:t>1%</w:t>
                        </w:r>
                      </w:p>
                    </w:tc>
                  </w:tr>
                  <w:tr>
                    <w:trPr>
                      <w:trHeight w:val="32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4290" w:type="dxa"/>
                        <w:tcBorders>
                          <w:top w:val="nil" w:sz="6" w:space="0" w:color="auto"/>
                          <w:left w:val="nil" w:sz="6" w:space="0" w:color="auto"/>
                          <w:bottom w:val="nil" w:sz="6" w:space="0" w:color="auto"/>
                          <w:right w:val="nil" w:sz="6" w:space="0" w:color="auto"/>
                        </w:tcBorders>
                      </w:tcPr>
                      <w:p>
                        <w:pPr>
                          <w:pStyle w:val="TableParagraph"/>
                          <w:spacing w:line="280" w:lineRule="exact"/>
                          <w:ind w:left="468" w:right="0"/>
                          <w:jc w:val="left"/>
                          <w:rPr>
                            <w:rFonts w:ascii="宋体" w:hAnsi="宋体" w:cs="宋体" w:eastAsia="宋体" w:hint="default"/>
                            <w:sz w:val="24"/>
                            <w:szCs w:val="24"/>
                          </w:rPr>
                        </w:pPr>
                        <w:r>
                          <w:rPr>
                            <w:rFonts w:ascii="宋体" w:hAnsi="宋体" w:cs="宋体" w:eastAsia="宋体" w:hint="default"/>
                            <w:sz w:val="24"/>
                            <w:szCs w:val="24"/>
                          </w:rPr>
                          <w:t>应交增值税、营业税</w:t>
                        </w:r>
                      </w:p>
                    </w:tc>
                    <w:tc>
                      <w:tcPr>
                        <w:tcW w:w="2417" w:type="dxa"/>
                        <w:tcBorders>
                          <w:top w:val="nil" w:sz="6" w:space="0" w:color="auto"/>
                          <w:left w:val="nil" w:sz="6" w:space="0" w:color="auto"/>
                          <w:bottom w:val="nil" w:sz="6" w:space="0" w:color="auto"/>
                          <w:right w:val="nil" w:sz="6" w:space="0" w:color="auto"/>
                        </w:tcBorders>
                      </w:tcPr>
                      <w:p>
                        <w:pPr>
                          <w:pStyle w:val="TableParagraph"/>
                          <w:spacing w:line="280" w:lineRule="exact"/>
                          <w:ind w:left="271" w:right="0"/>
                          <w:jc w:val="center"/>
                          <w:rPr>
                            <w:rFonts w:ascii="宋体" w:hAnsi="宋体" w:cs="宋体" w:eastAsia="宋体" w:hint="default"/>
                            <w:sz w:val="24"/>
                            <w:szCs w:val="24"/>
                          </w:rPr>
                        </w:pPr>
                        <w:r>
                          <w:rPr>
                            <w:rFonts w:ascii="宋体"/>
                            <w:sz w:val="24"/>
                          </w:rPr>
                          <w:t>3%</w:t>
                        </w:r>
                      </w:p>
                    </w:tc>
                  </w:tr>
                  <w:tr>
                    <w:trPr>
                      <w:trHeight w:val="28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80" w:lineRule="exact"/>
                          <w:ind w:left="35"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4290" w:type="dxa"/>
                        <w:tcBorders>
                          <w:top w:val="nil" w:sz="6" w:space="0" w:color="auto"/>
                          <w:left w:val="nil" w:sz="6" w:space="0" w:color="auto"/>
                          <w:bottom w:val="nil" w:sz="6" w:space="0" w:color="auto"/>
                          <w:right w:val="nil" w:sz="6" w:space="0" w:color="auto"/>
                        </w:tcBorders>
                      </w:tcPr>
                      <w:p>
                        <w:pPr>
                          <w:pStyle w:val="TableParagraph"/>
                          <w:spacing w:line="280" w:lineRule="exact"/>
                          <w:ind w:left="468"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417" w:type="dxa"/>
                        <w:tcBorders>
                          <w:top w:val="nil" w:sz="6" w:space="0" w:color="auto"/>
                          <w:left w:val="nil" w:sz="6" w:space="0" w:color="auto"/>
                          <w:bottom w:val="nil" w:sz="6" w:space="0" w:color="auto"/>
                          <w:right w:val="nil" w:sz="6" w:space="0" w:color="auto"/>
                        </w:tcBorders>
                      </w:tcPr>
                      <w:p>
                        <w:pPr>
                          <w:pStyle w:val="TableParagraph"/>
                          <w:spacing w:line="280" w:lineRule="exact"/>
                          <w:ind w:left="271" w:right="0"/>
                          <w:jc w:val="center"/>
                          <w:rPr>
                            <w:rFonts w:ascii="宋体" w:hAnsi="宋体" w:cs="宋体" w:eastAsia="宋体" w:hint="default"/>
                            <w:sz w:val="24"/>
                            <w:szCs w:val="24"/>
                          </w:rPr>
                        </w:pPr>
                        <w:r>
                          <w:rPr>
                            <w:rFonts w:ascii="宋体"/>
                            <w:sz w:val="24"/>
                          </w:rPr>
                          <w:t>15%</w:t>
                        </w:r>
                      </w:p>
                    </w:tc>
                  </w:tr>
                  <w:tr>
                    <w:trPr>
                      <w:trHeight w:val="395" w:hRule="exact"/>
                    </w:trPr>
                    <w:tc>
                      <w:tcPr>
                        <w:tcW w:w="93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7"/>
                          <w:ind w:left="467" w:right="0"/>
                          <w:jc w:val="left"/>
                          <w:rPr>
                            <w:rFonts w:ascii="宋体" w:hAnsi="宋体" w:cs="宋体" w:eastAsia="宋体" w:hint="default"/>
                            <w:sz w:val="24"/>
                            <w:szCs w:val="24"/>
                          </w:rPr>
                        </w:pPr>
                        <w:r>
                          <w:rPr>
                            <w:rFonts w:ascii="宋体" w:hAnsi="宋体" w:cs="宋体" w:eastAsia="宋体" w:hint="default"/>
                            <w:sz w:val="24"/>
                            <w:szCs w:val="24"/>
                          </w:rPr>
                          <w:t>无锡实益达电子有限公司适用的主要税种和税率如下：</w:t>
                        </w:r>
                      </w:p>
                    </w:tc>
                  </w:tr>
                  <w:tr>
                    <w:trPr>
                      <w:trHeight w:val="347" w:hRule="exact"/>
                    </w:trPr>
                    <w:tc>
                      <w:tcPr>
                        <w:tcW w:w="2663" w:type="dxa"/>
                        <w:tcBorders>
                          <w:top w:val="nil" w:sz="6" w:space="0" w:color="auto"/>
                          <w:left w:val="nil" w:sz="6" w:space="0" w:color="auto"/>
                          <w:bottom w:val="nil" w:sz="6" w:space="0" w:color="auto"/>
                          <w:right w:val="nil" w:sz="6" w:space="0" w:color="auto"/>
                        </w:tcBorders>
                      </w:tcPr>
                      <w:p>
                        <w:pPr>
                          <w:pStyle w:val="TableParagraph"/>
                          <w:tabs>
                            <w:tab w:pos="634" w:val="left" w:leader="none"/>
                            <w:tab w:pos="1354" w:val="left" w:leader="none"/>
                            <w:tab w:pos="2194" w:val="left" w:leader="none"/>
                          </w:tabs>
                          <w:spacing w:line="284"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税</w:t>
                          <w:tab/>
                          <w:t>项</w:t>
                          <w:tab/>
                        </w:r>
                        <w:r>
                          <w:rPr>
                            <w:rFonts w:ascii="宋体" w:hAnsi="宋体" w:cs="宋体" w:eastAsia="宋体" w:hint="default"/>
                            <w:sz w:val="24"/>
                            <w:szCs w:val="24"/>
                          </w:rPr>
                        </w:r>
                      </w:p>
                    </w:tc>
                    <w:tc>
                      <w:tcPr>
                        <w:tcW w:w="4290" w:type="dxa"/>
                        <w:tcBorders>
                          <w:top w:val="nil" w:sz="6" w:space="0" w:color="auto"/>
                          <w:left w:val="nil" w:sz="6" w:space="0" w:color="auto"/>
                          <w:bottom w:val="nil" w:sz="6" w:space="0" w:color="auto"/>
                          <w:right w:val="nil" w:sz="6" w:space="0" w:color="auto"/>
                        </w:tcBorders>
                      </w:tcPr>
                      <w:p>
                        <w:pPr>
                          <w:pStyle w:val="TableParagraph"/>
                          <w:tabs>
                            <w:tab w:pos="1427" w:val="left" w:leader="none"/>
                            <w:tab w:pos="3467" w:val="left" w:leader="none"/>
                          </w:tabs>
                          <w:spacing w:line="284" w:lineRule="exact"/>
                          <w:ind w:left="46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计税基础</w:t>
                          <w:tab/>
                        </w:r>
                        <w:r>
                          <w:rPr>
                            <w:rFonts w:ascii="宋体" w:hAnsi="宋体" w:cs="宋体" w:eastAsia="宋体" w:hint="default"/>
                            <w:sz w:val="24"/>
                            <w:szCs w:val="24"/>
                          </w:rPr>
                        </w:r>
                      </w:p>
                    </w:tc>
                    <w:tc>
                      <w:tcPr>
                        <w:tcW w:w="2417" w:type="dxa"/>
                        <w:tcBorders>
                          <w:top w:val="nil" w:sz="6" w:space="0" w:color="auto"/>
                          <w:left w:val="nil" w:sz="6" w:space="0" w:color="auto"/>
                          <w:bottom w:val="nil" w:sz="6" w:space="0" w:color="auto"/>
                          <w:right w:val="nil" w:sz="6" w:space="0" w:color="auto"/>
                        </w:tcBorders>
                      </w:tcPr>
                      <w:p>
                        <w:pPr>
                          <w:pStyle w:val="TableParagraph"/>
                          <w:tabs>
                            <w:tab w:pos="479" w:val="left" w:leader="none"/>
                            <w:tab w:pos="959" w:val="left" w:leader="none"/>
                            <w:tab w:pos="1559" w:val="left" w:leader="none"/>
                          </w:tabs>
                          <w:spacing w:line="284" w:lineRule="exact"/>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税</w:t>
                          <w:tab/>
                          <w:t>率</w:t>
                          <w:tab/>
                        </w:r>
                        <w:r>
                          <w:rPr>
                            <w:rFonts w:ascii="宋体" w:hAnsi="宋体" w:cs="宋体" w:eastAsia="宋体" w:hint="default"/>
                            <w:sz w:val="24"/>
                            <w:szCs w:val="24"/>
                          </w:rPr>
                        </w:r>
                      </w:p>
                    </w:tc>
                  </w:tr>
                  <w:tr>
                    <w:trPr>
                      <w:trHeight w:val="35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4290" w:type="dxa"/>
                        <w:tcBorders>
                          <w:top w:val="nil" w:sz="6" w:space="0" w:color="auto"/>
                          <w:left w:val="nil" w:sz="6" w:space="0" w:color="auto"/>
                          <w:bottom w:val="nil" w:sz="6" w:space="0" w:color="auto"/>
                          <w:right w:val="nil" w:sz="6" w:space="0" w:color="auto"/>
                        </w:tcBorders>
                      </w:tcPr>
                      <w:p>
                        <w:pPr>
                          <w:pStyle w:val="TableParagraph"/>
                          <w:spacing w:line="290" w:lineRule="exact"/>
                          <w:ind w:left="468" w:right="0"/>
                          <w:jc w:val="left"/>
                          <w:rPr>
                            <w:rFonts w:ascii="宋体" w:hAnsi="宋体" w:cs="宋体" w:eastAsia="宋体" w:hint="default"/>
                            <w:sz w:val="24"/>
                            <w:szCs w:val="24"/>
                          </w:rPr>
                        </w:pPr>
                        <w:r>
                          <w:rPr>
                            <w:rFonts w:ascii="宋体" w:hAnsi="宋体" w:cs="宋体" w:eastAsia="宋体" w:hint="default"/>
                            <w:sz w:val="24"/>
                            <w:szCs w:val="24"/>
                          </w:rPr>
                          <w:t>产品销售收入</w:t>
                        </w:r>
                      </w:p>
                    </w:tc>
                    <w:tc>
                      <w:tcPr>
                        <w:tcW w:w="2417" w:type="dxa"/>
                        <w:tcBorders>
                          <w:top w:val="nil" w:sz="6" w:space="0" w:color="auto"/>
                          <w:left w:val="nil" w:sz="6" w:space="0" w:color="auto"/>
                          <w:bottom w:val="nil" w:sz="6" w:space="0" w:color="auto"/>
                          <w:right w:val="nil" w:sz="6" w:space="0" w:color="auto"/>
                        </w:tcBorders>
                      </w:tcPr>
                      <w:p>
                        <w:pPr>
                          <w:pStyle w:val="TableParagraph"/>
                          <w:spacing w:line="290" w:lineRule="exact"/>
                          <w:ind w:left="271" w:right="0"/>
                          <w:jc w:val="center"/>
                          <w:rPr>
                            <w:rFonts w:ascii="宋体" w:hAnsi="宋体" w:cs="宋体" w:eastAsia="宋体" w:hint="default"/>
                            <w:sz w:val="24"/>
                            <w:szCs w:val="24"/>
                          </w:rPr>
                        </w:pPr>
                        <w:r>
                          <w:rPr>
                            <w:rFonts w:ascii="宋体"/>
                            <w:sz w:val="24"/>
                          </w:rPr>
                          <w:t>17%</w:t>
                        </w:r>
                      </w:p>
                    </w:tc>
                  </w:tr>
                  <w:tr>
                    <w:trPr>
                      <w:trHeight w:val="36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4290" w:type="dxa"/>
                        <w:tcBorders>
                          <w:top w:val="nil" w:sz="6" w:space="0" w:color="auto"/>
                          <w:left w:val="nil" w:sz="6" w:space="0" w:color="auto"/>
                          <w:bottom w:val="nil" w:sz="6" w:space="0" w:color="auto"/>
                          <w:right w:val="nil" w:sz="6" w:space="0" w:color="auto"/>
                        </w:tcBorders>
                      </w:tcPr>
                      <w:p>
                        <w:pPr>
                          <w:pStyle w:val="TableParagraph"/>
                          <w:spacing w:line="300" w:lineRule="exact"/>
                          <w:ind w:left="468" w:right="0"/>
                          <w:jc w:val="left"/>
                          <w:rPr>
                            <w:rFonts w:ascii="宋体" w:hAnsi="宋体" w:cs="宋体" w:eastAsia="宋体" w:hint="default"/>
                            <w:sz w:val="24"/>
                            <w:szCs w:val="24"/>
                          </w:rPr>
                        </w:pPr>
                        <w:r>
                          <w:rPr>
                            <w:rFonts w:ascii="宋体" w:hAnsi="宋体" w:cs="宋体" w:eastAsia="宋体" w:hint="default"/>
                            <w:sz w:val="24"/>
                            <w:szCs w:val="24"/>
                          </w:rPr>
                          <w:t>应交增值税、营业税</w:t>
                        </w:r>
                      </w:p>
                    </w:tc>
                    <w:tc>
                      <w:tcPr>
                        <w:tcW w:w="2417" w:type="dxa"/>
                        <w:tcBorders>
                          <w:top w:val="nil" w:sz="6" w:space="0" w:color="auto"/>
                          <w:left w:val="nil" w:sz="6" w:space="0" w:color="auto"/>
                          <w:bottom w:val="nil" w:sz="6" w:space="0" w:color="auto"/>
                          <w:right w:val="nil" w:sz="6" w:space="0" w:color="auto"/>
                        </w:tcBorders>
                      </w:tcPr>
                      <w:p>
                        <w:pPr>
                          <w:pStyle w:val="TableParagraph"/>
                          <w:spacing w:line="300" w:lineRule="exact"/>
                          <w:ind w:left="271" w:right="0"/>
                          <w:jc w:val="center"/>
                          <w:rPr>
                            <w:rFonts w:ascii="宋体" w:hAnsi="宋体" w:cs="宋体" w:eastAsia="宋体" w:hint="default"/>
                            <w:sz w:val="24"/>
                            <w:szCs w:val="24"/>
                          </w:rPr>
                        </w:pPr>
                        <w:r>
                          <w:rPr>
                            <w:rFonts w:ascii="宋体"/>
                            <w:sz w:val="24"/>
                          </w:rPr>
                          <w:t>1%</w:t>
                        </w:r>
                      </w:p>
                    </w:tc>
                  </w:tr>
                  <w:tr>
                    <w:trPr>
                      <w:trHeight w:val="300"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300" w:lineRule="exact"/>
                          <w:ind w:left="35"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4290" w:type="dxa"/>
                        <w:tcBorders>
                          <w:top w:val="nil" w:sz="6" w:space="0" w:color="auto"/>
                          <w:left w:val="nil" w:sz="6" w:space="0" w:color="auto"/>
                          <w:bottom w:val="nil" w:sz="6" w:space="0" w:color="auto"/>
                          <w:right w:val="nil" w:sz="6" w:space="0" w:color="auto"/>
                        </w:tcBorders>
                      </w:tcPr>
                      <w:p>
                        <w:pPr>
                          <w:pStyle w:val="TableParagraph"/>
                          <w:spacing w:line="300" w:lineRule="exact"/>
                          <w:ind w:left="468"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417" w:type="dxa"/>
                        <w:tcBorders>
                          <w:top w:val="nil" w:sz="6" w:space="0" w:color="auto"/>
                          <w:left w:val="nil" w:sz="6" w:space="0" w:color="auto"/>
                          <w:bottom w:val="nil" w:sz="6" w:space="0" w:color="auto"/>
                          <w:right w:val="nil" w:sz="6" w:space="0" w:color="auto"/>
                        </w:tcBorders>
                      </w:tcPr>
                      <w:p>
                        <w:pPr>
                          <w:pStyle w:val="TableParagraph"/>
                          <w:spacing w:line="300" w:lineRule="exact"/>
                          <w:ind w:left="271" w:right="0"/>
                          <w:jc w:val="center"/>
                          <w:rPr>
                            <w:rFonts w:ascii="宋体" w:hAnsi="宋体" w:cs="宋体" w:eastAsia="宋体" w:hint="default"/>
                            <w:sz w:val="24"/>
                            <w:szCs w:val="24"/>
                          </w:rPr>
                        </w:pPr>
                        <w:r>
                          <w:rPr>
                            <w:rFonts w:ascii="宋体"/>
                            <w:sz w:val="24"/>
                          </w:rPr>
                          <w:t>33%</w:t>
                        </w:r>
                      </w:p>
                    </w:tc>
                  </w:tr>
                  <w:tr>
                    <w:trPr>
                      <w:trHeight w:val="401" w:hRule="exact"/>
                    </w:trPr>
                    <w:tc>
                      <w:tcPr>
                        <w:tcW w:w="93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6"/>
                          <w:ind w:left="467" w:right="0"/>
                          <w:jc w:val="left"/>
                          <w:rPr>
                            <w:rFonts w:ascii="宋体" w:hAnsi="宋体" w:cs="宋体" w:eastAsia="宋体" w:hint="default"/>
                            <w:sz w:val="24"/>
                            <w:szCs w:val="24"/>
                          </w:rPr>
                        </w:pPr>
                        <w:r>
                          <w:rPr>
                            <w:rFonts w:ascii="宋体" w:hAnsi="宋体" w:cs="宋体" w:eastAsia="宋体" w:hint="default"/>
                            <w:sz w:val="24"/>
                            <w:szCs w:val="24"/>
                          </w:rPr>
                          <w:t>实益达科技（香港）有限公司适用的主要税种和税率如下：</w:t>
                        </w:r>
                      </w:p>
                    </w:tc>
                  </w:tr>
                  <w:tr>
                    <w:trPr>
                      <w:trHeight w:val="363" w:hRule="exact"/>
                    </w:trPr>
                    <w:tc>
                      <w:tcPr>
                        <w:tcW w:w="2663" w:type="dxa"/>
                        <w:tcBorders>
                          <w:top w:val="nil" w:sz="6" w:space="0" w:color="auto"/>
                          <w:left w:val="nil" w:sz="6" w:space="0" w:color="auto"/>
                          <w:bottom w:val="nil" w:sz="6" w:space="0" w:color="auto"/>
                          <w:right w:val="nil" w:sz="6" w:space="0" w:color="auto"/>
                        </w:tcBorders>
                      </w:tcPr>
                      <w:p>
                        <w:pPr>
                          <w:pStyle w:val="TableParagraph"/>
                          <w:tabs>
                            <w:tab w:pos="634" w:val="left" w:leader="none"/>
                            <w:tab w:pos="1354" w:val="left" w:leader="none"/>
                            <w:tab w:pos="2194" w:val="left" w:leader="none"/>
                          </w:tabs>
                          <w:spacing w:line="281"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税</w:t>
                          <w:tab/>
                          <w:t>项</w:t>
                          <w:tab/>
                        </w:r>
                        <w:r>
                          <w:rPr>
                            <w:rFonts w:ascii="宋体" w:hAnsi="宋体" w:cs="宋体" w:eastAsia="宋体" w:hint="default"/>
                            <w:sz w:val="24"/>
                            <w:szCs w:val="24"/>
                          </w:rPr>
                        </w:r>
                      </w:p>
                    </w:tc>
                    <w:tc>
                      <w:tcPr>
                        <w:tcW w:w="4290" w:type="dxa"/>
                        <w:tcBorders>
                          <w:top w:val="nil" w:sz="6" w:space="0" w:color="auto"/>
                          <w:left w:val="nil" w:sz="6" w:space="0" w:color="auto"/>
                          <w:bottom w:val="nil" w:sz="6" w:space="0" w:color="auto"/>
                          <w:right w:val="nil" w:sz="6" w:space="0" w:color="auto"/>
                        </w:tcBorders>
                      </w:tcPr>
                      <w:p>
                        <w:pPr>
                          <w:pStyle w:val="TableParagraph"/>
                          <w:tabs>
                            <w:tab w:pos="1427" w:val="left" w:leader="none"/>
                            <w:tab w:pos="3467" w:val="left" w:leader="none"/>
                          </w:tabs>
                          <w:spacing w:line="281" w:lineRule="exact"/>
                          <w:ind w:left="46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计税基础</w:t>
                          <w:tab/>
                        </w:r>
                        <w:r>
                          <w:rPr>
                            <w:rFonts w:ascii="宋体" w:hAnsi="宋体" w:cs="宋体" w:eastAsia="宋体" w:hint="default"/>
                            <w:sz w:val="24"/>
                            <w:szCs w:val="24"/>
                          </w:rPr>
                        </w:r>
                      </w:p>
                    </w:tc>
                    <w:tc>
                      <w:tcPr>
                        <w:tcW w:w="2417" w:type="dxa"/>
                        <w:tcBorders>
                          <w:top w:val="nil" w:sz="6" w:space="0" w:color="auto"/>
                          <w:left w:val="nil" w:sz="6" w:space="0" w:color="auto"/>
                          <w:bottom w:val="nil" w:sz="6" w:space="0" w:color="auto"/>
                          <w:right w:val="nil" w:sz="6" w:space="0" w:color="auto"/>
                        </w:tcBorders>
                      </w:tcPr>
                      <w:p>
                        <w:pPr>
                          <w:pStyle w:val="TableParagraph"/>
                          <w:tabs>
                            <w:tab w:pos="479" w:val="left" w:leader="none"/>
                            <w:tab w:pos="959" w:val="left" w:leader="none"/>
                            <w:tab w:pos="1559" w:val="left" w:leader="none"/>
                          </w:tabs>
                          <w:spacing w:line="281" w:lineRule="exact"/>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税</w:t>
                          <w:tab/>
                          <w:t>率</w:t>
                          <w:tab/>
                        </w:r>
                        <w:r>
                          <w:rPr>
                            <w:rFonts w:ascii="宋体" w:hAnsi="宋体" w:cs="宋体" w:eastAsia="宋体" w:hint="default"/>
                            <w:sz w:val="24"/>
                            <w:szCs w:val="24"/>
                          </w:rPr>
                        </w:r>
                      </w:p>
                    </w:tc>
                  </w:tr>
                  <w:tr>
                    <w:trPr>
                      <w:trHeight w:val="409"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309" w:lineRule="exact"/>
                          <w:ind w:left="35" w:right="0"/>
                          <w:jc w:val="left"/>
                          <w:rPr>
                            <w:rFonts w:ascii="宋体" w:hAnsi="宋体" w:cs="宋体" w:eastAsia="宋体" w:hint="default"/>
                            <w:sz w:val="24"/>
                            <w:szCs w:val="24"/>
                          </w:rPr>
                        </w:pPr>
                        <w:r>
                          <w:rPr>
                            <w:rFonts w:ascii="宋体" w:hAnsi="宋体" w:cs="宋体" w:eastAsia="宋体" w:hint="default"/>
                            <w:sz w:val="24"/>
                            <w:szCs w:val="24"/>
                          </w:rPr>
                          <w:t>利得税</w:t>
                        </w:r>
                      </w:p>
                    </w:tc>
                    <w:tc>
                      <w:tcPr>
                        <w:tcW w:w="4290" w:type="dxa"/>
                        <w:tcBorders>
                          <w:top w:val="nil" w:sz="6" w:space="0" w:color="auto"/>
                          <w:left w:val="nil" w:sz="6" w:space="0" w:color="auto"/>
                          <w:bottom w:val="nil" w:sz="6" w:space="0" w:color="auto"/>
                          <w:right w:val="nil" w:sz="6" w:space="0" w:color="auto"/>
                        </w:tcBorders>
                      </w:tcPr>
                      <w:p>
                        <w:pPr>
                          <w:pStyle w:val="TableParagraph"/>
                          <w:spacing w:line="309" w:lineRule="exact"/>
                          <w:ind w:left="468" w:right="0"/>
                          <w:jc w:val="left"/>
                          <w:rPr>
                            <w:rFonts w:ascii="宋体" w:hAnsi="宋体" w:cs="宋体" w:eastAsia="宋体" w:hint="default"/>
                            <w:sz w:val="24"/>
                            <w:szCs w:val="24"/>
                          </w:rPr>
                        </w:pPr>
                        <w:r>
                          <w:rPr>
                            <w:rFonts w:ascii="宋体" w:hAnsi="宋体" w:cs="宋体" w:eastAsia="宋体" w:hint="default"/>
                            <w:sz w:val="24"/>
                            <w:szCs w:val="24"/>
                          </w:rPr>
                          <w:t>所得额</w:t>
                        </w:r>
                      </w:p>
                    </w:tc>
                    <w:tc>
                      <w:tcPr>
                        <w:tcW w:w="2417" w:type="dxa"/>
                        <w:tcBorders>
                          <w:top w:val="nil" w:sz="6" w:space="0" w:color="auto"/>
                          <w:left w:val="nil" w:sz="6" w:space="0" w:color="auto"/>
                          <w:bottom w:val="nil" w:sz="6" w:space="0" w:color="auto"/>
                          <w:right w:val="nil" w:sz="6" w:space="0" w:color="auto"/>
                        </w:tcBorders>
                      </w:tcPr>
                      <w:p>
                        <w:pPr>
                          <w:pStyle w:val="TableParagraph"/>
                          <w:spacing w:line="309" w:lineRule="exact"/>
                          <w:ind w:left="271" w:right="0"/>
                          <w:jc w:val="center"/>
                          <w:rPr>
                            <w:rFonts w:ascii="宋体" w:hAnsi="宋体" w:cs="宋体" w:eastAsia="宋体" w:hint="default"/>
                            <w:sz w:val="24"/>
                            <w:szCs w:val="24"/>
                          </w:rPr>
                        </w:pPr>
                        <w:r>
                          <w:rPr>
                            <w:rFonts w:ascii="宋体"/>
                            <w:sz w:val="24"/>
                          </w:rPr>
                          <w:t>17%</w:t>
                        </w:r>
                      </w:p>
                    </w:tc>
                  </w:tr>
                </w:tbl>
                <w:p>
                  <w:pPr/>
                </w:p>
              </w:txbxContent>
            </v:textbox>
            <w10:wrap type="none"/>
          </v:shape>
        </w:pict>
      </w:r>
      <w:r>
        <w:rPr/>
        <w:t>(一)公司主要税种和税率 深圳市实益达科技股份有限公司适用的主要税种和税率如下：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26"/>
        <w:ind w:left="694" w:right="212"/>
        <w:jc w:val="left"/>
      </w:pPr>
      <w:r>
        <w:rPr/>
        <w:t>(二)税负减免</w:t>
      </w:r>
    </w:p>
    <w:p>
      <w:pPr>
        <w:pStyle w:val="BodyText"/>
        <w:spacing w:line="336" w:lineRule="auto" w:before="126"/>
        <w:ind w:left="154" w:right="231" w:firstLine="540"/>
        <w:jc w:val="both"/>
      </w:pPr>
      <w:r>
        <w:rPr/>
        <w:t>根据深圳市地方税务局深地税三发[2001]428</w:t>
      </w:r>
      <w:r>
        <w:rPr>
          <w:spacing w:val="-22"/>
        </w:rPr>
        <w:t> </w:t>
      </w:r>
      <w:r>
        <w:rPr/>
        <w:t>号文批准，同意本公司从获利年度起享受</w:t>
      </w:r>
      <w:r>
        <w:rPr/>
        <w:t> “两免三减半”的所得税优惠政策，2003 年度、2004 年度、2005</w:t>
      </w:r>
      <w:r>
        <w:rPr>
          <w:spacing w:val="-84"/>
        </w:rPr>
        <w:t> </w:t>
      </w:r>
      <w:r>
        <w:rPr/>
        <w:t>年度本公司享受了该减半</w:t>
      </w:r>
      <w:r>
        <w:rPr/>
        <w:t> 征收所得税的优惠政策。</w:t>
      </w:r>
    </w:p>
    <w:p>
      <w:pPr>
        <w:pStyle w:val="BodyText"/>
        <w:spacing w:line="336" w:lineRule="auto"/>
        <w:ind w:left="154" w:right="231" w:firstLine="540"/>
        <w:jc w:val="both"/>
      </w:pPr>
      <w:r>
        <w:rPr/>
        <w:t>根据深圳市地方税务局深地税三函[2005]592</w:t>
      </w:r>
      <w:r>
        <w:rPr>
          <w:spacing w:val="-22"/>
        </w:rPr>
        <w:t> </w:t>
      </w:r>
      <w:r>
        <w:rPr/>
        <w:t>号文批准，同意本公司从获利年度起享受</w:t>
      </w:r>
      <w:r>
        <w:rPr/>
        <w:t> “两免三减半”的所得税优惠政策期满后，给予延长</w:t>
      </w:r>
      <w:r>
        <w:rPr>
          <w:spacing w:val="-68"/>
        </w:rPr>
        <w:t> </w:t>
      </w:r>
      <w:r>
        <w:rPr/>
        <w:t>3</w:t>
      </w:r>
      <w:r>
        <w:rPr>
          <w:spacing w:val="-68"/>
        </w:rPr>
        <w:t> </w:t>
      </w:r>
      <w:r>
        <w:rPr/>
        <w:t>年减半征收所得税的优惠，2007</w:t>
      </w:r>
      <w:r>
        <w:rPr>
          <w:spacing w:val="-68"/>
        </w:rPr>
        <w:t> </w:t>
      </w:r>
      <w:r>
        <w:rPr/>
        <w:t>年度</w:t>
      </w:r>
      <w:r>
        <w:rPr/>
        <w:t> 为享受延长减半征收所得税优惠政策的第二个年度。</w:t>
      </w:r>
    </w:p>
    <w:p>
      <w:pPr>
        <w:pStyle w:val="BodyText"/>
        <w:spacing w:line="336" w:lineRule="auto"/>
        <w:ind w:right="228" w:firstLine="540"/>
        <w:jc w:val="both"/>
      </w:pPr>
      <w:r>
        <w:rPr>
          <w:spacing w:val="-1"/>
        </w:rPr>
        <w:t>根据《中华人民共和国外商投资企业和外国企业所得税法》的规定：对生产性外商投资</w:t>
      </w:r>
      <w:r>
        <w:rPr/>
        <w:t> 企业，经营期在十年以上的，从开始获利的年度起，第一年和第二年免征企业所得税，第三</w:t>
      </w:r>
      <w:r>
        <w:rPr>
          <w:spacing w:val="-83"/>
        </w:rPr>
        <w:t> </w:t>
      </w:r>
      <w:r>
        <w:rPr>
          <w:spacing w:val="-83"/>
        </w:rPr>
      </w:r>
      <w:r>
        <w:rPr/>
        <w:t>年至第五年减半征收企业所得税。无锡实益达电子有限公司属于生产性外商投资企业，但由</w:t>
      </w:r>
      <w:r>
        <w:rPr>
          <w:spacing w:val="-83"/>
        </w:rPr>
        <w:t> </w:t>
      </w:r>
      <w:r>
        <w:rPr>
          <w:spacing w:val="-83"/>
        </w:rPr>
      </w:r>
      <w:r>
        <w:rPr/>
        <w:t>于成立至今尚未实现盈利，故尚未享受上述税收优惠政策。</w:t>
      </w:r>
    </w:p>
    <w:p>
      <w:pPr>
        <w:spacing w:after="0" w:line="336" w:lineRule="auto"/>
        <w:jc w:val="both"/>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874" w:right="3670"/>
        <w:jc w:val="left"/>
      </w:pPr>
      <w:r>
        <w:rPr/>
        <w:t>四、企业合并及合并财务报表</w:t>
      </w:r>
    </w:p>
    <w:p>
      <w:pPr>
        <w:pStyle w:val="BodyText"/>
        <w:spacing w:line="336" w:lineRule="auto" w:before="126"/>
        <w:ind w:left="333" w:right="328" w:firstLine="540"/>
        <w:jc w:val="both"/>
      </w:pPr>
      <w:r>
        <w:rPr/>
        <w:t>合并财务报表按照</w:t>
      </w:r>
      <w:r>
        <w:rPr>
          <w:spacing w:val="-60"/>
        </w:rPr>
        <w:t> </w:t>
      </w:r>
      <w:r>
        <w:rPr/>
        <w:t>2006</w:t>
      </w:r>
      <w:r>
        <w:rPr>
          <w:spacing w:val="-60"/>
        </w:rPr>
        <w:t> </w:t>
      </w:r>
      <w:r>
        <w:rPr/>
        <w:t>年</w:t>
      </w:r>
      <w:r>
        <w:rPr>
          <w:spacing w:val="-60"/>
        </w:rPr>
        <w:t> </w:t>
      </w:r>
      <w:r>
        <w:rPr/>
        <w:t>2</w:t>
      </w:r>
      <w:r>
        <w:rPr>
          <w:spacing w:val="-60"/>
        </w:rPr>
        <w:t> </w:t>
      </w:r>
      <w:r>
        <w:rPr/>
        <w:t>月颁布的《企业会计准则第</w:t>
      </w:r>
      <w:r>
        <w:rPr>
          <w:spacing w:val="-60"/>
        </w:rPr>
        <w:t> </w:t>
      </w:r>
      <w:r>
        <w:rPr/>
        <w:t>33</w:t>
      </w:r>
      <w:r>
        <w:rPr>
          <w:spacing w:val="-60"/>
        </w:rPr>
        <w:t> </w:t>
      </w:r>
      <w:r>
        <w:rPr/>
        <w:t>号—合并财务报表》执行。</w:t>
      </w:r>
      <w:r>
        <w:rPr/>
        <w:t> 公司所控制的全部子公司均纳入合并财务报表的合并范围。</w:t>
      </w:r>
    </w:p>
    <w:p>
      <w:pPr>
        <w:pStyle w:val="BodyText"/>
        <w:spacing w:line="336" w:lineRule="auto"/>
        <w:ind w:left="333" w:right="348" w:firstLine="540"/>
        <w:jc w:val="both"/>
      </w:pPr>
      <w:r>
        <w:rPr>
          <w:spacing w:val="-1"/>
        </w:rPr>
        <w:t>合并财务报表以母公司和纳入合并范围的子公司的个别财务报表为基础，根据其他有关</w:t>
      </w:r>
      <w:r>
        <w:rPr/>
        <w:t> 资料为依据，按照权益法调整对子公司的长期股权投资后，由母公司编制。合并时对内部权</w:t>
      </w:r>
      <w:r>
        <w:rPr>
          <w:spacing w:val="-83"/>
        </w:rPr>
        <w:t> </w:t>
      </w:r>
      <w:r>
        <w:rPr>
          <w:spacing w:val="-83"/>
        </w:rPr>
      </w:r>
      <w:r>
        <w:rPr/>
        <w:t>益性投资与子公司所有者权益、内部投资收益与子公司利润分配、内部交易事项、内部债权</w:t>
      </w:r>
      <w:r>
        <w:rPr>
          <w:spacing w:val="-83"/>
        </w:rPr>
        <w:t> </w:t>
      </w:r>
      <w:r>
        <w:rPr>
          <w:spacing w:val="-83"/>
        </w:rPr>
      </w:r>
      <w:r>
        <w:rPr/>
        <w:t>债务进行抵销。</w:t>
      </w:r>
    </w:p>
    <w:p>
      <w:pPr>
        <w:pStyle w:val="BodyText"/>
        <w:spacing w:line="312" w:lineRule="auto"/>
        <w:ind w:left="874" w:right="3670"/>
        <w:jc w:val="left"/>
      </w:pPr>
      <w:r>
        <w:rPr/>
        <w:t>子公司所采用的会计政策与母公司保持一致。 本节所列数据除非特别注明，金额单位为人民币万元。 (一)通过同一控制下的企业合并取得的子公司</w:t>
      </w:r>
    </w:p>
    <w:p>
      <w:pPr>
        <w:spacing w:after="0" w:line="312" w:lineRule="auto"/>
        <w:jc w:val="left"/>
        <w:sectPr>
          <w:pgSz w:w="11910" w:h="16840"/>
          <w:pgMar w:header="747" w:footer="1339" w:top="980" w:bottom="1520" w:left="800" w:right="780"/>
        </w:sectPr>
      </w:pPr>
    </w:p>
    <w:p>
      <w:pPr>
        <w:pStyle w:val="BodyText"/>
        <w:spacing w:line="163" w:lineRule="auto" w:before="241"/>
        <w:ind w:left="454" w:right="0"/>
        <w:jc w:val="both"/>
      </w:pPr>
      <w:r>
        <w:rPr/>
        <w:pict>
          <v:shape style="position:absolute;margin-left:60.950001pt;margin-top:56.728142pt;width:370.35pt;height:105.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5"/>
                    <w:gridCol w:w="529"/>
                    <w:gridCol w:w="540"/>
                    <w:gridCol w:w="514"/>
                    <w:gridCol w:w="1682"/>
                    <w:gridCol w:w="3305"/>
                  </w:tblGrid>
                  <w:tr>
                    <w:trPr>
                      <w:trHeight w:val="76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31"/>
                            <w:szCs w:val="31"/>
                          </w:rPr>
                        </w:pPr>
                      </w:p>
                      <w:p>
                        <w:pPr>
                          <w:pStyle w:val="TableParagraph"/>
                          <w:spacing w:line="240" w:lineRule="auto"/>
                          <w:ind w:right="102"/>
                          <w:jc w:val="center"/>
                          <w:rPr>
                            <w:rFonts w:ascii="宋体" w:hAnsi="宋体" w:cs="宋体" w:eastAsia="宋体" w:hint="default"/>
                            <w:sz w:val="24"/>
                            <w:szCs w:val="24"/>
                          </w:rPr>
                        </w:pPr>
                        <w:r>
                          <w:rPr>
                            <w:rFonts w:ascii="宋体" w:hAnsi="宋体" w:cs="宋体" w:eastAsia="宋体" w:hint="default"/>
                            <w:spacing w:val="-20"/>
                            <w:sz w:val="24"/>
                            <w:szCs w:val="24"/>
                          </w:rPr>
                          <w:t>无锡实</w:t>
                        </w:r>
                        <w:r>
                          <w:rPr>
                            <w:rFonts w:ascii="宋体" w:hAnsi="宋体" w:cs="宋体" w:eastAsia="宋体" w:hint="default"/>
                            <w:sz w:val="24"/>
                            <w:szCs w:val="24"/>
                          </w:rPr>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31"/>
                            <w:szCs w:val="31"/>
                          </w:rPr>
                        </w:pPr>
                      </w:p>
                      <w:p>
                        <w:pPr>
                          <w:pStyle w:val="TableParagraph"/>
                          <w:spacing w:line="240" w:lineRule="auto"/>
                          <w:ind w:left="139" w:right="0"/>
                          <w:jc w:val="left"/>
                          <w:rPr>
                            <w:rFonts w:ascii="宋体" w:hAnsi="宋体" w:cs="宋体" w:eastAsia="宋体" w:hint="default"/>
                            <w:sz w:val="24"/>
                            <w:szCs w:val="24"/>
                          </w:rPr>
                        </w:pPr>
                        <w:r>
                          <w:rPr>
                            <w:rFonts w:ascii="宋体" w:hAnsi="宋体" w:cs="宋体" w:eastAsia="宋体" w:hint="default"/>
                            <w:sz w:val="24"/>
                            <w:szCs w:val="24"/>
                          </w:rPr>
                          <w:t>无</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exact"/>
                          <w:ind w:left="149"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质</w:t>
                        </w:r>
                        <w:r>
                          <w:rPr>
                            <w:rFonts w:ascii="宋体" w:hAnsi="宋体" w:cs="宋体" w:eastAsia="宋体" w:hint="default"/>
                            <w:sz w:val="24"/>
                            <w:szCs w:val="24"/>
                          </w:rPr>
                        </w:r>
                      </w:p>
                    </w:tc>
                    <w:tc>
                      <w:tcPr>
                        <w:tcW w:w="514" w:type="dxa"/>
                        <w:tcBorders>
                          <w:top w:val="nil" w:sz="6" w:space="0" w:color="auto"/>
                          <w:left w:val="nil" w:sz="6" w:space="0" w:color="auto"/>
                          <w:bottom w:val="nil" w:sz="6" w:space="0" w:color="auto"/>
                          <w:right w:val="nil" w:sz="6" w:space="0" w:color="auto"/>
                        </w:tcBorders>
                      </w:tcPr>
                      <w:p>
                        <w:pPr>
                          <w:pStyle w:val="TableParagraph"/>
                          <w:spacing w:line="240" w:lineRule="exact"/>
                          <w:ind w:left="149"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本</w:t>
                        </w:r>
                        <w:r>
                          <w:rPr>
                            <w:rFonts w:ascii="宋体" w:hAnsi="宋体" w:cs="宋体" w:eastAsia="宋体" w:hint="default"/>
                            <w:sz w:val="24"/>
                            <w:szCs w:val="24"/>
                          </w:rPr>
                        </w:r>
                      </w:p>
                      <w:p>
                        <w:pPr>
                          <w:pStyle w:val="TableParagraph"/>
                          <w:spacing w:line="240" w:lineRule="auto" w:before="166"/>
                          <w:ind w:left="149" w:right="0"/>
                          <w:jc w:val="left"/>
                          <w:rPr>
                            <w:rFonts w:ascii="宋体" w:hAnsi="宋体" w:cs="宋体" w:eastAsia="宋体" w:hint="default"/>
                            <w:sz w:val="24"/>
                            <w:szCs w:val="24"/>
                          </w:rPr>
                        </w:pPr>
                        <w:r>
                          <w:rPr>
                            <w:rFonts w:ascii="宋体"/>
                            <w:spacing w:val="-5"/>
                            <w:sz w:val="24"/>
                          </w:rPr>
                          <w:t>US</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31"/>
                            <w:szCs w:val="31"/>
                          </w:rPr>
                        </w:pPr>
                      </w:p>
                      <w:p>
                        <w:pPr>
                          <w:pStyle w:val="TableParagraph"/>
                          <w:spacing w:line="240" w:lineRule="auto"/>
                          <w:ind w:right="27"/>
                          <w:jc w:val="center"/>
                          <w:rPr>
                            <w:rFonts w:ascii="宋体" w:hAnsi="宋体" w:cs="宋体" w:eastAsia="宋体" w:hint="default"/>
                            <w:sz w:val="24"/>
                            <w:szCs w:val="24"/>
                          </w:rPr>
                        </w:pPr>
                        <w:r>
                          <w:rPr>
                            <w:rFonts w:ascii="宋体" w:hAnsi="宋体" w:cs="宋体" w:eastAsia="宋体" w:hint="default"/>
                            <w:spacing w:val="-20"/>
                            <w:sz w:val="24"/>
                            <w:szCs w:val="24"/>
                          </w:rPr>
                          <w:t>生产并销售电</w:t>
                        </w:r>
                        <w:r>
                          <w:rPr>
                            <w:rFonts w:ascii="宋体" w:hAnsi="宋体" w:cs="宋体" w:eastAsia="宋体" w:hint="default"/>
                            <w:sz w:val="24"/>
                            <w:szCs w:val="24"/>
                          </w:rPr>
                        </w:r>
                      </w:p>
                    </w:tc>
                    <w:tc>
                      <w:tcPr>
                        <w:tcW w:w="3305" w:type="dxa"/>
                        <w:tcBorders>
                          <w:top w:val="nil" w:sz="6" w:space="0" w:color="auto"/>
                          <w:left w:val="nil" w:sz="6" w:space="0" w:color="auto"/>
                          <w:bottom w:val="nil" w:sz="6" w:space="0" w:color="auto"/>
                          <w:right w:val="nil" w:sz="6" w:space="0" w:color="auto"/>
                        </w:tcBorders>
                      </w:tcPr>
                      <w:p>
                        <w:pPr>
                          <w:pStyle w:val="TableParagraph"/>
                          <w:spacing w:line="240" w:lineRule="exact"/>
                          <w:ind w:left="383"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额</w:t>
                        </w:r>
                        <w:r>
                          <w:rPr>
                            <w:rFonts w:ascii="宋体" w:hAnsi="宋体" w:cs="宋体" w:eastAsia="宋体" w:hint="default"/>
                            <w:sz w:val="24"/>
                            <w:szCs w:val="24"/>
                          </w:rPr>
                        </w:r>
                      </w:p>
                      <w:p>
                        <w:pPr>
                          <w:pStyle w:val="TableParagraph"/>
                          <w:tabs>
                            <w:tab w:pos="1403" w:val="left" w:leader="none"/>
                            <w:tab w:pos="2939" w:val="left" w:leader="none"/>
                          </w:tabs>
                          <w:spacing w:line="240" w:lineRule="auto" w:before="166"/>
                          <w:ind w:left="108" w:right="0"/>
                          <w:jc w:val="left"/>
                          <w:rPr>
                            <w:rFonts w:ascii="宋体" w:hAnsi="宋体" w:cs="宋体" w:eastAsia="宋体" w:hint="default"/>
                            <w:sz w:val="24"/>
                            <w:szCs w:val="24"/>
                          </w:rPr>
                        </w:pPr>
                        <w:r>
                          <w:rPr>
                            <w:rFonts w:ascii="宋体"/>
                            <w:spacing w:val="-9"/>
                            <w:sz w:val="24"/>
                          </w:rPr>
                          <w:t>3,951.8</w:t>
                          <w:tab/>
                          <w:t>3,951.85</w:t>
                          <w:tab/>
                        </w:r>
                        <w:r>
                          <w:rPr>
                            <w:rFonts w:ascii="宋体"/>
                            <w:spacing w:val="-10"/>
                            <w:sz w:val="24"/>
                          </w:rPr>
                          <w:t>51%</w:t>
                        </w:r>
                        <w:r>
                          <w:rPr>
                            <w:rFonts w:ascii="宋体"/>
                            <w:sz w:val="24"/>
                          </w:rPr>
                        </w:r>
                      </w:p>
                    </w:tc>
                  </w:tr>
                  <w:tr>
                    <w:trPr>
                      <w:trHeight w:val="32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80" w:lineRule="exact"/>
                          <w:ind w:right="102"/>
                          <w:jc w:val="center"/>
                          <w:rPr>
                            <w:rFonts w:ascii="宋体" w:hAnsi="宋体" w:cs="宋体" w:eastAsia="宋体" w:hint="default"/>
                            <w:sz w:val="24"/>
                            <w:szCs w:val="24"/>
                          </w:rPr>
                        </w:pPr>
                        <w:r>
                          <w:rPr>
                            <w:rFonts w:ascii="宋体" w:hAnsi="宋体" w:cs="宋体" w:eastAsia="宋体" w:hint="default"/>
                            <w:spacing w:val="-20"/>
                            <w:sz w:val="24"/>
                            <w:szCs w:val="24"/>
                          </w:rPr>
                          <w:t>益达电</w:t>
                        </w:r>
                        <w:r>
                          <w:rPr>
                            <w:rFonts w:ascii="宋体" w:hAnsi="宋体" w:cs="宋体" w:eastAsia="宋体" w:hint="default"/>
                            <w:sz w:val="24"/>
                            <w:szCs w:val="24"/>
                          </w:rPr>
                        </w:r>
                      </w:p>
                    </w:tc>
                    <w:tc>
                      <w:tcPr>
                        <w:tcW w:w="529" w:type="dxa"/>
                        <w:tcBorders>
                          <w:top w:val="nil" w:sz="6" w:space="0" w:color="auto"/>
                          <w:left w:val="nil" w:sz="6" w:space="0" w:color="auto"/>
                          <w:bottom w:val="nil" w:sz="6" w:space="0" w:color="auto"/>
                          <w:right w:val="nil" w:sz="6" w:space="0" w:color="auto"/>
                        </w:tcBorders>
                      </w:tcPr>
                      <w:p>
                        <w:pPr>
                          <w:pStyle w:val="TableParagraph"/>
                          <w:spacing w:line="280" w:lineRule="exact"/>
                          <w:ind w:left="139" w:right="0"/>
                          <w:jc w:val="left"/>
                          <w:rPr>
                            <w:rFonts w:ascii="宋体" w:hAnsi="宋体" w:cs="宋体" w:eastAsia="宋体" w:hint="default"/>
                            <w:sz w:val="24"/>
                            <w:szCs w:val="24"/>
                          </w:rPr>
                        </w:pPr>
                        <w:r>
                          <w:rPr>
                            <w:rFonts w:ascii="宋体" w:hAnsi="宋体" w:cs="宋体" w:eastAsia="宋体" w:hint="default"/>
                            <w:sz w:val="24"/>
                            <w:szCs w:val="24"/>
                          </w:rPr>
                          <w:t>锡</w:t>
                        </w:r>
                      </w:p>
                    </w:tc>
                    <w:tc>
                      <w:tcPr>
                        <w:tcW w:w="54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Style w:val="TableParagraph"/>
                          <w:spacing w:line="280" w:lineRule="exact"/>
                          <w:ind w:left="16" w:right="0"/>
                          <w:jc w:val="center"/>
                          <w:rPr>
                            <w:rFonts w:ascii="宋体" w:hAnsi="宋体" w:cs="宋体" w:eastAsia="宋体" w:hint="default"/>
                            <w:sz w:val="24"/>
                            <w:szCs w:val="24"/>
                          </w:rPr>
                        </w:pPr>
                        <w:r>
                          <w:rPr>
                            <w:rFonts w:ascii="宋体"/>
                            <w:sz w:val="24"/>
                          </w:rPr>
                          <w:t>D</w:t>
                        </w:r>
                      </w:p>
                    </w:tc>
                    <w:tc>
                      <w:tcPr>
                        <w:tcW w:w="1682" w:type="dxa"/>
                        <w:tcBorders>
                          <w:top w:val="nil" w:sz="6" w:space="0" w:color="auto"/>
                          <w:left w:val="nil" w:sz="6" w:space="0" w:color="auto"/>
                          <w:bottom w:val="nil" w:sz="6" w:space="0" w:color="auto"/>
                          <w:right w:val="nil" w:sz="6" w:space="0" w:color="auto"/>
                        </w:tcBorders>
                      </w:tcPr>
                      <w:p>
                        <w:pPr>
                          <w:pStyle w:val="TableParagraph"/>
                          <w:spacing w:line="280" w:lineRule="exact"/>
                          <w:ind w:right="27"/>
                          <w:jc w:val="center"/>
                          <w:rPr>
                            <w:rFonts w:ascii="宋体" w:hAnsi="宋体" w:cs="宋体" w:eastAsia="宋体" w:hint="default"/>
                            <w:sz w:val="24"/>
                            <w:szCs w:val="24"/>
                          </w:rPr>
                        </w:pPr>
                        <w:r>
                          <w:rPr>
                            <w:rFonts w:ascii="宋体" w:hAnsi="宋体" w:cs="宋体" w:eastAsia="宋体" w:hint="default"/>
                            <w:spacing w:val="-20"/>
                            <w:sz w:val="24"/>
                            <w:szCs w:val="24"/>
                          </w:rPr>
                          <w:t>子元器件（混</w:t>
                        </w:r>
                        <w:r>
                          <w:rPr>
                            <w:rFonts w:ascii="宋体" w:hAnsi="宋体" w:cs="宋体" w:eastAsia="宋体" w:hint="default"/>
                            <w:sz w:val="24"/>
                            <w:szCs w:val="24"/>
                          </w:rPr>
                        </w:r>
                      </w:p>
                    </w:tc>
                    <w:tc>
                      <w:tcPr>
                        <w:tcW w:w="3305" w:type="dxa"/>
                        <w:tcBorders>
                          <w:top w:val="nil" w:sz="6" w:space="0" w:color="auto"/>
                          <w:left w:val="nil" w:sz="6" w:space="0" w:color="auto"/>
                          <w:bottom w:val="nil" w:sz="6" w:space="0" w:color="auto"/>
                          <w:right w:val="nil" w:sz="6" w:space="0" w:color="auto"/>
                        </w:tcBorders>
                      </w:tcPr>
                      <w:p>
                        <w:pPr>
                          <w:pStyle w:val="TableParagraph"/>
                          <w:spacing w:line="280" w:lineRule="exact"/>
                          <w:ind w:left="438" w:right="0"/>
                          <w:jc w:val="left"/>
                          <w:rPr>
                            <w:rFonts w:ascii="宋体" w:hAnsi="宋体" w:cs="宋体" w:eastAsia="宋体" w:hint="default"/>
                            <w:sz w:val="24"/>
                            <w:szCs w:val="24"/>
                          </w:rPr>
                        </w:pPr>
                        <w:r>
                          <w:rPr>
                            <w:rFonts w:ascii="宋体"/>
                            <w:sz w:val="24"/>
                          </w:rPr>
                          <w:t>5</w:t>
                        </w:r>
                      </w:p>
                    </w:tc>
                  </w:tr>
                  <w:tr>
                    <w:trPr>
                      <w:trHeight w:val="32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80" w:lineRule="exact"/>
                          <w:ind w:right="102"/>
                          <w:jc w:val="center"/>
                          <w:rPr>
                            <w:rFonts w:ascii="宋体" w:hAnsi="宋体" w:cs="宋体" w:eastAsia="宋体" w:hint="default"/>
                            <w:sz w:val="24"/>
                            <w:szCs w:val="24"/>
                          </w:rPr>
                        </w:pPr>
                        <w:r>
                          <w:rPr>
                            <w:rFonts w:ascii="宋体" w:hAnsi="宋体" w:cs="宋体" w:eastAsia="宋体" w:hint="default"/>
                            <w:spacing w:val="-20"/>
                            <w:sz w:val="24"/>
                            <w:szCs w:val="24"/>
                          </w:rPr>
                          <w:t>子有限</w:t>
                        </w:r>
                        <w:r>
                          <w:rPr>
                            <w:rFonts w:ascii="宋体" w:hAnsi="宋体" w:cs="宋体" w:eastAsia="宋体" w:hint="default"/>
                            <w:sz w:val="24"/>
                            <w:szCs w:val="24"/>
                          </w:rPr>
                        </w:r>
                      </w:p>
                    </w:tc>
                    <w:tc>
                      <w:tcPr>
                        <w:tcW w:w="52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Style w:val="TableParagraph"/>
                          <w:spacing w:line="280" w:lineRule="exact"/>
                          <w:ind w:left="6" w:right="0"/>
                          <w:jc w:val="center"/>
                          <w:rPr>
                            <w:rFonts w:ascii="宋体" w:hAnsi="宋体" w:cs="宋体" w:eastAsia="宋体" w:hint="default"/>
                            <w:sz w:val="24"/>
                            <w:szCs w:val="24"/>
                          </w:rPr>
                        </w:pPr>
                        <w:r>
                          <w:rPr>
                            <w:rFonts w:ascii="宋体"/>
                            <w:spacing w:val="-10"/>
                            <w:sz w:val="24"/>
                          </w:rPr>
                          <w:t>80</w:t>
                        </w:r>
                        <w:r>
                          <w:rPr>
                            <w:rFonts w:ascii="宋体"/>
                            <w:sz w:val="24"/>
                          </w:rPr>
                        </w:r>
                      </w:p>
                    </w:tc>
                    <w:tc>
                      <w:tcPr>
                        <w:tcW w:w="1682" w:type="dxa"/>
                        <w:tcBorders>
                          <w:top w:val="nil" w:sz="6" w:space="0" w:color="auto"/>
                          <w:left w:val="nil" w:sz="6" w:space="0" w:color="auto"/>
                          <w:bottom w:val="nil" w:sz="6" w:space="0" w:color="auto"/>
                          <w:right w:val="nil" w:sz="6" w:space="0" w:color="auto"/>
                        </w:tcBorders>
                      </w:tcPr>
                      <w:p>
                        <w:pPr>
                          <w:pStyle w:val="TableParagraph"/>
                          <w:spacing w:line="280" w:lineRule="exact"/>
                          <w:ind w:left="15" w:right="0"/>
                          <w:jc w:val="center"/>
                          <w:rPr>
                            <w:rFonts w:ascii="宋体" w:hAnsi="宋体" w:cs="宋体" w:eastAsia="宋体" w:hint="default"/>
                            <w:sz w:val="24"/>
                            <w:szCs w:val="24"/>
                          </w:rPr>
                        </w:pPr>
                        <w:r>
                          <w:rPr>
                            <w:rFonts w:ascii="宋体" w:hAnsi="宋体" w:cs="宋体" w:eastAsia="宋体" w:hint="default"/>
                            <w:spacing w:val="-20"/>
                            <w:sz w:val="24"/>
                            <w:szCs w:val="24"/>
                          </w:rPr>
                          <w:t>合集成电路</w:t>
                        </w:r>
                        <w:r>
                          <w:rPr>
                            <w:rFonts w:ascii="宋体" w:hAnsi="宋体" w:cs="宋体" w:eastAsia="宋体" w:hint="default"/>
                            <w:spacing w:val="-131"/>
                            <w:sz w:val="24"/>
                            <w:szCs w:val="24"/>
                          </w:rPr>
                          <w:t>）</w:t>
                        </w:r>
                        <w:r>
                          <w:rPr>
                            <w:rFonts w:ascii="宋体" w:hAnsi="宋体" w:cs="宋体" w:eastAsia="宋体" w:hint="default"/>
                            <w:sz w:val="24"/>
                            <w:szCs w:val="24"/>
                          </w:rPr>
                          <w:t>、</w:t>
                        </w:r>
                      </w:p>
                    </w:tc>
                    <w:tc>
                      <w:tcPr>
                        <w:tcW w:w="3305" w:type="dxa"/>
                        <w:tcBorders>
                          <w:top w:val="nil" w:sz="6" w:space="0" w:color="auto"/>
                          <w:left w:val="nil" w:sz="6" w:space="0" w:color="auto"/>
                          <w:bottom w:val="nil" w:sz="6" w:space="0" w:color="auto"/>
                          <w:right w:val="nil" w:sz="6" w:space="0" w:color="auto"/>
                        </w:tcBorders>
                      </w:tcPr>
                      <w:p>
                        <w:pPr/>
                      </w:p>
                    </w:tc>
                  </w:tr>
                  <w:tr>
                    <w:trPr>
                      <w:trHeight w:val="32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80" w:lineRule="exact"/>
                          <w:ind w:right="103"/>
                          <w:jc w:val="center"/>
                          <w:rPr>
                            <w:rFonts w:ascii="宋体" w:hAnsi="宋体" w:cs="宋体" w:eastAsia="宋体" w:hint="default"/>
                            <w:sz w:val="24"/>
                            <w:szCs w:val="24"/>
                          </w:rPr>
                        </w:pPr>
                        <w:r>
                          <w:rPr>
                            <w:rFonts w:ascii="宋体" w:hAnsi="宋体" w:cs="宋体" w:eastAsia="宋体" w:hint="default"/>
                            <w:spacing w:val="-20"/>
                            <w:sz w:val="24"/>
                            <w:szCs w:val="24"/>
                          </w:rPr>
                          <w:t>公司</w:t>
                        </w:r>
                        <w:r>
                          <w:rPr>
                            <w:rFonts w:ascii="宋体" w:hAnsi="宋体" w:cs="宋体" w:eastAsia="宋体" w:hint="default"/>
                            <w:sz w:val="24"/>
                            <w:szCs w:val="24"/>
                          </w:rPr>
                        </w:r>
                      </w:p>
                    </w:tc>
                    <w:tc>
                      <w:tcPr>
                        <w:tcW w:w="52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Style w:val="TableParagraph"/>
                          <w:spacing w:line="280" w:lineRule="exact"/>
                          <w:ind w:left="16" w:right="0"/>
                          <w:jc w:val="center"/>
                          <w:rPr>
                            <w:rFonts w:ascii="宋体" w:hAnsi="宋体" w:cs="宋体" w:eastAsia="宋体" w:hint="default"/>
                            <w:sz w:val="24"/>
                            <w:szCs w:val="24"/>
                          </w:rPr>
                        </w:pPr>
                        <w:r>
                          <w:rPr>
                            <w:rFonts w:ascii="宋体"/>
                            <w:sz w:val="24"/>
                          </w:rPr>
                          <w:t>0</w:t>
                        </w:r>
                      </w:p>
                    </w:tc>
                    <w:tc>
                      <w:tcPr>
                        <w:tcW w:w="1682" w:type="dxa"/>
                        <w:tcBorders>
                          <w:top w:val="nil" w:sz="6" w:space="0" w:color="auto"/>
                          <w:left w:val="nil" w:sz="6" w:space="0" w:color="auto"/>
                          <w:bottom w:val="nil" w:sz="6" w:space="0" w:color="auto"/>
                          <w:right w:val="nil" w:sz="6" w:space="0" w:color="auto"/>
                        </w:tcBorders>
                      </w:tcPr>
                      <w:p>
                        <w:pPr>
                          <w:pStyle w:val="TableParagraph"/>
                          <w:spacing w:line="280" w:lineRule="exact"/>
                          <w:ind w:right="27"/>
                          <w:jc w:val="center"/>
                          <w:rPr>
                            <w:rFonts w:ascii="宋体" w:hAnsi="宋体" w:cs="宋体" w:eastAsia="宋体" w:hint="default"/>
                            <w:sz w:val="24"/>
                            <w:szCs w:val="24"/>
                          </w:rPr>
                        </w:pPr>
                        <w:r>
                          <w:rPr>
                            <w:rFonts w:ascii="宋体" w:hAnsi="宋体" w:cs="宋体" w:eastAsia="宋体" w:hint="default"/>
                            <w:spacing w:val="-20"/>
                            <w:sz w:val="24"/>
                            <w:szCs w:val="24"/>
                          </w:rPr>
                          <w:t>电子产品、数</w:t>
                        </w:r>
                        <w:r>
                          <w:rPr>
                            <w:rFonts w:ascii="宋体" w:hAnsi="宋体" w:cs="宋体" w:eastAsia="宋体" w:hint="default"/>
                            <w:sz w:val="24"/>
                            <w:szCs w:val="24"/>
                          </w:rPr>
                        </w:r>
                      </w:p>
                    </w:tc>
                    <w:tc>
                      <w:tcPr>
                        <w:tcW w:w="3305" w:type="dxa"/>
                        <w:tcBorders>
                          <w:top w:val="nil" w:sz="6" w:space="0" w:color="auto"/>
                          <w:left w:val="nil" w:sz="6" w:space="0" w:color="auto"/>
                          <w:bottom w:val="nil" w:sz="6" w:space="0" w:color="auto"/>
                          <w:right w:val="nil" w:sz="6" w:space="0" w:color="auto"/>
                        </w:tcBorders>
                      </w:tcPr>
                      <w:p>
                        <w:pPr/>
                      </w:p>
                    </w:tc>
                  </w:tr>
                  <w:tr>
                    <w:trPr>
                      <w:trHeight w:val="380" w:hRule="exact"/>
                    </w:trPr>
                    <w:tc>
                      <w:tcPr>
                        <w:tcW w:w="835"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80" w:lineRule="exact"/>
                          <w:ind w:right="29"/>
                          <w:jc w:val="center"/>
                          <w:rPr>
                            <w:rFonts w:ascii="宋体" w:hAnsi="宋体" w:cs="宋体" w:eastAsia="宋体" w:hint="default"/>
                            <w:sz w:val="24"/>
                            <w:szCs w:val="24"/>
                          </w:rPr>
                        </w:pPr>
                        <w:r>
                          <w:rPr>
                            <w:rFonts w:ascii="宋体" w:hAnsi="宋体" w:cs="宋体" w:eastAsia="宋体" w:hint="default"/>
                            <w:spacing w:val="-20"/>
                            <w:sz w:val="24"/>
                            <w:szCs w:val="24"/>
                          </w:rPr>
                          <w:t>字放声设备</w:t>
                        </w:r>
                        <w:r>
                          <w:rPr>
                            <w:rFonts w:ascii="宋体" w:hAnsi="宋体" w:cs="宋体" w:eastAsia="宋体" w:hint="default"/>
                            <w:sz w:val="24"/>
                            <w:szCs w:val="24"/>
                          </w:rPr>
                        </w:r>
                      </w:p>
                    </w:tc>
                    <w:tc>
                      <w:tcPr>
                        <w:tcW w:w="330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
      <w:r>
        <w:rPr>
          <w:spacing w:val="-14"/>
          <w:u w:val="single" w:color="000000"/>
        </w:rPr>
        <w:t>被投资    </w:t>
      </w:r>
      <w:r>
        <w:rPr>
          <w:spacing w:val="-14"/>
        </w:rPr>
      </w:r>
      <w:r>
        <w:rPr>
          <w:u w:val="single" w:color="000000"/>
        </w:rPr>
        <w:t>注  </w:t>
      </w:r>
      <w:r>
        <w:rPr>
          <w:spacing w:val="78"/>
          <w:u w:val="single" w:color="000000"/>
        </w:rPr>
        <w:t> </w:t>
      </w:r>
      <w:r>
        <w:rPr>
          <w:spacing w:val="78"/>
        </w:rPr>
      </w:r>
      <w:r>
        <w:rPr>
          <w:spacing w:val="78"/>
          <w:position w:val="16"/>
        </w:rPr>
      </w:r>
      <w:r>
        <w:rPr>
          <w:position w:val="16"/>
          <w:u w:val="single" w:color="000000"/>
        </w:rPr>
        <w:t>业</w:t>
      </w:r>
      <w:r>
        <w:rPr>
          <w:position w:val="16"/>
        </w:rPr>
        <w:t> </w:t>
      </w:r>
      <w:r>
        <w:rPr>
          <w:spacing w:val="60"/>
          <w:position w:val="16"/>
        </w:rPr>
        <w:t> </w:t>
      </w:r>
      <w:r>
        <w:rPr>
          <w:position w:val="16"/>
          <w:u w:val="single" w:color="000000"/>
        </w:rPr>
        <w:t>注 </w:t>
      </w:r>
      <w:r>
        <w:rPr>
          <w:position w:val="16"/>
        </w:rPr>
      </w:r>
      <w:r>
        <w:rPr>
          <w:position w:val="16"/>
        </w:rPr>
      </w:r>
      <w:r>
        <w:rPr/>
      </w:r>
      <w:r>
        <w:rPr>
          <w:spacing w:val="-14"/>
          <w:u w:val="single" w:color="000000"/>
        </w:rPr>
        <w:t>单位全   </w:t>
      </w:r>
      <w:r>
        <w:rPr>
          <w:spacing w:val="-14"/>
        </w:rPr>
      </w:r>
      <w:r>
        <w:rPr>
          <w:u w:val="single" w:color="000000"/>
        </w:rPr>
        <w:t>册 </w:t>
      </w:r>
      <w:r>
        <w:rPr>
          <w:spacing w:val="22"/>
          <w:u w:val="single" w:color="000000"/>
        </w:rPr>
        <w:t> </w:t>
      </w:r>
      <w:r>
        <w:rPr>
          <w:spacing w:val="22"/>
        </w:rPr>
      </w:r>
      <w:r>
        <w:rPr>
          <w:spacing w:val="22"/>
          <w:position w:val="16"/>
        </w:rPr>
      </w:r>
      <w:r>
        <w:rPr>
          <w:position w:val="16"/>
          <w:u w:val="single" w:color="000000"/>
        </w:rPr>
        <w:t>务</w:t>
      </w:r>
      <w:r>
        <w:rPr>
          <w:position w:val="16"/>
        </w:rPr>
        <w:t> </w:t>
      </w:r>
      <w:r>
        <w:rPr>
          <w:spacing w:val="60"/>
          <w:position w:val="16"/>
        </w:rPr>
        <w:t> </w:t>
      </w:r>
      <w:r>
        <w:rPr>
          <w:position w:val="16"/>
          <w:u w:val="single" w:color="000000"/>
        </w:rPr>
        <w:t>册 </w:t>
      </w:r>
      <w:r>
        <w:rPr>
          <w:position w:val="16"/>
        </w:rPr>
      </w:r>
      <w:r>
        <w:rPr>
          <w:position w:val="16"/>
        </w:rPr>
      </w:r>
      <w:r>
        <w:rPr>
          <w:position w:val="-15"/>
        </w:rPr>
      </w:r>
      <w:r>
        <w:rPr>
          <w:position w:val="-15"/>
          <w:u w:val="single" w:color="000000"/>
        </w:rPr>
        <w:t>称    </w:t>
      </w:r>
      <w:r>
        <w:rPr>
          <w:position w:val="-15"/>
        </w:rPr>
      </w:r>
      <w:r>
        <w:rPr>
          <w:position w:val="-15"/>
          <w:u w:val="single" w:color="000000"/>
        </w:rPr>
        <w:t>地  </w:t>
      </w:r>
      <w:r>
        <w:rPr>
          <w:spacing w:val="100"/>
          <w:position w:val="-15"/>
          <w:u w:val="single" w:color="000000"/>
        </w:rPr>
        <w:t> </w:t>
      </w:r>
      <w:r>
        <w:rPr>
          <w:spacing w:val="100"/>
          <w:position w:val="-15"/>
        </w:rPr>
      </w:r>
      <w:r>
        <w:rPr>
          <w:spacing w:val="100"/>
        </w:rPr>
      </w:r>
      <w:r>
        <w:rPr>
          <w:u w:val="single" w:color="000000"/>
        </w:rPr>
        <w:t>性</w:t>
      </w:r>
      <w:r>
        <w:rPr/>
        <w:t> </w:t>
      </w:r>
      <w:r>
        <w:rPr>
          <w:spacing w:val="60"/>
        </w:rPr>
        <w:t> </w:t>
      </w:r>
      <w:r>
        <w:rPr>
          <w:u w:val="single" w:color="000000"/>
        </w:rPr>
        <w:t>资</w:t>
      </w:r>
      <w:r>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5"/>
        <w:rPr>
          <w:rFonts w:ascii="宋体" w:hAnsi="宋体" w:cs="宋体" w:eastAsia="宋体" w:hint="default"/>
          <w:sz w:val="20"/>
          <w:szCs w:val="20"/>
        </w:rPr>
      </w:pPr>
    </w:p>
    <w:p>
      <w:pPr>
        <w:pStyle w:val="BodyText"/>
        <w:spacing w:line="240" w:lineRule="auto" w:before="0"/>
        <w:ind w:left="453" w:right="-16"/>
        <w:jc w:val="left"/>
      </w:pPr>
      <w:r>
        <w:rPr/>
      </w:r>
      <w:r>
        <w:rPr>
          <w:spacing w:val="-21"/>
          <w:u w:val="single" w:color="000000"/>
        </w:rPr>
        <w:t>经营范围</w:t>
      </w:r>
      <w:r>
        <w:rPr>
          <w:spacing w:val="-21"/>
        </w:rPr>
      </w:r>
      <w:r>
        <w:rPr/>
      </w:r>
    </w:p>
    <w:p>
      <w:pPr>
        <w:pStyle w:val="BodyText"/>
        <w:spacing w:line="244" w:lineRule="auto" w:before="101"/>
        <w:ind w:left="453" w:right="0"/>
        <w:jc w:val="both"/>
      </w:pPr>
      <w:r>
        <w:rPr>
          <w:spacing w:val="-20"/>
        </w:rPr>
        <w:br w:type="column"/>
      </w:r>
      <w:r>
        <w:rPr>
          <w:spacing w:val="-20"/>
        </w:rPr>
      </w:r>
      <w:r>
        <w:rPr>
          <w:spacing w:val="-20"/>
          <w:u w:val="single" w:color="000000"/>
        </w:rPr>
        <w:t>本公司</w:t>
      </w:r>
      <w:r>
        <w:rPr>
          <w:spacing w:val="-20"/>
        </w:rPr>
      </w:r>
      <w:r>
        <w:rPr>
          <w:spacing w:val="-20"/>
        </w:rPr>
        <w:t> </w:t>
      </w:r>
      <w:r>
        <w:rPr>
          <w:spacing w:val="-20"/>
          <w:u w:val="single" w:color="000000"/>
        </w:rPr>
        <w:t>年末实</w:t>
      </w:r>
      <w:r>
        <w:rPr>
          <w:spacing w:val="-20"/>
        </w:rPr>
      </w:r>
      <w:r>
        <w:rPr>
          <w:spacing w:val="-20"/>
        </w:rPr>
        <w:t> </w:t>
      </w:r>
      <w:r>
        <w:rPr>
          <w:spacing w:val="-20"/>
          <w:u w:val="single" w:color="000000"/>
        </w:rPr>
        <w:t>际投资</w:t>
      </w:r>
      <w:r>
        <w:rPr>
          <w:spacing w:val="-20"/>
        </w:rPr>
      </w:r>
      <w:r>
        <w:rPr/>
      </w:r>
    </w:p>
    <w:p>
      <w:pPr>
        <w:spacing w:line="240" w:lineRule="auto" w:before="12"/>
        <w:rPr>
          <w:rFonts w:ascii="宋体" w:hAnsi="宋体" w:cs="宋体" w:eastAsia="宋体" w:hint="default"/>
          <w:sz w:val="19"/>
          <w:szCs w:val="19"/>
        </w:rPr>
      </w:pPr>
      <w:r>
        <w:rPr/>
        <w:br w:type="column"/>
      </w:r>
      <w:r>
        <w:rPr>
          <w:rFonts w:ascii="宋体"/>
          <w:sz w:val="19"/>
        </w:rPr>
      </w:r>
    </w:p>
    <w:p>
      <w:pPr>
        <w:pStyle w:val="BodyText"/>
        <w:spacing w:line="244" w:lineRule="auto" w:before="0"/>
        <w:ind w:left="277" w:right="0"/>
        <w:jc w:val="both"/>
      </w:pPr>
      <w:r>
        <w:rPr/>
      </w:r>
      <w:r>
        <w:rPr>
          <w:spacing w:val="-4"/>
          <w:u w:val="single" w:color="000000"/>
        </w:rPr>
        <w:t>实质上构成对</w:t>
      </w:r>
      <w:r>
        <w:rPr>
          <w:spacing w:val="-4"/>
        </w:rPr>
      </w:r>
      <w:r>
        <w:rPr>
          <w:spacing w:val="-4"/>
        </w:rPr>
        <w:t> </w:t>
      </w:r>
      <w:r>
        <w:rPr>
          <w:spacing w:val="-4"/>
          <w:u w:val="single" w:color="000000"/>
        </w:rPr>
        <w:t>子公司的净投</w:t>
      </w:r>
      <w:r>
        <w:rPr>
          <w:spacing w:val="-4"/>
        </w:rPr>
      </w:r>
      <w:r>
        <w:rPr>
          <w:spacing w:val="-4"/>
        </w:rPr>
        <w:t> </w:t>
      </w:r>
      <w:r>
        <w:rPr>
          <w:spacing w:val="-21"/>
          <w:u w:val="single" w:color="000000"/>
        </w:rPr>
        <w:t>资的余额</w:t>
      </w:r>
      <w:r>
        <w:rPr>
          <w:spacing w:val="-21"/>
        </w:rPr>
      </w:r>
      <w:r>
        <w:rPr/>
      </w:r>
    </w:p>
    <w:p>
      <w:pPr>
        <w:spacing w:line="240" w:lineRule="auto" w:before="12"/>
        <w:rPr>
          <w:rFonts w:ascii="宋体" w:hAnsi="宋体" w:cs="宋体" w:eastAsia="宋体" w:hint="default"/>
          <w:sz w:val="19"/>
          <w:szCs w:val="19"/>
        </w:rPr>
      </w:pPr>
      <w:r>
        <w:rPr/>
        <w:br w:type="column"/>
      </w:r>
      <w:r>
        <w:rPr>
          <w:rFonts w:ascii="宋体"/>
          <w:sz w:val="19"/>
        </w:rPr>
      </w:r>
    </w:p>
    <w:p>
      <w:pPr>
        <w:pStyle w:val="BodyText"/>
        <w:spacing w:line="244" w:lineRule="auto" w:before="0"/>
        <w:ind w:left="169" w:right="0" w:firstLine="1"/>
        <w:jc w:val="both"/>
      </w:pPr>
      <w:r>
        <w:rPr/>
      </w:r>
      <w:r>
        <w:rPr>
          <w:spacing w:val="-20"/>
          <w:u w:val="single" w:color="000000"/>
        </w:rPr>
        <w:t>本公司</w:t>
      </w:r>
      <w:r>
        <w:rPr>
          <w:spacing w:val="-20"/>
        </w:rPr>
      </w:r>
      <w:r>
        <w:rPr>
          <w:spacing w:val="-20"/>
        </w:rPr>
        <w:t> </w:t>
      </w:r>
      <w:r>
        <w:rPr>
          <w:spacing w:val="-20"/>
          <w:u w:val="single" w:color="000000"/>
        </w:rPr>
        <w:t>合计持</w:t>
      </w:r>
      <w:r>
        <w:rPr>
          <w:spacing w:val="-20"/>
        </w:rPr>
      </w:r>
      <w:r>
        <w:rPr>
          <w:spacing w:val="-20"/>
        </w:rPr>
        <w:t> </w:t>
      </w:r>
      <w:r>
        <w:rPr>
          <w:spacing w:val="-20"/>
          <w:u w:val="single" w:color="000000"/>
        </w:rPr>
        <w:t>股比例</w:t>
      </w:r>
      <w:r>
        <w:rPr>
          <w:spacing w:val="-20"/>
        </w:rPr>
      </w:r>
      <w:r>
        <w:rPr/>
      </w:r>
    </w:p>
    <w:p>
      <w:pPr>
        <w:spacing w:line="256" w:lineRule="exact" w:before="0"/>
        <w:ind w:left="289" w:right="0" w:firstLine="0"/>
        <w:jc w:val="center"/>
        <w:rPr>
          <w:rFonts w:ascii="宋体" w:hAnsi="宋体" w:cs="宋体" w:eastAsia="宋体" w:hint="default"/>
          <w:sz w:val="24"/>
          <w:szCs w:val="24"/>
        </w:rPr>
      </w:pPr>
      <w:r>
        <w:rPr>
          <w:spacing w:val="-20"/>
        </w:rPr>
        <w:br w:type="column"/>
      </w:r>
      <w:r>
        <w:rPr>
          <w:rFonts w:ascii="宋体" w:hAnsi="宋体" w:cs="宋体" w:eastAsia="宋体" w:hint="default"/>
          <w:spacing w:val="-20"/>
          <w:sz w:val="24"/>
          <w:szCs w:val="24"/>
        </w:rPr>
      </w:r>
      <w:r>
        <w:rPr>
          <w:rFonts w:ascii="宋体" w:hAnsi="宋体" w:cs="宋体" w:eastAsia="宋体" w:hint="default"/>
          <w:spacing w:val="-20"/>
          <w:sz w:val="24"/>
          <w:szCs w:val="24"/>
          <w:u w:val="single" w:color="000000"/>
        </w:rPr>
        <w:t>本公司</w:t>
      </w:r>
      <w:r>
        <w:rPr>
          <w:rFonts w:ascii="宋体" w:hAnsi="宋体" w:cs="宋体" w:eastAsia="宋体" w:hint="default"/>
          <w:spacing w:val="-20"/>
          <w:sz w:val="24"/>
          <w:szCs w:val="24"/>
        </w:rPr>
      </w:r>
      <w:r>
        <w:rPr>
          <w:rFonts w:ascii="宋体" w:hAnsi="宋体" w:cs="宋体" w:eastAsia="宋体" w:hint="default"/>
          <w:sz w:val="24"/>
          <w:szCs w:val="24"/>
        </w:rPr>
      </w:r>
    </w:p>
    <w:p>
      <w:pPr>
        <w:pStyle w:val="BodyText"/>
        <w:spacing w:line="244" w:lineRule="auto" w:before="6"/>
        <w:ind w:left="289" w:right="0"/>
        <w:jc w:val="center"/>
      </w:pPr>
      <w:r>
        <w:rPr/>
      </w:r>
      <w:r>
        <w:rPr>
          <w:spacing w:val="-20"/>
          <w:u w:val="single" w:color="000000"/>
        </w:rPr>
        <w:t>合计享</w:t>
      </w:r>
      <w:r>
        <w:rPr>
          <w:spacing w:val="-20"/>
        </w:rPr>
      </w:r>
      <w:r>
        <w:rPr>
          <w:spacing w:val="-20"/>
        </w:rPr>
        <w:t> </w:t>
      </w:r>
      <w:r>
        <w:rPr>
          <w:spacing w:val="-20"/>
          <w:u w:val="single" w:color="000000"/>
        </w:rPr>
        <w:t>有的表</w:t>
      </w:r>
      <w:r>
        <w:rPr>
          <w:spacing w:val="-20"/>
        </w:rPr>
      </w:r>
      <w:r>
        <w:rPr>
          <w:spacing w:val="-20"/>
        </w:rPr>
        <w:t> </w:t>
      </w:r>
      <w:r>
        <w:rPr>
          <w:spacing w:val="-20"/>
          <w:u w:val="single" w:color="000000"/>
        </w:rPr>
        <w:t>决权比</w:t>
      </w:r>
      <w:r>
        <w:rPr>
          <w:spacing w:val="-20"/>
        </w:rPr>
      </w:r>
      <w:r>
        <w:rPr>
          <w:spacing w:val="-20"/>
        </w:rPr>
        <w:t> </w:t>
      </w:r>
      <w:r>
        <w:rPr>
          <w:u w:val="single" w:color="000000"/>
        </w:rPr>
        <w:t>例</w:t>
      </w:r>
      <w:r>
        <w:rPr/>
      </w:r>
    </w:p>
    <w:p>
      <w:pPr>
        <w:spacing w:line="240" w:lineRule="auto" w:before="12"/>
        <w:rPr>
          <w:rFonts w:ascii="宋体" w:hAnsi="宋体" w:cs="宋体" w:eastAsia="宋体" w:hint="default"/>
          <w:sz w:val="19"/>
          <w:szCs w:val="19"/>
        </w:rPr>
      </w:pPr>
      <w:r>
        <w:rPr/>
        <w:br w:type="column"/>
      </w:r>
      <w:r>
        <w:rPr>
          <w:rFonts w:ascii="宋体"/>
          <w:sz w:val="19"/>
        </w:rPr>
      </w:r>
    </w:p>
    <w:p>
      <w:pPr>
        <w:pStyle w:val="BodyText"/>
        <w:spacing w:line="244" w:lineRule="auto" w:before="0"/>
        <w:ind w:left="358" w:right="99"/>
        <w:jc w:val="center"/>
      </w:pPr>
      <w:r>
        <w:rPr/>
      </w:r>
      <w:r>
        <w:rPr>
          <w:spacing w:val="-21"/>
          <w:u w:val="single" w:color="000000"/>
        </w:rPr>
        <w:t>合并范围</w:t>
      </w:r>
      <w:r>
        <w:rPr>
          <w:spacing w:val="-21"/>
        </w:rPr>
      </w:r>
      <w:r>
        <w:rPr>
          <w:spacing w:val="-21"/>
        </w:rPr>
        <w:t> </w:t>
      </w:r>
      <w:r>
        <w:rPr>
          <w:spacing w:val="-21"/>
          <w:u w:val="single" w:color="000000"/>
        </w:rPr>
        <w:t>内表决权</w:t>
      </w:r>
      <w:r>
        <w:rPr>
          <w:spacing w:val="-21"/>
        </w:rPr>
      </w:r>
      <w:r>
        <w:rPr>
          <w:spacing w:val="-21"/>
        </w:rPr>
        <w:t> </w:t>
      </w:r>
      <w:r>
        <w:rPr>
          <w:spacing w:val="-20"/>
          <w:u w:val="single" w:color="000000"/>
        </w:rPr>
        <w:t>比例</w:t>
      </w:r>
      <w:r>
        <w:rPr>
          <w:spacing w:val="-20"/>
        </w:rPr>
      </w:r>
      <w:r>
        <w:rPr/>
      </w:r>
    </w:p>
    <w:p>
      <w:pPr>
        <w:spacing w:after="0" w:line="244" w:lineRule="auto"/>
        <w:jc w:val="center"/>
        <w:sectPr>
          <w:type w:val="continuous"/>
          <w:pgSz w:w="11910" w:h="16840"/>
          <w:pgMar w:top="980" w:bottom="1520" w:left="800" w:right="780"/>
          <w:cols w:num="7" w:equalWidth="0">
            <w:col w:w="2714" w:space="55"/>
            <w:col w:w="1334" w:space="126"/>
            <w:col w:w="1115" w:space="40"/>
            <w:col w:w="1699" w:space="40"/>
            <w:col w:w="832" w:space="40"/>
            <w:col w:w="950" w:space="40"/>
            <w:col w:w="1345"/>
          </w:cols>
        </w:sectPr>
      </w:pPr>
    </w:p>
    <w:p>
      <w:pPr>
        <w:pStyle w:val="BodyText"/>
        <w:tabs>
          <w:tab w:pos="1169" w:val="left" w:leader="none"/>
        </w:tabs>
        <w:spacing w:line="240" w:lineRule="auto" w:before="0"/>
        <w:ind w:left="0" w:right="372"/>
        <w:jc w:val="right"/>
      </w:pPr>
      <w:r>
        <w:rPr>
          <w:spacing w:val="-7"/>
        </w:rPr>
        <w:t>51%</w:t>
        <w:tab/>
      </w:r>
      <w:r>
        <w:rPr>
          <w:spacing w:val="-10"/>
        </w:rPr>
        <w:t>51%</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3"/>
          <w:szCs w:val="33"/>
        </w:rPr>
      </w:pPr>
    </w:p>
    <w:p>
      <w:pPr>
        <w:pStyle w:val="BodyText"/>
        <w:spacing w:line="240" w:lineRule="auto" w:before="0"/>
        <w:ind w:left="874" w:right="3670"/>
        <w:jc w:val="left"/>
      </w:pPr>
      <w:r>
        <w:rPr/>
        <w:t>1.“同一控制下企业合并”的判断依据</w:t>
      </w:r>
    </w:p>
    <w:p>
      <w:pPr>
        <w:pStyle w:val="BodyText"/>
        <w:spacing w:line="336" w:lineRule="auto" w:before="125"/>
        <w:ind w:left="334" w:right="351" w:firstLine="540"/>
        <w:jc w:val="both"/>
      </w:pPr>
      <w:r>
        <w:rPr>
          <w:spacing w:val="-3"/>
        </w:rPr>
        <w:t>根据《企业会计准则第</w:t>
      </w:r>
      <w:r>
        <w:rPr>
          <w:spacing w:val="-66"/>
        </w:rPr>
        <w:t> </w:t>
      </w:r>
      <w:r>
        <w:rPr/>
        <w:t>20</w:t>
      </w:r>
      <w:r>
        <w:rPr>
          <w:spacing w:val="-66"/>
        </w:rPr>
        <w:t> </w:t>
      </w:r>
      <w:r>
        <w:rPr/>
        <w:t>号—企业合并》和财政部财会便[2007]5</w:t>
      </w:r>
      <w:r>
        <w:rPr>
          <w:spacing w:val="-66"/>
        </w:rPr>
        <w:t> </w:t>
      </w:r>
      <w:r>
        <w:rPr>
          <w:spacing w:val="-4"/>
        </w:rPr>
        <w:t>号文确定“同一控制</w:t>
      </w:r>
      <w:r>
        <w:rPr/>
        <w:t> 下企业合并”的判断依据为：</w:t>
      </w:r>
    </w:p>
    <w:p>
      <w:pPr>
        <w:pStyle w:val="BodyText"/>
        <w:spacing w:line="336" w:lineRule="auto"/>
        <w:ind w:left="333" w:right="328" w:firstLine="540"/>
        <w:jc w:val="both"/>
      </w:pPr>
      <w:r>
        <w:rPr/>
        <w:t>参与合并的企业在合并前后均受同一方或相同的多方最终控制且该控制并非暂时性的， 为同一控制下的企业合并。同一方，是指对参与合并的企业在合并前后均实施最终控制的投</w:t>
      </w:r>
      <w:r>
        <w:rPr>
          <w:spacing w:val="-83"/>
        </w:rPr>
        <w:t> </w:t>
      </w:r>
      <w:r>
        <w:rPr>
          <w:spacing w:val="-83"/>
        </w:rPr>
      </w:r>
      <w:r>
        <w:rPr/>
        <w:t>资者。</w:t>
      </w:r>
    </w:p>
    <w:p>
      <w:pPr>
        <w:pStyle w:val="BodyText"/>
        <w:spacing w:line="336" w:lineRule="auto"/>
        <w:ind w:left="333" w:right="351" w:firstLine="540"/>
        <w:jc w:val="both"/>
      </w:pPr>
      <w:r>
        <w:rPr>
          <w:spacing w:val="-1"/>
        </w:rPr>
        <w:t>通常情况下，同一控制下的企业合并是指发生在同一企业集团内部企业之间的企业之间</w:t>
      </w:r>
      <w:r>
        <w:rPr/>
        <w:t> 的合并，除此之外，一般不作为同一控制下的企业合并。</w:t>
      </w:r>
    </w:p>
    <w:p>
      <w:pPr>
        <w:pStyle w:val="BodyText"/>
        <w:spacing w:line="336" w:lineRule="auto"/>
        <w:ind w:left="874" w:right="226"/>
        <w:jc w:val="left"/>
      </w:pPr>
      <w:r>
        <w:rPr/>
        <w:t>2.同一控制的实际控制人 </w:t>
      </w:r>
      <w:r>
        <w:rPr>
          <w:spacing w:val="-4"/>
        </w:rPr>
        <w:t>上述通过同一控制下的企业合并取得的子公司，同一控制的实际控制人为陈亚妹、乔昕。</w:t>
      </w:r>
      <w:r>
        <w:rPr>
          <w:spacing w:val="-106"/>
        </w:rPr>
        <w:t> </w:t>
      </w:r>
      <w:r>
        <w:rPr>
          <w:spacing w:val="-106"/>
        </w:rPr>
      </w:r>
      <w:r>
        <w:rPr/>
        <w:t>(二)非企业合并方式取得的子公司</w:t>
      </w:r>
    </w:p>
    <w:p>
      <w:pPr>
        <w:spacing w:after="0" w:line="336" w:lineRule="auto"/>
        <w:jc w:val="left"/>
        <w:sectPr>
          <w:type w:val="continuous"/>
          <w:pgSz w:w="11910" w:h="16840"/>
          <w:pgMar w:top="980" w:bottom="1520" w:left="800" w:right="780"/>
        </w:sectPr>
      </w:pPr>
    </w:p>
    <w:p>
      <w:pPr>
        <w:spacing w:line="240" w:lineRule="auto" w:before="7"/>
        <w:rPr>
          <w:rFonts w:ascii="宋体" w:hAnsi="宋体" w:cs="宋体" w:eastAsia="宋体" w:hint="default"/>
          <w:sz w:val="12"/>
          <w:szCs w:val="12"/>
        </w:rPr>
      </w:pPr>
    </w:p>
    <w:p>
      <w:pPr>
        <w:spacing w:line="326" w:lineRule="auto" w:before="0"/>
        <w:ind w:left="182" w:right="-15" w:hanging="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被投资单</w:t>
      </w:r>
      <w:r>
        <w:rPr>
          <w:rFonts w:ascii="宋体" w:hAnsi="宋体" w:cs="宋体" w:eastAsia="宋体" w:hint="default"/>
          <w:spacing w:val="-21"/>
          <w:sz w:val="18"/>
          <w:szCs w:val="18"/>
        </w:rPr>
      </w:r>
      <w:r>
        <w:rPr>
          <w:rFonts w:ascii="宋体" w:hAnsi="宋体" w:cs="宋体" w:eastAsia="宋体" w:hint="default"/>
          <w:spacing w:val="-21"/>
          <w:sz w:val="18"/>
          <w:szCs w:val="18"/>
        </w:rPr>
        <w:t> </w:t>
      </w:r>
      <w:r>
        <w:rPr>
          <w:rFonts w:ascii="宋体" w:hAnsi="宋体" w:cs="宋体" w:eastAsia="宋体" w:hint="default"/>
          <w:spacing w:val="-14"/>
          <w:sz w:val="18"/>
          <w:szCs w:val="18"/>
          <w:u w:val="single" w:color="000000"/>
        </w:rPr>
        <w:t>位全称</w:t>
      </w:r>
      <w:r>
        <w:rPr>
          <w:rFonts w:ascii="宋体" w:hAnsi="宋体" w:cs="宋体" w:eastAsia="宋体" w:hint="default"/>
          <w:spacing w:val="-14"/>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tabs>
          <w:tab w:pos="643" w:val="left" w:leader="none"/>
          <w:tab w:pos="1273" w:val="left" w:leader="none"/>
        </w:tabs>
        <w:spacing w:before="0"/>
        <w:ind w:left="103" w:right="-18"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0"/>
          <w:sz w:val="18"/>
          <w:szCs w:val="18"/>
          <w:u w:val="single" w:color="000000"/>
        </w:rPr>
        <w:t>注册</w:t>
      </w:r>
      <w:r>
        <w:rPr>
          <w:rFonts w:ascii="宋体" w:hAnsi="宋体" w:cs="宋体" w:eastAsia="宋体" w:hint="default"/>
          <w:spacing w:val="-10"/>
          <w:sz w:val="18"/>
          <w:szCs w:val="18"/>
        </w:rPr>
        <w:tab/>
      </w:r>
      <w:r>
        <w:rPr>
          <w:rFonts w:ascii="宋体" w:hAnsi="宋体" w:cs="宋体" w:eastAsia="宋体" w:hint="default"/>
          <w:spacing w:val="-10"/>
          <w:sz w:val="18"/>
          <w:szCs w:val="18"/>
          <w:u w:val="single" w:color="000000"/>
        </w:rPr>
        <w:t>业务</w:t>
      </w:r>
      <w:r>
        <w:rPr>
          <w:rFonts w:ascii="宋体" w:hAnsi="宋体" w:cs="宋体" w:eastAsia="宋体" w:hint="default"/>
          <w:spacing w:val="-10"/>
          <w:sz w:val="18"/>
          <w:szCs w:val="18"/>
        </w:rPr>
        <w:tab/>
      </w:r>
      <w:r>
        <w:rPr>
          <w:rFonts w:ascii="宋体" w:hAnsi="宋体" w:cs="宋体" w:eastAsia="宋体" w:hint="default"/>
          <w:spacing w:val="-20"/>
          <w:sz w:val="18"/>
          <w:szCs w:val="18"/>
          <w:u w:val="single" w:color="000000"/>
        </w:rPr>
        <w:t>注册</w:t>
      </w:r>
      <w:r>
        <w:rPr>
          <w:rFonts w:ascii="宋体" w:hAnsi="宋体" w:cs="宋体" w:eastAsia="宋体" w:hint="default"/>
          <w:spacing w:val="-20"/>
          <w:sz w:val="18"/>
          <w:szCs w:val="18"/>
        </w:rPr>
      </w:r>
      <w:r>
        <w:rPr>
          <w:rFonts w:ascii="宋体" w:hAnsi="宋体" w:cs="宋体" w:eastAsia="宋体" w:hint="default"/>
          <w:sz w:val="18"/>
          <w:szCs w:val="18"/>
        </w:rPr>
      </w:r>
    </w:p>
    <w:p>
      <w:pPr>
        <w:tabs>
          <w:tab w:pos="643" w:val="left" w:leader="none"/>
          <w:tab w:pos="1273" w:val="left" w:leader="none"/>
        </w:tabs>
        <w:spacing w:before="85"/>
        <w:ind w:left="184" w:right="-18"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w:t>
      </w:r>
      <w:r>
        <w:rPr>
          <w:rFonts w:ascii="宋体" w:hAnsi="宋体" w:cs="宋体" w:eastAsia="宋体" w:hint="default"/>
          <w:sz w:val="18"/>
          <w:szCs w:val="18"/>
        </w:rPr>
        <w:tab/>
      </w:r>
      <w:r>
        <w:rPr>
          <w:rFonts w:ascii="宋体" w:hAnsi="宋体" w:cs="宋体" w:eastAsia="宋体" w:hint="default"/>
          <w:spacing w:val="-10"/>
          <w:sz w:val="18"/>
          <w:szCs w:val="18"/>
          <w:u w:val="single" w:color="000000"/>
        </w:rPr>
        <w:t>性质</w:t>
      </w:r>
      <w:r>
        <w:rPr>
          <w:rFonts w:ascii="宋体" w:hAnsi="宋体" w:cs="宋体" w:eastAsia="宋体" w:hint="default"/>
          <w:spacing w:val="-10"/>
          <w:sz w:val="18"/>
          <w:szCs w:val="18"/>
        </w:rPr>
        <w:tab/>
      </w:r>
      <w:r>
        <w:rPr>
          <w:rFonts w:ascii="宋体" w:hAnsi="宋体" w:cs="宋体" w:eastAsia="宋体" w:hint="default"/>
          <w:spacing w:val="-20"/>
          <w:sz w:val="18"/>
          <w:szCs w:val="18"/>
          <w:u w:val="single" w:color="000000"/>
        </w:rPr>
        <w:t>资本</w:t>
      </w:r>
      <w:r>
        <w:rPr>
          <w:rFonts w:ascii="宋体" w:hAnsi="宋体" w:cs="宋体" w:eastAsia="宋体" w:hint="default"/>
          <w:spacing w:val="-20"/>
          <w:sz w:val="18"/>
          <w:szCs w:val="18"/>
        </w:rPr>
      </w:r>
      <w:r>
        <w:rPr>
          <w:rFonts w:ascii="宋体" w:hAnsi="宋体" w:cs="宋体" w:eastAsia="宋体" w:hint="default"/>
          <w:sz w:val="18"/>
          <w:szCs w:val="18"/>
        </w:rPr>
      </w:r>
    </w:p>
    <w:p>
      <w:pPr>
        <w:spacing w:line="240" w:lineRule="auto" w:before="10"/>
        <w:rPr>
          <w:rFonts w:ascii="宋体" w:hAnsi="宋体" w:cs="宋体" w:eastAsia="宋体" w:hint="default"/>
          <w:sz w:val="24"/>
          <w:szCs w:val="24"/>
        </w:rPr>
      </w:pPr>
      <w:r>
        <w:rPr/>
        <w:br w:type="column"/>
      </w:r>
      <w:r>
        <w:rPr>
          <w:rFonts w:ascii="宋体"/>
          <w:sz w:val="24"/>
        </w:rPr>
      </w:r>
    </w:p>
    <w:p>
      <w:pPr>
        <w:spacing w:before="0"/>
        <w:ind w:left="103" w:right="-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经营范围</w:t>
      </w:r>
      <w:r>
        <w:rPr>
          <w:rFonts w:ascii="宋体" w:hAnsi="宋体" w:cs="宋体" w:eastAsia="宋体" w:hint="default"/>
          <w:spacing w:val="-21"/>
          <w:sz w:val="18"/>
          <w:szCs w:val="18"/>
        </w:rPr>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line="326" w:lineRule="auto" w:before="0"/>
        <w:ind w:left="103" w:right="-14" w:firstLine="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7"/>
          <w:sz w:val="18"/>
          <w:szCs w:val="18"/>
          <w:u w:val="single" w:color="000000"/>
        </w:rPr>
        <w:t>本公司年末</w:t>
      </w:r>
      <w:r>
        <w:rPr>
          <w:rFonts w:ascii="宋体" w:hAnsi="宋体" w:cs="宋体" w:eastAsia="宋体" w:hint="default"/>
          <w:spacing w:val="-88"/>
          <w:sz w:val="18"/>
          <w:szCs w:val="18"/>
          <w:u w:val="single" w:color="000000"/>
        </w:rPr>
        <w:t> </w:t>
      </w:r>
      <w:r>
        <w:rPr>
          <w:rFonts w:ascii="宋体" w:hAnsi="宋体" w:cs="宋体" w:eastAsia="宋体" w:hint="default"/>
          <w:spacing w:val="-88"/>
          <w:sz w:val="18"/>
          <w:szCs w:val="18"/>
        </w:rPr>
      </w:r>
      <w:r>
        <w:rPr>
          <w:rFonts w:ascii="宋体" w:hAnsi="宋体" w:cs="宋体" w:eastAsia="宋体" w:hint="default"/>
          <w:spacing w:val="-88"/>
          <w:sz w:val="18"/>
          <w:szCs w:val="18"/>
        </w:rPr>
      </w:r>
      <w:r>
        <w:rPr>
          <w:rFonts w:ascii="宋体" w:hAnsi="宋体" w:cs="宋体" w:eastAsia="宋体" w:hint="default"/>
          <w:spacing w:val="-17"/>
          <w:sz w:val="18"/>
          <w:szCs w:val="18"/>
          <w:u w:val="single" w:color="000000"/>
        </w:rPr>
        <w:t>实际投资额</w:t>
      </w:r>
      <w:r>
        <w:rPr>
          <w:rFonts w:ascii="宋体" w:hAnsi="宋体" w:cs="宋体" w:eastAsia="宋体" w:hint="default"/>
          <w:spacing w:val="-17"/>
          <w:sz w:val="18"/>
          <w:szCs w:val="18"/>
        </w:rPr>
      </w:r>
    </w:p>
    <w:p>
      <w:pPr>
        <w:spacing w:line="244" w:lineRule="exact" w:before="0"/>
        <w:ind w:left="103" w:right="-17" w:firstLine="0"/>
        <w:jc w:val="left"/>
        <w:rPr>
          <w:rFonts w:ascii="宋体" w:hAnsi="宋体" w:cs="宋体" w:eastAsia="宋体" w:hint="default"/>
          <w:sz w:val="21"/>
          <w:szCs w:val="21"/>
        </w:rPr>
      </w:pPr>
      <w:r>
        <w:rPr>
          <w:spacing w:val="-13"/>
        </w:rPr>
        <w:br w:type="column"/>
      </w:r>
      <w:r>
        <w:rPr>
          <w:rFonts w:ascii="宋体" w:hAnsi="宋体" w:cs="宋体" w:eastAsia="宋体" w:hint="default"/>
          <w:spacing w:val="-13"/>
          <w:sz w:val="21"/>
          <w:szCs w:val="21"/>
        </w:rPr>
        <w:t>实质上构成对子</w:t>
      </w:r>
    </w:p>
    <w:p>
      <w:pPr>
        <w:spacing w:line="20" w:lineRule="exact"/>
        <w:ind w:left="98" w:right="-35" w:firstLine="0"/>
        <w:rPr>
          <w:rFonts w:ascii="宋体" w:hAnsi="宋体" w:cs="宋体" w:eastAsia="宋体" w:hint="default"/>
          <w:sz w:val="2"/>
          <w:szCs w:val="2"/>
        </w:rPr>
      </w:pPr>
      <w:r>
        <w:rPr>
          <w:rFonts w:ascii="宋体" w:hAnsi="宋体" w:cs="宋体" w:eastAsia="宋体" w:hint="default"/>
          <w:sz w:val="2"/>
          <w:szCs w:val="2"/>
        </w:rPr>
        <w:pict>
          <v:group style="width:68.650pt;height:.550pt;mso-position-horizontal-relative:char;mso-position-vertical-relative:line" coordorigin="0,0" coordsize="1373,11">
            <v:group style="position:absolute;left:5;top:5;width:1362;height:2" coordorigin="5,5" coordsize="1362,2">
              <v:shape style="position:absolute;left:5;top:5;width:1362;height:2" coordorigin="5,5" coordsize="1362,0" path="m5,5l1367,5e" filled="false" stroked="true" strokeweight=".54001pt" strokecolor="#000000">
                <v:path arrowok="t"/>
              </v:shape>
            </v:group>
          </v:group>
        </w:pict>
      </w:r>
      <w:r>
        <w:rPr>
          <w:rFonts w:ascii="宋体" w:hAnsi="宋体" w:cs="宋体" w:eastAsia="宋体" w:hint="default"/>
          <w:sz w:val="2"/>
          <w:szCs w:val="2"/>
        </w:rPr>
      </w:r>
    </w:p>
    <w:p>
      <w:pPr>
        <w:spacing w:line="278" w:lineRule="auto" w:before="24"/>
        <w:ind w:left="103" w:right="-17"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3"/>
          <w:sz w:val="21"/>
          <w:szCs w:val="21"/>
          <w:u w:val="single" w:color="000000"/>
        </w:rPr>
        <w:t>公司的净投资的</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20"/>
          <w:sz w:val="21"/>
          <w:szCs w:val="21"/>
          <w:u w:val="single" w:color="000000"/>
        </w:rPr>
        <w:t>余额</w:t>
      </w:r>
      <w:r>
        <w:rPr>
          <w:rFonts w:ascii="宋体" w:hAnsi="宋体" w:cs="宋体" w:eastAsia="宋体" w:hint="default"/>
          <w:spacing w:val="-20"/>
          <w:sz w:val="21"/>
          <w:szCs w:val="21"/>
        </w:rPr>
      </w:r>
      <w:r>
        <w:rPr>
          <w:rFonts w:ascii="宋体" w:hAnsi="宋体" w:cs="宋体" w:eastAsia="宋体" w:hint="default"/>
          <w:sz w:val="21"/>
          <w:szCs w:val="21"/>
        </w:rPr>
      </w:r>
    </w:p>
    <w:p>
      <w:pPr>
        <w:spacing w:line="240" w:lineRule="auto" w:before="7"/>
        <w:rPr>
          <w:rFonts w:ascii="宋体" w:hAnsi="宋体" w:cs="宋体" w:eastAsia="宋体" w:hint="default"/>
          <w:sz w:val="12"/>
          <w:szCs w:val="12"/>
        </w:rPr>
      </w:pPr>
      <w:r>
        <w:rPr/>
        <w:br w:type="column"/>
      </w:r>
      <w:r>
        <w:rPr>
          <w:rFonts w:ascii="宋体"/>
          <w:sz w:val="12"/>
        </w:rPr>
      </w:r>
    </w:p>
    <w:p>
      <w:pPr>
        <w:spacing w:line="326" w:lineRule="auto" w:before="0"/>
        <w:ind w:left="182" w:right="-13" w:hanging="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7"/>
          <w:sz w:val="18"/>
          <w:szCs w:val="18"/>
          <w:u w:val="single" w:color="000000"/>
        </w:rPr>
        <w:t>本公司合计</w:t>
      </w:r>
      <w:r>
        <w:rPr>
          <w:rFonts w:ascii="宋体" w:hAnsi="宋体" w:cs="宋体" w:eastAsia="宋体" w:hint="default"/>
          <w:spacing w:val="-87"/>
          <w:sz w:val="18"/>
          <w:szCs w:val="18"/>
          <w:u w:val="single" w:color="000000"/>
        </w:rPr>
        <w:t> </w:t>
      </w:r>
      <w:r>
        <w:rPr>
          <w:rFonts w:ascii="宋体" w:hAnsi="宋体" w:cs="宋体" w:eastAsia="宋体" w:hint="default"/>
          <w:spacing w:val="-87"/>
          <w:sz w:val="18"/>
          <w:szCs w:val="18"/>
        </w:rPr>
      </w:r>
      <w:r>
        <w:rPr>
          <w:rFonts w:ascii="宋体" w:hAnsi="宋体" w:cs="宋体" w:eastAsia="宋体" w:hint="default"/>
          <w:spacing w:val="-87"/>
          <w:sz w:val="18"/>
          <w:szCs w:val="18"/>
        </w:rPr>
      </w:r>
      <w:r>
        <w:rPr>
          <w:rFonts w:ascii="宋体" w:hAnsi="宋体" w:cs="宋体" w:eastAsia="宋体" w:hint="default"/>
          <w:spacing w:val="-21"/>
          <w:sz w:val="18"/>
          <w:szCs w:val="18"/>
          <w:u w:val="single" w:color="000000"/>
        </w:rPr>
        <w:t>持股比例</w:t>
      </w:r>
      <w:r>
        <w:rPr>
          <w:rFonts w:ascii="宋体" w:hAnsi="宋体" w:cs="宋体" w:eastAsia="宋体" w:hint="default"/>
          <w:spacing w:val="-21"/>
          <w:sz w:val="18"/>
          <w:szCs w:val="18"/>
        </w:rPr>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line="326" w:lineRule="auto" w:before="0"/>
        <w:ind w:left="182" w:right="-12" w:hanging="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本公司合计享有</w:t>
      </w:r>
      <w:r>
        <w:rPr>
          <w:rFonts w:ascii="宋体" w:hAnsi="宋体" w:cs="宋体" w:eastAsia="宋体" w:hint="default"/>
          <w:spacing w:val="-88"/>
          <w:sz w:val="18"/>
          <w:szCs w:val="18"/>
          <w:u w:val="single" w:color="000000"/>
        </w:rPr>
        <w:t> </w:t>
      </w:r>
      <w:r>
        <w:rPr>
          <w:rFonts w:ascii="宋体" w:hAnsi="宋体" w:cs="宋体" w:eastAsia="宋体" w:hint="default"/>
          <w:spacing w:val="-88"/>
          <w:sz w:val="18"/>
          <w:szCs w:val="18"/>
        </w:rPr>
      </w:r>
      <w:r>
        <w:rPr>
          <w:rFonts w:ascii="宋体" w:hAnsi="宋体" w:cs="宋体" w:eastAsia="宋体" w:hint="default"/>
          <w:spacing w:val="-88"/>
          <w:sz w:val="18"/>
          <w:szCs w:val="18"/>
        </w:rPr>
      </w:r>
      <w:r>
        <w:rPr>
          <w:rFonts w:ascii="宋体" w:hAnsi="宋体" w:cs="宋体" w:eastAsia="宋体" w:hint="default"/>
          <w:spacing w:val="-21"/>
          <w:sz w:val="18"/>
          <w:szCs w:val="18"/>
          <w:u w:val="single" w:color="000000"/>
        </w:rPr>
        <w:t>的表决权比例</w:t>
      </w:r>
      <w:r>
        <w:rPr>
          <w:rFonts w:ascii="宋体" w:hAnsi="宋体" w:cs="宋体" w:eastAsia="宋体" w:hint="default"/>
          <w:spacing w:val="-21"/>
          <w:sz w:val="18"/>
          <w:szCs w:val="18"/>
        </w:rPr>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line="326" w:lineRule="auto" w:before="0"/>
        <w:ind w:left="103" w:right="482" w:firstLine="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7"/>
          <w:sz w:val="18"/>
          <w:szCs w:val="18"/>
          <w:u w:val="single" w:color="000000"/>
        </w:rPr>
        <w:t>合并范围内</w:t>
      </w:r>
      <w:r>
        <w:rPr>
          <w:rFonts w:ascii="宋体" w:hAnsi="宋体" w:cs="宋体" w:eastAsia="宋体" w:hint="default"/>
          <w:spacing w:val="-88"/>
          <w:sz w:val="18"/>
          <w:szCs w:val="18"/>
          <w:u w:val="single" w:color="000000"/>
        </w:rPr>
        <w:t> </w:t>
      </w:r>
      <w:r>
        <w:rPr>
          <w:rFonts w:ascii="宋体" w:hAnsi="宋体" w:cs="宋体" w:eastAsia="宋体" w:hint="default"/>
          <w:spacing w:val="-88"/>
          <w:sz w:val="18"/>
          <w:szCs w:val="18"/>
        </w:rPr>
      </w:r>
      <w:r>
        <w:rPr>
          <w:rFonts w:ascii="宋体" w:hAnsi="宋体" w:cs="宋体" w:eastAsia="宋体" w:hint="default"/>
          <w:spacing w:val="-88"/>
          <w:sz w:val="18"/>
          <w:szCs w:val="18"/>
        </w:rPr>
      </w:r>
      <w:r>
        <w:rPr>
          <w:rFonts w:ascii="宋体" w:hAnsi="宋体" w:cs="宋体" w:eastAsia="宋体" w:hint="default"/>
          <w:spacing w:val="-17"/>
          <w:sz w:val="18"/>
          <w:szCs w:val="18"/>
          <w:u w:val="single" w:color="000000"/>
        </w:rPr>
        <w:t>表决权比例</w:t>
      </w:r>
      <w:r>
        <w:rPr>
          <w:rFonts w:ascii="宋体" w:hAnsi="宋体" w:cs="宋体" w:eastAsia="宋体" w:hint="default"/>
          <w:spacing w:val="-17"/>
          <w:sz w:val="18"/>
          <w:szCs w:val="18"/>
        </w:rPr>
      </w:r>
    </w:p>
    <w:p>
      <w:pPr>
        <w:spacing w:after="0" w:line="326" w:lineRule="auto"/>
        <w:jc w:val="left"/>
        <w:rPr>
          <w:rFonts w:ascii="宋体" w:hAnsi="宋体" w:cs="宋体" w:eastAsia="宋体" w:hint="default"/>
          <w:sz w:val="18"/>
          <w:szCs w:val="18"/>
        </w:rPr>
        <w:sectPr>
          <w:type w:val="continuous"/>
          <w:pgSz w:w="11910" w:h="16840"/>
          <w:pgMar w:top="980" w:bottom="1520" w:left="800" w:right="780"/>
          <w:cols w:num="8" w:equalWidth="0">
            <w:col w:w="744" w:space="136"/>
            <w:col w:w="1596" w:space="299"/>
            <w:col w:w="744" w:space="256"/>
            <w:col w:w="926" w:space="138"/>
            <w:col w:w="1486" w:space="108"/>
            <w:col w:w="925" w:space="157"/>
            <w:col w:w="1224" w:space="163"/>
            <w:col w:w="1428"/>
          </w:cols>
        </w:sectPr>
      </w:pPr>
    </w:p>
    <w:p>
      <w:pPr>
        <w:tabs>
          <w:tab w:pos="2113" w:val="left" w:leader="none"/>
          <w:tab w:pos="2797" w:val="left" w:leader="none"/>
          <w:tab w:pos="4077" w:val="left" w:leader="none"/>
          <w:tab w:pos="5421" w:val="left" w:leader="none"/>
          <w:tab w:pos="6775" w:val="left" w:leader="none"/>
          <w:tab w:pos="8017" w:val="left" w:leader="none"/>
          <w:tab w:pos="9246" w:val="left" w:leader="none"/>
        </w:tabs>
        <w:spacing w:before="47"/>
        <w:ind w:left="103" w:right="226" w:firstLine="0"/>
        <w:jc w:val="left"/>
        <w:rPr>
          <w:rFonts w:ascii="宋体" w:hAnsi="宋体" w:cs="宋体" w:eastAsia="宋体" w:hint="default"/>
          <w:sz w:val="18"/>
          <w:szCs w:val="18"/>
        </w:rPr>
      </w:pPr>
      <w:r>
        <w:rPr>
          <w:rFonts w:ascii="宋体" w:hAnsi="宋体" w:cs="宋体" w:eastAsia="宋体" w:hint="default"/>
          <w:spacing w:val="-16"/>
          <w:sz w:val="18"/>
          <w:szCs w:val="18"/>
        </w:rPr>
        <w:t>实益达科</w:t>
        <w:tab/>
      </w:r>
      <w:r>
        <w:rPr>
          <w:rFonts w:ascii="宋体" w:hAnsi="宋体" w:cs="宋体" w:eastAsia="宋体" w:hint="default"/>
          <w:spacing w:val="-9"/>
          <w:sz w:val="18"/>
          <w:szCs w:val="18"/>
        </w:rPr>
        <w:t>HKD50</w:t>
        <w:tab/>
      </w:r>
      <w:r>
        <w:rPr>
          <w:rFonts w:ascii="宋体" w:hAnsi="宋体" w:cs="宋体" w:eastAsia="宋体" w:hint="default"/>
          <w:spacing w:val="-17"/>
          <w:sz w:val="18"/>
          <w:szCs w:val="18"/>
        </w:rPr>
        <w:t>进出口贸易</w:t>
        <w:tab/>
      </w:r>
      <w:r>
        <w:rPr>
          <w:rFonts w:ascii="宋体" w:hAnsi="宋体" w:cs="宋体" w:eastAsia="宋体" w:hint="default"/>
          <w:spacing w:val="-9"/>
          <w:sz w:val="18"/>
          <w:szCs w:val="18"/>
        </w:rPr>
        <w:t>51.97</w:t>
        <w:tab/>
        <w:t>51.97</w:t>
        <w:tab/>
      </w:r>
      <w:r>
        <w:rPr>
          <w:rFonts w:ascii="宋体" w:hAnsi="宋体" w:cs="宋体" w:eastAsia="宋体" w:hint="default"/>
          <w:spacing w:val="-8"/>
          <w:sz w:val="18"/>
          <w:szCs w:val="18"/>
        </w:rPr>
        <w:t>100%</w:t>
        <w:tab/>
        <w:t>100%</w:t>
        <w:tab/>
      </w:r>
      <w:r>
        <w:rPr>
          <w:rFonts w:ascii="宋体" w:hAnsi="宋体" w:cs="宋体" w:eastAsia="宋体" w:hint="default"/>
          <w:spacing w:val="-10"/>
          <w:sz w:val="18"/>
          <w:szCs w:val="18"/>
        </w:rPr>
        <w:t>100%</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800" w:right="7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1339" w:top="980" w:bottom="1520" w:left="780" w:right="980"/>
        </w:sectPr>
      </w:pPr>
    </w:p>
    <w:p>
      <w:pPr>
        <w:spacing w:line="326" w:lineRule="auto" w:before="44"/>
        <w:ind w:left="123" w:right="-15" w:hanging="22"/>
        <w:jc w:val="left"/>
        <w:rPr>
          <w:rFonts w:ascii="宋体" w:hAnsi="宋体" w:cs="宋体" w:eastAsia="宋体" w:hint="default"/>
          <w:sz w:val="18"/>
          <w:szCs w:val="18"/>
        </w:rPr>
      </w:pPr>
      <w:r>
        <w:rPr>
          <w:rFonts w:ascii="宋体" w:hAnsi="宋体" w:cs="宋体" w:eastAsia="宋体" w:hint="default"/>
          <w:spacing w:val="-24"/>
          <w:sz w:val="18"/>
          <w:szCs w:val="18"/>
        </w:rPr>
        <w:t>技（香港）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有限公司</w:t>
      </w:r>
      <w:r>
        <w:rPr>
          <w:rFonts w:ascii="宋体" w:hAnsi="宋体" w:cs="宋体" w:eastAsia="宋体" w:hint="default"/>
          <w:sz w:val="18"/>
          <w:szCs w:val="18"/>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spacing w:line="336" w:lineRule="auto" w:before="0"/>
        <w:ind w:left="-33" w:right="1070"/>
        <w:jc w:val="left"/>
      </w:pPr>
      <w:r>
        <w:rPr/>
        <w:t>(三)非企业合并方式取得的子公司 报告期不存在非企业合并方式取得的子公司。 (四)纳入合并范围但母公司拥有其半数或半数以下表决权的子公司及其原因 报告期不存在纳入合并范围但母公司拥有其半数或半数以下表决权的子公司。 (五)母公司拥有半数以上表决权，但未能对其形成控制的被投资单位及其原因</w:t>
      </w:r>
    </w:p>
    <w:p>
      <w:pPr>
        <w:pStyle w:val="BodyText"/>
        <w:spacing w:line="336" w:lineRule="auto"/>
        <w:ind w:left="-33" w:right="830"/>
        <w:jc w:val="left"/>
      </w:pPr>
      <w:r>
        <w:rPr/>
        <w:t>报告期不存在母公司拥有其半数以上表决权但未能对其形成控制的被投资单位。 (六)本年合并报表范围的变更情况</w:t>
      </w:r>
    </w:p>
    <w:p>
      <w:pPr>
        <w:pStyle w:val="BodyText"/>
        <w:spacing w:line="336" w:lineRule="auto"/>
        <w:ind w:left="-33" w:right="1790"/>
        <w:jc w:val="left"/>
      </w:pPr>
      <w:r>
        <w:rPr/>
        <w:t>报告期合并报表范围未发生变更。 (七)子公司向母公司转移资金的能力受到严格限制的情况 报告期不存在子公司向母公司转移资金的能力受到严格限制的情况。 (八)作为子公司纳入合并范围的特殊目的主体的业务性质、业务活动等 报告期无作为子公司纳入合并范围的特殊目的主体 (十)未纳入合并范围的、不再纳入合并范围的特殊目的主体的情况 报告期无纳入合并范围的、不再纳入合并范围的特殊目的主体。 (十一)少数股东权益和少数股东损益</w:t>
      </w:r>
    </w:p>
    <w:p>
      <w:pPr>
        <w:spacing w:after="0" w:line="336" w:lineRule="auto"/>
        <w:jc w:val="left"/>
        <w:sectPr>
          <w:type w:val="continuous"/>
          <w:pgSz w:w="11910" w:h="16840"/>
          <w:pgMar w:top="980" w:bottom="1520" w:left="780" w:right="980"/>
          <w:cols w:num="2" w:equalWidth="0">
            <w:col w:w="887" w:space="40"/>
            <w:col w:w="9223"/>
          </w:cols>
        </w:sectPr>
      </w:pPr>
    </w:p>
    <w:p>
      <w:pPr>
        <w:spacing w:line="240" w:lineRule="auto" w:before="7"/>
        <w:rPr>
          <w:rFonts w:ascii="宋体" w:hAnsi="宋体" w:cs="宋体" w:eastAsia="宋体" w:hint="default"/>
          <w:sz w:val="22"/>
          <w:szCs w:val="22"/>
        </w:rPr>
      </w:pPr>
    </w:p>
    <w:p>
      <w:pPr>
        <w:tabs>
          <w:tab w:pos="1348" w:val="left" w:leader="none"/>
          <w:tab w:pos="1888" w:val="left" w:leader="none"/>
          <w:tab w:pos="2968" w:val="left" w:leader="none"/>
          <w:tab w:pos="3668" w:val="left" w:leader="none"/>
          <w:tab w:pos="4568" w:val="left" w:leader="none"/>
        </w:tabs>
        <w:spacing w:before="0"/>
        <w:ind w:left="5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年初金额</w:t>
        <w:tab/>
      </w:r>
      <w:r>
        <w:rPr>
          <w:rFonts w:ascii="宋体" w:hAnsi="宋体" w:cs="宋体" w:eastAsia="宋体" w:hint="default"/>
          <w:sz w:val="18"/>
          <w:szCs w:val="18"/>
        </w:rPr>
      </w:r>
    </w:p>
    <w:p>
      <w:pPr>
        <w:spacing w:line="408" w:lineRule="auto" w:before="94"/>
        <w:ind w:left="718"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本年少数股东</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损益增减</w:t>
      </w:r>
      <w:r>
        <w:rPr>
          <w:rFonts w:ascii="宋体" w:hAnsi="宋体" w:cs="宋体" w:eastAsia="宋体" w:hint="default"/>
          <w:sz w:val="18"/>
          <w:szCs w:val="18"/>
        </w:rPr>
      </w:r>
    </w:p>
    <w:p>
      <w:pPr>
        <w:spacing w:before="94"/>
        <w:ind w:left="53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其他增减</w:t>
      </w:r>
      <w:r>
        <w:rPr>
          <w:rFonts w:ascii="宋体" w:hAnsi="宋体" w:cs="宋体" w:eastAsia="宋体" w:hint="default"/>
          <w:sz w:val="18"/>
          <w:szCs w:val="18"/>
        </w:rPr>
      </w:r>
    </w:p>
    <w:p>
      <w:pPr>
        <w:spacing w:line="240" w:lineRule="auto" w:before="8"/>
        <w:rPr>
          <w:rFonts w:ascii="宋体" w:hAnsi="宋体" w:cs="宋体" w:eastAsia="宋体" w:hint="default"/>
          <w:sz w:val="12"/>
          <w:szCs w:val="12"/>
        </w:rPr>
      </w:pPr>
    </w:p>
    <w:p>
      <w:pPr>
        <w:spacing w:before="0"/>
        <w:ind w:left="538"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（详细说明）</w:t>
      </w:r>
      <w:r>
        <w:rPr>
          <w:rFonts w:ascii="宋体" w:hAnsi="宋体" w:cs="宋体" w:eastAsia="宋体" w:hint="default"/>
          <w:sz w:val="18"/>
          <w:szCs w:val="18"/>
        </w:rPr>
      </w:r>
    </w:p>
    <w:p>
      <w:pPr>
        <w:spacing w:line="240" w:lineRule="auto" w:before="7"/>
        <w:rPr>
          <w:rFonts w:ascii="宋体" w:hAnsi="宋体" w:cs="宋体" w:eastAsia="宋体" w:hint="default"/>
          <w:sz w:val="22"/>
          <w:szCs w:val="22"/>
        </w:rPr>
      </w:pPr>
      <w:r>
        <w:rPr/>
        <w:br w:type="column"/>
      </w:r>
      <w:r>
        <w:rPr>
          <w:rFonts w:ascii="宋体"/>
          <w:sz w:val="22"/>
        </w:rPr>
      </w:r>
    </w:p>
    <w:p>
      <w:pPr>
        <w:tabs>
          <w:tab w:pos="1355" w:val="left" w:leader="none"/>
        </w:tabs>
        <w:spacing w:before="0"/>
        <w:ind w:left="45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年末金额</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780" w:right="980"/>
          <w:cols w:num="4" w:equalWidth="0">
            <w:col w:w="4569" w:space="232"/>
            <w:col w:w="1619" w:space="178"/>
            <w:col w:w="1619" w:space="40"/>
            <w:col w:w="1893"/>
          </w:cols>
        </w:sectPr>
      </w:pPr>
    </w:p>
    <w:p>
      <w:pPr>
        <w:spacing w:before="39"/>
        <w:ind w:left="538" w:right="133" w:firstLine="0"/>
        <w:jc w:val="left"/>
        <w:rPr>
          <w:rFonts w:ascii="宋体" w:hAnsi="宋体" w:cs="宋体" w:eastAsia="宋体" w:hint="default"/>
          <w:sz w:val="18"/>
          <w:szCs w:val="18"/>
        </w:rPr>
      </w:pPr>
      <w:r>
        <w:rPr>
          <w:rFonts w:ascii="宋体" w:hAnsi="宋体" w:cs="宋体" w:eastAsia="宋体" w:hint="default"/>
          <w:sz w:val="18"/>
          <w:szCs w:val="18"/>
        </w:rPr>
        <w:t>少数股东权益</w:t>
      </w:r>
    </w:p>
    <w:p>
      <w:pPr>
        <w:spacing w:line="240" w:lineRule="auto" w:before="8"/>
        <w:rPr>
          <w:rFonts w:ascii="宋体" w:hAnsi="宋体" w:cs="宋体" w:eastAsia="宋体" w:hint="default"/>
          <w:sz w:val="12"/>
          <w:szCs w:val="12"/>
        </w:rPr>
      </w:pPr>
    </w:p>
    <w:p>
      <w:pPr>
        <w:tabs>
          <w:tab w:pos="4027" w:val="left" w:leader="none"/>
          <w:tab w:pos="6271" w:val="left" w:leader="none"/>
          <w:tab w:pos="9062" w:val="left" w:leader="none"/>
        </w:tabs>
        <w:spacing w:before="0"/>
        <w:ind w:left="644" w:right="13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无锡实益达电子有限公司</w:t>
        <w:tab/>
        <w:t>2,771.41</w:t>
        <w:tab/>
        <w:t>-432.90</w:t>
        <w:tab/>
        <w:t>2,338,51</w:t>
      </w:r>
    </w:p>
    <w:p>
      <w:pPr>
        <w:spacing w:line="240" w:lineRule="auto" w:before="7"/>
        <w:rPr>
          <w:rFonts w:ascii="宋体" w:hAnsi="宋体" w:cs="宋体" w:eastAsia="宋体" w:hint="default"/>
          <w:sz w:val="12"/>
          <w:szCs w:val="12"/>
        </w:rPr>
      </w:pPr>
    </w:p>
    <w:p>
      <w:pPr>
        <w:tabs>
          <w:tab w:pos="2111" w:val="left" w:leader="none"/>
          <w:tab w:pos="4027" w:val="left" w:leader="none"/>
          <w:tab w:pos="6271" w:val="left" w:leader="none"/>
          <w:tab w:pos="9062" w:val="left" w:leader="none"/>
        </w:tabs>
        <w:spacing w:before="0"/>
        <w:ind w:left="1662" w:right="133" w:firstLine="0"/>
        <w:jc w:val="left"/>
        <w:rPr>
          <w:rFonts w:ascii="宋体" w:hAnsi="宋体" w:cs="宋体" w:eastAsia="宋体" w:hint="default"/>
          <w:sz w:val="18"/>
          <w:szCs w:val="18"/>
        </w:rPr>
      </w:pPr>
      <w:r>
        <w:rPr>
          <w:rFonts w:ascii="宋体" w:hAnsi="宋体" w:cs="宋体" w:eastAsia="宋体" w:hint="default"/>
          <w:sz w:val="18"/>
          <w:szCs w:val="18"/>
        </w:rPr>
        <w:t>合</w:t>
        <w:tab/>
        <w:t>计</w:t>
        <w:tab/>
        <w:t>2,771.41</w:t>
        <w:tab/>
        <w:t>-432.90</w:t>
        <w:tab/>
        <w:t>2,338,51</w:t>
      </w:r>
    </w:p>
    <w:p>
      <w:pPr>
        <w:spacing w:line="348" w:lineRule="auto" w:before="122"/>
        <w:ind w:left="538" w:right="6730" w:firstLine="0"/>
        <w:jc w:val="left"/>
        <w:rPr>
          <w:rFonts w:ascii="宋体" w:hAnsi="宋体" w:cs="宋体" w:eastAsia="宋体" w:hint="default"/>
          <w:sz w:val="21"/>
          <w:szCs w:val="21"/>
        </w:rPr>
      </w:pPr>
      <w:r>
        <w:rPr>
          <w:rFonts w:ascii="宋体" w:hAnsi="宋体" w:cs="宋体" w:eastAsia="宋体" w:hint="default"/>
          <w:spacing w:val="9"/>
          <w:sz w:val="21"/>
          <w:szCs w:val="21"/>
        </w:rPr>
        <w:t>1.少数股东权益中用于冲减少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数股东损益的金额</w:t>
      </w:r>
    </w:p>
    <w:p>
      <w:pPr>
        <w:spacing w:before="75"/>
        <w:ind w:left="644" w:right="13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无锡实益达电子有限公司</w:t>
      </w:r>
    </w:p>
    <w:p>
      <w:pPr>
        <w:spacing w:line="240" w:lineRule="auto" w:before="9"/>
        <w:rPr>
          <w:rFonts w:ascii="宋体" w:hAnsi="宋体" w:cs="宋体" w:eastAsia="宋体" w:hint="default"/>
          <w:sz w:val="12"/>
          <w:szCs w:val="12"/>
        </w:rPr>
      </w:pPr>
    </w:p>
    <w:p>
      <w:pPr>
        <w:tabs>
          <w:tab w:pos="2099" w:val="left" w:leader="none"/>
        </w:tabs>
        <w:spacing w:before="0"/>
        <w:ind w:left="1649" w:right="133"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8"/>
        <w:rPr>
          <w:rFonts w:ascii="宋体" w:hAnsi="宋体" w:cs="宋体" w:eastAsia="宋体" w:hint="default"/>
          <w:sz w:val="12"/>
          <w:szCs w:val="12"/>
        </w:rPr>
      </w:pPr>
    </w:p>
    <w:p>
      <w:pPr>
        <w:spacing w:line="408" w:lineRule="auto" w:before="0"/>
        <w:ind w:left="538" w:right="6726" w:firstLine="0"/>
        <w:jc w:val="left"/>
        <w:rPr>
          <w:rFonts w:ascii="宋体" w:hAnsi="宋体" w:cs="宋体" w:eastAsia="宋体" w:hint="default"/>
          <w:sz w:val="18"/>
          <w:szCs w:val="18"/>
        </w:rPr>
      </w:pPr>
      <w:r>
        <w:rPr>
          <w:rFonts w:ascii="宋体" w:hAnsi="宋体" w:cs="宋体" w:eastAsia="宋体" w:hint="default"/>
          <w:spacing w:val="10"/>
          <w:sz w:val="18"/>
          <w:szCs w:val="18"/>
        </w:rPr>
        <w:t>2.从母公司所有者权益冲减子公司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少数股东分担的本年亏损</w:t>
      </w:r>
    </w:p>
    <w:p>
      <w:pPr>
        <w:spacing w:before="39"/>
        <w:ind w:left="644" w:right="13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无锡实益达电子有限公司</w:t>
      </w:r>
    </w:p>
    <w:p>
      <w:pPr>
        <w:spacing w:line="240" w:lineRule="auto" w:before="9"/>
        <w:rPr>
          <w:rFonts w:ascii="宋体" w:hAnsi="宋体" w:cs="宋体" w:eastAsia="宋体" w:hint="default"/>
          <w:sz w:val="12"/>
          <w:szCs w:val="12"/>
        </w:rPr>
      </w:pPr>
    </w:p>
    <w:p>
      <w:pPr>
        <w:tabs>
          <w:tab w:pos="2113" w:val="left" w:leader="none"/>
        </w:tabs>
        <w:spacing w:before="0"/>
        <w:ind w:left="1663" w:right="133" w:firstLine="0"/>
        <w:jc w:val="left"/>
        <w:rPr>
          <w:rFonts w:ascii="宋体" w:hAnsi="宋体" w:cs="宋体" w:eastAsia="宋体" w:hint="default"/>
          <w:sz w:val="18"/>
          <w:szCs w:val="18"/>
        </w:rPr>
      </w:pPr>
      <w:r>
        <w:rPr>
          <w:rFonts w:ascii="宋体" w:hAnsi="宋体" w:cs="宋体" w:eastAsia="宋体" w:hint="default"/>
          <w:sz w:val="18"/>
          <w:szCs w:val="18"/>
        </w:rPr>
        <w:t>合</w:t>
        <w:tab/>
        <w:t>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before="0"/>
        <w:ind w:left="894" w:right="133"/>
        <w:jc w:val="left"/>
      </w:pPr>
      <w:r>
        <w:rPr/>
        <w:t>五、合并财务报表主要项目注释</w:t>
      </w:r>
    </w:p>
    <w:p>
      <w:pPr>
        <w:spacing w:after="0" w:line="240" w:lineRule="auto"/>
        <w:jc w:val="left"/>
        <w:sectPr>
          <w:type w:val="continuous"/>
          <w:pgSz w:w="11910" w:h="16840"/>
          <w:pgMar w:top="980" w:bottom="1520" w:left="7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910"/>
        <w:jc w:val="left"/>
      </w:pPr>
      <w:r>
        <w:rPr/>
        <w:t>（以下金额单位若未特别注明者均为人民币元，凡未注明年初数的均为年末数） (一)货币资金</w:t>
      </w:r>
    </w:p>
    <w:p>
      <w:pPr>
        <w:spacing w:line="240" w:lineRule="auto" w:before="11"/>
        <w:rPr>
          <w:rFonts w:ascii="宋体" w:hAnsi="宋体" w:cs="宋体" w:eastAsia="宋体" w:hint="default"/>
          <w:sz w:val="3"/>
          <w:szCs w:val="3"/>
        </w:rPr>
      </w:pPr>
    </w:p>
    <w:tbl>
      <w:tblPr>
        <w:tblW w:w="0" w:type="auto"/>
        <w:jc w:val="left"/>
        <w:tblInd w:w="407" w:type="dxa"/>
        <w:tblLayout w:type="fixed"/>
        <w:tblCellMar>
          <w:top w:w="0" w:type="dxa"/>
          <w:left w:w="0" w:type="dxa"/>
          <w:bottom w:w="0" w:type="dxa"/>
          <w:right w:w="0" w:type="dxa"/>
        </w:tblCellMar>
        <w:tblLook w:val="01E0"/>
      </w:tblPr>
      <w:tblGrid>
        <w:gridCol w:w="936"/>
        <w:gridCol w:w="636"/>
        <w:gridCol w:w="1467"/>
        <w:gridCol w:w="958"/>
        <w:gridCol w:w="1549"/>
        <w:gridCol w:w="1372"/>
        <w:gridCol w:w="880"/>
        <w:gridCol w:w="1319"/>
      </w:tblGrid>
      <w:tr>
        <w:trPr>
          <w:trHeight w:val="487" w:hRule="exact"/>
        </w:trPr>
        <w:tc>
          <w:tcPr>
            <w:tcW w:w="93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0"/>
                <w:sz w:val="18"/>
                <w:szCs w:val="18"/>
              </w:rPr>
              <w:t> </w:t>
            </w:r>
            <w:r>
              <w:rPr>
                <w:rFonts w:ascii="宋体" w:hAnsi="宋体" w:cs="宋体" w:eastAsia="宋体" w:hint="default"/>
                <w:sz w:val="18"/>
                <w:szCs w:val="18"/>
              </w:rPr>
              <w:t>目</w:t>
            </w:r>
          </w:p>
        </w:tc>
        <w:tc>
          <w:tcPr>
            <w:tcW w:w="4610" w:type="dxa"/>
            <w:gridSpan w:val="4"/>
            <w:tcBorders>
              <w:top w:val="nil" w:sz="6" w:space="0" w:color="auto"/>
              <w:left w:val="nil" w:sz="6" w:space="0" w:color="auto"/>
              <w:bottom w:val="nil" w:sz="6" w:space="0" w:color="auto"/>
              <w:right w:val="nil" w:sz="6" w:space="0" w:color="auto"/>
            </w:tcBorders>
          </w:tcPr>
          <w:p>
            <w:pPr>
              <w:pStyle w:val="TableParagraph"/>
              <w:tabs>
                <w:tab w:pos="2209" w:val="left" w:leader="none"/>
                <w:tab w:pos="3809" w:val="left" w:leader="none"/>
              </w:tabs>
              <w:spacing w:line="240" w:lineRule="auto" w:before="44"/>
              <w:ind w:left="8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4"/>
                <w:sz w:val="18"/>
                <w:szCs w:val="18"/>
                <w:u w:val="single" w:color="000000"/>
              </w:rPr>
              <w:t>年末数</w:t>
              <w:tab/>
            </w:r>
            <w:r>
              <w:rPr>
                <w:rFonts w:ascii="宋体" w:hAnsi="宋体" w:cs="宋体" w:eastAsia="宋体" w:hint="default"/>
                <w:spacing w:val="-14"/>
                <w:sz w:val="18"/>
                <w:szCs w:val="18"/>
              </w:rPr>
            </w:r>
          </w:p>
        </w:tc>
        <w:tc>
          <w:tcPr>
            <w:tcW w:w="3570" w:type="dxa"/>
            <w:gridSpan w:val="3"/>
            <w:tcBorders>
              <w:top w:val="nil" w:sz="6" w:space="0" w:color="auto"/>
              <w:left w:val="nil" w:sz="6" w:space="0" w:color="auto"/>
              <w:bottom w:val="nil" w:sz="6" w:space="0" w:color="auto"/>
              <w:right w:val="nil" w:sz="6" w:space="0" w:color="auto"/>
            </w:tcBorders>
          </w:tcPr>
          <w:p>
            <w:pPr>
              <w:pStyle w:val="TableParagraph"/>
              <w:tabs>
                <w:tab w:pos="1301" w:val="left" w:leader="none"/>
                <w:tab w:pos="2902" w:val="left" w:leader="none"/>
              </w:tabs>
              <w:spacing w:line="240" w:lineRule="auto" w:before="44"/>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4"/>
                <w:sz w:val="18"/>
                <w:szCs w:val="18"/>
                <w:u w:val="single" w:color="000000"/>
              </w:rPr>
              <w:t>年初数</w:t>
              <w:tab/>
            </w:r>
            <w:r>
              <w:rPr>
                <w:rFonts w:ascii="宋体" w:hAnsi="宋体" w:cs="宋体" w:eastAsia="宋体" w:hint="default"/>
                <w:spacing w:val="-14"/>
                <w:sz w:val="18"/>
                <w:szCs w:val="18"/>
              </w:rPr>
            </w:r>
          </w:p>
        </w:tc>
      </w:tr>
      <w:tr>
        <w:trPr>
          <w:trHeight w:val="200" w:hRule="exact"/>
        </w:trPr>
        <w:tc>
          <w:tcPr>
            <w:tcW w:w="936" w:type="dxa"/>
            <w:tcBorders>
              <w:top w:val="single" w:sz="4" w:space="0" w:color="000000"/>
              <w:left w:val="nil" w:sz="6" w:space="0" w:color="auto"/>
              <w:bottom w:val="nil" w:sz="6" w:space="0" w:color="auto"/>
              <w:right w:val="nil" w:sz="6" w:space="0" w:color="auto"/>
            </w:tcBorders>
          </w:tcPr>
          <w:p>
            <w:pPr/>
          </w:p>
        </w:tc>
        <w:tc>
          <w:tcPr>
            <w:tcW w:w="4610" w:type="dxa"/>
            <w:gridSpan w:val="4"/>
            <w:tcBorders>
              <w:top w:val="nil" w:sz="6" w:space="0" w:color="auto"/>
              <w:left w:val="nil" w:sz="6" w:space="0" w:color="auto"/>
              <w:bottom w:val="nil" w:sz="6" w:space="0" w:color="auto"/>
              <w:right w:val="nil" w:sz="6" w:space="0" w:color="auto"/>
            </w:tcBorders>
          </w:tcPr>
          <w:p>
            <w:pPr>
              <w:pStyle w:val="TableParagraph"/>
              <w:tabs>
                <w:tab w:pos="2251" w:val="left" w:leader="none"/>
                <w:tab w:pos="3327" w:val="left" w:leader="none"/>
              </w:tabs>
              <w:spacing w:line="193" w:lineRule="exact"/>
              <w:ind w:left="1010" w:right="0"/>
              <w:jc w:val="left"/>
              <w:rPr>
                <w:rFonts w:ascii="宋体" w:hAnsi="宋体" w:cs="宋体" w:eastAsia="宋体" w:hint="default"/>
                <w:sz w:val="18"/>
                <w:szCs w:val="18"/>
              </w:rPr>
            </w:pPr>
            <w:r>
              <w:rPr>
                <w:rFonts w:ascii="宋体" w:hAnsi="宋体" w:cs="宋体" w:eastAsia="宋体" w:hint="default"/>
                <w:spacing w:val="-16"/>
                <w:sz w:val="18"/>
                <w:szCs w:val="18"/>
              </w:rPr>
              <w:t>外币金额</w:t>
              <w:tab/>
            </w:r>
            <w:r>
              <w:rPr>
                <w:rFonts w:ascii="宋体" w:hAnsi="宋体" w:cs="宋体" w:eastAsia="宋体" w:hint="default"/>
                <w:spacing w:val="-14"/>
                <w:sz w:val="18"/>
                <w:szCs w:val="18"/>
              </w:rPr>
              <w:t>折算率</w:t>
              <w:tab/>
            </w:r>
            <w:r>
              <w:rPr>
                <w:rFonts w:ascii="宋体" w:hAnsi="宋体" w:cs="宋体" w:eastAsia="宋体" w:hint="default"/>
                <w:spacing w:val="-17"/>
                <w:sz w:val="18"/>
                <w:szCs w:val="18"/>
              </w:rPr>
              <w:t>人民币金额</w:t>
            </w:r>
          </w:p>
        </w:tc>
        <w:tc>
          <w:tcPr>
            <w:tcW w:w="3570" w:type="dxa"/>
            <w:gridSpan w:val="3"/>
            <w:tcBorders>
              <w:top w:val="nil" w:sz="6" w:space="0" w:color="auto"/>
              <w:left w:val="nil" w:sz="6" w:space="0" w:color="auto"/>
              <w:bottom w:val="nil" w:sz="6" w:space="0" w:color="auto"/>
              <w:right w:val="nil" w:sz="6" w:space="0" w:color="auto"/>
            </w:tcBorders>
          </w:tcPr>
          <w:p>
            <w:pPr>
              <w:pStyle w:val="TableParagraph"/>
              <w:tabs>
                <w:tab w:pos="1479" w:val="left" w:leader="none"/>
                <w:tab w:pos="2477" w:val="left" w:leader="none"/>
              </w:tabs>
              <w:spacing w:line="193" w:lineRule="exact"/>
              <w:ind w:left="293" w:right="0"/>
              <w:jc w:val="left"/>
              <w:rPr>
                <w:rFonts w:ascii="宋体" w:hAnsi="宋体" w:cs="宋体" w:eastAsia="宋体" w:hint="default"/>
                <w:sz w:val="18"/>
                <w:szCs w:val="18"/>
              </w:rPr>
            </w:pPr>
            <w:r>
              <w:rPr>
                <w:rFonts w:ascii="宋体" w:hAnsi="宋体" w:cs="宋体" w:eastAsia="宋体" w:hint="default"/>
                <w:spacing w:val="-16"/>
                <w:sz w:val="18"/>
                <w:szCs w:val="18"/>
              </w:rPr>
              <w:t>外币金额</w:t>
              <w:tab/>
            </w:r>
            <w:r>
              <w:rPr>
                <w:rFonts w:ascii="宋体" w:hAnsi="宋体" w:cs="宋体" w:eastAsia="宋体" w:hint="default"/>
                <w:spacing w:val="-14"/>
                <w:sz w:val="18"/>
                <w:szCs w:val="18"/>
              </w:rPr>
              <w:t>折算率</w:t>
              <w:tab/>
            </w:r>
            <w:r>
              <w:rPr>
                <w:rFonts w:ascii="宋体" w:hAnsi="宋体" w:cs="宋体" w:eastAsia="宋体" w:hint="default"/>
                <w:spacing w:val="-17"/>
                <w:sz w:val="18"/>
                <w:szCs w:val="18"/>
              </w:rPr>
              <w:t>人民币金额</w:t>
            </w:r>
          </w:p>
        </w:tc>
      </w:tr>
      <w:tr>
        <w:trPr>
          <w:trHeight w:val="391"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50"/>
                <w:sz w:val="18"/>
                <w:szCs w:val="18"/>
              </w:rPr>
              <w:t> </w:t>
            </w:r>
            <w:r>
              <w:rPr>
                <w:rFonts w:ascii="宋体" w:hAnsi="宋体" w:cs="宋体" w:eastAsia="宋体" w:hint="default"/>
                <w:sz w:val="18"/>
                <w:szCs w:val="18"/>
              </w:rPr>
              <w:t>金</w:t>
            </w:r>
          </w:p>
        </w:tc>
        <w:tc>
          <w:tcPr>
            <w:tcW w:w="4610" w:type="dxa"/>
            <w:gridSpan w:val="4"/>
            <w:tcBorders>
              <w:top w:val="nil" w:sz="6" w:space="0" w:color="auto"/>
              <w:left w:val="nil" w:sz="6" w:space="0" w:color="auto"/>
              <w:bottom w:val="nil" w:sz="6" w:space="0" w:color="auto"/>
              <w:right w:val="nil" w:sz="6" w:space="0" w:color="auto"/>
            </w:tcBorders>
          </w:tcPr>
          <w:p>
            <w:pPr>
              <w:pStyle w:val="TableParagraph"/>
              <w:tabs>
                <w:tab w:pos="2246" w:val="left" w:leader="none"/>
              </w:tabs>
              <w:spacing w:line="20" w:lineRule="exact"/>
              <w:ind w:left="1005" w:right="0"/>
              <w:jc w:val="left"/>
              <w:rPr>
                <w:rFonts w:ascii="宋体" w:hAnsi="宋体" w:cs="宋体" w:eastAsia="宋体" w:hint="default"/>
                <w:sz w:val="2"/>
                <w:szCs w:val="2"/>
              </w:rPr>
            </w:pPr>
            <w:r>
              <w:rPr>
                <w:rFonts w:ascii="宋体"/>
                <w:sz w:val="2"/>
              </w:rPr>
              <w:pict>
                <v:group style="width:32.5500pt;height:.5pt;mso-position-horizontal-relative:char;mso-position-vertical-relative:line" coordorigin="0,0" coordsize="651,10">
                  <v:group style="position:absolute;left:5;top:5;width:641;height:2" coordorigin="5,5" coordsize="641,2">
                    <v:shape style="position:absolute;left:5;top:5;width:641;height:2" coordorigin="5,5" coordsize="641,0" path="m5,5l646,5e" filled="false" stroked="true" strokeweight=".48004pt" strokecolor="#000000">
                      <v:path arrowok="t"/>
                    </v:shape>
                  </v:group>
                </v:group>
              </w:pict>
            </w:r>
            <w:r>
              <w:rPr>
                <w:rFonts w:ascii="宋体"/>
                <w:sz w:val="2"/>
              </w:rPr>
            </w:r>
            <w:r>
              <w:rPr>
                <w:rFonts w:ascii="宋体"/>
                <w:sz w:val="2"/>
              </w:rPr>
              <w:tab/>
            </w:r>
            <w:r>
              <w:rPr>
                <w:rFonts w:ascii="宋体"/>
                <w:sz w:val="2"/>
              </w:rPr>
              <w:pict>
                <v:group style="width:24.55pt;height:.5pt;mso-position-horizontal-relative:char;mso-position-vertical-relative:line" coordorigin="0,0" coordsize="491,10">
                  <v:group style="position:absolute;left:5;top:5;width:482;height:2" coordorigin="5,5" coordsize="482,2">
                    <v:shape style="position:absolute;left:5;top:5;width:482;height:2" coordorigin="5,5" coordsize="482,0" path="m5,5l486,5e" filled="false" stroked="true" strokeweight=".48004pt" strokecolor="#000000">
                      <v:path arrowok="t"/>
                    </v:shape>
                  </v:group>
                </v:group>
              </w:pict>
            </w:r>
            <w:r>
              <w:rPr>
                <w:rFonts w:ascii="宋体"/>
                <w:sz w:val="2"/>
              </w:rPr>
            </w:r>
          </w:p>
          <w:p>
            <w:pPr>
              <w:pStyle w:val="TableParagraph"/>
              <w:spacing w:line="240" w:lineRule="auto" w:before="60"/>
              <w:ind w:right="191"/>
              <w:jc w:val="right"/>
              <w:rPr>
                <w:rFonts w:ascii="宋体" w:hAnsi="宋体" w:cs="宋体" w:eastAsia="宋体" w:hint="default"/>
                <w:sz w:val="18"/>
                <w:szCs w:val="18"/>
              </w:rPr>
            </w:pPr>
            <w:r>
              <w:rPr>
                <w:rFonts w:ascii="宋体"/>
                <w:spacing w:val="-11"/>
                <w:sz w:val="18"/>
              </w:rPr>
              <w:t>26,213.64</w:t>
            </w:r>
            <w:r>
              <w:rPr>
                <w:rFonts w:ascii="宋体"/>
                <w:sz w:val="18"/>
              </w:rPr>
            </w:r>
          </w:p>
        </w:tc>
        <w:tc>
          <w:tcPr>
            <w:tcW w:w="3570" w:type="dxa"/>
            <w:gridSpan w:val="3"/>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0" w:lineRule="exact"/>
              <w:ind w:left="289" w:right="0"/>
              <w:jc w:val="left"/>
              <w:rPr>
                <w:rFonts w:ascii="宋体" w:hAnsi="宋体" w:cs="宋体" w:eastAsia="宋体" w:hint="default"/>
                <w:sz w:val="2"/>
                <w:szCs w:val="2"/>
              </w:rPr>
            </w:pPr>
            <w:r>
              <w:rPr>
                <w:rFonts w:ascii="宋体"/>
                <w:sz w:val="2"/>
              </w:rPr>
              <w:pict>
                <v:group style="width:32.5500pt;height:.5pt;mso-position-horizontal-relative:char;mso-position-vertical-relative:line" coordorigin="0,0" coordsize="651,10">
                  <v:group style="position:absolute;left:5;top:5;width:641;height:2" coordorigin="5,5" coordsize="641,2">
                    <v:shape style="position:absolute;left:5;top:5;width:641;height:2" coordorigin="5,5" coordsize="641,0" path="m5,5l646,5e" filled="false" stroked="true" strokeweight=".48004pt" strokecolor="#000000">
                      <v:path arrowok="t"/>
                    </v:shape>
                  </v:group>
                </v:group>
              </w:pict>
            </w:r>
            <w:r>
              <w:rPr>
                <w:rFonts w:ascii="宋体"/>
                <w:sz w:val="2"/>
              </w:rPr>
            </w:r>
            <w:r>
              <w:rPr>
                <w:rFonts w:ascii="宋体"/>
                <w:sz w:val="2"/>
              </w:rPr>
              <w:tab/>
            </w:r>
            <w:r>
              <w:rPr>
                <w:rFonts w:ascii="宋体"/>
                <w:sz w:val="2"/>
              </w:rPr>
              <w:pict>
                <v:group style="width:24.55pt;height:.5pt;mso-position-horizontal-relative:char;mso-position-vertical-relative:line" coordorigin="0,0" coordsize="491,10">
                  <v:group style="position:absolute;left:5;top:5;width:482;height:2" coordorigin="5,5" coordsize="482,2">
                    <v:shape style="position:absolute;left:5;top:5;width:482;height:2" coordorigin="5,5" coordsize="482,0" path="m5,5l486,5e" filled="false" stroked="true" strokeweight=".48004pt" strokecolor="#000000">
                      <v:path arrowok="t"/>
                    </v:shape>
                  </v:group>
                </v:group>
              </w:pict>
            </w:r>
            <w:r>
              <w:rPr>
                <w:rFonts w:ascii="宋体"/>
                <w:sz w:val="2"/>
              </w:rPr>
            </w:r>
          </w:p>
          <w:p>
            <w:pPr>
              <w:pStyle w:val="TableParagraph"/>
              <w:spacing w:line="240" w:lineRule="auto" w:before="60"/>
              <w:ind w:right="42"/>
              <w:jc w:val="right"/>
              <w:rPr>
                <w:rFonts w:ascii="宋体" w:hAnsi="宋体" w:cs="宋体" w:eastAsia="宋体" w:hint="default"/>
                <w:sz w:val="18"/>
                <w:szCs w:val="18"/>
              </w:rPr>
            </w:pPr>
            <w:r>
              <w:rPr>
                <w:rFonts w:ascii="宋体"/>
                <w:spacing w:val="-11"/>
                <w:sz w:val="18"/>
              </w:rPr>
              <w:t>19,188.40</w:t>
            </w:r>
            <w:r>
              <w:rPr>
                <w:rFonts w:ascii="宋体"/>
                <w:sz w:val="18"/>
              </w:rPr>
            </w:r>
          </w:p>
        </w:tc>
      </w:tr>
      <w:tr>
        <w:trPr>
          <w:trHeight w:val="1020"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345" w:lineRule="auto" w:before="24"/>
              <w:ind w:left="246" w:right="187"/>
              <w:jc w:val="left"/>
              <w:rPr>
                <w:rFonts w:ascii="宋体" w:hAnsi="宋体" w:cs="宋体" w:eastAsia="宋体" w:hint="default"/>
                <w:sz w:val="18"/>
                <w:szCs w:val="18"/>
              </w:rPr>
            </w:pPr>
            <w:r>
              <w:rPr>
                <w:rFonts w:ascii="宋体" w:hAnsi="宋体" w:cs="宋体" w:eastAsia="宋体" w:hint="default"/>
                <w:spacing w:val="-14"/>
                <w:sz w:val="18"/>
                <w:szCs w:val="18"/>
              </w:rPr>
              <w:t>人民币</w:t>
            </w:r>
            <w:r>
              <w:rPr>
                <w:rFonts w:ascii="宋体" w:hAnsi="宋体" w:cs="宋体" w:eastAsia="宋体" w:hint="default"/>
                <w:sz w:val="18"/>
                <w:szCs w:val="18"/>
              </w:rPr>
              <w:t> </w:t>
            </w:r>
            <w:r>
              <w:rPr>
                <w:rFonts w:ascii="宋体" w:hAnsi="宋体" w:cs="宋体" w:eastAsia="宋体" w:hint="default"/>
                <w:spacing w:val="-20"/>
                <w:sz w:val="18"/>
                <w:szCs w:val="18"/>
              </w:rPr>
              <w:t>美元</w:t>
            </w:r>
            <w:r>
              <w:rPr>
                <w:rFonts w:ascii="宋体" w:hAnsi="宋体" w:cs="宋体" w:eastAsia="宋体" w:hint="default"/>
                <w:spacing w:val="-20"/>
                <w:sz w:val="18"/>
                <w:szCs w:val="18"/>
              </w:rPr>
              <w:t> </w:t>
            </w:r>
            <w:r>
              <w:rPr>
                <w:rFonts w:ascii="宋体" w:hAnsi="宋体" w:cs="宋体" w:eastAsia="宋体" w:hint="default"/>
                <w:spacing w:val="-10"/>
                <w:sz w:val="18"/>
                <w:szCs w:val="18"/>
              </w:rPr>
              <w:t>港币</w:t>
            </w:r>
          </w:p>
        </w:tc>
        <w:tc>
          <w:tcPr>
            <w:tcW w:w="46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4"/>
              <w:ind w:right="181"/>
              <w:jc w:val="right"/>
              <w:rPr>
                <w:rFonts w:ascii="宋体" w:hAnsi="宋体" w:cs="宋体" w:eastAsia="宋体" w:hint="default"/>
                <w:sz w:val="18"/>
                <w:szCs w:val="18"/>
              </w:rPr>
            </w:pPr>
            <w:r>
              <w:rPr>
                <w:rFonts w:ascii="宋体"/>
                <w:spacing w:val="-9"/>
                <w:w w:val="95"/>
                <w:sz w:val="18"/>
              </w:rPr>
              <w:t>2,092.30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tabs>
                <w:tab w:pos="1041" w:val="left" w:leader="none"/>
                <w:tab w:pos="2474" w:val="left" w:leader="none"/>
              </w:tabs>
              <w:spacing w:line="240" w:lineRule="auto"/>
              <w:ind w:right="191"/>
              <w:jc w:val="right"/>
              <w:rPr>
                <w:rFonts w:ascii="宋体" w:hAnsi="宋体" w:cs="宋体" w:eastAsia="宋体" w:hint="default"/>
                <w:sz w:val="18"/>
                <w:szCs w:val="18"/>
              </w:rPr>
            </w:pPr>
            <w:r>
              <w:rPr>
                <w:rFonts w:ascii="宋体"/>
                <w:spacing w:val="-10"/>
                <w:sz w:val="18"/>
              </w:rPr>
              <w:t>25,760.20</w:t>
              <w:tab/>
            </w:r>
            <w:r>
              <w:rPr>
                <w:rFonts w:ascii="宋体"/>
                <w:spacing w:val="-9"/>
                <w:sz w:val="18"/>
              </w:rPr>
              <w:t>0.93638</w:t>
              <w:tab/>
            </w:r>
            <w:r>
              <w:rPr>
                <w:rFonts w:ascii="宋体"/>
                <w:spacing w:val="-11"/>
                <w:sz w:val="18"/>
              </w:rPr>
              <w:t>24,121.34</w:t>
            </w:r>
            <w:r>
              <w:rPr>
                <w:rFonts w:ascii="宋体"/>
                <w:sz w:val="18"/>
              </w:rPr>
            </w:r>
          </w:p>
        </w:tc>
        <w:tc>
          <w:tcPr>
            <w:tcW w:w="35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pacing w:val="-9"/>
                <w:w w:val="95"/>
                <w:sz w:val="18"/>
              </w:rPr>
              <w:t>5,578.68</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tabs>
                <w:tab w:pos="1052" w:val="left" w:leader="none"/>
                <w:tab w:pos="2319" w:val="left" w:leader="none"/>
              </w:tabs>
              <w:spacing w:line="240" w:lineRule="auto"/>
              <w:ind w:right="42"/>
              <w:jc w:val="right"/>
              <w:rPr>
                <w:rFonts w:ascii="宋体" w:hAnsi="宋体" w:cs="宋体" w:eastAsia="宋体" w:hint="default"/>
                <w:sz w:val="18"/>
                <w:szCs w:val="18"/>
              </w:rPr>
            </w:pPr>
            <w:r>
              <w:rPr>
                <w:rFonts w:ascii="宋体"/>
                <w:spacing w:val="-10"/>
                <w:sz w:val="18"/>
              </w:rPr>
              <w:t>13,546.05</w:t>
              <w:tab/>
            </w:r>
            <w:r>
              <w:rPr>
                <w:rFonts w:ascii="宋体"/>
                <w:spacing w:val="-9"/>
                <w:sz w:val="18"/>
              </w:rPr>
              <w:t>1.0047</w:t>
              <w:tab/>
            </w:r>
            <w:r>
              <w:rPr>
                <w:rFonts w:ascii="宋体"/>
                <w:spacing w:val="-11"/>
                <w:sz w:val="18"/>
              </w:rPr>
              <w:t>13,609.72</w:t>
            </w:r>
            <w:r>
              <w:rPr>
                <w:rFonts w:ascii="宋体"/>
                <w:sz w:val="18"/>
              </w:rPr>
            </w:r>
          </w:p>
        </w:tc>
      </w:tr>
      <w:tr>
        <w:trPr>
          <w:trHeight w:val="340"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pacing w:val="-16"/>
                <w:sz w:val="18"/>
                <w:szCs w:val="18"/>
              </w:rPr>
              <w:t>银行存款</w:t>
            </w:r>
          </w:p>
        </w:tc>
        <w:tc>
          <w:tcPr>
            <w:tcW w:w="46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4"/>
              <w:ind w:right="180"/>
              <w:jc w:val="right"/>
              <w:rPr>
                <w:rFonts w:ascii="宋体" w:hAnsi="宋体" w:cs="宋体" w:eastAsia="宋体" w:hint="default"/>
                <w:sz w:val="18"/>
                <w:szCs w:val="18"/>
              </w:rPr>
            </w:pPr>
            <w:r>
              <w:rPr>
                <w:rFonts w:ascii="宋体"/>
                <w:spacing w:val="-10"/>
                <w:sz w:val="18"/>
              </w:rPr>
              <w:t>215,363,340.60</w:t>
            </w:r>
          </w:p>
        </w:tc>
        <w:tc>
          <w:tcPr>
            <w:tcW w:w="35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4"/>
              <w:ind w:right="42"/>
              <w:jc w:val="right"/>
              <w:rPr>
                <w:rFonts w:ascii="宋体" w:hAnsi="宋体" w:cs="宋体" w:eastAsia="宋体" w:hint="default"/>
                <w:sz w:val="18"/>
                <w:szCs w:val="18"/>
              </w:rPr>
            </w:pPr>
            <w:r>
              <w:rPr>
                <w:rFonts w:ascii="宋体"/>
                <w:spacing w:val="-11"/>
                <w:sz w:val="18"/>
              </w:rPr>
              <w:t>73,913,465.06</w:t>
            </w:r>
            <w:r>
              <w:rPr>
                <w:rFonts w:ascii="宋体"/>
                <w:sz w:val="18"/>
              </w:rPr>
            </w:r>
          </w:p>
        </w:tc>
      </w:tr>
      <w:tr>
        <w:trPr>
          <w:trHeight w:val="340"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246" w:right="0"/>
              <w:jc w:val="left"/>
              <w:rPr>
                <w:rFonts w:ascii="宋体" w:hAnsi="宋体" w:cs="宋体" w:eastAsia="宋体" w:hint="default"/>
                <w:sz w:val="18"/>
                <w:szCs w:val="18"/>
              </w:rPr>
            </w:pPr>
            <w:r>
              <w:rPr>
                <w:rFonts w:ascii="宋体" w:hAnsi="宋体" w:cs="宋体" w:eastAsia="宋体" w:hint="default"/>
                <w:spacing w:val="-14"/>
                <w:sz w:val="18"/>
                <w:szCs w:val="18"/>
              </w:rPr>
              <w:t>人民币</w:t>
            </w:r>
          </w:p>
        </w:tc>
        <w:tc>
          <w:tcPr>
            <w:tcW w:w="146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0"/>
              <w:jc w:val="right"/>
              <w:rPr>
                <w:rFonts w:ascii="宋体" w:hAnsi="宋体" w:cs="宋体" w:eastAsia="宋体" w:hint="default"/>
                <w:sz w:val="18"/>
                <w:szCs w:val="18"/>
              </w:rPr>
            </w:pPr>
            <w:r>
              <w:rPr>
                <w:rFonts w:ascii="宋体"/>
                <w:spacing w:val="-10"/>
                <w:sz w:val="18"/>
              </w:rPr>
              <w:t>210,253,825.67</w:t>
            </w:r>
          </w:p>
        </w:tc>
        <w:tc>
          <w:tcPr>
            <w:tcW w:w="1372"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2"/>
              <w:jc w:val="right"/>
              <w:rPr>
                <w:rFonts w:ascii="宋体" w:hAnsi="宋体" w:cs="宋体" w:eastAsia="宋体" w:hint="default"/>
                <w:sz w:val="18"/>
                <w:szCs w:val="18"/>
              </w:rPr>
            </w:pPr>
            <w:r>
              <w:rPr>
                <w:rFonts w:ascii="宋体"/>
                <w:spacing w:val="-11"/>
                <w:sz w:val="18"/>
              </w:rPr>
              <w:t>20,077,223.47</w:t>
            </w:r>
            <w:r>
              <w:rPr>
                <w:rFonts w:ascii="宋体"/>
                <w:sz w:val="18"/>
              </w:rPr>
            </w:r>
          </w:p>
        </w:tc>
      </w:tr>
      <w:tr>
        <w:trPr>
          <w:trHeight w:val="340"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46" w:right="0"/>
              <w:jc w:val="left"/>
              <w:rPr>
                <w:rFonts w:ascii="宋体" w:hAnsi="宋体" w:cs="宋体" w:eastAsia="宋体" w:hint="default"/>
                <w:sz w:val="18"/>
                <w:szCs w:val="18"/>
              </w:rPr>
            </w:pPr>
            <w:r>
              <w:rPr>
                <w:rFonts w:ascii="宋体" w:hAnsi="宋体" w:cs="宋体" w:eastAsia="宋体" w:hint="default"/>
                <w:spacing w:val="-10"/>
                <w:sz w:val="18"/>
                <w:szCs w:val="18"/>
              </w:rPr>
              <w:t>美元</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8"/>
                <w:szCs w:val="18"/>
              </w:rPr>
            </w:pPr>
            <w:r>
              <w:rPr>
                <w:rFonts w:ascii="宋体"/>
                <w:spacing w:val="-11"/>
                <w:sz w:val="18"/>
              </w:rPr>
              <w:t>697,540.41</w:t>
            </w:r>
            <w:r>
              <w:rPr>
                <w:rFonts w:ascii="宋体"/>
                <w:sz w:val="18"/>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4"/>
              <w:jc w:val="right"/>
              <w:rPr>
                <w:rFonts w:ascii="宋体" w:hAnsi="宋体" w:cs="宋体" w:eastAsia="宋体" w:hint="default"/>
                <w:sz w:val="18"/>
                <w:szCs w:val="18"/>
              </w:rPr>
            </w:pPr>
            <w:r>
              <w:rPr>
                <w:rFonts w:ascii="宋体"/>
                <w:spacing w:val="-11"/>
                <w:sz w:val="18"/>
              </w:rPr>
              <w:t>7.3046</w:t>
            </w:r>
            <w:r>
              <w:rPr>
                <w:rFonts w:ascii="宋体"/>
                <w:sz w:val="18"/>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1"/>
              <w:jc w:val="right"/>
              <w:rPr>
                <w:rFonts w:ascii="宋体" w:hAnsi="宋体" w:cs="宋体" w:eastAsia="宋体" w:hint="default"/>
                <w:sz w:val="18"/>
                <w:szCs w:val="18"/>
              </w:rPr>
            </w:pPr>
            <w:r>
              <w:rPr>
                <w:rFonts w:ascii="宋体"/>
                <w:spacing w:val="-11"/>
                <w:sz w:val="18"/>
              </w:rPr>
              <w:t>5,095,251.91</w:t>
            </w:r>
            <w:r>
              <w:rPr>
                <w:rFonts w:ascii="宋体"/>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3"/>
              <w:jc w:val="right"/>
              <w:rPr>
                <w:rFonts w:ascii="宋体" w:hAnsi="宋体" w:cs="宋体" w:eastAsia="宋体" w:hint="default"/>
                <w:sz w:val="18"/>
                <w:szCs w:val="18"/>
              </w:rPr>
            </w:pPr>
            <w:r>
              <w:rPr>
                <w:rFonts w:ascii="宋体"/>
                <w:spacing w:val="-11"/>
                <w:sz w:val="18"/>
              </w:rPr>
              <w:t>6,860,943.06</w:t>
            </w:r>
            <w:r>
              <w:rPr>
                <w:rFonts w:ascii="宋体"/>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18"/>
                <w:szCs w:val="18"/>
              </w:rPr>
            </w:pPr>
            <w:r>
              <w:rPr>
                <w:rFonts w:ascii="宋体"/>
                <w:spacing w:val="-11"/>
                <w:sz w:val="18"/>
              </w:rPr>
              <w:t>7.8087</w:t>
            </w:r>
            <w:r>
              <w:rPr>
                <w:rFonts w:ascii="宋体"/>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8"/>
                <w:szCs w:val="18"/>
              </w:rPr>
            </w:pPr>
            <w:r>
              <w:rPr>
                <w:rFonts w:ascii="宋体"/>
                <w:spacing w:val="-10"/>
                <w:sz w:val="18"/>
              </w:rPr>
              <w:t>53,575,367.03</w:t>
            </w:r>
          </w:p>
        </w:tc>
      </w:tr>
      <w:tr>
        <w:trPr>
          <w:trHeight w:val="340"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46" w:right="0"/>
              <w:jc w:val="left"/>
              <w:rPr>
                <w:rFonts w:ascii="宋体" w:hAnsi="宋体" w:cs="宋体" w:eastAsia="宋体" w:hint="default"/>
                <w:sz w:val="18"/>
                <w:szCs w:val="18"/>
              </w:rPr>
            </w:pPr>
            <w:r>
              <w:rPr>
                <w:rFonts w:ascii="宋体" w:hAnsi="宋体" w:cs="宋体" w:eastAsia="宋体" w:hint="default"/>
                <w:spacing w:val="-10"/>
                <w:sz w:val="18"/>
                <w:szCs w:val="18"/>
              </w:rPr>
              <w:t>港币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8"/>
                <w:szCs w:val="18"/>
              </w:rPr>
            </w:pPr>
            <w:r>
              <w:rPr>
                <w:rFonts w:ascii="宋体"/>
                <w:spacing w:val="-11"/>
                <w:sz w:val="18"/>
              </w:rPr>
              <w:t>15,232.08</w:t>
            </w:r>
            <w:r>
              <w:rPr>
                <w:rFonts w:ascii="宋体"/>
                <w:sz w:val="18"/>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4"/>
              <w:jc w:val="right"/>
              <w:rPr>
                <w:rFonts w:ascii="宋体" w:hAnsi="宋体" w:cs="宋体" w:eastAsia="宋体" w:hint="default"/>
                <w:sz w:val="18"/>
                <w:szCs w:val="18"/>
              </w:rPr>
            </w:pPr>
            <w:r>
              <w:rPr>
                <w:rFonts w:ascii="宋体"/>
                <w:spacing w:val="-11"/>
                <w:sz w:val="18"/>
              </w:rPr>
              <w:t>0.93638</w:t>
            </w:r>
            <w:r>
              <w:rPr>
                <w:rFonts w:ascii="宋体"/>
                <w:sz w:val="18"/>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1"/>
              <w:jc w:val="right"/>
              <w:rPr>
                <w:rFonts w:ascii="宋体" w:hAnsi="宋体" w:cs="宋体" w:eastAsia="宋体" w:hint="default"/>
                <w:sz w:val="18"/>
                <w:szCs w:val="18"/>
              </w:rPr>
            </w:pPr>
            <w:r>
              <w:rPr>
                <w:rFonts w:ascii="宋体"/>
                <w:spacing w:val="-11"/>
                <w:sz w:val="18"/>
              </w:rPr>
              <w:t>14,263.02</w:t>
            </w:r>
            <w:r>
              <w:rPr>
                <w:rFonts w:ascii="宋体"/>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3"/>
              <w:jc w:val="right"/>
              <w:rPr>
                <w:rFonts w:ascii="宋体" w:hAnsi="宋体" w:cs="宋体" w:eastAsia="宋体" w:hint="default"/>
                <w:sz w:val="18"/>
                <w:szCs w:val="18"/>
              </w:rPr>
            </w:pPr>
            <w:r>
              <w:rPr>
                <w:rFonts w:ascii="宋体"/>
                <w:spacing w:val="-11"/>
                <w:sz w:val="18"/>
              </w:rPr>
              <w:t>259,654.19</w:t>
            </w:r>
            <w:r>
              <w:rPr>
                <w:rFonts w:ascii="宋体"/>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18"/>
                <w:szCs w:val="18"/>
              </w:rPr>
            </w:pPr>
            <w:r>
              <w:rPr>
                <w:rFonts w:ascii="宋体"/>
                <w:spacing w:val="-11"/>
                <w:sz w:val="18"/>
              </w:rPr>
              <w:t>1.0047</w:t>
            </w:r>
            <w:r>
              <w:rPr>
                <w:rFonts w:ascii="宋体"/>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2"/>
              <w:jc w:val="right"/>
              <w:rPr>
                <w:rFonts w:ascii="宋体" w:hAnsi="宋体" w:cs="宋体" w:eastAsia="宋体" w:hint="default"/>
                <w:sz w:val="18"/>
                <w:szCs w:val="18"/>
              </w:rPr>
            </w:pPr>
            <w:r>
              <w:rPr>
                <w:rFonts w:ascii="宋体"/>
                <w:spacing w:val="-11"/>
                <w:sz w:val="18"/>
              </w:rPr>
              <w:t>260,874.56</w:t>
            </w:r>
            <w:r>
              <w:rPr>
                <w:rFonts w:ascii="宋体"/>
                <w:sz w:val="18"/>
              </w:rPr>
            </w:r>
          </w:p>
        </w:tc>
      </w:tr>
      <w:tr>
        <w:trPr>
          <w:trHeight w:val="340"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246" w:right="0"/>
              <w:jc w:val="left"/>
              <w:rPr>
                <w:rFonts w:ascii="宋体" w:hAnsi="宋体" w:cs="宋体" w:eastAsia="宋体" w:hint="default"/>
                <w:sz w:val="18"/>
                <w:szCs w:val="18"/>
              </w:rPr>
            </w:pPr>
            <w:r>
              <w:rPr>
                <w:rFonts w:ascii="宋体" w:hAnsi="宋体" w:cs="宋体" w:eastAsia="宋体" w:hint="default"/>
                <w:spacing w:val="-18"/>
                <w:sz w:val="18"/>
                <w:szCs w:val="18"/>
              </w:rPr>
              <w:t>其他货币资金</w:t>
            </w:r>
          </w:p>
        </w:tc>
        <w:tc>
          <w:tcPr>
            <w:tcW w:w="146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1"/>
              <w:jc w:val="right"/>
              <w:rPr>
                <w:rFonts w:ascii="宋体" w:hAnsi="宋体" w:cs="宋体" w:eastAsia="宋体" w:hint="default"/>
                <w:sz w:val="18"/>
                <w:szCs w:val="18"/>
              </w:rPr>
            </w:pPr>
            <w:r>
              <w:rPr>
                <w:rFonts w:ascii="宋体"/>
                <w:spacing w:val="-11"/>
                <w:sz w:val="18"/>
              </w:rPr>
              <w:t>4,503,243.51</w:t>
            </w:r>
            <w:r>
              <w:rPr>
                <w:rFonts w:ascii="宋体"/>
                <w:sz w:val="18"/>
              </w:rPr>
            </w:r>
          </w:p>
        </w:tc>
        <w:tc>
          <w:tcPr>
            <w:tcW w:w="1372"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pacing w:val="-10"/>
                <w:sz w:val="18"/>
              </w:rPr>
              <w:t>2447,726.28</w:t>
            </w:r>
          </w:p>
        </w:tc>
      </w:tr>
      <w:tr>
        <w:trPr>
          <w:trHeight w:val="340"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46" w:right="0"/>
              <w:jc w:val="left"/>
              <w:rPr>
                <w:rFonts w:ascii="宋体" w:hAnsi="宋体" w:cs="宋体" w:eastAsia="宋体" w:hint="default"/>
                <w:sz w:val="18"/>
                <w:szCs w:val="18"/>
              </w:rPr>
            </w:pPr>
            <w:r>
              <w:rPr>
                <w:rFonts w:ascii="宋体" w:hAnsi="宋体" w:cs="宋体" w:eastAsia="宋体" w:hint="default"/>
                <w:spacing w:val="-14"/>
                <w:sz w:val="18"/>
                <w:szCs w:val="18"/>
              </w:rPr>
              <w:t>人民币</w:t>
            </w:r>
          </w:p>
        </w:tc>
        <w:tc>
          <w:tcPr>
            <w:tcW w:w="146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1"/>
              <w:jc w:val="right"/>
              <w:rPr>
                <w:rFonts w:ascii="宋体" w:hAnsi="宋体" w:cs="宋体" w:eastAsia="宋体" w:hint="default"/>
                <w:sz w:val="18"/>
                <w:szCs w:val="18"/>
              </w:rPr>
            </w:pPr>
            <w:r>
              <w:rPr>
                <w:rFonts w:ascii="宋体"/>
                <w:spacing w:val="-11"/>
                <w:sz w:val="18"/>
              </w:rPr>
              <w:t>1,581,403.51</w:t>
            </w:r>
            <w:r>
              <w:rPr>
                <w:rFonts w:ascii="宋体"/>
                <w:sz w:val="18"/>
              </w:rPr>
            </w:r>
          </w:p>
        </w:tc>
        <w:tc>
          <w:tcPr>
            <w:tcW w:w="1372"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2"/>
              <w:jc w:val="right"/>
              <w:rPr>
                <w:rFonts w:ascii="宋体" w:hAnsi="宋体" w:cs="宋体" w:eastAsia="宋体" w:hint="default"/>
                <w:sz w:val="18"/>
                <w:szCs w:val="18"/>
              </w:rPr>
            </w:pPr>
            <w:r>
              <w:rPr>
                <w:rFonts w:ascii="宋体"/>
                <w:spacing w:val="-11"/>
                <w:sz w:val="18"/>
              </w:rPr>
              <w:t>2,447,726.28</w:t>
            </w:r>
            <w:r>
              <w:rPr>
                <w:rFonts w:ascii="宋体"/>
                <w:sz w:val="18"/>
              </w:rPr>
            </w:r>
          </w:p>
        </w:tc>
      </w:tr>
      <w:tr>
        <w:trPr>
          <w:trHeight w:val="441"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46" w:right="0"/>
              <w:jc w:val="left"/>
              <w:rPr>
                <w:rFonts w:ascii="宋体" w:hAnsi="宋体" w:cs="宋体" w:eastAsia="宋体" w:hint="default"/>
                <w:sz w:val="18"/>
                <w:szCs w:val="18"/>
              </w:rPr>
            </w:pPr>
            <w:r>
              <w:rPr>
                <w:rFonts w:ascii="宋体" w:hAnsi="宋体" w:cs="宋体" w:eastAsia="宋体" w:hint="default"/>
                <w:spacing w:val="-10"/>
                <w:sz w:val="18"/>
                <w:szCs w:val="18"/>
              </w:rPr>
              <w:t>美元</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8"/>
                <w:szCs w:val="18"/>
              </w:rPr>
            </w:pPr>
            <w:r>
              <w:rPr>
                <w:rFonts w:ascii="宋体"/>
                <w:spacing w:val="-11"/>
                <w:sz w:val="18"/>
              </w:rPr>
              <w:t>400,000.00</w:t>
            </w:r>
            <w:r>
              <w:rPr>
                <w:rFonts w:ascii="宋体"/>
                <w:sz w:val="18"/>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4"/>
              <w:jc w:val="right"/>
              <w:rPr>
                <w:rFonts w:ascii="宋体" w:hAnsi="宋体" w:cs="宋体" w:eastAsia="宋体" w:hint="default"/>
                <w:sz w:val="18"/>
                <w:szCs w:val="18"/>
              </w:rPr>
            </w:pPr>
            <w:r>
              <w:rPr>
                <w:rFonts w:ascii="宋体"/>
                <w:spacing w:val="-11"/>
                <w:sz w:val="18"/>
              </w:rPr>
              <w:t>7.3046</w:t>
            </w:r>
            <w:r>
              <w:rPr>
                <w:rFonts w:ascii="宋体"/>
                <w:sz w:val="18"/>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1"/>
              <w:jc w:val="right"/>
              <w:rPr>
                <w:rFonts w:ascii="宋体" w:hAnsi="宋体" w:cs="宋体" w:eastAsia="宋体" w:hint="default"/>
                <w:sz w:val="18"/>
                <w:szCs w:val="18"/>
              </w:rPr>
            </w:pPr>
            <w:r>
              <w:rPr>
                <w:rFonts w:ascii="宋体"/>
                <w:spacing w:val="-11"/>
                <w:sz w:val="18"/>
              </w:rPr>
              <w:t>2,921,840.00</w:t>
            </w:r>
            <w:r>
              <w:rPr>
                <w:rFonts w:ascii="宋体"/>
                <w:sz w:val="18"/>
              </w:rPr>
            </w:r>
          </w:p>
        </w:tc>
        <w:tc>
          <w:tcPr>
            <w:tcW w:w="1372"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r>
      <w:tr>
        <w:trPr>
          <w:trHeight w:val="441"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0"/>
                <w:sz w:val="18"/>
                <w:szCs w:val="18"/>
              </w:rPr>
              <w:t> </w:t>
            </w:r>
            <w:r>
              <w:rPr>
                <w:rFonts w:ascii="宋体" w:hAnsi="宋体" w:cs="宋体" w:eastAsia="宋体" w:hint="default"/>
                <w:sz w:val="18"/>
                <w:szCs w:val="18"/>
              </w:rPr>
              <w:t>计</w:t>
            </w:r>
          </w:p>
        </w:tc>
        <w:tc>
          <w:tcPr>
            <w:tcW w:w="146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0"/>
              <w:jc w:val="right"/>
              <w:rPr>
                <w:rFonts w:ascii="宋体" w:hAnsi="宋体" w:cs="宋体" w:eastAsia="宋体" w:hint="default"/>
                <w:sz w:val="18"/>
                <w:szCs w:val="18"/>
              </w:rPr>
            </w:pPr>
            <w:r>
              <w:rPr>
                <w:rFonts w:ascii="宋体"/>
                <w:spacing w:val="-10"/>
                <w:sz w:val="18"/>
              </w:rPr>
              <w:t>219,892,797.75</w:t>
            </w:r>
          </w:p>
        </w:tc>
        <w:tc>
          <w:tcPr>
            <w:tcW w:w="1372"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2"/>
              <w:jc w:val="right"/>
              <w:rPr>
                <w:rFonts w:ascii="宋体" w:hAnsi="宋体" w:cs="宋体" w:eastAsia="宋体" w:hint="default"/>
                <w:sz w:val="18"/>
                <w:szCs w:val="18"/>
              </w:rPr>
            </w:pPr>
            <w:r>
              <w:rPr>
                <w:rFonts w:ascii="宋体"/>
                <w:spacing w:val="-11"/>
                <w:sz w:val="18"/>
              </w:rPr>
              <w:t>76,380,379.74</w:t>
            </w:r>
            <w:r>
              <w:rPr>
                <w:rFonts w:ascii="宋体"/>
                <w:sz w:val="18"/>
              </w:rPr>
            </w:r>
          </w:p>
        </w:tc>
      </w:tr>
      <w:tr>
        <w:trPr>
          <w:trHeight w:val="1380" w:hRule="exact"/>
        </w:trPr>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246" w:right="0"/>
              <w:jc w:val="left"/>
              <w:rPr>
                <w:rFonts w:ascii="宋体" w:hAnsi="宋体" w:cs="宋体" w:eastAsia="宋体" w:hint="default"/>
                <w:sz w:val="18"/>
                <w:szCs w:val="18"/>
              </w:rPr>
            </w:pPr>
            <w:r>
              <w:rPr>
                <w:rFonts w:ascii="宋体" w:hAnsi="宋体" w:cs="宋体" w:eastAsia="宋体" w:hint="default"/>
                <w:spacing w:val="-17"/>
                <w:sz w:val="18"/>
                <w:szCs w:val="18"/>
              </w:rPr>
              <w:t>其中：美元</w:t>
            </w:r>
          </w:p>
          <w:p>
            <w:pPr>
              <w:pStyle w:val="TableParagraph"/>
              <w:spacing w:line="345" w:lineRule="auto" w:before="105"/>
              <w:ind w:left="683" w:right="493" w:firstLine="72"/>
              <w:jc w:val="left"/>
              <w:rPr>
                <w:rFonts w:ascii="宋体" w:hAnsi="宋体" w:cs="宋体" w:eastAsia="宋体" w:hint="default"/>
                <w:sz w:val="18"/>
                <w:szCs w:val="18"/>
              </w:rPr>
            </w:pPr>
            <w:r>
              <w:rPr>
                <w:rFonts w:ascii="宋体" w:hAnsi="宋体" w:cs="宋体" w:eastAsia="宋体" w:hint="default"/>
                <w:spacing w:val="-20"/>
                <w:sz w:val="18"/>
                <w:szCs w:val="18"/>
              </w:rPr>
              <w:t>欧元 日元 </w:t>
            </w:r>
            <w:r>
              <w:rPr>
                <w:rFonts w:ascii="宋体" w:hAnsi="宋体" w:cs="宋体" w:eastAsia="宋体" w:hint="default"/>
                <w:spacing w:val="-10"/>
                <w:sz w:val="18"/>
                <w:szCs w:val="18"/>
              </w:rPr>
              <w:t>港币</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45" w:right="0"/>
              <w:jc w:val="left"/>
              <w:rPr>
                <w:rFonts w:ascii="宋体" w:hAnsi="宋体" w:cs="宋体" w:eastAsia="宋体" w:hint="default"/>
                <w:sz w:val="18"/>
                <w:szCs w:val="18"/>
              </w:rPr>
            </w:pPr>
            <w:r>
              <w:rPr>
                <w:rFonts w:ascii="宋体"/>
                <w:spacing w:val="-11"/>
                <w:sz w:val="18"/>
              </w:rPr>
              <w:t>1,097,540.41</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85" w:right="0"/>
              <w:jc w:val="left"/>
              <w:rPr>
                <w:rFonts w:ascii="宋体" w:hAnsi="宋体" w:cs="宋体" w:eastAsia="宋体" w:hint="default"/>
                <w:sz w:val="18"/>
                <w:szCs w:val="18"/>
              </w:rPr>
            </w:pPr>
            <w:r>
              <w:rPr>
                <w:rFonts w:ascii="宋体"/>
                <w:spacing w:val="-11"/>
                <w:sz w:val="18"/>
              </w:rPr>
              <w:t>40,992.28</w:t>
            </w:r>
            <w:r>
              <w:rPr>
                <w:rFonts w:ascii="宋体"/>
                <w:sz w:val="18"/>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40" w:right="0"/>
              <w:jc w:val="left"/>
              <w:rPr>
                <w:rFonts w:ascii="宋体" w:hAnsi="宋体" w:cs="宋体" w:eastAsia="宋体" w:hint="default"/>
                <w:sz w:val="18"/>
                <w:szCs w:val="18"/>
              </w:rPr>
            </w:pPr>
            <w:r>
              <w:rPr>
                <w:rFonts w:ascii="宋体"/>
                <w:spacing w:val="-11"/>
                <w:sz w:val="18"/>
              </w:rPr>
              <w:t>7.3046</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60" w:right="0"/>
              <w:jc w:val="left"/>
              <w:rPr>
                <w:rFonts w:ascii="宋体" w:hAnsi="宋体" w:cs="宋体" w:eastAsia="宋体" w:hint="default"/>
                <w:sz w:val="18"/>
                <w:szCs w:val="18"/>
              </w:rPr>
            </w:pPr>
            <w:r>
              <w:rPr>
                <w:rFonts w:ascii="宋体"/>
                <w:spacing w:val="-11"/>
                <w:sz w:val="18"/>
              </w:rPr>
              <w:t>0.93638</w:t>
            </w:r>
            <w:r>
              <w:rPr>
                <w:rFonts w:ascii="宋体"/>
                <w:sz w:val="18"/>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94" w:right="0"/>
              <w:jc w:val="left"/>
              <w:rPr>
                <w:rFonts w:ascii="宋体" w:hAnsi="宋体" w:cs="宋体" w:eastAsia="宋体" w:hint="default"/>
                <w:sz w:val="18"/>
                <w:szCs w:val="18"/>
              </w:rPr>
            </w:pPr>
            <w:r>
              <w:rPr>
                <w:rFonts w:ascii="宋体"/>
                <w:spacing w:val="-11"/>
                <w:sz w:val="18"/>
              </w:rPr>
              <w:t>8,017,091.91</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34" w:right="0"/>
              <w:jc w:val="left"/>
              <w:rPr>
                <w:rFonts w:ascii="宋体" w:hAnsi="宋体" w:cs="宋体" w:eastAsia="宋体" w:hint="default"/>
                <w:sz w:val="18"/>
                <w:szCs w:val="18"/>
              </w:rPr>
            </w:pPr>
            <w:r>
              <w:rPr>
                <w:rFonts w:ascii="宋体"/>
                <w:spacing w:val="-11"/>
                <w:sz w:val="18"/>
              </w:rPr>
              <w:t>38,384.36</w:t>
            </w:r>
            <w:r>
              <w:rPr>
                <w:rFonts w:ascii="宋体"/>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9" w:right="0"/>
              <w:jc w:val="center"/>
              <w:rPr>
                <w:rFonts w:ascii="宋体" w:hAnsi="宋体" w:cs="宋体" w:eastAsia="宋体" w:hint="default"/>
                <w:sz w:val="18"/>
                <w:szCs w:val="18"/>
              </w:rPr>
            </w:pPr>
            <w:r>
              <w:rPr>
                <w:rFonts w:ascii="宋体"/>
                <w:spacing w:val="-11"/>
                <w:sz w:val="18"/>
              </w:rPr>
              <w:t>6,860,943.06</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8" w:right="0"/>
              <w:jc w:val="center"/>
              <w:rPr>
                <w:rFonts w:ascii="宋体" w:hAnsi="宋体" w:cs="宋体" w:eastAsia="宋体" w:hint="default"/>
                <w:sz w:val="18"/>
                <w:szCs w:val="18"/>
              </w:rPr>
            </w:pPr>
            <w:r>
              <w:rPr>
                <w:rFonts w:ascii="宋体"/>
                <w:spacing w:val="-11"/>
                <w:sz w:val="18"/>
              </w:rPr>
              <w:t>273,200.24</w:t>
            </w:r>
            <w:r>
              <w:rPr>
                <w:rFonts w:ascii="宋体"/>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5" w:right="0"/>
              <w:jc w:val="left"/>
              <w:rPr>
                <w:rFonts w:ascii="宋体" w:hAnsi="宋体" w:cs="宋体" w:eastAsia="宋体" w:hint="default"/>
                <w:sz w:val="18"/>
                <w:szCs w:val="18"/>
              </w:rPr>
            </w:pPr>
            <w:r>
              <w:rPr>
                <w:rFonts w:ascii="宋体"/>
                <w:spacing w:val="-11"/>
                <w:sz w:val="18"/>
              </w:rPr>
              <w:t>7.8087</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65" w:right="0"/>
              <w:jc w:val="left"/>
              <w:rPr>
                <w:rFonts w:ascii="宋体" w:hAnsi="宋体" w:cs="宋体" w:eastAsia="宋体" w:hint="default"/>
                <w:sz w:val="18"/>
                <w:szCs w:val="18"/>
              </w:rPr>
            </w:pPr>
            <w:r>
              <w:rPr>
                <w:rFonts w:ascii="宋体"/>
                <w:spacing w:val="-11"/>
                <w:sz w:val="18"/>
              </w:rPr>
              <w:t>1.0047</w:t>
            </w:r>
            <w:r>
              <w:rPr>
                <w:rFonts w:ascii="宋体"/>
                <w:sz w:val="18"/>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32" w:right="0"/>
              <w:jc w:val="left"/>
              <w:rPr>
                <w:rFonts w:ascii="宋体" w:hAnsi="宋体" w:cs="宋体" w:eastAsia="宋体" w:hint="default"/>
                <w:sz w:val="18"/>
                <w:szCs w:val="18"/>
              </w:rPr>
            </w:pPr>
            <w:r>
              <w:rPr>
                <w:rFonts w:ascii="宋体"/>
                <w:spacing w:val="-11"/>
                <w:sz w:val="18"/>
              </w:rPr>
              <w:t>53,575,367.03</w:t>
            </w:r>
            <w:r>
              <w:rPr>
                <w:rFonts w:ascii="宋体"/>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72" w:right="0"/>
              <w:jc w:val="left"/>
              <w:rPr>
                <w:rFonts w:ascii="宋体" w:hAnsi="宋体" w:cs="宋体" w:eastAsia="宋体" w:hint="default"/>
                <w:sz w:val="18"/>
                <w:szCs w:val="18"/>
              </w:rPr>
            </w:pPr>
            <w:r>
              <w:rPr>
                <w:rFonts w:ascii="宋体"/>
                <w:spacing w:val="-11"/>
                <w:sz w:val="18"/>
              </w:rPr>
              <w:t>274,484.28</w:t>
            </w:r>
            <w:r>
              <w:rPr>
                <w:rFonts w:ascii="宋体"/>
                <w:sz w:val="18"/>
              </w:rPr>
            </w:r>
          </w:p>
        </w:tc>
      </w:tr>
    </w:tbl>
    <w:p>
      <w:pPr>
        <w:spacing w:line="240" w:lineRule="auto" w:before="4"/>
        <w:rPr>
          <w:rFonts w:ascii="宋体" w:hAnsi="宋体" w:cs="宋体" w:eastAsia="宋体" w:hint="default"/>
          <w:sz w:val="22"/>
          <w:szCs w:val="22"/>
        </w:rPr>
      </w:pPr>
    </w:p>
    <w:p>
      <w:pPr>
        <w:pStyle w:val="BodyText"/>
        <w:spacing w:line="240" w:lineRule="auto" w:before="26"/>
        <w:ind w:left="754" w:right="212"/>
        <w:jc w:val="left"/>
      </w:pPr>
      <w:r>
        <w:rPr/>
        <w:t>1.其他货币资金分类表</w:t>
      </w:r>
    </w:p>
    <w:p>
      <w:pPr>
        <w:pStyle w:val="BodyText"/>
        <w:tabs>
          <w:tab w:pos="937" w:val="left" w:leader="none"/>
          <w:tab w:pos="3217" w:val="left" w:leader="none"/>
          <w:tab w:pos="6446" w:val="left" w:leader="none"/>
          <w:tab w:pos="7166" w:val="left" w:leader="none"/>
          <w:tab w:pos="7646" w:val="left" w:leader="none"/>
          <w:tab w:pos="8709" w:val="left" w:leader="none"/>
        </w:tabs>
        <w:spacing w:line="249" w:lineRule="auto" w:before="88"/>
        <w:ind w:left="577" w:right="1295"/>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年末其他货币资金</w:t>
        <w:tab/>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金</w:t>
        <w:tab/>
        <w:t>额</w:t>
        <w:tab/>
      </w:r>
      <w:r>
        <w:rPr>
          <w:w w:val="14"/>
          <w:u w:val="single" w:color="000000"/>
        </w:rPr>
        <w:t> </w:t>
      </w:r>
      <w:r>
        <w:rPr>
          <w:u w:val="single" w:color="000000"/>
        </w:rPr>
      </w:r>
      <w:r>
        <w:rPr/>
      </w:r>
      <w:r>
        <w:rPr/>
        <w:t> 存出投资款</w:t>
      </w:r>
    </w:p>
    <w:p>
      <w:pPr>
        <w:pStyle w:val="BodyText"/>
        <w:tabs>
          <w:tab w:pos="7965" w:val="left" w:leader="none"/>
        </w:tabs>
        <w:spacing w:line="311" w:lineRule="exact" w:before="0"/>
        <w:ind w:left="577" w:right="212"/>
        <w:jc w:val="left"/>
      </w:pPr>
      <w:r>
        <w:rPr/>
        <w:t>信用证开证保证金</w:t>
        <w:tab/>
        <w:t>2,921,840.00</w:t>
      </w:r>
    </w:p>
    <w:p>
      <w:pPr>
        <w:pStyle w:val="BodyText"/>
        <w:tabs>
          <w:tab w:pos="7965" w:val="left" w:leader="none"/>
        </w:tabs>
        <w:spacing w:line="240" w:lineRule="auto" w:before="5"/>
        <w:ind w:left="577" w:right="212"/>
        <w:jc w:val="left"/>
      </w:pPr>
      <w:r>
        <w:rPr/>
        <w:t>银行承兑汇票保证金</w:t>
        <w:tab/>
        <w:t>1,581,403.51</w:t>
      </w:r>
    </w:p>
    <w:p>
      <w:pPr>
        <w:pStyle w:val="BodyText"/>
        <w:spacing w:line="240" w:lineRule="auto" w:before="6"/>
        <w:ind w:left="577" w:right="212"/>
        <w:jc w:val="left"/>
      </w:pPr>
      <w:r>
        <w:rPr/>
        <w:t>其他保证金</w:t>
      </w:r>
    </w:p>
    <w:p>
      <w:pPr>
        <w:spacing w:line="240" w:lineRule="auto" w:before="5"/>
        <w:rPr>
          <w:rFonts w:ascii="宋体" w:hAnsi="宋体" w:cs="宋体" w:eastAsia="宋体" w:hint="default"/>
          <w:sz w:val="21"/>
          <w:szCs w:val="21"/>
        </w:rPr>
      </w:pPr>
    </w:p>
    <w:p>
      <w:pPr>
        <w:pStyle w:val="BodyText"/>
        <w:tabs>
          <w:tab w:pos="1297" w:val="left" w:leader="none"/>
          <w:tab w:pos="7965" w:val="left" w:leader="none"/>
        </w:tabs>
        <w:spacing w:line="307" w:lineRule="exact" w:before="0"/>
        <w:ind w:left="577" w:right="212"/>
        <w:jc w:val="left"/>
      </w:pPr>
      <w:r>
        <w:rPr/>
        <w:t>合</w:t>
        <w:tab/>
        <w:t>计</w:t>
        <w:tab/>
        <w:t>4,503,243.51</w:t>
      </w:r>
    </w:p>
    <w:p>
      <w:pPr>
        <w:spacing w:line="229" w:lineRule="exact" w:before="0"/>
        <w:ind w:left="0" w:right="616" w:firstLine="0"/>
        <w:jc w:val="right"/>
        <w:rPr>
          <w:rFonts w:ascii="宋体" w:hAnsi="宋体" w:cs="宋体" w:eastAsia="宋体" w:hint="default"/>
          <w:sz w:val="18"/>
          <w:szCs w:val="18"/>
        </w:rPr>
      </w:pPr>
      <w:r>
        <w:rPr>
          <w:rFonts w:ascii="宋体"/>
          <w:sz w:val="18"/>
        </w:rPr>
        <w:t>=================</w:t>
      </w:r>
    </w:p>
    <w:p>
      <w:pPr>
        <w:pStyle w:val="BodyText"/>
        <w:spacing w:line="336" w:lineRule="auto" w:before="85"/>
        <w:ind w:left="154" w:right="95" w:firstLine="540"/>
        <w:jc w:val="left"/>
      </w:pPr>
      <w:r>
        <w:rPr/>
        <w:t>2.货币资金年末数比年初数增加</w:t>
      </w:r>
      <w:r>
        <w:rPr>
          <w:spacing w:val="-56"/>
        </w:rPr>
        <w:t> </w:t>
      </w:r>
      <w:r>
        <w:rPr/>
        <w:t>143,512,418.01</w:t>
      </w:r>
      <w:r>
        <w:rPr>
          <w:spacing w:val="-56"/>
        </w:rPr>
        <w:t> </w:t>
      </w:r>
      <w:r>
        <w:rPr>
          <w:spacing w:val="-15"/>
        </w:rPr>
        <w:t>元，增加比例为</w:t>
      </w:r>
      <w:r>
        <w:rPr>
          <w:spacing w:val="-56"/>
        </w:rPr>
        <w:t> </w:t>
      </w:r>
      <w:r>
        <w:rPr>
          <w:spacing w:val="-8"/>
        </w:rPr>
        <w:t>187.89%，变动原因为：</w:t>
      </w:r>
      <w:r>
        <w:rPr/>
        <w:t> 公司上市募集资金增加股本所致。</w:t>
      </w:r>
    </w:p>
    <w:p>
      <w:pPr>
        <w:pStyle w:val="BodyText"/>
        <w:spacing w:line="336" w:lineRule="auto"/>
        <w:ind w:left="694" w:right="310"/>
        <w:jc w:val="left"/>
      </w:pPr>
      <w:r>
        <w:rPr/>
        <w:t>3.货币资金中存放在境外（实益达香港科技有限公司账户）金额为</w:t>
      </w:r>
      <w:r>
        <w:rPr>
          <w:spacing w:val="-60"/>
        </w:rPr>
        <w:t> </w:t>
      </w:r>
      <w:r>
        <w:rPr/>
        <w:t>4,958,077.51</w:t>
      </w:r>
      <w:r>
        <w:rPr>
          <w:spacing w:val="-60"/>
        </w:rPr>
        <w:t> </w:t>
      </w:r>
      <w:r>
        <w:rPr/>
        <w:t>元。</w:t>
      </w:r>
      <w:r>
        <w:rPr/>
        <w:t> (二)应收票据</w:t>
      </w:r>
    </w:p>
    <w:tbl>
      <w:tblPr>
        <w:tblW w:w="0" w:type="auto"/>
        <w:jc w:val="left"/>
        <w:tblInd w:w="134" w:type="dxa"/>
        <w:tblLayout w:type="fixed"/>
        <w:tblCellMar>
          <w:top w:w="0" w:type="dxa"/>
          <w:left w:w="0" w:type="dxa"/>
          <w:bottom w:w="0" w:type="dxa"/>
          <w:right w:w="0" w:type="dxa"/>
        </w:tblCellMar>
        <w:tblLook w:val="01E0"/>
      </w:tblPr>
      <w:tblGrid>
        <w:gridCol w:w="3296"/>
        <w:gridCol w:w="3175"/>
        <w:gridCol w:w="2476"/>
      </w:tblGrid>
      <w:tr>
        <w:trPr>
          <w:trHeight w:val="880" w:hRule="exact"/>
        </w:trPr>
        <w:tc>
          <w:tcPr>
            <w:tcW w:w="3296" w:type="dxa"/>
            <w:tcBorders>
              <w:top w:val="nil" w:sz="6" w:space="0" w:color="auto"/>
              <w:left w:val="nil" w:sz="6" w:space="0" w:color="auto"/>
              <w:bottom w:val="nil" w:sz="6" w:space="0" w:color="auto"/>
              <w:right w:val="nil" w:sz="6" w:space="0" w:color="auto"/>
            </w:tcBorders>
          </w:tcPr>
          <w:p>
            <w:pPr>
              <w:pStyle w:val="TableParagraph"/>
              <w:tabs>
                <w:tab w:pos="394" w:val="left" w:leader="none"/>
                <w:tab w:pos="874" w:val="left" w:leader="none"/>
                <w:tab w:pos="1594"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种</w:t>
              <w:tab/>
              <w:t>类</w:t>
              <w:tab/>
            </w:r>
            <w:r>
              <w:rPr>
                <w:rFonts w:ascii="宋体" w:hAnsi="宋体" w:cs="宋体" w:eastAsia="宋体" w:hint="default"/>
                <w:sz w:val="24"/>
                <w:szCs w:val="24"/>
              </w:rPr>
            </w:r>
          </w:p>
          <w:p>
            <w:pPr>
              <w:pStyle w:val="TableParagraph"/>
              <w:spacing w:line="240" w:lineRule="auto" w:before="126"/>
              <w:ind w:left="752"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175" w:type="dxa"/>
            <w:tcBorders>
              <w:top w:val="nil" w:sz="6" w:space="0" w:color="auto"/>
              <w:left w:val="nil" w:sz="6" w:space="0" w:color="auto"/>
              <w:bottom w:val="nil" w:sz="6" w:space="0" w:color="auto"/>
              <w:right w:val="nil" w:sz="6" w:space="0" w:color="auto"/>
            </w:tcBorders>
          </w:tcPr>
          <w:p>
            <w:pPr>
              <w:pStyle w:val="TableParagraph"/>
              <w:tabs>
                <w:tab w:pos="2423" w:val="left" w:leader="none"/>
              </w:tabs>
              <w:spacing w:line="336" w:lineRule="auto" w:before="26"/>
              <w:ind w:left="1293" w:right="679" w:hanging="19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r>
            <w:r>
              <w:rPr>
                <w:rFonts w:ascii="宋体" w:hAnsi="宋体" w:cs="宋体" w:eastAsia="宋体" w:hint="default"/>
                <w:sz w:val="24"/>
                <w:szCs w:val="24"/>
                <w:u w:val="single" w:color="000000"/>
              </w:rPr>
              <w:t>年末数</w:t>
              <w:tab/>
            </w:r>
            <w:r>
              <w:rPr>
                <w:rFonts w:ascii="宋体" w:hAnsi="宋体" w:cs="宋体" w:eastAsia="宋体" w:hint="default"/>
                <w:sz w:val="24"/>
                <w:szCs w:val="24"/>
              </w:rPr>
            </w:r>
            <w:r>
              <w:rPr>
                <w:rFonts w:ascii="宋体" w:hAnsi="宋体" w:cs="宋体" w:eastAsia="宋体" w:hint="default"/>
                <w:sz w:val="24"/>
                <w:szCs w:val="24"/>
              </w:rPr>
              <w:t> 100,000.00</w:t>
            </w:r>
          </w:p>
        </w:tc>
        <w:tc>
          <w:tcPr>
            <w:tcW w:w="2476" w:type="dxa"/>
            <w:tcBorders>
              <w:top w:val="nil" w:sz="6" w:space="0" w:color="auto"/>
              <w:left w:val="nil" w:sz="6" w:space="0" w:color="auto"/>
              <w:bottom w:val="nil" w:sz="6" w:space="0" w:color="auto"/>
              <w:right w:val="nil" w:sz="6" w:space="0" w:color="auto"/>
            </w:tcBorders>
          </w:tcPr>
          <w:p>
            <w:pPr>
              <w:pStyle w:val="TableParagraph"/>
              <w:tabs>
                <w:tab w:pos="1041" w:val="left" w:leader="none"/>
                <w:tab w:pos="2426" w:val="left" w:leader="none"/>
              </w:tabs>
              <w:spacing w:line="240" w:lineRule="auto" w:before="26"/>
              <w:ind w:left="68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年初数</w:t>
              <w:tab/>
            </w:r>
            <w:r>
              <w:rPr>
                <w:rFonts w:ascii="宋体" w:hAnsi="宋体" w:cs="宋体" w:eastAsia="宋体" w:hint="default"/>
                <w:sz w:val="24"/>
                <w:szCs w:val="24"/>
              </w:rPr>
            </w:r>
          </w:p>
          <w:p>
            <w:pPr>
              <w:pStyle w:val="TableParagraph"/>
              <w:spacing w:line="240" w:lineRule="auto" w:before="126"/>
              <w:ind w:left="1240" w:right="0"/>
              <w:jc w:val="left"/>
              <w:rPr>
                <w:rFonts w:ascii="宋体" w:hAnsi="宋体" w:cs="宋体" w:eastAsia="宋体" w:hint="default"/>
                <w:sz w:val="24"/>
                <w:szCs w:val="24"/>
              </w:rPr>
            </w:pPr>
            <w:r>
              <w:rPr>
                <w:rFonts w:ascii="宋体"/>
                <w:sz w:val="24"/>
              </w:rPr>
              <w:t>224,210.00</w:t>
            </w:r>
          </w:p>
        </w:tc>
      </w:tr>
      <w:tr>
        <w:trPr>
          <w:trHeight w:val="44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2"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175"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40" w:right="0"/>
              <w:jc w:val="left"/>
              <w:rPr>
                <w:rFonts w:ascii="宋体" w:hAnsi="宋体" w:cs="宋体" w:eastAsia="宋体" w:hint="default"/>
                <w:sz w:val="24"/>
                <w:szCs w:val="24"/>
              </w:rPr>
            </w:pPr>
            <w:r>
              <w:rPr>
                <w:rFonts w:ascii="宋体"/>
                <w:sz w:val="24"/>
              </w:rPr>
              <w:t>160,000.00</w:t>
            </w:r>
          </w:p>
        </w:tc>
      </w:tr>
    </w:tbl>
    <w:p>
      <w:pPr>
        <w:spacing w:after="0" w:line="240" w:lineRule="auto"/>
        <w:jc w:val="left"/>
        <w:rPr>
          <w:rFonts w:ascii="宋体" w:hAnsi="宋体" w:cs="宋体" w:eastAsia="宋体" w:hint="default"/>
          <w:sz w:val="24"/>
          <w:szCs w:val="24"/>
        </w:rPr>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tabs>
          <w:tab w:pos="1827" w:val="left" w:leader="none"/>
          <w:tab w:pos="4723" w:val="left" w:leader="none"/>
          <w:tab w:pos="7845" w:val="left" w:leader="none"/>
        </w:tabs>
        <w:spacing w:line="240" w:lineRule="auto" w:before="26"/>
        <w:ind w:left="1348" w:right="212"/>
        <w:jc w:val="left"/>
      </w:pPr>
      <w:r>
        <w:rPr/>
        <w:t>合</w:t>
        <w:tab/>
        <w:t>计</w:t>
        <w:tab/>
        <w:t>100,000.00</w:t>
        <w:tab/>
        <w:t>384,210.00</w:t>
      </w:r>
    </w:p>
    <w:p>
      <w:pPr>
        <w:pStyle w:val="BodyText"/>
        <w:spacing w:line="240" w:lineRule="auto" w:before="126"/>
        <w:ind w:left="694" w:right="212"/>
        <w:jc w:val="left"/>
      </w:pPr>
      <w:r>
        <w:rPr/>
        <w:t>1.已背书未到期的应收票据</w:t>
      </w:r>
    </w:p>
    <w:p>
      <w:pPr>
        <w:spacing w:line="240" w:lineRule="auto" w:before="9"/>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2980"/>
        <w:gridCol w:w="1359"/>
        <w:gridCol w:w="1368"/>
        <w:gridCol w:w="1512"/>
        <w:gridCol w:w="2037"/>
      </w:tblGrid>
      <w:tr>
        <w:trPr>
          <w:trHeight w:val="730" w:hRule="exact"/>
        </w:trPr>
        <w:tc>
          <w:tcPr>
            <w:tcW w:w="2980" w:type="dxa"/>
            <w:tcBorders>
              <w:top w:val="nil" w:sz="6" w:space="0" w:color="auto"/>
              <w:left w:val="nil" w:sz="6" w:space="0" w:color="auto"/>
              <w:bottom w:val="nil" w:sz="6" w:space="0" w:color="auto"/>
              <w:right w:val="nil" w:sz="6" w:space="0" w:color="auto"/>
            </w:tcBorders>
          </w:tcPr>
          <w:p>
            <w:pPr>
              <w:pStyle w:val="TableParagraph"/>
              <w:tabs>
                <w:tab w:pos="1114" w:val="left" w:leader="none"/>
                <w:tab w:pos="2773" w:val="left" w:leader="none"/>
              </w:tabs>
              <w:spacing w:line="367" w:lineRule="auto" w:before="44"/>
              <w:ind w:left="35" w:right="187"/>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出票单位</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南阳市五交化自行车经销有限公司</w:t>
            </w:r>
          </w:p>
        </w:tc>
        <w:tc>
          <w:tcPr>
            <w:tcW w:w="1359" w:type="dxa"/>
            <w:tcBorders>
              <w:top w:val="nil" w:sz="6" w:space="0" w:color="auto"/>
              <w:left w:val="nil" w:sz="6" w:space="0" w:color="auto"/>
              <w:bottom w:val="nil" w:sz="6" w:space="0" w:color="auto"/>
              <w:right w:val="nil" w:sz="6" w:space="0" w:color="auto"/>
            </w:tcBorders>
          </w:tcPr>
          <w:p>
            <w:pPr>
              <w:pStyle w:val="TableParagraph"/>
              <w:tabs>
                <w:tab w:pos="1233" w:val="left" w:leader="none"/>
              </w:tabs>
              <w:spacing w:line="367" w:lineRule="auto" w:before="44"/>
              <w:ind w:left="189"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出票日期</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2007.07.27</w:t>
            </w:r>
          </w:p>
        </w:tc>
        <w:tc>
          <w:tcPr>
            <w:tcW w:w="1368" w:type="dxa"/>
            <w:tcBorders>
              <w:top w:val="nil" w:sz="6" w:space="0" w:color="auto"/>
              <w:left w:val="nil" w:sz="6" w:space="0" w:color="auto"/>
              <w:bottom w:val="nil" w:sz="6" w:space="0" w:color="auto"/>
              <w:right w:val="nil" w:sz="6" w:space="0" w:color="auto"/>
            </w:tcBorders>
          </w:tcPr>
          <w:p>
            <w:pPr>
              <w:pStyle w:val="TableParagraph"/>
              <w:tabs>
                <w:tab w:pos="377" w:val="left" w:leader="none"/>
                <w:tab w:pos="1170" w:val="left" w:leader="none"/>
              </w:tabs>
              <w:spacing w:line="367" w:lineRule="auto" w:before="44"/>
              <w:ind w:left="270" w:right="178" w:hanging="16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到期日</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2008.01.27</w:t>
            </w:r>
          </w:p>
        </w:tc>
        <w:tc>
          <w:tcPr>
            <w:tcW w:w="1512" w:type="dxa"/>
            <w:tcBorders>
              <w:top w:val="nil" w:sz="6" w:space="0" w:color="auto"/>
              <w:left w:val="nil" w:sz="6" w:space="0" w:color="auto"/>
              <w:bottom w:val="nil" w:sz="6" w:space="0" w:color="auto"/>
              <w:right w:val="nil" w:sz="6" w:space="0" w:color="auto"/>
            </w:tcBorders>
          </w:tcPr>
          <w:p>
            <w:pPr>
              <w:pStyle w:val="TableParagraph"/>
              <w:tabs>
                <w:tab w:pos="449" w:val="left" w:leader="none"/>
                <w:tab w:pos="1259" w:val="left" w:leader="none"/>
              </w:tabs>
              <w:spacing w:line="240" w:lineRule="auto" w:before="44"/>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  额</w:t>
              <w:tab/>
            </w:r>
            <w:r>
              <w:rPr>
                <w:rFonts w:ascii="宋体" w:hAnsi="宋体" w:cs="宋体" w:eastAsia="宋体" w:hint="default"/>
                <w:sz w:val="18"/>
                <w:szCs w:val="18"/>
              </w:rPr>
            </w:r>
          </w:p>
          <w:p>
            <w:pPr>
              <w:pStyle w:val="TableParagraph"/>
              <w:spacing w:line="240" w:lineRule="auto" w:before="124"/>
              <w:ind w:left="594" w:right="0"/>
              <w:jc w:val="left"/>
              <w:rPr>
                <w:rFonts w:ascii="宋体" w:hAnsi="宋体" w:cs="宋体" w:eastAsia="宋体" w:hint="default"/>
                <w:sz w:val="18"/>
                <w:szCs w:val="18"/>
              </w:rPr>
            </w:pPr>
            <w:r>
              <w:rPr>
                <w:rFonts w:ascii="宋体"/>
                <w:sz w:val="18"/>
              </w:rPr>
              <w:t>50,000.00</w:t>
            </w:r>
          </w:p>
        </w:tc>
        <w:tc>
          <w:tcPr>
            <w:tcW w:w="2037" w:type="dxa"/>
            <w:tcBorders>
              <w:top w:val="nil" w:sz="6" w:space="0" w:color="auto"/>
              <w:left w:val="nil" w:sz="6" w:space="0" w:color="auto"/>
              <w:bottom w:val="nil" w:sz="6" w:space="0" w:color="auto"/>
              <w:right w:val="nil" w:sz="6" w:space="0" w:color="auto"/>
            </w:tcBorders>
          </w:tcPr>
          <w:p>
            <w:pPr>
              <w:pStyle w:val="TableParagraph"/>
              <w:tabs>
                <w:tab w:pos="647" w:val="left" w:leader="none"/>
                <w:tab w:pos="1907" w:val="left" w:leader="none"/>
              </w:tabs>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备  注</w:t>
              <w:tab/>
            </w:r>
            <w:r>
              <w:rPr>
                <w:rFonts w:ascii="宋体" w:hAnsi="宋体" w:cs="宋体" w:eastAsia="宋体" w:hint="default"/>
                <w:sz w:val="18"/>
                <w:szCs w:val="18"/>
              </w:rPr>
            </w:r>
          </w:p>
          <w:p>
            <w:pPr>
              <w:pStyle w:val="TableParagraph"/>
              <w:spacing w:line="240" w:lineRule="auto" w:before="124"/>
              <w:ind w:left="337" w:right="0"/>
              <w:jc w:val="left"/>
              <w:rPr>
                <w:rFonts w:ascii="宋体" w:hAnsi="宋体" w:cs="宋体" w:eastAsia="宋体" w:hint="default"/>
                <w:sz w:val="18"/>
                <w:szCs w:val="18"/>
              </w:rPr>
            </w:pPr>
            <w:r>
              <w:rPr>
                <w:rFonts w:ascii="宋体" w:hAnsi="宋体" w:cs="宋体" w:eastAsia="宋体" w:hint="default"/>
                <w:sz w:val="18"/>
                <w:szCs w:val="18"/>
              </w:rPr>
              <w:t>2007.10.29</w:t>
            </w:r>
            <w:r>
              <w:rPr>
                <w:rFonts w:ascii="宋体" w:hAnsi="宋体" w:cs="宋体" w:eastAsia="宋体" w:hint="default"/>
                <w:spacing w:val="-46"/>
                <w:sz w:val="18"/>
                <w:szCs w:val="18"/>
              </w:rPr>
              <w:t> </w:t>
            </w:r>
            <w:r>
              <w:rPr>
                <w:rFonts w:ascii="宋体" w:hAnsi="宋体" w:cs="宋体" w:eastAsia="宋体" w:hint="default"/>
                <w:sz w:val="18"/>
                <w:szCs w:val="18"/>
              </w:rPr>
              <w:t>背书转让</w:t>
            </w:r>
          </w:p>
        </w:tc>
      </w:tr>
      <w:tr>
        <w:trPr>
          <w:trHeight w:val="36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宁波中成机电有限公司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center"/>
              <w:rPr>
                <w:rFonts w:ascii="宋体" w:hAnsi="宋体" w:cs="宋体" w:eastAsia="宋体" w:hint="default"/>
                <w:sz w:val="18"/>
                <w:szCs w:val="18"/>
              </w:rPr>
            </w:pPr>
            <w:r>
              <w:rPr>
                <w:rFonts w:ascii="宋体"/>
                <w:sz w:val="18"/>
              </w:rPr>
              <w:t>2007.08.23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7"/>
              <w:jc w:val="right"/>
              <w:rPr>
                <w:rFonts w:ascii="宋体" w:hAnsi="宋体" w:cs="宋体" w:eastAsia="宋体" w:hint="default"/>
                <w:sz w:val="18"/>
                <w:szCs w:val="18"/>
              </w:rPr>
            </w:pPr>
            <w:r>
              <w:rPr>
                <w:rFonts w:ascii="宋体"/>
                <w:sz w:val="18"/>
              </w:rPr>
              <w:t>2008.08.23</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100,000.00</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hAnsi="宋体" w:cs="宋体" w:eastAsia="宋体" w:hint="default"/>
                <w:sz w:val="18"/>
                <w:szCs w:val="18"/>
              </w:rPr>
              <w:t>2007.10.29</w:t>
            </w:r>
            <w:r>
              <w:rPr>
                <w:rFonts w:ascii="宋体" w:hAnsi="宋体" w:cs="宋体" w:eastAsia="宋体" w:hint="default"/>
                <w:spacing w:val="-46"/>
                <w:sz w:val="18"/>
                <w:szCs w:val="18"/>
              </w:rPr>
              <w:t> </w:t>
            </w:r>
            <w:r>
              <w:rPr>
                <w:rFonts w:ascii="宋体" w:hAnsi="宋体" w:cs="宋体" w:eastAsia="宋体" w:hint="default"/>
                <w:sz w:val="18"/>
                <w:szCs w:val="18"/>
              </w:rPr>
              <w:t>背书转让</w:t>
            </w:r>
          </w:p>
        </w:tc>
      </w:tr>
      <w:tr>
        <w:trPr>
          <w:trHeight w:val="370" w:hRule="exact"/>
        </w:trPr>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银川大中电器有限公司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0"/>
              <w:jc w:val="center"/>
              <w:rPr>
                <w:rFonts w:ascii="宋体" w:hAnsi="宋体" w:cs="宋体" w:eastAsia="宋体" w:hint="default"/>
                <w:sz w:val="18"/>
                <w:szCs w:val="18"/>
              </w:rPr>
            </w:pPr>
            <w:r>
              <w:rPr>
                <w:rFonts w:ascii="宋体"/>
                <w:sz w:val="18"/>
              </w:rPr>
              <w:t>2007.08.29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7"/>
              <w:jc w:val="right"/>
              <w:rPr>
                <w:rFonts w:ascii="宋体" w:hAnsi="宋体" w:cs="宋体" w:eastAsia="宋体" w:hint="default"/>
                <w:sz w:val="18"/>
                <w:szCs w:val="18"/>
              </w:rPr>
            </w:pPr>
            <w:r>
              <w:rPr>
                <w:rFonts w:ascii="宋体"/>
                <w:sz w:val="18"/>
              </w:rPr>
              <w:t>2008.02.29</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100,000.00</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hAnsi="宋体" w:cs="宋体" w:eastAsia="宋体" w:hint="default"/>
                <w:sz w:val="18"/>
                <w:szCs w:val="18"/>
              </w:rPr>
              <w:t>2007.10.29</w:t>
            </w:r>
            <w:r>
              <w:rPr>
                <w:rFonts w:ascii="宋体" w:hAnsi="宋体" w:cs="宋体" w:eastAsia="宋体" w:hint="default"/>
                <w:spacing w:val="-46"/>
                <w:sz w:val="18"/>
                <w:szCs w:val="18"/>
              </w:rPr>
              <w:t> </w:t>
            </w:r>
            <w:r>
              <w:rPr>
                <w:rFonts w:ascii="宋体" w:hAnsi="宋体" w:cs="宋体" w:eastAsia="宋体" w:hint="default"/>
                <w:sz w:val="18"/>
                <w:szCs w:val="18"/>
              </w:rPr>
              <w:t>背书转让</w:t>
            </w:r>
          </w:p>
        </w:tc>
      </w:tr>
    </w:tbl>
    <w:p>
      <w:pPr>
        <w:spacing w:line="240" w:lineRule="auto" w:before="10"/>
        <w:rPr>
          <w:rFonts w:ascii="宋体" w:hAnsi="宋体" w:cs="宋体" w:eastAsia="宋体" w:hint="default"/>
          <w:sz w:val="13"/>
          <w:szCs w:val="13"/>
        </w:rPr>
      </w:pPr>
    </w:p>
    <w:p>
      <w:pPr>
        <w:tabs>
          <w:tab w:pos="1727" w:val="left" w:leader="none"/>
          <w:tab w:pos="6345" w:val="left" w:leader="none"/>
        </w:tabs>
        <w:spacing w:before="44"/>
        <w:ind w:left="1187" w:right="212" w:firstLine="0"/>
        <w:jc w:val="left"/>
        <w:rPr>
          <w:rFonts w:ascii="宋体" w:hAnsi="宋体" w:cs="宋体" w:eastAsia="宋体" w:hint="default"/>
          <w:sz w:val="18"/>
          <w:szCs w:val="18"/>
        </w:rPr>
      </w:pPr>
      <w:r>
        <w:rPr>
          <w:rFonts w:ascii="宋体" w:hAnsi="宋体" w:cs="宋体" w:eastAsia="宋体" w:hint="default"/>
          <w:sz w:val="18"/>
          <w:szCs w:val="18"/>
        </w:rPr>
        <w:t>合</w:t>
        <w:tab/>
        <w:t>计</w:t>
        <w:tab/>
        <w:t>250,000.00</w:t>
      </w:r>
    </w:p>
    <w:p>
      <w:pPr>
        <w:pStyle w:val="BodyText"/>
        <w:spacing w:line="336" w:lineRule="auto" w:before="118"/>
        <w:ind w:left="154" w:right="94" w:firstLine="540"/>
        <w:jc w:val="left"/>
      </w:pPr>
      <w:r>
        <w:rPr/>
        <w:t>2.应收票据年末数比年初数减少</w:t>
      </w:r>
      <w:r>
        <w:rPr>
          <w:spacing w:val="-58"/>
        </w:rPr>
        <w:t> </w:t>
      </w:r>
      <w:r>
        <w:rPr/>
        <w:t>284,210.00</w:t>
      </w:r>
      <w:r>
        <w:rPr>
          <w:spacing w:val="-58"/>
        </w:rPr>
        <w:t> </w:t>
      </w:r>
      <w:r>
        <w:rPr>
          <w:spacing w:val="-15"/>
        </w:rPr>
        <w:t>元，减少比例为</w:t>
      </w:r>
      <w:r>
        <w:rPr>
          <w:spacing w:val="-58"/>
        </w:rPr>
        <w:t> </w:t>
      </w:r>
      <w:r>
        <w:rPr>
          <w:spacing w:val="-7"/>
        </w:rPr>
        <w:t>73.97％，变动原因主要为：</w:t>
      </w:r>
      <w:r>
        <w:rPr/>
        <w:t> 本公司之子公司无锡实益达电子有限公司将未到期的 250,000.00 元票据背书转让给江苏江</w:t>
      </w:r>
      <w:r>
        <w:rPr>
          <w:spacing w:val="-86"/>
        </w:rPr>
        <w:t> </w:t>
      </w:r>
      <w:r>
        <w:rPr>
          <w:spacing w:val="-86"/>
        </w:rPr>
      </w:r>
      <w:r>
        <w:rPr/>
        <w:t>中集团有限公司。</w:t>
      </w:r>
    </w:p>
    <w:p>
      <w:pPr>
        <w:pStyle w:val="BodyText"/>
        <w:spacing w:line="336" w:lineRule="auto"/>
        <w:ind w:left="694" w:right="7630"/>
        <w:jc w:val="left"/>
      </w:pPr>
      <w:r>
        <w:rPr/>
        <w:t>(三)应收账款 1.应收账款构成</w:t>
      </w:r>
    </w:p>
    <w:p>
      <w:pPr>
        <w:tabs>
          <w:tab w:pos="3242" w:val="left" w:leader="none"/>
          <w:tab w:pos="5597" w:val="left" w:leader="none"/>
          <w:tab w:pos="5813" w:val="left" w:leader="none"/>
          <w:tab w:pos="7704" w:val="left" w:leader="none"/>
          <w:tab w:pos="9720" w:val="left" w:leader="none"/>
        </w:tabs>
        <w:spacing w:before="3"/>
        <w:ind w:left="1702"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4"/>
          <w:sz w:val="18"/>
          <w:szCs w:val="18"/>
          <w:u w:val="single" w:color="000000"/>
        </w:rPr>
        <w:t>年末数</w:t>
        <w:tab/>
      </w:r>
      <w:r>
        <w:rPr>
          <w:rFonts w:ascii="宋体" w:hAnsi="宋体" w:cs="宋体" w:eastAsia="宋体" w:hint="default"/>
          <w:spacing w:val="-14"/>
          <w:sz w:val="18"/>
          <w:szCs w:val="18"/>
        </w:rPr>
        <w:tab/>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pacing w:val="-14"/>
          <w:sz w:val="18"/>
          <w:szCs w:val="18"/>
          <w:u w:val="single" w:color="000000"/>
        </w:rPr>
        <w:t> </w:t>
        <w:tab/>
      </w:r>
      <w:r>
        <w:rPr>
          <w:rFonts w:ascii="宋体" w:hAnsi="宋体" w:cs="宋体" w:eastAsia="宋体" w:hint="default"/>
          <w:spacing w:val="-14"/>
          <w:sz w:val="18"/>
          <w:szCs w:val="18"/>
          <w:u w:val="single" w:color="000000"/>
        </w:rPr>
        <w:t>年初数</w:t>
        <w:tab/>
      </w:r>
      <w:r>
        <w:rPr>
          <w:rFonts w:ascii="宋体" w:hAnsi="宋体" w:cs="宋体" w:eastAsia="宋体" w:hint="default"/>
          <w:spacing w:val="-14"/>
          <w:sz w:val="18"/>
          <w:szCs w:val="18"/>
        </w:rPr>
      </w:r>
    </w:p>
    <w:p>
      <w:pPr>
        <w:spacing w:after="0"/>
        <w:jc w:val="left"/>
        <w:rPr>
          <w:rFonts w:ascii="宋体" w:hAnsi="宋体" w:cs="宋体" w:eastAsia="宋体" w:hint="default"/>
          <w:sz w:val="18"/>
          <w:szCs w:val="18"/>
        </w:rPr>
        <w:sectPr>
          <w:pgSz w:w="11910" w:h="16840"/>
          <w:pgMar w:header="747" w:footer="1339" w:top="980" w:bottom="1520" w:left="980" w:right="900"/>
        </w:sectPr>
      </w:pPr>
    </w:p>
    <w:p>
      <w:pPr>
        <w:spacing w:line="240" w:lineRule="auto" w:before="9"/>
        <w:rPr>
          <w:rFonts w:ascii="宋体" w:hAnsi="宋体" w:cs="宋体" w:eastAsia="宋体" w:hint="default"/>
          <w:sz w:val="18"/>
          <w:szCs w:val="18"/>
        </w:rPr>
      </w:pPr>
      <w:r>
        <w:rPr/>
        <w:pict>
          <v:shape style="position:absolute;margin-left:59.630001pt;margin-top:390.02533pt;width:477.25pt;height:356.3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2"/>
                    <w:gridCol w:w="1406"/>
                    <w:gridCol w:w="983"/>
                    <w:gridCol w:w="395"/>
                    <w:gridCol w:w="1366"/>
                    <w:gridCol w:w="1477"/>
                    <w:gridCol w:w="1112"/>
                    <w:gridCol w:w="302"/>
                    <w:gridCol w:w="1100"/>
                  </w:tblGrid>
                  <w:tr>
                    <w:trPr>
                      <w:trHeight w:val="2259"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85" w:lineRule="auto" w:before="13"/>
                          <w:ind w:left="35" w:right="107"/>
                          <w:jc w:val="left"/>
                          <w:rPr>
                            <w:rFonts w:ascii="宋体" w:hAnsi="宋体" w:cs="宋体" w:eastAsia="宋体" w:hint="default"/>
                            <w:sz w:val="18"/>
                            <w:szCs w:val="18"/>
                          </w:rPr>
                        </w:pPr>
                        <w:r>
                          <w:rPr>
                            <w:rFonts w:ascii="宋体" w:hAnsi="宋体" w:cs="宋体" w:eastAsia="宋体" w:hint="default"/>
                            <w:spacing w:val="-1"/>
                            <w:sz w:val="18"/>
                            <w:szCs w:val="18"/>
                          </w:rPr>
                          <w:t>1.单项金额重大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并已单独计提坏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1"/>
                            <w:sz w:val="18"/>
                            <w:szCs w:val="18"/>
                          </w:rPr>
                          <w:t>账准备的款项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2.单项金额非重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大并已单独计提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1"/>
                            <w:sz w:val="18"/>
                            <w:szCs w:val="18"/>
                          </w:rPr>
                          <w:t>坏账准备的款项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3.其他按账龄段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划分为类似信用</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center"/>
                          <w:rPr>
                            <w:rFonts w:ascii="宋体" w:hAnsi="宋体" w:cs="宋体" w:eastAsia="宋体" w:hint="default"/>
                            <w:sz w:val="18"/>
                            <w:szCs w:val="18"/>
                          </w:rPr>
                        </w:pPr>
                        <w:r>
                          <w:rPr>
                            <w:rFonts w:ascii="宋体"/>
                            <w:spacing w:val="-10"/>
                            <w:sz w:val="18"/>
                          </w:rPr>
                          <w:t>327,610,586.83</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7" w:right="0"/>
                          <w:jc w:val="left"/>
                          <w:rPr>
                            <w:rFonts w:ascii="宋体" w:hAnsi="宋体" w:cs="宋体" w:eastAsia="宋体" w:hint="default"/>
                            <w:sz w:val="18"/>
                            <w:szCs w:val="18"/>
                          </w:rPr>
                        </w:pPr>
                        <w:r>
                          <w:rPr>
                            <w:rFonts w:ascii="宋体"/>
                            <w:spacing w:val="-10"/>
                            <w:sz w:val="18"/>
                          </w:rPr>
                          <w:t>100%</w:t>
                        </w:r>
                        <w:r>
                          <w:rPr>
                            <w:rFonts w:ascii="宋体"/>
                            <w:sz w:val="18"/>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5"/>
                          <w:jc w:val="right"/>
                          <w:rPr>
                            <w:rFonts w:ascii="宋体" w:hAnsi="宋体" w:cs="宋体" w:eastAsia="宋体" w:hint="default"/>
                            <w:sz w:val="18"/>
                            <w:szCs w:val="18"/>
                          </w:rPr>
                        </w:pPr>
                        <w:r>
                          <w:rPr>
                            <w:rFonts w:ascii="宋体"/>
                            <w:spacing w:val="-10"/>
                            <w:sz w:val="18"/>
                          </w:rPr>
                          <w:t>5%</w:t>
                        </w:r>
                        <w:r>
                          <w:rPr>
                            <w:rFonts w:ascii="宋体"/>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spacing w:val="-11"/>
                            <w:sz w:val="18"/>
                          </w:rPr>
                          <w:t>16,409,831.28</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left"/>
                          <w:rPr>
                            <w:rFonts w:ascii="宋体" w:hAnsi="宋体" w:cs="宋体" w:eastAsia="宋体" w:hint="default"/>
                            <w:sz w:val="18"/>
                            <w:szCs w:val="18"/>
                          </w:rPr>
                        </w:pPr>
                        <w:r>
                          <w:rPr>
                            <w:rFonts w:ascii="宋体"/>
                            <w:spacing w:val="-10"/>
                            <w:sz w:val="18"/>
                          </w:rPr>
                          <w:t>110,123,787.58</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18"/>
                            <w:szCs w:val="18"/>
                          </w:rPr>
                        </w:pPr>
                        <w:r>
                          <w:rPr>
                            <w:rFonts w:ascii="宋体"/>
                            <w:spacing w:val="-10"/>
                            <w:sz w:val="18"/>
                          </w:rPr>
                          <w:t>100%</w:t>
                        </w:r>
                        <w:r>
                          <w:rPr>
                            <w:rFonts w:ascii="宋体"/>
                            <w:sz w:val="18"/>
                          </w:rPr>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 w:right="0"/>
                          <w:jc w:val="left"/>
                          <w:rPr>
                            <w:rFonts w:ascii="宋体" w:hAnsi="宋体" w:cs="宋体" w:eastAsia="宋体" w:hint="default"/>
                            <w:sz w:val="18"/>
                            <w:szCs w:val="18"/>
                          </w:rPr>
                        </w:pPr>
                        <w:r>
                          <w:rPr>
                            <w:rFonts w:ascii="宋体"/>
                            <w:spacing w:val="-10"/>
                            <w:sz w:val="18"/>
                          </w:rPr>
                          <w:t>5%</w:t>
                        </w:r>
                        <w:r>
                          <w:rPr>
                            <w:rFonts w:ascii="宋体"/>
                            <w:sz w:val="18"/>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pacing w:val="-11"/>
                            <w:sz w:val="18"/>
                          </w:rPr>
                          <w:t>5,506,189.38</w:t>
                        </w:r>
                        <w:r>
                          <w:rPr>
                            <w:rFonts w:ascii="宋体"/>
                            <w:sz w:val="18"/>
                          </w:rPr>
                        </w:r>
                      </w:p>
                    </w:tc>
                  </w:tr>
                  <w:tr>
                    <w:trPr>
                      <w:trHeight w:val="296"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pacing w:val="-21"/>
                            <w:sz w:val="18"/>
                            <w:szCs w:val="18"/>
                          </w:rPr>
                          <w:t>风险特征的款项，</w:t>
                        </w:r>
                        <w:r>
                          <w:rPr>
                            <w:rFonts w:ascii="宋体" w:hAnsi="宋体" w:cs="宋体" w:eastAsia="宋体" w:hint="default"/>
                            <w:sz w:val="18"/>
                            <w:szCs w:val="18"/>
                          </w:rPr>
                        </w:r>
                      </w:p>
                    </w:tc>
                    <w:tc>
                      <w:tcPr>
                        <w:tcW w:w="1406"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r>
                  <w:tr>
                    <w:trPr>
                      <w:trHeight w:val="316"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16"/>
                            <w:sz w:val="18"/>
                            <w:szCs w:val="18"/>
                          </w:rPr>
                          <w:t>其中：1</w:t>
                        </w:r>
                        <w:r>
                          <w:rPr>
                            <w:rFonts w:ascii="宋体" w:hAnsi="宋体" w:cs="宋体" w:eastAsia="宋体" w:hint="default"/>
                            <w:spacing w:val="-58"/>
                            <w:sz w:val="18"/>
                            <w:szCs w:val="18"/>
                          </w:rPr>
                          <w:t> </w:t>
                        </w:r>
                        <w:r>
                          <w:rPr>
                            <w:rFonts w:ascii="宋体" w:hAnsi="宋体" w:cs="宋体" w:eastAsia="宋体" w:hint="default"/>
                            <w:spacing w:val="-14"/>
                            <w:sz w:val="18"/>
                            <w:szCs w:val="18"/>
                          </w:rPr>
                          <w:t>年以内</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center"/>
                          <w:rPr>
                            <w:rFonts w:ascii="宋体" w:hAnsi="宋体" w:cs="宋体" w:eastAsia="宋体" w:hint="default"/>
                            <w:sz w:val="18"/>
                            <w:szCs w:val="18"/>
                          </w:rPr>
                        </w:pPr>
                        <w:r>
                          <w:rPr>
                            <w:rFonts w:ascii="宋体"/>
                            <w:spacing w:val="-10"/>
                            <w:sz w:val="18"/>
                          </w:rPr>
                          <w:t>327,610,586.83</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7" w:right="0"/>
                          <w:jc w:val="left"/>
                          <w:rPr>
                            <w:rFonts w:ascii="宋体" w:hAnsi="宋体" w:cs="宋体" w:eastAsia="宋体" w:hint="default"/>
                            <w:sz w:val="18"/>
                            <w:szCs w:val="18"/>
                          </w:rPr>
                        </w:pPr>
                        <w:r>
                          <w:rPr>
                            <w:rFonts w:ascii="宋体"/>
                            <w:spacing w:val="-10"/>
                            <w:sz w:val="18"/>
                          </w:rPr>
                          <w:t>100%</w:t>
                        </w:r>
                        <w:r>
                          <w:rPr>
                            <w:rFonts w:ascii="宋体"/>
                            <w:sz w:val="18"/>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spacing w:val="-10"/>
                            <w:sz w:val="18"/>
                          </w:rPr>
                          <w:t>5%</w:t>
                        </w:r>
                        <w:r>
                          <w:rPr>
                            <w:rFonts w:ascii="宋体"/>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spacing w:val="-11"/>
                            <w:sz w:val="18"/>
                          </w:rPr>
                          <w:t>16,409,831.28</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8" w:right="0"/>
                          <w:jc w:val="left"/>
                          <w:rPr>
                            <w:rFonts w:ascii="宋体" w:hAnsi="宋体" w:cs="宋体" w:eastAsia="宋体" w:hint="default"/>
                            <w:sz w:val="18"/>
                            <w:szCs w:val="18"/>
                          </w:rPr>
                        </w:pPr>
                        <w:r>
                          <w:rPr>
                            <w:rFonts w:ascii="宋体"/>
                            <w:spacing w:val="-10"/>
                            <w:sz w:val="18"/>
                          </w:rPr>
                          <w:t>110,123,787.58</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1" w:right="0"/>
                          <w:jc w:val="left"/>
                          <w:rPr>
                            <w:rFonts w:ascii="宋体" w:hAnsi="宋体" w:cs="宋体" w:eastAsia="宋体" w:hint="default"/>
                            <w:sz w:val="18"/>
                            <w:szCs w:val="18"/>
                          </w:rPr>
                        </w:pPr>
                        <w:r>
                          <w:rPr>
                            <w:rFonts w:ascii="宋体"/>
                            <w:spacing w:val="-10"/>
                            <w:sz w:val="18"/>
                          </w:rPr>
                          <w:t>100%</w:t>
                        </w:r>
                        <w:r>
                          <w:rPr>
                            <w:rFonts w:ascii="宋体"/>
                            <w:sz w:val="18"/>
                          </w:rPr>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spacing w:val="-5"/>
                            <w:sz w:val="18"/>
                          </w:rPr>
                          <w:t>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11"/>
                            <w:sz w:val="18"/>
                          </w:rPr>
                          <w:t>5,506,189.38</w:t>
                        </w:r>
                        <w:r>
                          <w:rPr>
                            <w:rFonts w:ascii="宋体"/>
                            <w:sz w:val="18"/>
                          </w:rPr>
                        </w:r>
                      </w:p>
                    </w:tc>
                  </w:tr>
                  <w:tr>
                    <w:trPr>
                      <w:trHeight w:val="32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5" w:right="0"/>
                          <w:jc w:val="left"/>
                          <w:rPr>
                            <w:rFonts w:ascii="宋体" w:hAnsi="宋体" w:cs="宋体" w:eastAsia="宋体" w:hint="default"/>
                            <w:sz w:val="18"/>
                            <w:szCs w:val="18"/>
                          </w:rPr>
                        </w:pPr>
                        <w:r>
                          <w:rPr>
                            <w:rFonts w:ascii="宋体" w:hAnsi="宋体" w:cs="宋体" w:eastAsia="宋体" w:hint="default"/>
                            <w:spacing w:val="-10"/>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406"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r>
                  <w:tr>
                    <w:trPr>
                      <w:trHeight w:val="32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5" w:right="0"/>
                          <w:jc w:val="left"/>
                          <w:rPr>
                            <w:rFonts w:ascii="宋体" w:hAnsi="宋体" w:cs="宋体" w:eastAsia="宋体" w:hint="default"/>
                            <w:sz w:val="18"/>
                            <w:szCs w:val="18"/>
                          </w:rPr>
                        </w:pPr>
                        <w:r>
                          <w:rPr>
                            <w:rFonts w:ascii="宋体" w:hAnsi="宋体" w:cs="宋体" w:eastAsia="宋体" w:hint="default"/>
                            <w:spacing w:val="-10"/>
                            <w:sz w:val="18"/>
                            <w:szCs w:val="18"/>
                          </w:rPr>
                          <w:t>2－3</w:t>
                        </w:r>
                        <w:r>
                          <w:rPr>
                            <w:rFonts w:ascii="宋体" w:hAnsi="宋体" w:cs="宋体" w:eastAsia="宋体" w:hint="default"/>
                            <w:spacing w:val="-62"/>
                            <w:sz w:val="18"/>
                            <w:szCs w:val="18"/>
                          </w:rPr>
                          <w:t> </w:t>
                        </w:r>
                        <w:r>
                          <w:rPr>
                            <w:rFonts w:ascii="宋体" w:hAnsi="宋体" w:cs="宋体" w:eastAsia="宋体" w:hint="default"/>
                            <w:sz w:val="18"/>
                            <w:szCs w:val="18"/>
                          </w:rPr>
                          <w:t>年</w:t>
                        </w:r>
                      </w:p>
                    </w:tc>
                    <w:tc>
                      <w:tcPr>
                        <w:tcW w:w="1406"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r>
                  <w:tr>
                    <w:trPr>
                      <w:trHeight w:val="42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9"/>
                            <w:sz w:val="18"/>
                            <w:szCs w:val="18"/>
                          </w:rPr>
                          <w:t> </w:t>
                        </w:r>
                        <w:r>
                          <w:rPr>
                            <w:rFonts w:ascii="宋体" w:hAnsi="宋体" w:cs="宋体" w:eastAsia="宋体" w:hint="default"/>
                            <w:spacing w:val="-14"/>
                            <w:sz w:val="18"/>
                            <w:szCs w:val="18"/>
                          </w:rPr>
                          <w:t>年以上</w:t>
                        </w:r>
                      </w:p>
                    </w:tc>
                    <w:tc>
                      <w:tcPr>
                        <w:tcW w:w="1406"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r>
                  <w:tr>
                    <w:trPr>
                      <w:trHeight w:val="410"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1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0"/>
                            <w:sz w:val="18"/>
                            <w:szCs w:val="18"/>
                          </w:rPr>
                          <w:t> </w:t>
                        </w:r>
                        <w:r>
                          <w:rPr>
                            <w:rFonts w:ascii="宋体" w:hAnsi="宋体" w:cs="宋体" w:eastAsia="宋体" w:hint="default"/>
                            <w:sz w:val="18"/>
                            <w:szCs w:val="18"/>
                          </w:rPr>
                          <w:t>计</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98"/>
                          <w:jc w:val="center"/>
                          <w:rPr>
                            <w:rFonts w:ascii="宋体" w:hAnsi="宋体" w:cs="宋体" w:eastAsia="宋体" w:hint="default"/>
                            <w:sz w:val="18"/>
                            <w:szCs w:val="18"/>
                          </w:rPr>
                        </w:pPr>
                        <w:r>
                          <w:rPr>
                            <w:rFonts w:ascii="宋体"/>
                            <w:spacing w:val="-10"/>
                            <w:sz w:val="18"/>
                          </w:rPr>
                          <w:t>327,610,586.83</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87" w:right="0"/>
                          <w:jc w:val="left"/>
                          <w:rPr>
                            <w:rFonts w:ascii="宋体" w:hAnsi="宋体" w:cs="宋体" w:eastAsia="宋体" w:hint="default"/>
                            <w:sz w:val="18"/>
                            <w:szCs w:val="18"/>
                          </w:rPr>
                        </w:pPr>
                        <w:r>
                          <w:rPr>
                            <w:rFonts w:ascii="宋体"/>
                            <w:spacing w:val="-10"/>
                            <w:sz w:val="18"/>
                          </w:rPr>
                          <w:t>100%</w:t>
                        </w:r>
                        <w:r>
                          <w:rPr>
                            <w:rFonts w:ascii="宋体"/>
                            <w:sz w:val="18"/>
                          </w:rPr>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5"/>
                          <w:jc w:val="right"/>
                          <w:rPr>
                            <w:rFonts w:ascii="宋体" w:hAnsi="宋体" w:cs="宋体" w:eastAsia="宋体" w:hint="default"/>
                            <w:sz w:val="18"/>
                            <w:szCs w:val="18"/>
                          </w:rPr>
                        </w:pPr>
                        <w:r>
                          <w:rPr>
                            <w:rFonts w:ascii="宋体"/>
                            <w:spacing w:val="-10"/>
                            <w:sz w:val="18"/>
                          </w:rPr>
                          <w:t>5%</w:t>
                        </w:r>
                        <w:r>
                          <w:rPr>
                            <w:rFonts w:ascii="宋体"/>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
                          <w:jc w:val="center"/>
                          <w:rPr>
                            <w:rFonts w:ascii="宋体" w:hAnsi="宋体" w:cs="宋体" w:eastAsia="宋体" w:hint="default"/>
                            <w:sz w:val="18"/>
                            <w:szCs w:val="18"/>
                          </w:rPr>
                        </w:pPr>
                        <w:r>
                          <w:rPr>
                            <w:rFonts w:ascii="宋体"/>
                            <w:spacing w:val="-11"/>
                            <w:sz w:val="18"/>
                          </w:rPr>
                          <w:t>16,409,831.28</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8" w:right="0"/>
                          <w:jc w:val="left"/>
                          <w:rPr>
                            <w:rFonts w:ascii="宋体" w:hAnsi="宋体" w:cs="宋体" w:eastAsia="宋体" w:hint="default"/>
                            <w:sz w:val="18"/>
                            <w:szCs w:val="18"/>
                          </w:rPr>
                        </w:pPr>
                        <w:r>
                          <w:rPr>
                            <w:rFonts w:ascii="宋体"/>
                            <w:spacing w:val="-10"/>
                            <w:sz w:val="18"/>
                          </w:rPr>
                          <w:t>110,123,787.58</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1" w:right="0"/>
                          <w:jc w:val="left"/>
                          <w:rPr>
                            <w:rFonts w:ascii="宋体" w:hAnsi="宋体" w:cs="宋体" w:eastAsia="宋体" w:hint="default"/>
                            <w:sz w:val="18"/>
                            <w:szCs w:val="18"/>
                          </w:rPr>
                        </w:pPr>
                        <w:r>
                          <w:rPr>
                            <w:rFonts w:ascii="宋体"/>
                            <w:spacing w:val="-10"/>
                            <w:sz w:val="18"/>
                          </w:rPr>
                          <w:t>100%</w:t>
                        </w:r>
                        <w:r>
                          <w:rPr>
                            <w:rFonts w:ascii="宋体"/>
                            <w:sz w:val="18"/>
                          </w:rPr>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8" w:right="0"/>
                          <w:jc w:val="left"/>
                          <w:rPr>
                            <w:rFonts w:ascii="宋体" w:hAnsi="宋体" w:cs="宋体" w:eastAsia="宋体" w:hint="default"/>
                            <w:sz w:val="18"/>
                            <w:szCs w:val="18"/>
                          </w:rPr>
                        </w:pPr>
                        <w:r>
                          <w:rPr>
                            <w:rFonts w:ascii="宋体"/>
                            <w:spacing w:val="-10"/>
                            <w:sz w:val="18"/>
                          </w:rPr>
                          <w:t>5%</w:t>
                        </w:r>
                        <w:r>
                          <w:rPr>
                            <w:rFonts w:ascii="宋体"/>
                            <w:sz w:val="18"/>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18"/>
                            <w:szCs w:val="18"/>
                          </w:rPr>
                        </w:pPr>
                        <w:r>
                          <w:rPr>
                            <w:rFonts w:ascii="宋体"/>
                            <w:spacing w:val="-11"/>
                            <w:sz w:val="18"/>
                          </w:rPr>
                          <w:t>5,506,189.38</w:t>
                        </w:r>
                        <w:r>
                          <w:rPr>
                            <w:rFonts w:ascii="宋体"/>
                            <w:sz w:val="18"/>
                          </w:rPr>
                        </w:r>
                      </w:p>
                    </w:tc>
                  </w:tr>
                  <w:tr>
                    <w:trPr>
                      <w:trHeight w:val="403" w:hRule="exact"/>
                    </w:trPr>
                    <w:tc>
                      <w:tcPr>
                        <w:tcW w:w="3791" w:type="dxa"/>
                        <w:gridSpan w:val="3"/>
                        <w:tcBorders>
                          <w:top w:val="nil" w:sz="6" w:space="0" w:color="auto"/>
                          <w:left w:val="nil" w:sz="6" w:space="0" w:color="auto"/>
                          <w:bottom w:val="nil" w:sz="6" w:space="0" w:color="auto"/>
                          <w:right w:val="nil" w:sz="6" w:space="0" w:color="auto"/>
                        </w:tcBorders>
                      </w:tcPr>
                      <w:p>
                        <w:pPr>
                          <w:pStyle w:val="TableParagraph"/>
                          <w:spacing w:line="301" w:lineRule="exact"/>
                          <w:ind w:left="481" w:right="0"/>
                          <w:jc w:val="left"/>
                          <w:rPr>
                            <w:rFonts w:ascii="宋体" w:hAnsi="宋体" w:cs="宋体" w:eastAsia="宋体" w:hint="default"/>
                            <w:sz w:val="24"/>
                            <w:szCs w:val="24"/>
                          </w:rPr>
                        </w:pPr>
                        <w:r>
                          <w:rPr>
                            <w:rFonts w:ascii="宋体" w:hAnsi="宋体" w:cs="宋体" w:eastAsia="宋体" w:hint="default"/>
                            <w:sz w:val="24"/>
                            <w:szCs w:val="24"/>
                          </w:rPr>
                          <w:t>2.单项金额重大的应收账款</w:t>
                        </w:r>
                      </w:p>
                    </w:tc>
                    <w:tc>
                      <w:tcPr>
                        <w:tcW w:w="1761" w:type="dxa"/>
                        <w:gridSpan w:val="2"/>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402"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3791" w:type="dxa"/>
                        <w:gridSpan w:val="3"/>
                        <w:tcBorders>
                          <w:top w:val="nil" w:sz="6" w:space="0" w:color="auto"/>
                          <w:left w:val="nil" w:sz="6" w:space="0" w:color="auto"/>
                          <w:bottom w:val="nil" w:sz="6" w:space="0" w:color="auto"/>
                          <w:right w:val="nil" w:sz="6" w:space="0" w:color="auto"/>
                        </w:tcBorders>
                      </w:tcPr>
                      <w:p>
                        <w:pPr>
                          <w:pStyle w:val="TableParagraph"/>
                          <w:tabs>
                            <w:tab w:pos="1594" w:val="left" w:leader="none"/>
                            <w:tab w:pos="3613" w:val="left" w:leader="none"/>
                          </w:tabs>
                          <w:spacing w:line="240" w:lineRule="auto" w:before="46"/>
                          <w:ind w:left="2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单项重大排名</w:t>
                          <w:tab/>
                        </w:r>
                        <w:r>
                          <w:rPr>
                            <w:rFonts w:ascii="宋体" w:hAnsi="宋体" w:cs="宋体" w:eastAsia="宋体" w:hint="default"/>
                            <w:sz w:val="18"/>
                            <w:szCs w:val="18"/>
                          </w:rPr>
                        </w:r>
                      </w:p>
                    </w:tc>
                    <w:tc>
                      <w:tcPr>
                        <w:tcW w:w="1761" w:type="dxa"/>
                        <w:gridSpan w:val="2"/>
                        <w:tcBorders>
                          <w:top w:val="nil" w:sz="6" w:space="0" w:color="auto"/>
                          <w:left w:val="nil" w:sz="6" w:space="0" w:color="auto"/>
                          <w:bottom w:val="nil" w:sz="6" w:space="0" w:color="auto"/>
                          <w:right w:val="nil" w:sz="6" w:space="0" w:color="auto"/>
                        </w:tcBorders>
                      </w:tcPr>
                      <w:p>
                        <w:pPr>
                          <w:pStyle w:val="TableParagraph"/>
                          <w:tabs>
                            <w:tab w:pos="1172" w:val="left" w:leader="none"/>
                          </w:tabs>
                          <w:spacing w:line="240" w:lineRule="auto" w:before="46"/>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账  龄</w:t>
                        </w:r>
                        <w:r>
                          <w:rPr>
                            <w:rFonts w:ascii="宋体" w:hAnsi="宋体" w:cs="宋体" w:eastAsia="宋体" w:hint="default"/>
                            <w:sz w:val="18"/>
                            <w:szCs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计提比例</w:t>
                        </w:r>
                        <w:r>
                          <w:rPr>
                            <w:rFonts w:ascii="宋体" w:hAnsi="宋体" w:cs="宋体" w:eastAsia="宋体" w:hint="default"/>
                            <w:sz w:val="18"/>
                            <w:szCs w:val="18"/>
                          </w:rPr>
                        </w:r>
                      </w:p>
                    </w:tc>
                    <w:tc>
                      <w:tcPr>
                        <w:tcW w:w="1402" w:type="dxa"/>
                        <w:gridSpan w:val="2"/>
                        <w:tcBorders>
                          <w:top w:val="nil" w:sz="6" w:space="0" w:color="auto"/>
                          <w:left w:val="nil" w:sz="6" w:space="0" w:color="auto"/>
                          <w:bottom w:val="nil" w:sz="6" w:space="0" w:color="auto"/>
                          <w:right w:val="nil" w:sz="6" w:space="0" w:color="auto"/>
                        </w:tcBorders>
                      </w:tcPr>
                      <w:p>
                        <w:pPr>
                          <w:pStyle w:val="TableParagraph"/>
                          <w:tabs>
                            <w:tab w:pos="1177" w:val="left" w:leader="none"/>
                          </w:tabs>
                          <w:spacing w:line="240" w:lineRule="auto" w:before="46"/>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理  由</w:t>
                          <w:tab/>
                        </w:r>
                        <w:r>
                          <w:rPr>
                            <w:rFonts w:ascii="宋体" w:hAnsi="宋体" w:cs="宋体" w:eastAsia="宋体" w:hint="default"/>
                            <w:sz w:val="18"/>
                            <w:szCs w:val="18"/>
                          </w:rPr>
                        </w:r>
                      </w:p>
                    </w:tc>
                  </w:tr>
                  <w:tr>
                    <w:trPr>
                      <w:trHeight w:val="395" w:hRule="exact"/>
                    </w:trPr>
                    <w:tc>
                      <w:tcPr>
                        <w:tcW w:w="37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pacing w:val="-35"/>
                            <w:sz w:val="18"/>
                            <w:szCs w:val="18"/>
                          </w:rPr>
                          <w:t> </w:t>
                        </w:r>
                        <w:r>
                          <w:rPr>
                            <w:rFonts w:ascii="宋体" w:hAnsi="宋体" w:cs="宋体" w:eastAsia="宋体" w:hint="default"/>
                            <w:sz w:val="18"/>
                            <w:szCs w:val="18"/>
                          </w:rPr>
                          <w:t>PHILIPS</w:t>
                        </w:r>
                        <w:r>
                          <w:rPr>
                            <w:rFonts w:ascii="宋体" w:hAnsi="宋体" w:cs="宋体" w:eastAsia="宋体" w:hint="default"/>
                            <w:spacing w:val="-35"/>
                            <w:sz w:val="18"/>
                            <w:szCs w:val="18"/>
                          </w:rPr>
                          <w:t> </w:t>
                        </w:r>
                        <w:r>
                          <w:rPr>
                            <w:rFonts w:ascii="宋体" w:hAnsi="宋体" w:cs="宋体" w:eastAsia="宋体" w:hint="default"/>
                            <w:sz w:val="18"/>
                            <w:szCs w:val="18"/>
                          </w:rPr>
                          <w:t>ELECTRONICS</w:t>
                        </w:r>
                        <w:r>
                          <w:rPr>
                            <w:rFonts w:ascii="宋体" w:hAnsi="宋体" w:cs="宋体" w:eastAsia="宋体" w:hint="default"/>
                            <w:spacing w:val="-36"/>
                            <w:sz w:val="18"/>
                            <w:szCs w:val="18"/>
                          </w:rPr>
                          <w:t> </w:t>
                        </w:r>
                        <w:r>
                          <w:rPr>
                            <w:rFonts w:ascii="宋体" w:hAnsi="宋体" w:cs="宋体" w:eastAsia="宋体" w:hint="default"/>
                            <w:sz w:val="18"/>
                            <w:szCs w:val="18"/>
                          </w:rPr>
                          <w:t>HONGKONG</w:t>
                        </w:r>
                        <w:r>
                          <w:rPr>
                            <w:rFonts w:ascii="宋体" w:hAnsi="宋体" w:cs="宋体" w:eastAsia="宋体" w:hint="default"/>
                            <w:spacing w:val="-35"/>
                            <w:sz w:val="18"/>
                            <w:szCs w:val="18"/>
                          </w:rPr>
                          <w:t> </w:t>
                        </w:r>
                        <w:r>
                          <w:rPr>
                            <w:rFonts w:ascii="宋体" w:hAnsi="宋体" w:cs="宋体" w:eastAsia="宋体" w:hint="default"/>
                            <w:sz w:val="18"/>
                            <w:szCs w:val="18"/>
                          </w:rPr>
                          <w:t>LTD</w:t>
                        </w:r>
                      </w:p>
                    </w:tc>
                    <w:tc>
                      <w:tcPr>
                        <w:tcW w:w="17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452" w:right="0"/>
                          <w:jc w:val="left"/>
                          <w:rPr>
                            <w:rFonts w:ascii="宋体" w:hAnsi="宋体" w:cs="宋体" w:eastAsia="宋体" w:hint="default"/>
                            <w:sz w:val="18"/>
                            <w:szCs w:val="18"/>
                          </w:rPr>
                        </w:pPr>
                        <w:r>
                          <w:rPr>
                            <w:rFonts w:ascii="宋体"/>
                            <w:sz w:val="18"/>
                          </w:rPr>
                          <w:t>192,600,771.47</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center"/>
                          <w:rPr>
                            <w:rFonts w:ascii="宋体" w:hAnsi="宋体" w:cs="宋体" w:eastAsia="宋体" w:hint="default"/>
                            <w:sz w:val="18"/>
                            <w:szCs w:val="18"/>
                          </w:rPr>
                        </w:pPr>
                        <w:r>
                          <w:rPr>
                            <w:rFonts w:ascii="宋体"/>
                            <w:sz w:val="18"/>
                          </w:rPr>
                          <w:t>5%</w:t>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400" w:hRule="exact"/>
                    </w:trPr>
                    <w:tc>
                      <w:tcPr>
                        <w:tcW w:w="37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155" w:right="0"/>
                          <w:jc w:val="left"/>
                          <w:rPr>
                            <w:rFonts w:ascii="宋体" w:hAnsi="宋体" w:cs="宋体" w:eastAsia="宋体" w:hint="default"/>
                            <w:sz w:val="18"/>
                            <w:szCs w:val="18"/>
                          </w:rPr>
                        </w:pPr>
                        <w:r>
                          <w:rPr>
                            <w:rFonts w:ascii="宋体" w:hAnsi="宋体" w:cs="宋体" w:eastAsia="宋体" w:hint="default"/>
                            <w:sz w:val="18"/>
                            <w:szCs w:val="18"/>
                          </w:rPr>
                          <w:t>第二名: PHILIPS ASSEMBLY CENTRE</w:t>
                        </w:r>
                        <w:r>
                          <w:rPr>
                            <w:rFonts w:ascii="宋体" w:hAnsi="宋体" w:cs="宋体" w:eastAsia="宋体" w:hint="default"/>
                            <w:spacing w:val="-55"/>
                            <w:sz w:val="18"/>
                            <w:szCs w:val="18"/>
                          </w:rPr>
                          <w:t> </w:t>
                        </w:r>
                        <w:r>
                          <w:rPr>
                            <w:rFonts w:ascii="宋体" w:hAnsi="宋体" w:cs="宋体" w:eastAsia="宋体" w:hint="default"/>
                            <w:sz w:val="18"/>
                            <w:szCs w:val="18"/>
                          </w:rPr>
                          <w:t>HUNGARY</w:t>
                        </w:r>
                      </w:p>
                    </w:tc>
                    <w:tc>
                      <w:tcPr>
                        <w:tcW w:w="17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52" w:right="0"/>
                          <w:jc w:val="left"/>
                          <w:rPr>
                            <w:rFonts w:ascii="宋体" w:hAnsi="宋体" w:cs="宋体" w:eastAsia="宋体" w:hint="default"/>
                            <w:sz w:val="18"/>
                            <w:szCs w:val="18"/>
                          </w:rPr>
                        </w:pPr>
                        <w:r>
                          <w:rPr>
                            <w:rFonts w:ascii="宋体"/>
                            <w:sz w:val="18"/>
                          </w:rPr>
                          <w:t>122,072,481.56</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 w:right="0"/>
                          <w:jc w:val="center"/>
                          <w:rPr>
                            <w:rFonts w:ascii="宋体" w:hAnsi="宋体" w:cs="宋体" w:eastAsia="宋体" w:hint="default"/>
                            <w:sz w:val="18"/>
                            <w:szCs w:val="18"/>
                          </w:rPr>
                        </w:pPr>
                        <w:r>
                          <w:rPr>
                            <w:rFonts w:ascii="宋体"/>
                            <w:sz w:val="18"/>
                          </w:rPr>
                          <w:t>5%</w:t>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341"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400" w:hRule="exact"/>
                    </w:trPr>
                    <w:tc>
                      <w:tcPr>
                        <w:tcW w:w="37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155" w:right="0"/>
                          <w:jc w:val="left"/>
                          <w:rPr>
                            <w:rFonts w:ascii="宋体" w:hAnsi="宋体" w:cs="宋体" w:eastAsia="宋体" w:hint="default"/>
                            <w:sz w:val="18"/>
                            <w:szCs w:val="18"/>
                          </w:rPr>
                        </w:pPr>
                        <w:r>
                          <w:rPr>
                            <w:rFonts w:ascii="宋体" w:hAnsi="宋体" w:cs="宋体" w:eastAsia="宋体" w:hint="default"/>
                            <w:sz w:val="18"/>
                            <w:szCs w:val="18"/>
                          </w:rPr>
                          <w:t>第三名: FYRNETICS ELECTRONICS FACTORY</w:t>
                        </w:r>
                      </w:p>
                    </w:tc>
                    <w:tc>
                      <w:tcPr>
                        <w:tcW w:w="17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632" w:right="0"/>
                          <w:jc w:val="left"/>
                          <w:rPr>
                            <w:rFonts w:ascii="宋体" w:hAnsi="宋体" w:cs="宋体" w:eastAsia="宋体" w:hint="default"/>
                            <w:sz w:val="18"/>
                            <w:szCs w:val="18"/>
                          </w:rPr>
                        </w:pPr>
                        <w:r>
                          <w:rPr>
                            <w:rFonts w:ascii="宋体"/>
                            <w:sz w:val="18"/>
                          </w:rPr>
                          <w:t>3,995,386.25</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6" w:right="0"/>
                          <w:jc w:val="center"/>
                          <w:rPr>
                            <w:rFonts w:ascii="宋体" w:hAnsi="宋体" w:cs="宋体" w:eastAsia="宋体" w:hint="default"/>
                            <w:sz w:val="18"/>
                            <w:szCs w:val="18"/>
                          </w:rPr>
                        </w:pPr>
                        <w:r>
                          <w:rPr>
                            <w:rFonts w:ascii="宋体"/>
                            <w:sz w:val="18"/>
                          </w:rPr>
                          <w:t>5%</w:t>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341"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400" w:hRule="exact"/>
                    </w:trPr>
                    <w:tc>
                      <w:tcPr>
                        <w:tcW w:w="37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155" w:right="0"/>
                          <w:jc w:val="left"/>
                          <w:rPr>
                            <w:rFonts w:ascii="宋体" w:hAnsi="宋体" w:cs="宋体" w:eastAsia="宋体" w:hint="default"/>
                            <w:sz w:val="18"/>
                            <w:szCs w:val="18"/>
                          </w:rPr>
                        </w:pPr>
                        <w:r>
                          <w:rPr>
                            <w:rFonts w:ascii="宋体" w:hAnsi="宋体" w:cs="宋体" w:eastAsia="宋体" w:hint="default"/>
                            <w:sz w:val="18"/>
                            <w:szCs w:val="18"/>
                          </w:rPr>
                          <w:t>第四名: 华忆科技(深圳)有限公司</w:t>
                        </w:r>
                      </w:p>
                    </w:tc>
                    <w:tc>
                      <w:tcPr>
                        <w:tcW w:w="17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632" w:right="0"/>
                          <w:jc w:val="left"/>
                          <w:rPr>
                            <w:rFonts w:ascii="宋体" w:hAnsi="宋体" w:cs="宋体" w:eastAsia="宋体" w:hint="default"/>
                            <w:sz w:val="18"/>
                            <w:szCs w:val="18"/>
                          </w:rPr>
                        </w:pPr>
                        <w:r>
                          <w:rPr>
                            <w:rFonts w:ascii="宋体"/>
                            <w:sz w:val="18"/>
                          </w:rPr>
                          <w:t>2,985,970.52</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6" w:right="0"/>
                          <w:jc w:val="center"/>
                          <w:rPr>
                            <w:rFonts w:ascii="宋体" w:hAnsi="宋体" w:cs="宋体" w:eastAsia="宋体" w:hint="default"/>
                            <w:sz w:val="18"/>
                            <w:szCs w:val="18"/>
                          </w:rPr>
                        </w:pPr>
                        <w:r>
                          <w:rPr>
                            <w:rFonts w:ascii="宋体"/>
                            <w:sz w:val="18"/>
                          </w:rPr>
                          <w:t>5%</w:t>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341"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390" w:hRule="exact"/>
                    </w:trPr>
                    <w:tc>
                      <w:tcPr>
                        <w:tcW w:w="37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155" w:right="0"/>
                          <w:jc w:val="left"/>
                          <w:rPr>
                            <w:rFonts w:ascii="宋体" w:hAnsi="宋体" w:cs="宋体" w:eastAsia="宋体" w:hint="default"/>
                            <w:sz w:val="18"/>
                            <w:szCs w:val="18"/>
                          </w:rPr>
                        </w:pPr>
                        <w:r>
                          <w:rPr>
                            <w:rFonts w:ascii="宋体" w:hAnsi="宋体" w:cs="宋体" w:eastAsia="宋体" w:hint="default"/>
                            <w:sz w:val="18"/>
                            <w:szCs w:val="18"/>
                          </w:rPr>
                          <w:t>第五名: COMPESS DIGITAL TECHNOLOGY</w:t>
                        </w:r>
                      </w:p>
                    </w:tc>
                    <w:tc>
                      <w:tcPr>
                        <w:tcW w:w="17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632" w:right="0"/>
                          <w:jc w:val="left"/>
                          <w:rPr>
                            <w:rFonts w:ascii="宋体" w:hAnsi="宋体" w:cs="宋体" w:eastAsia="宋体" w:hint="default"/>
                            <w:sz w:val="18"/>
                            <w:szCs w:val="18"/>
                          </w:rPr>
                        </w:pPr>
                        <w:r>
                          <w:rPr>
                            <w:rFonts w:ascii="宋体"/>
                            <w:sz w:val="18"/>
                          </w:rPr>
                          <w:t>1,033,758.31</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 w:right="0"/>
                          <w:jc w:val="center"/>
                          <w:rPr>
                            <w:rFonts w:ascii="宋体" w:hAnsi="宋体" w:cs="宋体" w:eastAsia="宋体" w:hint="default"/>
                            <w:sz w:val="18"/>
                            <w:szCs w:val="18"/>
                          </w:rPr>
                        </w:pPr>
                        <w:r>
                          <w:rPr>
                            <w:rFonts w:ascii="宋体"/>
                            <w:sz w:val="18"/>
                          </w:rPr>
                          <w:t>5%</w:t>
                        </w:r>
                      </w:p>
                    </w:tc>
                    <w:tc>
                      <w:tcPr>
                        <w:tcW w:w="14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341" w:right="0"/>
                          <w:jc w:val="left"/>
                          <w:rPr>
                            <w:rFonts w:ascii="宋体" w:hAnsi="宋体" w:cs="宋体" w:eastAsia="宋体" w:hint="default"/>
                            <w:sz w:val="18"/>
                            <w:szCs w:val="18"/>
                          </w:rPr>
                        </w:pPr>
                        <w:r>
                          <w:rPr>
                            <w:rFonts w:ascii="宋体" w:hAnsi="宋体" w:cs="宋体" w:eastAsia="宋体" w:hint="default"/>
                            <w:sz w:val="18"/>
                            <w:szCs w:val="18"/>
                          </w:rPr>
                          <w:t>余额较大</w:t>
                        </w:r>
                      </w:p>
                    </w:tc>
                  </w:tr>
                </w:tbl>
                <w:p>
                  <w:pPr/>
                </w:p>
              </w:txbxContent>
            </v:textbox>
            <w10:wrap type="none"/>
          </v:shape>
        </w:pict>
      </w:r>
    </w:p>
    <w:p>
      <w:pPr>
        <w:spacing w:line="198" w:lineRule="exact"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r>
      <w:r>
        <w:rPr>
          <w:rFonts w:ascii="宋体" w:hAnsi="宋体" w:cs="宋体" w:eastAsia="宋体" w:hint="default"/>
          <w:spacing w:val="30"/>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p>
      <w:pPr>
        <w:tabs>
          <w:tab w:pos="1982" w:val="left" w:leader="none"/>
          <w:tab w:pos="2821" w:val="left" w:leader="none"/>
        </w:tabs>
        <w:spacing w:line="198" w:lineRule="exact" w:before="0"/>
        <w:ind w:left="170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p>
      <w:pPr>
        <w:spacing w:line="240" w:lineRule="auto" w:before="9"/>
        <w:rPr>
          <w:rFonts w:ascii="宋体" w:hAnsi="宋体" w:cs="宋体" w:eastAsia="宋体" w:hint="default"/>
          <w:sz w:val="18"/>
          <w:szCs w:val="18"/>
        </w:rPr>
      </w:pPr>
      <w:r>
        <w:rPr/>
        <w:br w:type="column"/>
      </w:r>
      <w:r>
        <w:rPr>
          <w:rFonts w:ascii="宋体"/>
          <w:sz w:val="18"/>
        </w:rPr>
      </w:r>
    </w:p>
    <w:p>
      <w:pPr>
        <w:spacing w:line="326" w:lineRule="auto" w:before="0"/>
        <w:ind w:left="261" w:right="-17" w:hanging="80"/>
        <w:jc w:val="left"/>
        <w:rPr>
          <w:rFonts w:ascii="宋体" w:hAnsi="宋体" w:cs="宋体" w:eastAsia="宋体" w:hint="default"/>
          <w:sz w:val="18"/>
          <w:szCs w:val="18"/>
        </w:rPr>
      </w:pPr>
      <w:r>
        <w:rPr>
          <w:rFonts w:ascii="宋体" w:hAnsi="宋体" w:cs="宋体" w:eastAsia="宋体" w:hint="default"/>
          <w:spacing w:val="-14"/>
          <w:sz w:val="18"/>
          <w:szCs w:val="18"/>
        </w:rPr>
        <w:t>占总额</w:t>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326" w:lineRule="auto" w:before="85"/>
        <w:ind w:left="219" w:right="0" w:firstLine="0"/>
        <w:jc w:val="both"/>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坏账准</w:t>
      </w:r>
      <w:r>
        <w:rPr>
          <w:rFonts w:ascii="宋体" w:hAnsi="宋体" w:cs="宋体" w:eastAsia="宋体" w:hint="default"/>
          <w:sz w:val="18"/>
          <w:szCs w:val="18"/>
        </w:rPr>
        <w:t> </w:t>
      </w:r>
      <w:r>
        <w:rPr>
          <w:rFonts w:ascii="宋体" w:hAnsi="宋体" w:cs="宋体" w:eastAsia="宋体" w:hint="default"/>
          <w:spacing w:val="-14"/>
          <w:sz w:val="18"/>
          <w:szCs w:val="18"/>
        </w:rPr>
        <w:t>备</w:t>
      </w:r>
      <w:r>
        <w:rPr>
          <w:rFonts w:ascii="宋体" w:hAnsi="宋体" w:cs="宋体" w:eastAsia="宋体" w:hint="default"/>
          <w:spacing w:val="-14"/>
          <w:sz w:val="18"/>
          <w:szCs w:val="18"/>
          <w:u w:val="single" w:color="000000"/>
        </w:rPr>
        <w:t>计提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tabs>
          <w:tab w:pos="1469" w:val="left" w:leader="none"/>
          <w:tab w:pos="1750" w:val="left" w:leader="none"/>
          <w:tab w:pos="2589" w:val="left" w:leader="none"/>
        </w:tabs>
        <w:spacing w:before="0"/>
        <w:ind w:left="2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16"/>
          <w:sz w:val="18"/>
          <w:szCs w:val="18"/>
          <w:u w:val="single" w:color="000000"/>
        </w:rPr>
        <w:t>坏账准备</w:t>
      </w:r>
      <w:r>
        <w:rPr>
          <w:rFonts w:ascii="宋体" w:hAnsi="宋体" w:cs="宋体" w:eastAsia="宋体" w:hint="default"/>
          <w:spacing w:val="-16"/>
          <w:sz w:val="18"/>
          <w:szCs w:val="18"/>
        </w:rPr>
        <w:tab/>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pacing w:val="-16"/>
          <w:sz w:val="18"/>
          <w:szCs w:val="18"/>
          <w:u w:val="single" w:color="000000"/>
        </w:rPr>
        <w:t> </w:t>
        <w:tab/>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p>
      <w:pPr>
        <w:spacing w:line="240" w:lineRule="auto" w:before="9"/>
        <w:rPr>
          <w:rFonts w:ascii="宋体" w:hAnsi="宋体" w:cs="宋体" w:eastAsia="宋体" w:hint="default"/>
          <w:sz w:val="18"/>
          <w:szCs w:val="18"/>
        </w:rPr>
      </w:pPr>
      <w:r>
        <w:rPr/>
        <w:br w:type="column"/>
      </w:r>
      <w:r>
        <w:rPr>
          <w:rFonts w:ascii="宋体"/>
          <w:sz w:val="18"/>
        </w:rPr>
      </w:r>
    </w:p>
    <w:p>
      <w:pPr>
        <w:spacing w:line="326" w:lineRule="auto" w:before="0"/>
        <w:ind w:left="303" w:right="-17" w:hanging="80"/>
        <w:jc w:val="left"/>
        <w:rPr>
          <w:rFonts w:ascii="宋体" w:hAnsi="宋体" w:cs="宋体" w:eastAsia="宋体" w:hint="default"/>
          <w:sz w:val="18"/>
          <w:szCs w:val="18"/>
        </w:rPr>
      </w:pPr>
      <w:r>
        <w:rPr>
          <w:rFonts w:ascii="宋体" w:hAnsi="宋体" w:cs="宋体" w:eastAsia="宋体" w:hint="default"/>
          <w:spacing w:val="-14"/>
          <w:sz w:val="18"/>
          <w:szCs w:val="18"/>
        </w:rPr>
        <w:t>占总额</w:t>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326" w:lineRule="auto" w:before="85"/>
        <w:ind w:left="264" w:right="0" w:firstLine="0"/>
        <w:jc w:val="both"/>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坏账准</w:t>
      </w:r>
      <w:r>
        <w:rPr>
          <w:rFonts w:ascii="宋体" w:hAnsi="宋体" w:cs="宋体" w:eastAsia="宋体" w:hint="default"/>
          <w:sz w:val="18"/>
          <w:szCs w:val="18"/>
        </w:rPr>
        <w:t> </w:t>
      </w:r>
      <w:r>
        <w:rPr>
          <w:rFonts w:ascii="宋体" w:hAnsi="宋体" w:cs="宋体" w:eastAsia="宋体" w:hint="default"/>
          <w:spacing w:val="-14"/>
          <w:sz w:val="18"/>
          <w:szCs w:val="18"/>
        </w:rPr>
        <w:t>备</w:t>
      </w:r>
      <w:r>
        <w:rPr>
          <w:rFonts w:ascii="宋体" w:hAnsi="宋体" w:cs="宋体" w:eastAsia="宋体" w:hint="default"/>
          <w:spacing w:val="-14"/>
          <w:sz w:val="18"/>
          <w:szCs w:val="18"/>
          <w:u w:val="single" w:color="000000"/>
        </w:rPr>
        <w:t>计提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2"/>
          <w:szCs w:val="12"/>
        </w:rPr>
      </w:pPr>
    </w:p>
    <w:p>
      <w:pPr>
        <w:tabs>
          <w:tab w:pos="1177" w:val="left" w:leader="none"/>
        </w:tabs>
        <w:spacing w:before="0"/>
        <w:ind w:left="2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16"/>
          <w:sz w:val="18"/>
          <w:szCs w:val="18"/>
          <w:u w:val="single" w:color="000000"/>
        </w:rPr>
        <w:t>坏账准备</w:t>
        <w:tab/>
      </w:r>
      <w:r>
        <w:rPr>
          <w:rFonts w:ascii="宋体" w:hAnsi="宋体" w:cs="宋体" w:eastAsia="宋体" w:hint="default"/>
          <w:spacing w:val="-16"/>
          <w:sz w:val="18"/>
          <w:szCs w:val="18"/>
        </w:rPr>
      </w:r>
    </w:p>
    <w:p>
      <w:pPr>
        <w:spacing w:after="0"/>
        <w:jc w:val="left"/>
        <w:rPr>
          <w:rFonts w:ascii="宋体" w:hAnsi="宋体" w:cs="宋体" w:eastAsia="宋体" w:hint="default"/>
          <w:sz w:val="18"/>
          <w:szCs w:val="18"/>
        </w:rPr>
        <w:sectPr>
          <w:type w:val="continuous"/>
          <w:pgSz w:w="11910" w:h="16840"/>
          <w:pgMar w:top="980" w:bottom="1520" w:left="980" w:right="900"/>
          <w:cols w:num="7" w:equalWidth="0">
            <w:col w:w="2822" w:space="40"/>
            <w:col w:w="683" w:space="40"/>
            <w:col w:w="720" w:space="40"/>
            <w:col w:w="2590" w:space="40"/>
            <w:col w:w="725" w:space="40"/>
            <w:col w:w="766" w:space="40"/>
            <w:col w:w="1484"/>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694" w:right="0"/>
        <w:jc w:val="left"/>
      </w:pPr>
      <w:r>
        <w:rPr/>
        <w:t>3.年末应收账款中无持本公司</w:t>
      </w:r>
      <w:r>
        <w:rPr>
          <w:spacing w:val="-60"/>
        </w:rPr>
        <w:t> </w:t>
      </w:r>
      <w:r>
        <w:rPr/>
        <w:t>5%以上（含</w:t>
      </w:r>
      <w:r>
        <w:rPr>
          <w:spacing w:val="-60"/>
        </w:rPr>
        <w:t> </w:t>
      </w:r>
      <w:r>
        <w:rPr/>
        <w:t>5%）表决权股份的股东单位款项。</w:t>
      </w:r>
    </w:p>
    <w:p>
      <w:pPr>
        <w:pStyle w:val="BodyText"/>
        <w:spacing w:line="240" w:lineRule="auto" w:before="126"/>
        <w:ind w:left="694" w:right="0"/>
        <w:jc w:val="left"/>
      </w:pPr>
      <w:r>
        <w:rPr/>
        <w:t>4.年末应收账款中欠款金额前五名</w:t>
      </w:r>
    </w:p>
    <w:p>
      <w:pPr>
        <w:spacing w:line="240" w:lineRule="auto" w:before="2"/>
        <w:rPr>
          <w:rFonts w:ascii="宋体" w:hAnsi="宋体" w:cs="宋体" w:eastAsia="宋体" w:hint="default"/>
          <w:sz w:val="9"/>
          <w:szCs w:val="9"/>
        </w:rPr>
      </w:pPr>
    </w:p>
    <w:tbl>
      <w:tblPr>
        <w:tblW w:w="0" w:type="auto"/>
        <w:jc w:val="left"/>
        <w:tblInd w:w="332" w:type="dxa"/>
        <w:tblLayout w:type="fixed"/>
        <w:tblCellMar>
          <w:top w:w="0" w:type="dxa"/>
          <w:left w:w="0" w:type="dxa"/>
          <w:bottom w:w="0" w:type="dxa"/>
          <w:right w:w="0" w:type="dxa"/>
        </w:tblCellMar>
        <w:tblLook w:val="01E0"/>
      </w:tblPr>
      <w:tblGrid>
        <w:gridCol w:w="3704"/>
        <w:gridCol w:w="1763"/>
        <w:gridCol w:w="1545"/>
        <w:gridCol w:w="2174"/>
      </w:tblGrid>
      <w:tr>
        <w:trPr>
          <w:trHeight w:val="791" w:hRule="exact"/>
        </w:trPr>
        <w:tc>
          <w:tcPr>
            <w:tcW w:w="3704" w:type="dxa"/>
            <w:tcBorders>
              <w:top w:val="nil" w:sz="6" w:space="0" w:color="auto"/>
              <w:left w:val="nil" w:sz="6" w:space="0" w:color="auto"/>
              <w:bottom w:val="nil" w:sz="6" w:space="0" w:color="auto"/>
              <w:right w:val="nil" w:sz="6" w:space="0" w:color="auto"/>
            </w:tcBorders>
          </w:tcPr>
          <w:p>
            <w:pPr>
              <w:pStyle w:val="TableParagraph"/>
              <w:tabs>
                <w:tab w:pos="1474" w:val="left" w:leader="none"/>
                <w:tab w:pos="3477" w:val="left" w:leader="none"/>
              </w:tabs>
              <w:spacing w:line="408" w:lineRule="auto" w:before="44"/>
              <w:ind w:left="35" w:right="207"/>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债务人排名</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第一名:</w:t>
            </w:r>
            <w:r>
              <w:rPr>
                <w:rFonts w:ascii="宋体" w:hAnsi="宋体" w:cs="宋体" w:eastAsia="宋体" w:hint="default"/>
                <w:spacing w:val="-35"/>
                <w:sz w:val="18"/>
                <w:szCs w:val="18"/>
              </w:rPr>
              <w:t> </w:t>
            </w:r>
            <w:r>
              <w:rPr>
                <w:rFonts w:ascii="宋体" w:hAnsi="宋体" w:cs="宋体" w:eastAsia="宋体" w:hint="default"/>
                <w:sz w:val="18"/>
                <w:szCs w:val="18"/>
              </w:rPr>
              <w:t>PHILIPS</w:t>
            </w:r>
            <w:r>
              <w:rPr>
                <w:rFonts w:ascii="宋体" w:hAnsi="宋体" w:cs="宋体" w:eastAsia="宋体" w:hint="default"/>
                <w:spacing w:val="-35"/>
                <w:sz w:val="18"/>
                <w:szCs w:val="18"/>
              </w:rPr>
              <w:t> </w:t>
            </w:r>
            <w:r>
              <w:rPr>
                <w:rFonts w:ascii="宋体" w:hAnsi="宋体" w:cs="宋体" w:eastAsia="宋体" w:hint="default"/>
                <w:sz w:val="18"/>
                <w:szCs w:val="18"/>
              </w:rPr>
              <w:t>ELECTRONICS</w:t>
            </w:r>
            <w:r>
              <w:rPr>
                <w:rFonts w:ascii="宋体" w:hAnsi="宋体" w:cs="宋体" w:eastAsia="宋体" w:hint="default"/>
                <w:spacing w:val="-36"/>
                <w:sz w:val="18"/>
                <w:szCs w:val="18"/>
              </w:rPr>
              <w:t> </w:t>
            </w:r>
            <w:r>
              <w:rPr>
                <w:rFonts w:ascii="宋体" w:hAnsi="宋体" w:cs="宋体" w:eastAsia="宋体" w:hint="default"/>
                <w:sz w:val="18"/>
                <w:szCs w:val="18"/>
              </w:rPr>
              <w:t>HONGKONG</w:t>
            </w:r>
            <w:r>
              <w:rPr>
                <w:rFonts w:ascii="宋体" w:hAnsi="宋体" w:cs="宋体" w:eastAsia="宋体" w:hint="default"/>
                <w:spacing w:val="-35"/>
                <w:sz w:val="18"/>
                <w:szCs w:val="18"/>
              </w:rPr>
              <w:t> </w:t>
            </w:r>
            <w:r>
              <w:rPr>
                <w:rFonts w:ascii="宋体" w:hAnsi="宋体" w:cs="宋体" w:eastAsia="宋体" w:hint="default"/>
                <w:sz w:val="18"/>
                <w:szCs w:val="18"/>
              </w:rPr>
              <w:t>LTD</w:t>
            </w:r>
          </w:p>
        </w:tc>
        <w:tc>
          <w:tcPr>
            <w:tcW w:w="1763"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408" w:lineRule="auto" w:before="44"/>
              <w:ind w:left="209" w:right="29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金额</w:t>
            </w:r>
            <w:r>
              <w:rPr>
                <w:rFonts w:ascii="宋体" w:hAnsi="宋体" w:cs="宋体" w:eastAsia="宋体" w:hint="default"/>
                <w:sz w:val="18"/>
                <w:szCs w:val="18"/>
              </w:rPr>
            </w:r>
            <w:r>
              <w:rPr>
                <w:rFonts w:ascii="宋体" w:hAnsi="宋体" w:cs="宋体" w:eastAsia="宋体" w:hint="default"/>
                <w:sz w:val="18"/>
                <w:szCs w:val="18"/>
              </w:rPr>
              <w:t> 192,600,771.47</w:t>
            </w:r>
          </w:p>
        </w:tc>
        <w:tc>
          <w:tcPr>
            <w:tcW w:w="1545" w:type="dxa"/>
            <w:tcBorders>
              <w:top w:val="nil" w:sz="6" w:space="0" w:color="auto"/>
              <w:left w:val="nil" w:sz="6" w:space="0" w:color="auto"/>
              <w:bottom w:val="nil" w:sz="6" w:space="0" w:color="auto"/>
              <w:right w:val="nil" w:sz="6" w:space="0" w:color="auto"/>
            </w:tcBorders>
          </w:tcPr>
          <w:p>
            <w:pPr>
              <w:pStyle w:val="TableParagraph"/>
              <w:tabs>
                <w:tab w:pos="1025" w:val="left" w:leader="none"/>
              </w:tabs>
              <w:spacing w:line="408" w:lineRule="auto" w:before="44"/>
              <w:ind w:left="293" w:right="157" w:firstLine="28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账龄</w:t>
            </w:r>
            <w:r>
              <w:rPr>
                <w:rFonts w:ascii="宋体" w:hAnsi="宋体" w:cs="宋体" w:eastAsia="宋体" w:hint="default"/>
                <w:sz w:val="18"/>
                <w:szCs w:val="18"/>
              </w:rPr>
            </w:r>
            <w:r>
              <w:rPr>
                <w:rFonts w:ascii="宋体" w:hAnsi="宋体" w:cs="宋体" w:eastAsia="宋体" w:hint="default"/>
                <w:sz w:val="18"/>
                <w:szCs w:val="18"/>
              </w:rPr>
              <w:t> 一年以内</w:t>
            </w:r>
          </w:p>
        </w:tc>
        <w:tc>
          <w:tcPr>
            <w:tcW w:w="2174" w:type="dxa"/>
            <w:tcBorders>
              <w:top w:val="nil" w:sz="6" w:space="0" w:color="auto"/>
              <w:left w:val="nil" w:sz="6" w:space="0" w:color="auto"/>
              <w:bottom w:val="nil" w:sz="6" w:space="0" w:color="auto"/>
              <w:right w:val="nil" w:sz="6" w:space="0" w:color="auto"/>
            </w:tcBorders>
          </w:tcPr>
          <w:p>
            <w:pPr>
              <w:pStyle w:val="TableParagraph"/>
              <w:tabs>
                <w:tab w:pos="2121" w:val="left" w:leader="none"/>
              </w:tabs>
              <w:spacing w:line="408" w:lineRule="auto" w:before="44"/>
              <w:ind w:left="833" w:right="33" w:hanging="67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占应收账款总额的比例</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58.79%</w:t>
            </w:r>
          </w:p>
        </w:tc>
      </w:tr>
      <w:tr>
        <w:trPr>
          <w:trHeight w:val="400"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第二名: PHILIPS ASSEMBLY CENTRE</w:t>
            </w:r>
            <w:r>
              <w:rPr>
                <w:rFonts w:ascii="宋体" w:hAnsi="宋体" w:cs="宋体" w:eastAsia="宋体" w:hint="default"/>
                <w:spacing w:val="-55"/>
                <w:sz w:val="18"/>
                <w:szCs w:val="18"/>
              </w:rPr>
              <w:t> </w:t>
            </w:r>
            <w:r>
              <w:rPr>
                <w:rFonts w:ascii="宋体" w:hAnsi="宋体" w:cs="宋体" w:eastAsia="宋体" w:hint="default"/>
                <w:sz w:val="18"/>
                <w:szCs w:val="18"/>
              </w:rPr>
              <w:t>HUNGARY</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3"/>
              <w:jc w:val="right"/>
              <w:rPr>
                <w:rFonts w:ascii="宋体" w:hAnsi="宋体" w:cs="宋体" w:eastAsia="宋体" w:hint="default"/>
                <w:sz w:val="18"/>
                <w:szCs w:val="18"/>
              </w:rPr>
            </w:pPr>
            <w:r>
              <w:rPr>
                <w:rFonts w:ascii="宋体"/>
                <w:sz w:val="18"/>
              </w:rPr>
              <w:t>122,072,481.56</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2" w:right="0"/>
              <w:jc w:val="center"/>
              <w:rPr>
                <w:rFonts w:ascii="宋体" w:hAnsi="宋体" w:cs="宋体" w:eastAsia="宋体" w:hint="default"/>
                <w:sz w:val="18"/>
                <w:szCs w:val="18"/>
              </w:rPr>
            </w:pPr>
            <w:r>
              <w:rPr>
                <w:rFonts w:ascii="宋体"/>
                <w:sz w:val="18"/>
              </w:rPr>
              <w:t>37.26%</w:t>
            </w:r>
          </w:p>
        </w:tc>
      </w:tr>
      <w:tr>
        <w:trPr>
          <w:trHeight w:val="400"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第三名: FYRNETICS ELECTRONICS FACTORY</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2"/>
              <w:jc w:val="right"/>
              <w:rPr>
                <w:rFonts w:ascii="宋体" w:hAnsi="宋体" w:cs="宋体" w:eastAsia="宋体" w:hint="default"/>
                <w:sz w:val="18"/>
                <w:szCs w:val="18"/>
              </w:rPr>
            </w:pPr>
            <w:r>
              <w:rPr>
                <w:rFonts w:ascii="宋体"/>
                <w:sz w:val="18"/>
              </w:rPr>
              <w:t>3,995,386.25</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center"/>
              <w:rPr>
                <w:rFonts w:ascii="宋体" w:hAnsi="宋体" w:cs="宋体" w:eastAsia="宋体" w:hint="default"/>
                <w:sz w:val="18"/>
                <w:szCs w:val="18"/>
              </w:rPr>
            </w:pPr>
            <w:r>
              <w:rPr>
                <w:rFonts w:ascii="宋体"/>
                <w:sz w:val="18"/>
              </w:rPr>
              <w:t>1.22%</w:t>
            </w:r>
          </w:p>
        </w:tc>
      </w:tr>
      <w:tr>
        <w:trPr>
          <w:trHeight w:val="400"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第四名: 华忆科技(深圳)有限公司</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2"/>
              <w:jc w:val="right"/>
              <w:rPr>
                <w:rFonts w:ascii="宋体" w:hAnsi="宋体" w:cs="宋体" w:eastAsia="宋体" w:hint="default"/>
                <w:sz w:val="18"/>
                <w:szCs w:val="18"/>
              </w:rPr>
            </w:pPr>
            <w:r>
              <w:rPr>
                <w:rFonts w:ascii="宋体"/>
                <w:sz w:val="18"/>
              </w:rPr>
              <w:t>2,985,970.52</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9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4" w:right="0"/>
              <w:jc w:val="center"/>
              <w:rPr>
                <w:rFonts w:ascii="宋体" w:hAnsi="宋体" w:cs="宋体" w:eastAsia="宋体" w:hint="default"/>
                <w:sz w:val="18"/>
                <w:szCs w:val="18"/>
              </w:rPr>
            </w:pPr>
            <w:r>
              <w:rPr>
                <w:rFonts w:ascii="宋体"/>
                <w:sz w:val="18"/>
              </w:rPr>
              <w:t>0.91%</w:t>
            </w:r>
          </w:p>
        </w:tc>
      </w:tr>
      <w:tr>
        <w:trPr>
          <w:trHeight w:val="390"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第五名: COMPESS DIGITAL TECHNOLOGY</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2"/>
              <w:jc w:val="right"/>
              <w:rPr>
                <w:rFonts w:ascii="宋体" w:hAnsi="宋体" w:cs="宋体" w:eastAsia="宋体" w:hint="default"/>
                <w:sz w:val="18"/>
                <w:szCs w:val="18"/>
              </w:rPr>
            </w:pPr>
            <w:r>
              <w:rPr>
                <w:rFonts w:ascii="宋体"/>
                <w:sz w:val="18"/>
              </w:rPr>
              <w:t>1,033,758.31</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4" w:right="0"/>
              <w:jc w:val="center"/>
              <w:rPr>
                <w:rFonts w:ascii="宋体" w:hAnsi="宋体" w:cs="宋体" w:eastAsia="宋体" w:hint="default"/>
                <w:sz w:val="18"/>
                <w:szCs w:val="18"/>
              </w:rPr>
            </w:pPr>
            <w:r>
              <w:rPr>
                <w:rFonts w:ascii="宋体"/>
                <w:sz w:val="18"/>
              </w:rPr>
              <w:t>0.32%</w:t>
            </w:r>
          </w:p>
        </w:tc>
      </w:tr>
    </w:tbl>
    <w:p>
      <w:pPr>
        <w:pStyle w:val="BodyText"/>
        <w:spacing w:line="336" w:lineRule="auto" w:before="25"/>
        <w:ind w:left="154" w:right="131" w:firstLine="540"/>
        <w:jc w:val="left"/>
      </w:pPr>
      <w:r>
        <w:rPr/>
        <w:t>5.应收账款年末数比年初数增加</w:t>
      </w:r>
      <w:r>
        <w:rPr>
          <w:spacing w:val="-47"/>
        </w:rPr>
        <w:t> </w:t>
      </w:r>
      <w:r>
        <w:rPr/>
        <w:t>217,486,799.25</w:t>
      </w:r>
      <w:r>
        <w:rPr>
          <w:spacing w:val="-47"/>
        </w:rPr>
        <w:t> </w:t>
      </w:r>
      <w:r>
        <w:rPr/>
        <w:t>元，增加比例为</w:t>
      </w:r>
      <w:r>
        <w:rPr>
          <w:spacing w:val="-47"/>
        </w:rPr>
        <w:t> </w:t>
      </w:r>
      <w:r>
        <w:rPr/>
        <w:t>197.49％，变动原因</w:t>
      </w:r>
      <w:r>
        <w:rPr/>
        <w:t> </w:t>
      </w:r>
      <w:r>
        <w:rPr>
          <w:spacing w:val="-14"/>
        </w:rPr>
        <w:t>为：本期对主要客户</w:t>
      </w:r>
      <w:r>
        <w:rPr>
          <w:spacing w:val="-68"/>
        </w:rPr>
        <w:t> </w:t>
      </w:r>
      <w:r>
        <w:rPr/>
        <w:t>PHILIPS</w:t>
      </w:r>
      <w:r>
        <w:rPr>
          <w:spacing w:val="-60"/>
        </w:rPr>
        <w:t> </w:t>
      </w:r>
      <w:r>
        <w:rPr/>
        <w:t>ELECTRONICS</w:t>
      </w:r>
      <w:r>
        <w:rPr>
          <w:spacing w:val="-60"/>
        </w:rPr>
        <w:t> </w:t>
      </w:r>
      <w:r>
        <w:rPr/>
        <w:t>HONGKONG</w:t>
      </w:r>
      <w:r>
        <w:rPr>
          <w:spacing w:val="-60"/>
        </w:rPr>
        <w:t> </w:t>
      </w:r>
      <w:r>
        <w:rPr/>
        <w:t>LTD</w:t>
      </w:r>
      <w:r>
        <w:rPr>
          <w:spacing w:val="-68"/>
        </w:rPr>
        <w:t> </w:t>
      </w:r>
      <w:r>
        <w:rPr/>
        <w:t>和</w:t>
      </w:r>
      <w:r>
        <w:rPr>
          <w:spacing w:val="-68"/>
        </w:rPr>
        <w:t> </w:t>
      </w:r>
      <w:r>
        <w:rPr/>
        <w:t>PHILIPS</w:t>
      </w:r>
      <w:r>
        <w:rPr>
          <w:spacing w:val="-60"/>
        </w:rPr>
        <w:t> </w:t>
      </w:r>
      <w:r>
        <w:rPr/>
        <w:t>ASSEMBLY</w:t>
      </w:r>
      <w:r>
        <w:rPr>
          <w:spacing w:val="-60"/>
        </w:rPr>
        <w:t> </w:t>
      </w:r>
      <w:r>
        <w:rPr/>
        <w:t>CENTRE</w:t>
      </w:r>
      <w:r>
        <w:rPr>
          <w:spacing w:val="-60"/>
        </w:rPr>
        <w:t> </w:t>
      </w:r>
      <w:r>
        <w:rPr/>
        <w:t>HUNGARY</w:t>
      </w:r>
    </w:p>
    <w:p>
      <w:pPr>
        <w:pStyle w:val="BodyText"/>
        <w:spacing w:line="336" w:lineRule="auto"/>
        <w:ind w:left="694" w:right="7808" w:hanging="540"/>
        <w:jc w:val="both"/>
      </w:pPr>
      <w:r>
        <w:rPr/>
        <w:pict>
          <v:shape style="position:absolute;margin-left:60.349998pt;margin-top:63.183155pt;width:469.7pt;height:215.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4"/>
                    <w:gridCol w:w="1694"/>
                    <w:gridCol w:w="2166"/>
                    <w:gridCol w:w="3650"/>
                  </w:tblGrid>
                  <w:tr>
                    <w:trPr>
                      <w:trHeight w:val="860" w:hRule="exact"/>
                    </w:trPr>
                    <w:tc>
                      <w:tcPr>
                        <w:tcW w:w="1884" w:type="dxa"/>
                        <w:tcBorders>
                          <w:top w:val="nil" w:sz="6" w:space="0" w:color="auto"/>
                          <w:left w:val="nil" w:sz="6" w:space="0" w:color="auto"/>
                          <w:bottom w:val="nil" w:sz="6" w:space="0" w:color="auto"/>
                          <w:right w:val="nil" w:sz="6" w:space="0" w:color="auto"/>
                        </w:tcBorders>
                      </w:tcPr>
                      <w:p>
                        <w:pPr>
                          <w:pStyle w:val="TableParagraph"/>
                          <w:tabs>
                            <w:tab w:pos="514" w:val="left" w:leader="none"/>
                            <w:tab w:pos="1474" w:val="left" w:leader="none"/>
                          </w:tabs>
                          <w:spacing w:line="273"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账 龄</w:t>
                          <w:tab/>
                        </w:r>
                        <w:r>
                          <w:rPr>
                            <w:rFonts w:ascii="宋体" w:hAnsi="宋体" w:cs="宋体" w:eastAsia="宋体" w:hint="default"/>
                            <w:sz w:val="24"/>
                            <w:szCs w:val="24"/>
                          </w:rPr>
                        </w: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860" w:type="dxa"/>
                        <w:gridSpan w:val="2"/>
                        <w:tcBorders>
                          <w:top w:val="nil" w:sz="6" w:space="0" w:color="auto"/>
                          <w:left w:val="nil" w:sz="6" w:space="0" w:color="auto"/>
                          <w:bottom w:val="nil" w:sz="6" w:space="0" w:color="auto"/>
                          <w:right w:val="nil" w:sz="6" w:space="0" w:color="auto"/>
                        </w:tcBorders>
                      </w:tcPr>
                      <w:p>
                        <w:pPr>
                          <w:pStyle w:val="TableParagraph"/>
                          <w:tabs>
                            <w:tab w:pos="1374" w:val="left" w:leader="none"/>
                            <w:tab w:pos="3294" w:val="left" w:leader="none"/>
                          </w:tabs>
                          <w:spacing w:line="256" w:lineRule="exact"/>
                          <w:ind w:left="414"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年末数</w:t>
                          <w:tab/>
                        </w:r>
                        <w:r>
                          <w:rPr>
                            <w:rFonts w:ascii="宋体" w:hAnsi="宋体" w:cs="宋体" w:eastAsia="宋体" w:hint="default"/>
                            <w:sz w:val="24"/>
                            <w:szCs w:val="24"/>
                          </w:rPr>
                        </w:r>
                      </w:p>
                      <w:p>
                        <w:pPr>
                          <w:pStyle w:val="TableParagraph"/>
                          <w:tabs>
                            <w:tab w:pos="1090" w:val="left" w:leader="none"/>
                            <w:tab w:pos="1690" w:val="left" w:leader="none"/>
                            <w:tab w:pos="2854" w:val="left" w:leader="none"/>
                          </w:tabs>
                          <w:spacing w:line="283" w:lineRule="exact"/>
                          <w:ind w:left="73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金</w:t>
                          <w:tab/>
                          <w:t>额</w:t>
                        </w:r>
                        <w:r>
                          <w:rPr>
                            <w:rFonts w:ascii="宋体" w:hAnsi="宋体" w:cs="宋体" w:eastAsia="宋体" w:hint="default"/>
                            <w:sz w:val="24"/>
                            <w:szCs w:val="24"/>
                          </w:rPr>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r>
                        <w:r>
                          <w:rPr>
                            <w:rFonts w:ascii="宋体" w:hAnsi="宋体" w:cs="宋体" w:eastAsia="宋体" w:hint="default"/>
                            <w:sz w:val="24"/>
                            <w:szCs w:val="24"/>
                            <w:u w:val="single" w:color="000000"/>
                          </w:rPr>
                          <w:t>比 例</w:t>
                        </w:r>
                        <w:r>
                          <w:rPr>
                            <w:rFonts w:ascii="宋体" w:hAnsi="宋体" w:cs="宋体" w:eastAsia="宋体" w:hint="default"/>
                            <w:sz w:val="24"/>
                            <w:szCs w:val="24"/>
                          </w:rPr>
                        </w:r>
                      </w:p>
                      <w:p>
                        <w:pPr>
                          <w:pStyle w:val="TableParagraph"/>
                          <w:tabs>
                            <w:tab w:pos="2929" w:val="left" w:leader="none"/>
                          </w:tabs>
                          <w:spacing w:line="300" w:lineRule="exact"/>
                          <w:ind w:left="244" w:right="0"/>
                          <w:jc w:val="center"/>
                          <w:rPr>
                            <w:rFonts w:ascii="宋体" w:hAnsi="宋体" w:cs="宋体" w:eastAsia="宋体" w:hint="default"/>
                            <w:sz w:val="24"/>
                            <w:szCs w:val="24"/>
                          </w:rPr>
                        </w:pPr>
                        <w:r>
                          <w:rPr>
                            <w:rFonts w:ascii="宋体"/>
                            <w:sz w:val="24"/>
                          </w:rPr>
                          <w:t>14,316,442.92</w:t>
                          <w:tab/>
                          <w:t>99.05</w:t>
                        </w:r>
                      </w:p>
                    </w:tc>
                    <w:tc>
                      <w:tcPr>
                        <w:tcW w:w="3650" w:type="dxa"/>
                        <w:tcBorders>
                          <w:top w:val="nil" w:sz="6" w:space="0" w:color="auto"/>
                          <w:left w:val="nil" w:sz="6" w:space="0" w:color="auto"/>
                          <w:bottom w:val="nil" w:sz="6" w:space="0" w:color="auto"/>
                          <w:right w:val="nil" w:sz="6" w:space="0" w:color="auto"/>
                        </w:tcBorders>
                      </w:tcPr>
                      <w:p>
                        <w:pPr>
                          <w:pStyle w:val="TableParagraph"/>
                          <w:tabs>
                            <w:tab w:pos="1393" w:val="left" w:leader="none"/>
                            <w:tab w:pos="3313" w:val="left" w:leader="none"/>
                          </w:tabs>
                          <w:spacing w:line="256" w:lineRule="exact"/>
                          <w:ind w:left="313"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年初数</w:t>
                          <w:tab/>
                        </w:r>
                        <w:r>
                          <w:rPr>
                            <w:rFonts w:ascii="宋体" w:hAnsi="宋体" w:cs="宋体" w:eastAsia="宋体" w:hint="default"/>
                            <w:sz w:val="24"/>
                            <w:szCs w:val="24"/>
                          </w:rPr>
                        </w:r>
                      </w:p>
                      <w:p>
                        <w:pPr>
                          <w:pStyle w:val="TableParagraph"/>
                          <w:tabs>
                            <w:tab w:pos="1010" w:val="left" w:leader="none"/>
                            <w:tab w:pos="2774" w:val="left" w:leader="none"/>
                          </w:tabs>
                          <w:spacing w:line="282" w:lineRule="exact"/>
                          <w:ind w:left="53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金</w:t>
                        </w:r>
                        <w:r>
                          <w:rPr>
                            <w:rFonts w:ascii="宋体" w:hAnsi="宋体" w:cs="宋体" w:eastAsia="宋体" w:hint="default"/>
                            <w:sz w:val="24"/>
                            <w:szCs w:val="24"/>
                          </w:rPr>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r>
                        <w:r>
                          <w:rPr>
                            <w:rFonts w:ascii="宋体" w:hAnsi="宋体" w:cs="宋体" w:eastAsia="宋体" w:hint="default"/>
                            <w:sz w:val="24"/>
                            <w:szCs w:val="24"/>
                            <w:u w:val="single" w:color="000000"/>
                          </w:rPr>
                          <w:t>比 例</w:t>
                        </w:r>
                        <w:r>
                          <w:rPr>
                            <w:rFonts w:ascii="宋体" w:hAnsi="宋体" w:cs="宋体" w:eastAsia="宋体" w:hint="default"/>
                            <w:sz w:val="24"/>
                            <w:szCs w:val="24"/>
                          </w:rPr>
                        </w:r>
                      </w:p>
                      <w:p>
                        <w:pPr>
                          <w:pStyle w:val="TableParagraph"/>
                          <w:tabs>
                            <w:tab w:pos="3219" w:val="left" w:leader="none"/>
                          </w:tabs>
                          <w:spacing w:line="299" w:lineRule="exact"/>
                          <w:ind w:left="129" w:right="0"/>
                          <w:jc w:val="center"/>
                          <w:rPr>
                            <w:rFonts w:ascii="宋体" w:hAnsi="宋体" w:cs="宋体" w:eastAsia="宋体" w:hint="default"/>
                            <w:sz w:val="24"/>
                            <w:szCs w:val="24"/>
                          </w:rPr>
                        </w:pPr>
                        <w:r>
                          <w:rPr>
                            <w:rFonts w:ascii="宋体"/>
                            <w:sz w:val="24"/>
                          </w:rPr>
                          <w:t>13,417,469</w:t>
                          <w:tab/>
                          <w:t>100</w:t>
                        </w:r>
                      </w:p>
                    </w:tc>
                  </w:tr>
                  <w:tr>
                    <w:trPr>
                      <w:trHeight w:val="283"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860" w:type="dxa"/>
                        <w:gridSpan w:val="2"/>
                        <w:tcBorders>
                          <w:top w:val="nil" w:sz="6" w:space="0" w:color="auto"/>
                          <w:left w:val="nil" w:sz="6" w:space="0" w:color="auto"/>
                          <w:bottom w:val="nil" w:sz="6" w:space="0" w:color="auto"/>
                          <w:right w:val="nil" w:sz="6" w:space="0" w:color="auto"/>
                        </w:tcBorders>
                      </w:tcPr>
                      <w:p>
                        <w:pPr>
                          <w:pStyle w:val="TableParagraph"/>
                          <w:tabs>
                            <w:tab w:pos="3214" w:val="left" w:leader="none"/>
                          </w:tabs>
                          <w:spacing w:line="260" w:lineRule="exact"/>
                          <w:ind w:left="769" w:right="0"/>
                          <w:jc w:val="left"/>
                          <w:rPr>
                            <w:rFonts w:ascii="宋体" w:hAnsi="宋体" w:cs="宋体" w:eastAsia="宋体" w:hint="default"/>
                            <w:sz w:val="24"/>
                            <w:szCs w:val="24"/>
                          </w:rPr>
                        </w:pPr>
                        <w:r>
                          <w:rPr>
                            <w:rFonts w:ascii="宋体"/>
                            <w:sz w:val="24"/>
                          </w:rPr>
                          <w:t>161,573.00</w:t>
                          <w:tab/>
                          <w:t>0.95</w:t>
                        </w:r>
                      </w:p>
                    </w:tc>
                    <w:tc>
                      <w:tcPr>
                        <w:tcW w:w="3650" w:type="dxa"/>
                        <w:tcBorders>
                          <w:top w:val="nil" w:sz="6" w:space="0" w:color="auto"/>
                          <w:left w:val="nil" w:sz="6" w:space="0" w:color="auto"/>
                          <w:bottom w:val="nil" w:sz="6" w:space="0" w:color="auto"/>
                          <w:right w:val="nil" w:sz="6" w:space="0" w:color="auto"/>
                        </w:tcBorders>
                      </w:tcPr>
                      <w:p>
                        <w:pPr>
                          <w:pStyle w:val="TableParagraph"/>
                          <w:tabs>
                            <w:tab w:pos="2249" w:val="left" w:leader="none"/>
                          </w:tabs>
                          <w:spacing w:line="260" w:lineRule="exact"/>
                          <w:ind w:right="33"/>
                          <w:jc w:val="right"/>
                          <w:rPr>
                            <w:rFonts w:ascii="宋体" w:hAnsi="宋体" w:cs="宋体" w:eastAsia="宋体" w:hint="default"/>
                            <w:sz w:val="24"/>
                            <w:szCs w:val="24"/>
                          </w:rPr>
                        </w:pPr>
                        <w:r>
                          <w:rPr>
                            <w:rFonts w:ascii="宋体" w:hAnsi="宋体" w:cs="宋体" w:eastAsia="宋体" w:hint="default"/>
                            <w:sz w:val="24"/>
                            <w:szCs w:val="24"/>
                          </w:rPr>
                          <w:t>——</w:t>
                          <w:tab/>
                          <w:t>——</w:t>
                        </w:r>
                      </w:p>
                    </w:tc>
                  </w:tr>
                  <w:tr>
                    <w:trPr>
                      <w:trHeight w:val="284"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860" w:type="dxa"/>
                        <w:gridSpan w:val="2"/>
                        <w:tcBorders>
                          <w:top w:val="nil" w:sz="6" w:space="0" w:color="auto"/>
                          <w:left w:val="nil" w:sz="6" w:space="0" w:color="auto"/>
                          <w:bottom w:val="nil" w:sz="6" w:space="0" w:color="auto"/>
                          <w:right w:val="nil" w:sz="6" w:space="0" w:color="auto"/>
                        </w:tcBorders>
                      </w:tcPr>
                      <w:p>
                        <w:pPr>
                          <w:pStyle w:val="TableParagraph"/>
                          <w:tabs>
                            <w:tab w:pos="3214" w:val="left" w:leader="none"/>
                          </w:tabs>
                          <w:spacing w:line="262" w:lineRule="exact"/>
                          <w:ind w:left="1489" w:right="0"/>
                          <w:jc w:val="left"/>
                          <w:rPr>
                            <w:rFonts w:ascii="宋体" w:hAnsi="宋体" w:cs="宋体" w:eastAsia="宋体" w:hint="default"/>
                            <w:sz w:val="24"/>
                            <w:szCs w:val="24"/>
                          </w:rPr>
                        </w:pPr>
                        <w:r>
                          <w:rPr>
                            <w:rFonts w:ascii="宋体" w:hAnsi="宋体" w:cs="宋体" w:eastAsia="宋体" w:hint="default"/>
                            <w:sz w:val="24"/>
                            <w:szCs w:val="24"/>
                          </w:rPr>
                          <w:t>——</w:t>
                          <w:tab/>
                          <w:t>——</w:t>
                        </w:r>
                      </w:p>
                    </w:tc>
                    <w:tc>
                      <w:tcPr>
                        <w:tcW w:w="3650" w:type="dxa"/>
                        <w:tcBorders>
                          <w:top w:val="nil" w:sz="6" w:space="0" w:color="auto"/>
                          <w:left w:val="nil" w:sz="6" w:space="0" w:color="auto"/>
                          <w:bottom w:val="nil" w:sz="6" w:space="0" w:color="auto"/>
                          <w:right w:val="nil" w:sz="6" w:space="0" w:color="auto"/>
                        </w:tcBorders>
                      </w:tcPr>
                      <w:p>
                        <w:pPr>
                          <w:pStyle w:val="TableParagraph"/>
                          <w:tabs>
                            <w:tab w:pos="2249" w:val="left" w:leader="none"/>
                          </w:tabs>
                          <w:spacing w:line="262" w:lineRule="exact"/>
                          <w:ind w:right="33"/>
                          <w:jc w:val="right"/>
                          <w:rPr>
                            <w:rFonts w:ascii="宋体" w:hAnsi="宋体" w:cs="宋体" w:eastAsia="宋体" w:hint="default"/>
                            <w:sz w:val="24"/>
                            <w:szCs w:val="24"/>
                          </w:rPr>
                        </w:pPr>
                        <w:r>
                          <w:rPr>
                            <w:rFonts w:ascii="宋体" w:hAnsi="宋体" w:cs="宋体" w:eastAsia="宋体" w:hint="default"/>
                            <w:sz w:val="24"/>
                            <w:szCs w:val="24"/>
                          </w:rPr>
                          <w:t>——</w:t>
                          <w:tab/>
                          <w:t>——</w:t>
                        </w:r>
                      </w:p>
                    </w:tc>
                  </w:tr>
                  <w:tr>
                    <w:trPr>
                      <w:trHeight w:val="284"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860" w:type="dxa"/>
                        <w:gridSpan w:val="2"/>
                        <w:tcBorders>
                          <w:top w:val="nil" w:sz="6" w:space="0" w:color="auto"/>
                          <w:left w:val="nil" w:sz="6" w:space="0" w:color="auto"/>
                          <w:bottom w:val="nil" w:sz="6" w:space="0" w:color="auto"/>
                          <w:right w:val="nil" w:sz="6" w:space="0" w:color="auto"/>
                        </w:tcBorders>
                      </w:tcPr>
                      <w:p>
                        <w:pPr>
                          <w:pStyle w:val="TableParagraph"/>
                          <w:tabs>
                            <w:tab w:pos="3214" w:val="left" w:leader="none"/>
                          </w:tabs>
                          <w:spacing w:line="262" w:lineRule="exact"/>
                          <w:ind w:left="1489" w:right="0"/>
                          <w:jc w:val="left"/>
                          <w:rPr>
                            <w:rFonts w:ascii="宋体" w:hAnsi="宋体" w:cs="宋体" w:eastAsia="宋体" w:hint="default"/>
                            <w:sz w:val="24"/>
                            <w:szCs w:val="24"/>
                          </w:rPr>
                        </w:pPr>
                        <w:r>
                          <w:rPr>
                            <w:rFonts w:ascii="宋体" w:hAnsi="宋体" w:cs="宋体" w:eastAsia="宋体" w:hint="default"/>
                            <w:sz w:val="24"/>
                            <w:szCs w:val="24"/>
                          </w:rPr>
                          <w:t>——</w:t>
                          <w:tab/>
                          <w:t>——</w:t>
                        </w:r>
                      </w:p>
                    </w:tc>
                    <w:tc>
                      <w:tcPr>
                        <w:tcW w:w="3650" w:type="dxa"/>
                        <w:tcBorders>
                          <w:top w:val="nil" w:sz="6" w:space="0" w:color="auto"/>
                          <w:left w:val="nil" w:sz="6" w:space="0" w:color="auto"/>
                          <w:bottom w:val="nil" w:sz="6" w:space="0" w:color="auto"/>
                          <w:right w:val="nil" w:sz="6" w:space="0" w:color="auto"/>
                        </w:tcBorders>
                      </w:tcPr>
                      <w:p>
                        <w:pPr>
                          <w:pStyle w:val="TableParagraph"/>
                          <w:tabs>
                            <w:tab w:pos="2249" w:val="left" w:leader="none"/>
                          </w:tabs>
                          <w:spacing w:line="262" w:lineRule="exact"/>
                          <w:ind w:right="33"/>
                          <w:jc w:val="right"/>
                          <w:rPr>
                            <w:rFonts w:ascii="宋体" w:hAnsi="宋体" w:cs="宋体" w:eastAsia="宋体" w:hint="default"/>
                            <w:sz w:val="24"/>
                            <w:szCs w:val="24"/>
                          </w:rPr>
                        </w:pPr>
                        <w:r>
                          <w:rPr>
                            <w:rFonts w:ascii="宋体" w:hAnsi="宋体" w:cs="宋体" w:eastAsia="宋体" w:hint="default"/>
                            <w:sz w:val="24"/>
                            <w:szCs w:val="24"/>
                          </w:rPr>
                          <w:t>——</w:t>
                          <w:tab/>
                          <w:t>——</w:t>
                        </w:r>
                      </w:p>
                    </w:tc>
                  </w:tr>
                  <w:tr>
                    <w:trPr>
                      <w:trHeight w:val="294" w:hRule="exact"/>
                    </w:trPr>
                    <w:tc>
                      <w:tcPr>
                        <w:tcW w:w="188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3860" w:type="dxa"/>
                        <w:gridSpan w:val="2"/>
                        <w:tcBorders>
                          <w:top w:val="nil" w:sz="6" w:space="0" w:color="auto"/>
                          <w:left w:val="nil" w:sz="6" w:space="0" w:color="auto"/>
                          <w:bottom w:val="nil" w:sz="6" w:space="0" w:color="auto"/>
                          <w:right w:val="nil" w:sz="6" w:space="0" w:color="auto"/>
                        </w:tcBorders>
                      </w:tcPr>
                      <w:p>
                        <w:pPr>
                          <w:pStyle w:val="TableParagraph"/>
                          <w:tabs>
                            <w:tab w:pos="3334" w:val="left" w:leader="none"/>
                          </w:tabs>
                          <w:spacing w:line="294" w:lineRule="exact"/>
                          <w:ind w:left="409" w:right="0"/>
                          <w:jc w:val="left"/>
                          <w:rPr>
                            <w:rFonts w:ascii="宋体" w:hAnsi="宋体" w:cs="宋体" w:eastAsia="宋体" w:hint="default"/>
                            <w:sz w:val="24"/>
                            <w:szCs w:val="24"/>
                          </w:rPr>
                        </w:pPr>
                        <w:r>
                          <w:rPr>
                            <w:rFonts w:ascii="宋体"/>
                            <w:sz w:val="24"/>
                          </w:rPr>
                          <w:t>14,478,015.92</w:t>
                          <w:tab/>
                          <w:t>100</w:t>
                        </w:r>
                      </w:p>
                    </w:tc>
                    <w:tc>
                      <w:tcPr>
                        <w:tcW w:w="3650" w:type="dxa"/>
                        <w:tcBorders>
                          <w:top w:val="nil" w:sz="6" w:space="0" w:color="auto"/>
                          <w:left w:val="nil" w:sz="6" w:space="0" w:color="auto"/>
                          <w:bottom w:val="nil" w:sz="6" w:space="0" w:color="auto"/>
                          <w:right w:val="nil" w:sz="6" w:space="0" w:color="auto"/>
                        </w:tcBorders>
                      </w:tcPr>
                      <w:p>
                        <w:pPr>
                          <w:pStyle w:val="TableParagraph"/>
                          <w:tabs>
                            <w:tab w:pos="3089" w:val="left" w:leader="none"/>
                          </w:tabs>
                          <w:spacing w:line="262" w:lineRule="exact"/>
                          <w:ind w:right="33"/>
                          <w:jc w:val="right"/>
                          <w:rPr>
                            <w:rFonts w:ascii="宋体" w:hAnsi="宋体" w:cs="宋体" w:eastAsia="宋体" w:hint="default"/>
                            <w:sz w:val="24"/>
                            <w:szCs w:val="24"/>
                          </w:rPr>
                        </w:pPr>
                        <w:r>
                          <w:rPr>
                            <w:rFonts w:ascii="宋体"/>
                            <w:sz w:val="24"/>
                          </w:rPr>
                          <w:t>13,417,469</w:t>
                          <w:tab/>
                          <w:t>100</w:t>
                        </w:r>
                      </w:p>
                    </w:tc>
                  </w:tr>
                  <w:tr>
                    <w:trPr>
                      <w:trHeight w:val="541" w:hRule="exact"/>
                    </w:trPr>
                    <w:tc>
                      <w:tcPr>
                        <w:tcW w:w="939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7"/>
                          <w:ind w:left="467" w:right="0"/>
                          <w:jc w:val="left"/>
                          <w:rPr>
                            <w:rFonts w:ascii="宋体" w:hAnsi="宋体" w:cs="宋体" w:eastAsia="宋体" w:hint="default"/>
                            <w:sz w:val="24"/>
                            <w:szCs w:val="24"/>
                          </w:rPr>
                        </w:pPr>
                        <w:r>
                          <w:rPr>
                            <w:rFonts w:ascii="宋体" w:hAnsi="宋体" w:cs="宋体" w:eastAsia="宋体" w:hint="default"/>
                            <w:sz w:val="24"/>
                            <w:szCs w:val="24"/>
                          </w:rPr>
                          <w:t>2.年末金额较大的预付账款</w:t>
                        </w:r>
                      </w:p>
                    </w:tc>
                  </w:tr>
                  <w:tr>
                    <w:trPr>
                      <w:trHeight w:val="446" w:hRule="exact"/>
                    </w:trPr>
                    <w:tc>
                      <w:tcPr>
                        <w:tcW w:w="3578" w:type="dxa"/>
                        <w:gridSpan w:val="2"/>
                        <w:tcBorders>
                          <w:top w:val="nil" w:sz="6" w:space="0" w:color="auto"/>
                          <w:left w:val="nil" w:sz="6" w:space="0" w:color="auto"/>
                          <w:bottom w:val="nil" w:sz="6" w:space="0" w:color="auto"/>
                          <w:right w:val="nil" w:sz="6" w:space="0" w:color="auto"/>
                        </w:tcBorders>
                      </w:tcPr>
                      <w:p>
                        <w:pPr>
                          <w:pStyle w:val="TableParagraph"/>
                          <w:tabs>
                            <w:tab w:pos="1354" w:val="left" w:leader="none"/>
                            <w:tab w:pos="2074" w:val="left" w:leader="none"/>
                            <w:tab w:pos="3238" w:val="left" w:leader="none"/>
                          </w:tabs>
                          <w:spacing w:line="240" w:lineRule="auto" w:before="25"/>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项</w:t>
                          <w:tab/>
                          <w:t>目</w:t>
                          <w:tab/>
                        </w:r>
                        <w:r>
                          <w:rPr>
                            <w:rFonts w:ascii="宋体" w:hAnsi="宋体" w:cs="宋体" w:eastAsia="宋体" w:hint="default"/>
                            <w:sz w:val="24"/>
                            <w:szCs w:val="24"/>
                          </w:rPr>
                        </w:r>
                      </w:p>
                    </w:tc>
                    <w:tc>
                      <w:tcPr>
                        <w:tcW w:w="2166" w:type="dxa"/>
                        <w:tcBorders>
                          <w:top w:val="nil" w:sz="6" w:space="0" w:color="auto"/>
                          <w:left w:val="nil" w:sz="6" w:space="0" w:color="auto"/>
                          <w:bottom w:val="nil" w:sz="6" w:space="0" w:color="auto"/>
                          <w:right w:val="nil" w:sz="6" w:space="0" w:color="auto"/>
                        </w:tcBorders>
                      </w:tcPr>
                      <w:p>
                        <w:pPr>
                          <w:pStyle w:val="TableParagraph"/>
                          <w:tabs>
                            <w:tab w:pos="818" w:val="left" w:leader="none"/>
                            <w:tab w:pos="1298" w:val="left" w:leader="none"/>
                            <w:tab w:pos="1898" w:val="left" w:leader="none"/>
                          </w:tabs>
                          <w:spacing w:line="240" w:lineRule="auto" w:before="25"/>
                          <w:ind w:left="33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金</w:t>
                          <w:tab/>
                          <w:t>额</w:t>
                          <w:tab/>
                        </w:r>
                        <w:r>
                          <w:rPr>
                            <w:rFonts w:ascii="宋体" w:hAnsi="宋体" w:cs="宋体" w:eastAsia="宋体" w:hint="default"/>
                            <w:sz w:val="24"/>
                            <w:szCs w:val="24"/>
                          </w:rPr>
                        </w:r>
                      </w:p>
                    </w:tc>
                    <w:tc>
                      <w:tcPr>
                        <w:tcW w:w="3650" w:type="dxa"/>
                        <w:tcBorders>
                          <w:top w:val="nil" w:sz="6" w:space="0" w:color="auto"/>
                          <w:left w:val="nil" w:sz="6" w:space="0" w:color="auto"/>
                          <w:bottom w:val="nil" w:sz="6" w:space="0" w:color="auto"/>
                          <w:right w:val="nil" w:sz="6" w:space="0" w:color="auto"/>
                        </w:tcBorders>
                      </w:tcPr>
                      <w:p>
                        <w:pPr>
                          <w:pStyle w:val="TableParagraph"/>
                          <w:tabs>
                            <w:tab w:pos="1130" w:val="left" w:leader="none"/>
                            <w:tab w:pos="3410" w:val="left" w:leader="none"/>
                          </w:tabs>
                          <w:spacing w:line="240" w:lineRule="auto" w:before="25"/>
                          <w:ind w:left="17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性质或内容</w:t>
                          <w:tab/>
                        </w:r>
                        <w:r>
                          <w:rPr>
                            <w:rFonts w:ascii="宋体" w:hAnsi="宋体" w:cs="宋体" w:eastAsia="宋体" w:hint="default"/>
                            <w:sz w:val="24"/>
                            <w:szCs w:val="24"/>
                          </w:rPr>
                        </w:r>
                      </w:p>
                    </w:tc>
                  </w:tr>
                  <w:tr>
                    <w:trPr>
                      <w:trHeight w:val="434" w:hRule="exact"/>
                    </w:trPr>
                    <w:tc>
                      <w:tcPr>
                        <w:tcW w:w="35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24"/>
                            <w:szCs w:val="24"/>
                          </w:rPr>
                        </w:pPr>
                        <w:r>
                          <w:rPr>
                            <w:rFonts w:ascii="宋体" w:hAnsi="宋体" w:cs="宋体" w:eastAsia="宋体" w:hint="default"/>
                            <w:sz w:val="24"/>
                            <w:szCs w:val="24"/>
                          </w:rPr>
                          <w:t>联发科技股份有限公司</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3"/>
                          <w:jc w:val="right"/>
                          <w:rPr>
                            <w:rFonts w:ascii="宋体" w:hAnsi="宋体" w:cs="宋体" w:eastAsia="宋体" w:hint="default"/>
                            <w:sz w:val="24"/>
                            <w:szCs w:val="24"/>
                          </w:rPr>
                        </w:pPr>
                        <w:r>
                          <w:rPr>
                            <w:rFonts w:ascii="宋体"/>
                            <w:sz w:val="24"/>
                          </w:rPr>
                          <w:t>7,586,817.75</w:t>
                        </w:r>
                      </w:p>
                    </w:tc>
                    <w:tc>
                      <w:tcPr>
                        <w:tcW w:w="365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12" w:right="0"/>
                          <w:jc w:val="left"/>
                          <w:rPr>
                            <w:rFonts w:ascii="宋体" w:hAnsi="宋体" w:cs="宋体" w:eastAsia="宋体" w:hint="default"/>
                            <w:sz w:val="24"/>
                            <w:szCs w:val="24"/>
                          </w:rPr>
                        </w:pPr>
                        <w:r>
                          <w:rPr>
                            <w:rFonts w:ascii="宋体" w:hAnsi="宋体" w:cs="宋体" w:eastAsia="宋体" w:hint="default"/>
                            <w:sz w:val="24"/>
                            <w:szCs w:val="24"/>
                          </w:rPr>
                          <w:t>预付的国外供应商材料款</w:t>
                        </w:r>
                      </w:p>
                    </w:tc>
                  </w:tr>
                  <w:tr>
                    <w:trPr>
                      <w:trHeight w:val="440" w:hRule="exact"/>
                    </w:trPr>
                    <w:tc>
                      <w:tcPr>
                        <w:tcW w:w="35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sz w:val="24"/>
                          </w:rPr>
                          <w:t>Samsung Electro-mechanics</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3"/>
                          <w:jc w:val="right"/>
                          <w:rPr>
                            <w:rFonts w:ascii="宋体" w:hAnsi="宋体" w:cs="宋体" w:eastAsia="宋体" w:hint="default"/>
                            <w:sz w:val="24"/>
                            <w:szCs w:val="24"/>
                          </w:rPr>
                        </w:pPr>
                        <w:r>
                          <w:rPr>
                            <w:rFonts w:ascii="宋体"/>
                            <w:sz w:val="24"/>
                          </w:rPr>
                          <w:t>865,808.47</w:t>
                        </w:r>
                      </w:p>
                    </w:tc>
                    <w:tc>
                      <w:tcPr>
                        <w:tcW w:w="365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12" w:right="0"/>
                          <w:jc w:val="left"/>
                          <w:rPr>
                            <w:rFonts w:ascii="宋体" w:hAnsi="宋体" w:cs="宋体" w:eastAsia="宋体" w:hint="default"/>
                            <w:sz w:val="24"/>
                            <w:szCs w:val="24"/>
                          </w:rPr>
                        </w:pPr>
                        <w:r>
                          <w:rPr>
                            <w:rFonts w:ascii="宋体" w:hAnsi="宋体" w:cs="宋体" w:eastAsia="宋体" w:hint="default"/>
                            <w:sz w:val="24"/>
                            <w:szCs w:val="24"/>
                          </w:rPr>
                          <w:t>预付的国外供应商材料款</w:t>
                        </w:r>
                      </w:p>
                    </w:tc>
                  </w:tr>
                  <w:tr>
                    <w:trPr>
                      <w:trHeight w:val="440" w:hRule="exact"/>
                    </w:trPr>
                    <w:tc>
                      <w:tcPr>
                        <w:tcW w:w="35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4"/>
                            <w:szCs w:val="24"/>
                          </w:rPr>
                        </w:pPr>
                        <w:r>
                          <w:rPr>
                            <w:rFonts w:ascii="宋体"/>
                            <w:sz w:val="24"/>
                          </w:rPr>
                          <w:t>Futaba</w:t>
                        </w:r>
                        <w:r>
                          <w:rPr>
                            <w:rFonts w:ascii="宋体"/>
                            <w:spacing w:val="-60"/>
                            <w:sz w:val="24"/>
                          </w:rPr>
                          <w:t> </w:t>
                        </w:r>
                        <w:r>
                          <w:rPr>
                            <w:rFonts w:ascii="宋体"/>
                            <w:sz w:val="24"/>
                          </w:rPr>
                          <w:t>(HongKong)</w:t>
                        </w:r>
                        <w:r>
                          <w:rPr>
                            <w:rFonts w:ascii="宋体"/>
                            <w:spacing w:val="-60"/>
                            <w:sz w:val="24"/>
                          </w:rPr>
                          <w:t> </w:t>
                        </w:r>
                        <w:r>
                          <w:rPr>
                            <w:rFonts w:ascii="宋体"/>
                            <w:sz w:val="24"/>
                          </w:rPr>
                          <w:t>Corp.,</w:t>
                        </w:r>
                        <w:r>
                          <w:rPr>
                            <w:rFonts w:ascii="宋体"/>
                            <w:spacing w:val="-60"/>
                            <w:sz w:val="24"/>
                          </w:rPr>
                          <w:t> </w:t>
                        </w:r>
                        <w:r>
                          <w:rPr>
                            <w:rFonts w:ascii="宋体"/>
                            <w:sz w:val="24"/>
                          </w:rPr>
                          <w:t>LTD</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2"/>
                          <w:jc w:val="right"/>
                          <w:rPr>
                            <w:rFonts w:ascii="宋体" w:hAnsi="宋体" w:cs="宋体" w:eastAsia="宋体" w:hint="default"/>
                            <w:sz w:val="24"/>
                            <w:szCs w:val="24"/>
                          </w:rPr>
                        </w:pPr>
                        <w:r>
                          <w:rPr>
                            <w:rFonts w:ascii="宋体"/>
                            <w:spacing w:val="-1"/>
                            <w:sz w:val="24"/>
                          </w:rPr>
                          <w:t>546,802.78</w:t>
                        </w:r>
                        <w:r>
                          <w:rPr>
                            <w:rFonts w:ascii="宋体"/>
                            <w:sz w:val="24"/>
                          </w:rPr>
                        </w:r>
                      </w:p>
                    </w:tc>
                    <w:tc>
                      <w:tcPr>
                        <w:tcW w:w="365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3" w:right="0"/>
                          <w:jc w:val="left"/>
                          <w:rPr>
                            <w:rFonts w:ascii="宋体" w:hAnsi="宋体" w:cs="宋体" w:eastAsia="宋体" w:hint="default"/>
                            <w:sz w:val="24"/>
                            <w:szCs w:val="24"/>
                          </w:rPr>
                        </w:pPr>
                        <w:r>
                          <w:rPr>
                            <w:rFonts w:ascii="宋体" w:hAnsi="宋体" w:cs="宋体" w:eastAsia="宋体" w:hint="default"/>
                            <w:sz w:val="24"/>
                            <w:szCs w:val="24"/>
                          </w:rPr>
                          <w:t>预付的国外供应商材料款</w:t>
                        </w:r>
                      </w:p>
                    </w:tc>
                  </w:tr>
                </w:tbl>
                <w:p>
                  <w:pPr/>
                </w:p>
              </w:txbxContent>
            </v:textbox>
            <w10:wrap type="none"/>
          </v:shape>
        </w:pict>
      </w:r>
      <w:r>
        <w:rPr/>
        <w:t>的销售增加所致。 (四)预付款项 1.账龄分析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36" w:lineRule="auto" w:before="26"/>
        <w:ind w:left="154" w:right="132" w:firstLine="540"/>
        <w:jc w:val="left"/>
      </w:pPr>
      <w:r>
        <w:rPr/>
        <w:t>3.年末预付账款中无持本公司 5%以上（含</w:t>
      </w:r>
      <w:r>
        <w:rPr>
          <w:spacing w:val="-22"/>
        </w:rPr>
        <w:t> </w:t>
      </w:r>
      <w:r>
        <w:rPr/>
        <w:t>5%）表决权股份的股东单位欠款，无关联方</w:t>
      </w:r>
      <w:r>
        <w:rPr/>
        <w:t> 欠款。</w:t>
      </w:r>
    </w:p>
    <w:p>
      <w:pPr>
        <w:pStyle w:val="BodyText"/>
        <w:spacing w:line="336" w:lineRule="auto" w:before="29"/>
        <w:ind w:left="694" w:right="7310"/>
        <w:jc w:val="left"/>
      </w:pPr>
      <w:r>
        <w:rPr/>
        <w:t>(五)其他应收款 1.其他应收款构成</w:t>
      </w:r>
    </w:p>
    <w:p>
      <w:pPr>
        <w:tabs>
          <w:tab w:pos="3600" w:val="left" w:leader="none"/>
          <w:tab w:pos="5619" w:val="left" w:leader="none"/>
          <w:tab w:pos="5877" w:val="left" w:leader="none"/>
          <w:tab w:pos="7698" w:val="left" w:leader="none"/>
          <w:tab w:pos="9366" w:val="left" w:leader="none"/>
        </w:tabs>
        <w:spacing w:before="4"/>
        <w:ind w:left="205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4"/>
          <w:sz w:val="18"/>
          <w:szCs w:val="18"/>
          <w:u w:val="single" w:color="000000"/>
        </w:rPr>
        <w:t>年末数</w:t>
        <w:tab/>
      </w:r>
      <w:r>
        <w:rPr>
          <w:rFonts w:ascii="宋体" w:hAnsi="宋体" w:cs="宋体" w:eastAsia="宋体" w:hint="default"/>
          <w:spacing w:val="-14"/>
          <w:sz w:val="18"/>
          <w:szCs w:val="18"/>
        </w:rPr>
        <w:tab/>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pacing w:val="-14"/>
          <w:sz w:val="18"/>
          <w:szCs w:val="18"/>
          <w:u w:val="single" w:color="000000"/>
        </w:rPr>
        <w:t> </w:t>
        <w:tab/>
      </w:r>
      <w:r>
        <w:rPr>
          <w:rFonts w:ascii="宋体" w:hAnsi="宋体" w:cs="宋体" w:eastAsia="宋体" w:hint="default"/>
          <w:spacing w:val="-14"/>
          <w:sz w:val="18"/>
          <w:szCs w:val="18"/>
          <w:u w:val="single" w:color="000000"/>
        </w:rPr>
        <w:t>年初数</w:t>
        <w:tab/>
      </w:r>
      <w:r>
        <w:rPr>
          <w:rFonts w:ascii="宋体" w:hAnsi="宋体" w:cs="宋体" w:eastAsia="宋体" w:hint="default"/>
          <w:spacing w:val="-14"/>
          <w:sz w:val="18"/>
          <w:szCs w:val="18"/>
        </w:rPr>
      </w:r>
    </w:p>
    <w:p>
      <w:pPr>
        <w:spacing w:after="0"/>
        <w:jc w:val="left"/>
        <w:rPr>
          <w:rFonts w:ascii="宋体" w:hAnsi="宋体" w:cs="宋体" w:eastAsia="宋体" w:hint="default"/>
          <w:sz w:val="18"/>
          <w:szCs w:val="18"/>
        </w:rPr>
        <w:sectPr>
          <w:pgSz w:w="11910" w:h="16840"/>
          <w:pgMar w:header="747" w:footer="1339" w:top="980" w:bottom="1520" w:left="980" w:right="980"/>
        </w:sectPr>
      </w:pPr>
    </w:p>
    <w:p>
      <w:pPr>
        <w:tabs>
          <w:tab w:pos="807" w:val="left" w:leader="none"/>
          <w:tab w:pos="1842" w:val="left" w:leader="none"/>
        </w:tabs>
        <w:spacing w:before="109"/>
        <w:ind w:left="247" w:right="-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r>
      <w:r>
        <w:rPr>
          <w:rFonts w:ascii="宋体" w:hAnsi="宋体" w:cs="宋体" w:eastAsia="宋体" w:hint="default"/>
          <w:spacing w:val="30"/>
          <w:sz w:val="18"/>
          <w:szCs w:val="18"/>
          <w:u w:val="single" w:color="000000"/>
        </w:rPr>
        <w:t> </w:t>
      </w:r>
      <w:r>
        <w:rPr>
          <w:rFonts w:ascii="宋体" w:hAnsi="宋体" w:cs="宋体" w:eastAsia="宋体" w:hint="default"/>
          <w:sz w:val="18"/>
          <w:szCs w:val="18"/>
          <w:u w:val="single" w:color="000000"/>
        </w:rPr>
        <w:t>目</w:t>
        <w:tab/>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before="0"/>
        <w:ind w:left="247" w:right="-6" w:firstLine="0"/>
        <w:jc w:val="left"/>
        <w:rPr>
          <w:rFonts w:ascii="宋体" w:hAnsi="宋体" w:cs="宋体" w:eastAsia="宋体" w:hint="default"/>
          <w:sz w:val="18"/>
          <w:szCs w:val="18"/>
        </w:rPr>
      </w:pPr>
      <w:r>
        <w:rPr>
          <w:rFonts w:ascii="宋体" w:hAnsi="宋体" w:cs="宋体" w:eastAsia="宋体" w:hint="default"/>
          <w:spacing w:val="-2"/>
          <w:sz w:val="18"/>
          <w:szCs w:val="18"/>
        </w:rPr>
        <w:t>1.单项金额重大并已</w:t>
      </w:r>
      <w:r>
        <w:rPr>
          <w:rFonts w:ascii="宋体" w:hAnsi="宋体" w:cs="宋体" w:eastAsia="宋体" w:hint="default"/>
          <w:sz w:val="18"/>
          <w:szCs w:val="18"/>
        </w:rPr>
      </w:r>
    </w:p>
    <w:p>
      <w:pPr>
        <w:spacing w:line="240" w:lineRule="auto" w:before="6"/>
        <w:rPr>
          <w:rFonts w:ascii="宋体" w:hAnsi="宋体" w:cs="宋体" w:eastAsia="宋体" w:hint="default"/>
          <w:sz w:val="20"/>
          <w:szCs w:val="20"/>
        </w:rPr>
      </w:pPr>
      <w:r>
        <w:rPr/>
        <w:br w:type="column"/>
      </w:r>
      <w:r>
        <w:rPr>
          <w:rFonts w:ascii="宋体"/>
          <w:sz w:val="20"/>
        </w:rPr>
      </w:r>
    </w:p>
    <w:p>
      <w:pPr>
        <w:spacing w:before="0"/>
        <w:ind w:left="247" w:right="-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账面余额</w:t>
      </w:r>
      <w:r>
        <w:rPr>
          <w:rFonts w:ascii="宋体" w:hAnsi="宋体" w:cs="宋体" w:eastAsia="宋体" w:hint="default"/>
          <w:spacing w:val="-21"/>
          <w:sz w:val="18"/>
          <w:szCs w:val="18"/>
        </w:rPr>
      </w:r>
      <w:r>
        <w:rPr>
          <w:rFonts w:ascii="宋体" w:hAnsi="宋体" w:cs="宋体" w:eastAsia="宋体" w:hint="default"/>
          <w:sz w:val="18"/>
          <w:szCs w:val="18"/>
        </w:rPr>
      </w:r>
    </w:p>
    <w:p>
      <w:pPr>
        <w:spacing w:line="326" w:lineRule="auto" w:before="107"/>
        <w:ind w:left="326" w:right="-16" w:hanging="8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占总额</w:t>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326" w:lineRule="auto" w:before="107"/>
        <w:ind w:left="225" w:right="-16" w:firstLine="1"/>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坏账准备 </w:t>
      </w:r>
      <w:r>
        <w:rPr>
          <w:rFonts w:ascii="宋体" w:hAnsi="宋体" w:cs="宋体" w:eastAsia="宋体" w:hint="default"/>
          <w:spacing w:val="-21"/>
          <w:sz w:val="18"/>
          <w:szCs w:val="18"/>
          <w:u w:val="single" w:color="000000"/>
        </w:rPr>
        <w:t>计提比例</w:t>
      </w:r>
      <w:r>
        <w:rPr>
          <w:rFonts w:ascii="宋体" w:hAnsi="宋体" w:cs="宋体" w:eastAsia="宋体" w:hint="default"/>
          <w:spacing w:val="-21"/>
          <w:sz w:val="18"/>
          <w:szCs w:val="18"/>
        </w:rPr>
      </w:r>
      <w:r>
        <w:rPr>
          <w:rFonts w:ascii="宋体" w:hAnsi="宋体" w:cs="宋体" w:eastAsia="宋体" w:hint="default"/>
          <w:sz w:val="18"/>
          <w:szCs w:val="18"/>
        </w:rPr>
      </w:r>
    </w:p>
    <w:p>
      <w:pPr>
        <w:spacing w:line="240" w:lineRule="auto" w:before="6"/>
        <w:rPr>
          <w:rFonts w:ascii="宋体" w:hAnsi="宋体" w:cs="宋体" w:eastAsia="宋体" w:hint="default"/>
          <w:sz w:val="20"/>
          <w:szCs w:val="20"/>
        </w:rPr>
      </w:pPr>
      <w:r>
        <w:rPr/>
        <w:br w:type="column"/>
      </w:r>
      <w:r>
        <w:rPr>
          <w:rFonts w:ascii="宋体"/>
          <w:sz w:val="20"/>
        </w:rPr>
      </w:r>
    </w:p>
    <w:p>
      <w:pPr>
        <w:tabs>
          <w:tab w:pos="1303" w:val="left" w:leader="none"/>
        </w:tabs>
        <w:spacing w:before="0"/>
        <w:ind w:left="247" w:right="-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6"/>
          <w:sz w:val="18"/>
          <w:szCs w:val="18"/>
          <w:u w:val="single" w:color="000000"/>
        </w:rPr>
        <w:t>坏账准备</w:t>
      </w:r>
      <w:r>
        <w:rPr>
          <w:rFonts w:ascii="宋体" w:hAnsi="宋体" w:cs="宋体" w:eastAsia="宋体" w:hint="default"/>
          <w:spacing w:val="-16"/>
          <w:sz w:val="18"/>
          <w:szCs w:val="18"/>
        </w:rPr>
        <w:tab/>
      </w:r>
      <w:r>
        <w:rPr>
          <w:rFonts w:ascii="宋体" w:hAnsi="宋体" w:cs="宋体" w:eastAsia="宋体" w:hint="default"/>
          <w:spacing w:val="-21"/>
          <w:sz w:val="18"/>
          <w:szCs w:val="18"/>
          <w:u w:val="single" w:color="000000"/>
        </w:rPr>
        <w:t>账面余额</w:t>
      </w:r>
      <w:r>
        <w:rPr>
          <w:rFonts w:ascii="宋体" w:hAnsi="宋体" w:cs="宋体" w:eastAsia="宋体" w:hint="default"/>
          <w:spacing w:val="-21"/>
          <w:sz w:val="18"/>
          <w:szCs w:val="18"/>
        </w:rPr>
      </w:r>
      <w:r>
        <w:rPr>
          <w:rFonts w:ascii="宋体" w:hAnsi="宋体" w:cs="宋体" w:eastAsia="宋体" w:hint="default"/>
          <w:sz w:val="18"/>
          <w:szCs w:val="18"/>
        </w:rPr>
      </w:r>
    </w:p>
    <w:p>
      <w:pPr>
        <w:spacing w:line="326" w:lineRule="auto" w:before="107"/>
        <w:ind w:left="326" w:right="-16" w:hanging="8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占总额</w:t>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326" w:lineRule="auto" w:before="107"/>
        <w:ind w:left="175" w:right="-16" w:firstLine="0"/>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坏账准备 </w:t>
      </w:r>
      <w:r>
        <w:rPr>
          <w:rFonts w:ascii="宋体" w:hAnsi="宋体" w:cs="宋体" w:eastAsia="宋体" w:hint="default"/>
          <w:spacing w:val="-21"/>
          <w:sz w:val="18"/>
          <w:szCs w:val="18"/>
          <w:u w:val="single" w:color="000000"/>
        </w:rPr>
        <w:t>计提比例</w:t>
      </w:r>
      <w:r>
        <w:rPr>
          <w:rFonts w:ascii="宋体" w:hAnsi="宋体" w:cs="宋体" w:eastAsia="宋体" w:hint="default"/>
          <w:spacing w:val="-21"/>
          <w:sz w:val="18"/>
          <w:szCs w:val="18"/>
        </w:rPr>
      </w:r>
      <w:r>
        <w:rPr>
          <w:rFonts w:ascii="宋体" w:hAnsi="宋体" w:cs="宋体" w:eastAsia="宋体" w:hint="default"/>
          <w:sz w:val="18"/>
          <w:szCs w:val="18"/>
        </w:rPr>
      </w:r>
    </w:p>
    <w:p>
      <w:pPr>
        <w:spacing w:line="240" w:lineRule="auto" w:before="6"/>
        <w:rPr>
          <w:rFonts w:ascii="宋体" w:hAnsi="宋体" w:cs="宋体" w:eastAsia="宋体" w:hint="default"/>
          <w:sz w:val="20"/>
          <w:szCs w:val="20"/>
        </w:rPr>
      </w:pPr>
      <w:r>
        <w:rPr/>
        <w:br w:type="column"/>
      </w:r>
      <w:r>
        <w:rPr>
          <w:rFonts w:ascii="宋体"/>
          <w:sz w:val="20"/>
        </w:rPr>
      </w:r>
    </w:p>
    <w:p>
      <w:pPr>
        <w:spacing w:before="0"/>
        <w:ind w:left="22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坏账准备</w:t>
      </w:r>
      <w:r>
        <w:rPr>
          <w:rFonts w:ascii="宋体" w:hAnsi="宋体" w:cs="宋体" w:eastAsia="宋体" w:hint="default"/>
          <w:spacing w:val="-21"/>
          <w:sz w:val="18"/>
          <w:szCs w:val="18"/>
        </w:rPr>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cols w:num="8" w:equalWidth="0">
            <w:col w:w="1862" w:space="117"/>
            <w:col w:w="888" w:space="150"/>
            <w:col w:w="749" w:space="40"/>
            <w:col w:w="867" w:space="63"/>
            <w:col w:w="1944" w:space="142"/>
            <w:col w:w="749" w:space="40"/>
            <w:col w:w="816" w:space="40"/>
            <w:col w:w="1483"/>
          </w:cols>
        </w:sectPr>
      </w:pPr>
    </w:p>
    <w:p>
      <w:pPr>
        <w:spacing w:line="304" w:lineRule="auto" w:before="64"/>
        <w:ind w:left="247" w:right="-16" w:firstLine="0"/>
        <w:jc w:val="left"/>
        <w:rPr>
          <w:rFonts w:ascii="宋体" w:hAnsi="宋体" w:cs="宋体" w:eastAsia="宋体" w:hint="default"/>
          <w:sz w:val="18"/>
          <w:szCs w:val="18"/>
        </w:rPr>
      </w:pPr>
      <w:r>
        <w:rPr>
          <w:rFonts w:ascii="宋体" w:hAnsi="宋体" w:cs="宋体" w:eastAsia="宋体" w:hint="default"/>
          <w:spacing w:val="-1"/>
          <w:sz w:val="18"/>
          <w:szCs w:val="18"/>
        </w:rPr>
        <w:t>单独计提坏账准备的</w:t>
      </w:r>
      <w:r>
        <w:rPr>
          <w:rFonts w:ascii="宋体" w:hAnsi="宋体" w:cs="宋体" w:eastAsia="宋体" w:hint="default"/>
          <w:sz w:val="18"/>
          <w:szCs w:val="18"/>
        </w:rPr>
        <w:t> </w:t>
      </w:r>
      <w:r>
        <w:rPr>
          <w:rFonts w:ascii="宋体" w:hAnsi="宋体" w:cs="宋体" w:eastAsia="宋体" w:hint="default"/>
          <w:spacing w:val="-20"/>
          <w:sz w:val="18"/>
          <w:szCs w:val="18"/>
        </w:rPr>
        <w:t>款项</w:t>
      </w:r>
      <w:r>
        <w:rPr>
          <w:rFonts w:ascii="宋体" w:hAnsi="宋体" w:cs="宋体" w:eastAsia="宋体" w:hint="default"/>
          <w:sz w:val="18"/>
          <w:szCs w:val="18"/>
        </w:rPr>
      </w:r>
    </w:p>
    <w:p>
      <w:pPr>
        <w:tabs>
          <w:tab w:pos="1375" w:val="left" w:leader="none"/>
          <w:tab w:pos="2662" w:val="left" w:leader="none"/>
          <w:tab w:pos="4133" w:val="left" w:leader="none"/>
          <w:tab w:pos="5177" w:val="left" w:leader="none"/>
          <w:tab w:pos="6366" w:val="left" w:leader="none"/>
        </w:tabs>
        <w:spacing w:before="64"/>
        <w:ind w:left="170" w:right="0" w:firstLine="0"/>
        <w:jc w:val="left"/>
        <w:rPr>
          <w:rFonts w:ascii="宋体" w:hAnsi="宋体" w:cs="宋体" w:eastAsia="宋体" w:hint="default"/>
          <w:sz w:val="18"/>
          <w:szCs w:val="18"/>
        </w:rPr>
      </w:pPr>
      <w:r>
        <w:rPr>
          <w:spacing w:val="-10"/>
        </w:rPr>
        <w:br w:type="column"/>
      </w:r>
      <w:r>
        <w:rPr>
          <w:rFonts w:ascii="宋体"/>
          <w:spacing w:val="-10"/>
          <w:sz w:val="18"/>
        </w:rPr>
        <w:t>2,917,411.43</w:t>
        <w:tab/>
      </w:r>
      <w:r>
        <w:rPr>
          <w:rFonts w:ascii="宋体"/>
          <w:spacing w:val="-9"/>
          <w:sz w:val="18"/>
        </w:rPr>
        <w:t>77.01%</w:t>
        <w:tab/>
      </w:r>
      <w:r>
        <w:rPr>
          <w:rFonts w:ascii="宋体"/>
          <w:spacing w:val="-5"/>
          <w:sz w:val="18"/>
        </w:rPr>
        <w:t>0%</w:t>
        <w:tab/>
      </w:r>
      <w:r>
        <w:rPr>
          <w:rFonts w:ascii="宋体"/>
          <w:spacing w:val="-10"/>
          <w:sz w:val="18"/>
        </w:rPr>
        <w:t>580,000.00</w:t>
        <w:tab/>
      </w:r>
      <w:r>
        <w:rPr>
          <w:rFonts w:ascii="宋体"/>
          <w:spacing w:val="-9"/>
          <w:sz w:val="18"/>
        </w:rPr>
        <w:t>29.40%</w:t>
        <w:tab/>
      </w:r>
      <w:r>
        <w:rPr>
          <w:rFonts w:ascii="宋体"/>
          <w:spacing w:val="-10"/>
          <w:sz w:val="18"/>
        </w:rPr>
        <w:t>0%</w:t>
      </w:r>
      <w:r>
        <w:rPr>
          <w:rFonts w:ascii="宋体"/>
          <w:sz w:val="18"/>
        </w:rPr>
      </w:r>
    </w:p>
    <w:p>
      <w:pPr>
        <w:spacing w:after="0"/>
        <w:jc w:val="left"/>
        <w:rPr>
          <w:rFonts w:ascii="宋体" w:hAnsi="宋体" w:cs="宋体" w:eastAsia="宋体" w:hint="default"/>
          <w:sz w:val="18"/>
          <w:szCs w:val="18"/>
        </w:rPr>
        <w:sectPr>
          <w:type w:val="continuous"/>
          <w:pgSz w:w="11910" w:h="16840"/>
          <w:pgMar w:top="980" w:bottom="1520" w:left="980" w:right="980"/>
          <w:cols w:num="2" w:equalWidth="0">
            <w:col w:w="1863" w:space="40"/>
            <w:col w:w="8047"/>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04" w:lineRule="auto" w:before="0"/>
        <w:ind w:left="247" w:right="8057" w:firstLine="0"/>
        <w:jc w:val="left"/>
        <w:rPr>
          <w:rFonts w:ascii="宋体" w:hAnsi="宋体" w:cs="宋体" w:eastAsia="宋体" w:hint="default"/>
          <w:sz w:val="18"/>
          <w:szCs w:val="18"/>
        </w:rPr>
      </w:pPr>
      <w:r>
        <w:rPr/>
        <w:pict>
          <v:shape style="position:absolute;margin-left:158.870605pt;margin-top:58.777355pt;width:360.3pt;height:64.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9"/>
                    <w:gridCol w:w="891"/>
                    <w:gridCol w:w="791"/>
                    <w:gridCol w:w="932"/>
                    <w:gridCol w:w="1189"/>
                    <w:gridCol w:w="956"/>
                    <w:gridCol w:w="623"/>
                    <w:gridCol w:w="864"/>
                  </w:tblGrid>
                  <w:tr>
                    <w:trPr>
                      <w:trHeight w:val="478" w:hRule="exact"/>
                    </w:trPr>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spacing w:val="-11"/>
                            <w:sz w:val="18"/>
                          </w:rPr>
                          <w:t>871,113.57</w:t>
                        </w:r>
                        <w:r>
                          <w:rPr>
                            <w:rFonts w:ascii="宋体"/>
                            <w:sz w:val="18"/>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5"/>
                          <w:jc w:val="right"/>
                          <w:rPr>
                            <w:rFonts w:ascii="宋体" w:hAnsi="宋体" w:cs="宋体" w:eastAsia="宋体" w:hint="default"/>
                            <w:sz w:val="18"/>
                            <w:szCs w:val="18"/>
                          </w:rPr>
                        </w:pPr>
                        <w:r>
                          <w:rPr>
                            <w:rFonts w:ascii="宋体"/>
                            <w:spacing w:val="-11"/>
                            <w:sz w:val="18"/>
                          </w:rPr>
                          <w:t>22.99%</w:t>
                        </w:r>
                        <w:r>
                          <w:rPr>
                            <w:rFonts w:ascii="宋体"/>
                            <w:sz w:val="1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1"/>
                          <w:jc w:val="right"/>
                          <w:rPr>
                            <w:rFonts w:ascii="宋体" w:hAnsi="宋体" w:cs="宋体" w:eastAsia="宋体" w:hint="default"/>
                            <w:sz w:val="18"/>
                            <w:szCs w:val="18"/>
                          </w:rPr>
                        </w:pPr>
                        <w:r>
                          <w:rPr>
                            <w:rFonts w:ascii="宋体"/>
                            <w:spacing w:val="-9"/>
                            <w:sz w:val="18"/>
                          </w:rPr>
                          <w:t>8.71%</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center"/>
                          <w:rPr>
                            <w:rFonts w:ascii="宋体" w:hAnsi="宋体" w:cs="宋体" w:eastAsia="宋体" w:hint="default"/>
                            <w:sz w:val="18"/>
                            <w:szCs w:val="18"/>
                          </w:rPr>
                        </w:pPr>
                        <w:r>
                          <w:rPr>
                            <w:rFonts w:ascii="宋体"/>
                            <w:spacing w:val="-11"/>
                            <w:sz w:val="18"/>
                          </w:rPr>
                          <w:t>75,887.18</w:t>
                        </w:r>
                        <w:r>
                          <w:rPr>
                            <w:rFonts w:ascii="宋体"/>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8"/>
                          <w:jc w:val="right"/>
                          <w:rPr>
                            <w:rFonts w:ascii="宋体" w:hAnsi="宋体" w:cs="宋体" w:eastAsia="宋体" w:hint="default"/>
                            <w:sz w:val="18"/>
                            <w:szCs w:val="18"/>
                          </w:rPr>
                        </w:pPr>
                        <w:r>
                          <w:rPr>
                            <w:rFonts w:ascii="宋体"/>
                            <w:spacing w:val="-11"/>
                            <w:sz w:val="18"/>
                          </w:rPr>
                          <w:t>1,393,081.53</w:t>
                        </w:r>
                        <w:r>
                          <w:rPr>
                            <w:rFonts w:ascii="宋体"/>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0" w:right="0"/>
                          <w:jc w:val="left"/>
                          <w:rPr>
                            <w:rFonts w:ascii="宋体" w:hAnsi="宋体" w:cs="宋体" w:eastAsia="宋体" w:hint="default"/>
                            <w:sz w:val="18"/>
                            <w:szCs w:val="18"/>
                          </w:rPr>
                        </w:pPr>
                        <w:r>
                          <w:rPr>
                            <w:rFonts w:ascii="宋体"/>
                            <w:spacing w:val="-11"/>
                            <w:sz w:val="18"/>
                          </w:rPr>
                          <w:t>70.60%</w:t>
                        </w:r>
                        <w:r>
                          <w:rPr>
                            <w:rFonts w:ascii="宋体"/>
                            <w:sz w:val="18"/>
                          </w:rPr>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pacing w:val="-10"/>
                            <w:sz w:val="18"/>
                          </w:rPr>
                          <w:t>5%</w:t>
                        </w:r>
                        <w:r>
                          <w:rPr>
                            <w:rFonts w:ascii="宋体"/>
                            <w:sz w:val="18"/>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8"/>
                            <w:szCs w:val="18"/>
                          </w:rPr>
                        </w:pPr>
                        <w:r>
                          <w:rPr>
                            <w:rFonts w:ascii="宋体"/>
                            <w:spacing w:val="-11"/>
                            <w:sz w:val="18"/>
                          </w:rPr>
                          <w:t>69,851.01</w:t>
                        </w:r>
                        <w:r>
                          <w:rPr>
                            <w:rFonts w:ascii="宋体"/>
                            <w:sz w:val="18"/>
                          </w:rPr>
                        </w:r>
                      </w:p>
                    </w:tc>
                  </w:tr>
                  <w:tr>
                    <w:trPr>
                      <w:trHeight w:val="468" w:hRule="exact"/>
                    </w:trPr>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spacing w:val="-11"/>
                            <w:sz w:val="18"/>
                          </w:rPr>
                          <w:t>532,360.44</w:t>
                        </w:r>
                        <w:r>
                          <w:rPr>
                            <w:rFonts w:ascii="宋体"/>
                            <w:sz w:val="18"/>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85"/>
                          <w:jc w:val="right"/>
                          <w:rPr>
                            <w:rFonts w:ascii="宋体" w:hAnsi="宋体" w:cs="宋体" w:eastAsia="宋体" w:hint="default"/>
                            <w:sz w:val="18"/>
                            <w:szCs w:val="18"/>
                          </w:rPr>
                        </w:pPr>
                        <w:r>
                          <w:rPr>
                            <w:rFonts w:ascii="宋体"/>
                            <w:spacing w:val="-11"/>
                            <w:sz w:val="18"/>
                          </w:rPr>
                          <w:t>14.05%</w:t>
                        </w:r>
                        <w:r>
                          <w:rPr>
                            <w:rFonts w:ascii="宋体"/>
                            <w:sz w:val="1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spacing w:val="-10"/>
                            <w:sz w:val="18"/>
                          </w:rPr>
                          <w:t>5%</w:t>
                        </w:r>
                        <w:r>
                          <w:rPr>
                            <w:rFonts w:ascii="宋体"/>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pacing w:val="-11"/>
                            <w:sz w:val="18"/>
                          </w:rPr>
                          <w:t>26,618.02</w:t>
                        </w:r>
                        <w:r>
                          <w:rPr>
                            <w:rFonts w:ascii="宋体"/>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8"/>
                          <w:jc w:val="right"/>
                          <w:rPr>
                            <w:rFonts w:ascii="宋体" w:hAnsi="宋体" w:cs="宋体" w:eastAsia="宋体" w:hint="default"/>
                            <w:sz w:val="18"/>
                            <w:szCs w:val="18"/>
                          </w:rPr>
                        </w:pPr>
                        <w:r>
                          <w:rPr>
                            <w:rFonts w:ascii="宋体"/>
                            <w:spacing w:val="-11"/>
                            <w:sz w:val="18"/>
                          </w:rPr>
                          <w:t>1,393,081.53</w:t>
                        </w:r>
                        <w:r>
                          <w:rPr>
                            <w:rFonts w:ascii="宋体"/>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spacing w:val="-11"/>
                            <w:sz w:val="18"/>
                          </w:rPr>
                          <w:t>70.60%</w:t>
                        </w:r>
                        <w:r>
                          <w:rPr>
                            <w:rFonts w:ascii="宋体"/>
                            <w:sz w:val="18"/>
                          </w:rPr>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0"/>
                            <w:sz w:val="18"/>
                          </w:rPr>
                          <w:t>5%</w:t>
                        </w:r>
                        <w:r>
                          <w:rPr>
                            <w:rFonts w:ascii="宋体"/>
                            <w:sz w:val="18"/>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2" w:right="0"/>
                          <w:jc w:val="center"/>
                          <w:rPr>
                            <w:rFonts w:ascii="宋体" w:hAnsi="宋体" w:cs="宋体" w:eastAsia="宋体" w:hint="default"/>
                            <w:sz w:val="18"/>
                            <w:szCs w:val="18"/>
                          </w:rPr>
                        </w:pPr>
                        <w:r>
                          <w:rPr>
                            <w:rFonts w:ascii="宋体"/>
                            <w:spacing w:val="-11"/>
                            <w:sz w:val="18"/>
                          </w:rPr>
                          <w:t>69,851.01</w:t>
                        </w:r>
                        <w:r>
                          <w:rPr>
                            <w:rFonts w:ascii="宋体"/>
                            <w:sz w:val="18"/>
                          </w:rPr>
                        </w:r>
                      </w:p>
                    </w:tc>
                  </w:tr>
                  <w:tr>
                    <w:trPr>
                      <w:trHeight w:val="350" w:hRule="exact"/>
                    </w:trPr>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spacing w:val="-11"/>
                            <w:sz w:val="18"/>
                          </w:rPr>
                          <w:t>338,753.13</w:t>
                        </w:r>
                        <w:r>
                          <w:rPr>
                            <w:rFonts w:ascii="宋体"/>
                            <w:sz w:val="18"/>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5"/>
                          <w:jc w:val="right"/>
                          <w:rPr>
                            <w:rFonts w:ascii="宋体" w:hAnsi="宋体" w:cs="宋体" w:eastAsia="宋体" w:hint="default"/>
                            <w:sz w:val="18"/>
                            <w:szCs w:val="18"/>
                          </w:rPr>
                        </w:pPr>
                        <w:r>
                          <w:rPr>
                            <w:rFonts w:ascii="宋体"/>
                            <w:spacing w:val="-9"/>
                            <w:sz w:val="18"/>
                          </w:rPr>
                          <w:t>8.94%</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宋体" w:hAnsi="宋体" w:cs="宋体" w:eastAsia="宋体" w:hint="default"/>
                            <w:sz w:val="18"/>
                            <w:szCs w:val="18"/>
                          </w:rPr>
                        </w:pPr>
                        <w:r>
                          <w:rPr>
                            <w:rFonts w:ascii="宋体"/>
                            <w:spacing w:val="-10"/>
                            <w:sz w:val="18"/>
                          </w:rPr>
                          <w:t>15%</w:t>
                        </w:r>
                        <w:r>
                          <w:rPr>
                            <w:rFonts w:ascii="宋体"/>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8"/>
                            <w:szCs w:val="18"/>
                          </w:rPr>
                        </w:pPr>
                        <w:r>
                          <w:rPr>
                            <w:rFonts w:ascii="宋体"/>
                            <w:spacing w:val="-11"/>
                            <w:sz w:val="18"/>
                          </w:rPr>
                          <w:t>49,269.16</w:t>
                        </w:r>
                        <w:r>
                          <w:rPr>
                            <w:rFonts w:ascii="宋体"/>
                            <w:sz w:val="18"/>
                          </w:rPr>
                        </w:r>
                      </w:p>
                    </w:tc>
                    <w:tc>
                      <w:tcPr>
                        <w:tcW w:w="1189"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
          <w:sz w:val="18"/>
          <w:szCs w:val="18"/>
        </w:rPr>
        <w:t>2.单项金额非重大并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已单独计提坏账准备</w:t>
      </w:r>
      <w:r>
        <w:rPr>
          <w:rFonts w:ascii="宋体" w:hAnsi="宋体" w:cs="宋体" w:eastAsia="宋体" w:hint="default"/>
          <w:sz w:val="18"/>
          <w:szCs w:val="18"/>
        </w:rPr>
        <w:t> </w:t>
      </w:r>
      <w:r>
        <w:rPr>
          <w:rFonts w:ascii="宋体" w:hAnsi="宋体" w:cs="宋体" w:eastAsia="宋体" w:hint="default"/>
          <w:spacing w:val="-14"/>
          <w:sz w:val="18"/>
          <w:szCs w:val="18"/>
        </w:rPr>
        <w:t>的款项</w:t>
      </w:r>
      <w:r>
        <w:rPr>
          <w:rFonts w:ascii="宋体" w:hAnsi="宋体" w:cs="宋体" w:eastAsia="宋体" w:hint="default"/>
          <w:sz w:val="18"/>
          <w:szCs w:val="18"/>
        </w:rPr>
        <w:t> </w:t>
      </w:r>
      <w:r>
        <w:rPr>
          <w:rFonts w:ascii="宋体" w:hAnsi="宋体" w:cs="宋体" w:eastAsia="宋体" w:hint="default"/>
          <w:spacing w:val="-2"/>
          <w:sz w:val="18"/>
          <w:szCs w:val="18"/>
        </w:rPr>
        <w:t>3.其他按账龄段划分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为类似信用风险特征</w:t>
      </w:r>
      <w:r>
        <w:rPr>
          <w:rFonts w:ascii="宋体" w:hAnsi="宋体" w:cs="宋体" w:eastAsia="宋体" w:hint="default"/>
          <w:sz w:val="18"/>
          <w:szCs w:val="18"/>
        </w:rPr>
        <w:t> </w:t>
      </w:r>
      <w:r>
        <w:rPr>
          <w:rFonts w:ascii="宋体" w:hAnsi="宋体" w:cs="宋体" w:eastAsia="宋体" w:hint="default"/>
          <w:spacing w:val="-16"/>
          <w:sz w:val="18"/>
          <w:szCs w:val="18"/>
        </w:rPr>
        <w:t>的款项，</w:t>
      </w:r>
    </w:p>
    <w:p>
      <w:pPr>
        <w:spacing w:before="31"/>
        <w:ind w:left="247" w:right="0" w:firstLine="0"/>
        <w:jc w:val="left"/>
        <w:rPr>
          <w:rFonts w:ascii="宋体" w:hAnsi="宋体" w:cs="宋体" w:eastAsia="宋体" w:hint="default"/>
          <w:sz w:val="18"/>
          <w:szCs w:val="18"/>
        </w:rPr>
      </w:pPr>
      <w:r>
        <w:rPr>
          <w:rFonts w:ascii="宋体" w:hAnsi="宋体" w:cs="宋体" w:eastAsia="宋体" w:hint="default"/>
          <w:spacing w:val="-16"/>
          <w:sz w:val="18"/>
          <w:szCs w:val="18"/>
        </w:rPr>
        <w:t>其中：1</w:t>
      </w:r>
      <w:r>
        <w:rPr>
          <w:rFonts w:ascii="宋体" w:hAnsi="宋体" w:cs="宋体" w:eastAsia="宋体" w:hint="default"/>
          <w:spacing w:val="-58"/>
          <w:sz w:val="18"/>
          <w:szCs w:val="18"/>
        </w:rPr>
        <w:t> </w:t>
      </w:r>
      <w:r>
        <w:rPr>
          <w:rFonts w:ascii="宋体" w:hAnsi="宋体" w:cs="宋体" w:eastAsia="宋体" w:hint="default"/>
          <w:spacing w:val="-14"/>
          <w:sz w:val="18"/>
          <w:szCs w:val="18"/>
        </w:rPr>
        <w:t>年以内</w:t>
      </w:r>
    </w:p>
    <w:p>
      <w:pPr>
        <w:spacing w:before="85"/>
        <w:ind w:left="727" w:right="0" w:firstLine="0"/>
        <w:jc w:val="left"/>
        <w:rPr>
          <w:rFonts w:ascii="宋体" w:hAnsi="宋体" w:cs="宋体" w:eastAsia="宋体" w:hint="default"/>
          <w:sz w:val="18"/>
          <w:szCs w:val="18"/>
        </w:rPr>
      </w:pPr>
      <w:r>
        <w:rPr>
          <w:rFonts w:ascii="宋体" w:hAnsi="宋体" w:cs="宋体" w:eastAsia="宋体" w:hint="default"/>
          <w:spacing w:val="-10"/>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年</w:t>
      </w:r>
    </w:p>
    <w:p>
      <w:pPr>
        <w:spacing w:before="83"/>
        <w:ind w:left="727" w:right="0" w:firstLine="0"/>
        <w:jc w:val="left"/>
        <w:rPr>
          <w:rFonts w:ascii="宋体" w:hAnsi="宋体" w:cs="宋体" w:eastAsia="宋体" w:hint="default"/>
          <w:sz w:val="18"/>
          <w:szCs w:val="18"/>
        </w:rPr>
      </w:pPr>
      <w:r>
        <w:rPr>
          <w:rFonts w:ascii="宋体" w:hAnsi="宋体" w:cs="宋体" w:eastAsia="宋体" w:hint="default"/>
          <w:spacing w:val="-10"/>
          <w:sz w:val="18"/>
          <w:szCs w:val="18"/>
        </w:rPr>
        <w:t>2－3</w:t>
      </w:r>
      <w:r>
        <w:rPr>
          <w:rFonts w:ascii="宋体" w:hAnsi="宋体" w:cs="宋体" w:eastAsia="宋体" w:hint="default"/>
          <w:spacing w:val="-62"/>
          <w:sz w:val="18"/>
          <w:szCs w:val="18"/>
        </w:rPr>
        <w:t> </w:t>
      </w:r>
      <w:r>
        <w:rPr>
          <w:rFonts w:ascii="宋体" w:hAnsi="宋体" w:cs="宋体" w:eastAsia="宋体" w:hint="default"/>
          <w:sz w:val="18"/>
          <w:szCs w:val="18"/>
        </w:rPr>
        <w:t>年</w:t>
      </w:r>
    </w:p>
    <w:p>
      <w:pPr>
        <w:spacing w:before="85"/>
        <w:ind w:left="727"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9"/>
          <w:sz w:val="18"/>
          <w:szCs w:val="18"/>
        </w:rPr>
        <w:t> </w:t>
      </w:r>
      <w:r>
        <w:rPr>
          <w:rFonts w:ascii="宋体" w:hAnsi="宋体" w:cs="宋体" w:eastAsia="宋体" w:hint="default"/>
          <w:spacing w:val="-14"/>
          <w:sz w:val="18"/>
          <w:szCs w:val="18"/>
        </w:rPr>
        <w:t>年以上</w:t>
      </w:r>
    </w:p>
    <w:p>
      <w:pPr>
        <w:tabs>
          <w:tab w:pos="2072" w:val="left" w:leader="none"/>
          <w:tab w:pos="3438" w:val="left" w:leader="none"/>
          <w:tab w:pos="4325" w:val="left" w:leader="none"/>
          <w:tab w:pos="4942" w:val="left" w:leader="none"/>
          <w:tab w:pos="5878" w:val="left" w:leader="none"/>
          <w:tab w:pos="7240" w:val="left" w:leader="none"/>
          <w:tab w:pos="8029" w:val="left" w:leader="none"/>
          <w:tab w:pos="8646" w:val="left" w:leader="none"/>
        </w:tabs>
        <w:spacing w:before="85"/>
        <w:ind w:left="727" w:right="0"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0"/>
          <w:sz w:val="18"/>
          <w:szCs w:val="18"/>
        </w:rPr>
        <w:t> </w:t>
      </w:r>
      <w:r>
        <w:rPr>
          <w:rFonts w:ascii="宋体" w:hAnsi="宋体" w:cs="宋体" w:eastAsia="宋体" w:hint="default"/>
          <w:sz w:val="18"/>
          <w:szCs w:val="18"/>
        </w:rPr>
        <w:t>计</w:t>
        <w:tab/>
      </w:r>
      <w:r>
        <w:rPr>
          <w:rFonts w:ascii="宋体" w:hAnsi="宋体" w:cs="宋体" w:eastAsia="宋体" w:hint="default"/>
          <w:spacing w:val="-10"/>
          <w:sz w:val="18"/>
          <w:szCs w:val="18"/>
        </w:rPr>
        <w:t>3,788,525.00</w:t>
        <w:tab/>
      </w:r>
      <w:r>
        <w:rPr>
          <w:rFonts w:ascii="宋体" w:hAnsi="宋体" w:cs="宋体" w:eastAsia="宋体" w:hint="default"/>
          <w:spacing w:val="-8"/>
          <w:sz w:val="18"/>
          <w:szCs w:val="18"/>
        </w:rPr>
        <w:t>100%</w:t>
        <w:tab/>
      </w:r>
      <w:r>
        <w:rPr>
          <w:rFonts w:ascii="宋体" w:hAnsi="宋体" w:cs="宋体" w:eastAsia="宋体" w:hint="default"/>
          <w:spacing w:val="-9"/>
          <w:sz w:val="18"/>
          <w:szCs w:val="18"/>
        </w:rPr>
        <w:t>2.00%</w:t>
        <w:tab/>
      </w:r>
      <w:r>
        <w:rPr>
          <w:rFonts w:ascii="宋体" w:hAnsi="宋体" w:cs="宋体" w:eastAsia="宋体" w:hint="default"/>
          <w:spacing w:val="-10"/>
          <w:sz w:val="18"/>
          <w:szCs w:val="18"/>
        </w:rPr>
        <w:t>75,887.18</w:t>
        <w:tab/>
        <w:t>1,973,081.53</w:t>
        <w:tab/>
      </w:r>
      <w:r>
        <w:rPr>
          <w:rFonts w:ascii="宋体" w:hAnsi="宋体" w:cs="宋体" w:eastAsia="宋体" w:hint="default"/>
          <w:spacing w:val="-8"/>
          <w:sz w:val="18"/>
          <w:szCs w:val="18"/>
        </w:rPr>
        <w:t>100%</w:t>
        <w:tab/>
      </w:r>
      <w:r>
        <w:rPr>
          <w:rFonts w:ascii="宋体" w:hAnsi="宋体" w:cs="宋体" w:eastAsia="宋体" w:hint="default"/>
          <w:spacing w:val="-9"/>
          <w:sz w:val="18"/>
          <w:szCs w:val="18"/>
        </w:rPr>
        <w:t>3.54%</w:t>
        <w:tab/>
      </w:r>
      <w:r>
        <w:rPr>
          <w:rFonts w:ascii="宋体" w:hAnsi="宋体" w:cs="宋体" w:eastAsia="宋体" w:hint="default"/>
          <w:spacing w:val="-11"/>
          <w:sz w:val="18"/>
          <w:szCs w:val="18"/>
        </w:rPr>
        <w:t>69,851.01</w:t>
      </w:r>
      <w:r>
        <w:rPr>
          <w:rFonts w:ascii="宋体" w:hAnsi="宋体" w:cs="宋体" w:eastAsia="宋体" w:hint="default"/>
          <w:sz w:val="18"/>
          <w:szCs w:val="18"/>
        </w:rPr>
      </w:r>
    </w:p>
    <w:p>
      <w:pPr>
        <w:pStyle w:val="BodyText"/>
        <w:spacing w:line="240" w:lineRule="auto" w:before="46"/>
        <w:ind w:left="694" w:right="0"/>
        <w:jc w:val="left"/>
      </w:pPr>
      <w:r>
        <w:rPr/>
        <w:t>2.单项金额重大的其他应收款</w:t>
      </w:r>
    </w:p>
    <w:p>
      <w:pPr>
        <w:spacing w:line="240" w:lineRule="auto" w:before="13"/>
        <w:rPr>
          <w:rFonts w:ascii="宋体" w:hAnsi="宋体" w:cs="宋体" w:eastAsia="宋体" w:hint="default"/>
          <w:sz w:val="9"/>
          <w:szCs w:val="9"/>
        </w:rPr>
      </w:pPr>
    </w:p>
    <w:tbl>
      <w:tblPr>
        <w:tblW w:w="0" w:type="auto"/>
        <w:jc w:val="left"/>
        <w:tblInd w:w="332" w:type="dxa"/>
        <w:tblLayout w:type="fixed"/>
        <w:tblCellMar>
          <w:top w:w="0" w:type="dxa"/>
          <w:left w:w="0" w:type="dxa"/>
          <w:bottom w:w="0" w:type="dxa"/>
          <w:right w:w="0" w:type="dxa"/>
        </w:tblCellMar>
        <w:tblLook w:val="01E0"/>
      </w:tblPr>
      <w:tblGrid>
        <w:gridCol w:w="3699"/>
        <w:gridCol w:w="2179"/>
        <w:gridCol w:w="1143"/>
        <w:gridCol w:w="1673"/>
      </w:tblGrid>
      <w:tr>
        <w:trPr>
          <w:trHeight w:val="659" w:hRule="exact"/>
        </w:trPr>
        <w:tc>
          <w:tcPr>
            <w:tcW w:w="3699" w:type="dxa"/>
            <w:tcBorders>
              <w:top w:val="nil" w:sz="6" w:space="0" w:color="auto"/>
              <w:left w:val="nil" w:sz="6" w:space="0" w:color="auto"/>
              <w:bottom w:val="nil" w:sz="6" w:space="0" w:color="auto"/>
              <w:right w:val="nil" w:sz="6" w:space="0" w:color="auto"/>
            </w:tcBorders>
          </w:tcPr>
          <w:p>
            <w:pPr>
              <w:pStyle w:val="TableParagraph"/>
              <w:tabs>
                <w:tab w:pos="1024" w:val="left" w:leader="none"/>
                <w:tab w:pos="2807" w:val="left" w:leader="none"/>
              </w:tabs>
              <w:spacing w:line="314" w:lineRule="auto" w:before="44"/>
              <w:ind w:left="35" w:right="87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单项重大排名</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第一名 深圳市国家税务局南山分局</w:t>
            </w:r>
          </w:p>
        </w:tc>
        <w:tc>
          <w:tcPr>
            <w:tcW w:w="2179" w:type="dxa"/>
            <w:tcBorders>
              <w:top w:val="nil" w:sz="6" w:space="0" w:color="auto"/>
              <w:left w:val="nil" w:sz="6" w:space="0" w:color="auto"/>
              <w:bottom w:val="nil" w:sz="6" w:space="0" w:color="auto"/>
              <w:right w:val="nil" w:sz="6" w:space="0" w:color="auto"/>
            </w:tcBorders>
          </w:tcPr>
          <w:p>
            <w:pPr>
              <w:pStyle w:val="TableParagraph"/>
              <w:tabs>
                <w:tab w:pos="1414" w:val="left" w:leader="none"/>
              </w:tabs>
              <w:spacing w:line="314" w:lineRule="auto" w:before="44"/>
              <w:ind w:left="874" w:right="224"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  额</w:t>
            </w:r>
            <w:r>
              <w:rPr>
                <w:rFonts w:ascii="宋体" w:hAnsi="宋体" w:cs="宋体" w:eastAsia="宋体" w:hint="default"/>
                <w:sz w:val="18"/>
                <w:szCs w:val="18"/>
              </w:rPr>
            </w:r>
            <w:r>
              <w:rPr>
                <w:rFonts w:ascii="宋体" w:hAnsi="宋体" w:cs="宋体" w:eastAsia="宋体" w:hint="default"/>
                <w:sz w:val="18"/>
                <w:szCs w:val="18"/>
              </w:rPr>
              <w:t> 1,992,136.43</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计提比例</w:t>
            </w:r>
            <w:r>
              <w:rPr>
                <w:rFonts w:ascii="宋体" w:hAnsi="宋体" w:cs="宋体" w:eastAsia="宋体" w:hint="default"/>
                <w:sz w:val="18"/>
                <w:szCs w:val="18"/>
              </w:rPr>
            </w:r>
          </w:p>
          <w:p>
            <w:pPr>
              <w:pStyle w:val="TableParagraph"/>
              <w:spacing w:line="240" w:lineRule="auto" w:before="74"/>
              <w:ind w:left="749" w:right="0"/>
              <w:jc w:val="left"/>
              <w:rPr>
                <w:rFonts w:ascii="宋体" w:hAnsi="宋体" w:cs="宋体" w:eastAsia="宋体" w:hint="default"/>
                <w:sz w:val="18"/>
                <w:szCs w:val="18"/>
              </w:rPr>
            </w:pPr>
            <w:r>
              <w:rPr>
                <w:rFonts w:ascii="宋体"/>
                <w:sz w:val="18"/>
              </w:rPr>
              <w:t>0%</w:t>
            </w:r>
          </w:p>
        </w:tc>
        <w:tc>
          <w:tcPr>
            <w:tcW w:w="1673" w:type="dxa"/>
            <w:tcBorders>
              <w:top w:val="nil" w:sz="6" w:space="0" w:color="auto"/>
              <w:left w:val="nil" w:sz="6" w:space="0" w:color="auto"/>
              <w:bottom w:val="nil" w:sz="6" w:space="0" w:color="auto"/>
              <w:right w:val="nil" w:sz="6" w:space="0" w:color="auto"/>
            </w:tcBorders>
          </w:tcPr>
          <w:p>
            <w:pPr>
              <w:pStyle w:val="TableParagraph"/>
              <w:tabs>
                <w:tab w:pos="647" w:val="left" w:leader="none"/>
                <w:tab w:pos="1620" w:val="left" w:leader="none"/>
              </w:tabs>
              <w:spacing w:line="314" w:lineRule="auto" w:before="44"/>
              <w:ind w:left="558" w:right="33" w:hanging="45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理  由</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出口退税款</w:t>
            </w:r>
          </w:p>
        </w:tc>
      </w:tr>
      <w:tr>
        <w:trPr>
          <w:trHeight w:val="320"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第二名深圳裕宝森科技有限公司</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4"/>
              <w:jc w:val="right"/>
              <w:rPr>
                <w:rFonts w:ascii="宋体" w:hAnsi="宋体" w:cs="宋体" w:eastAsia="宋体" w:hint="default"/>
                <w:sz w:val="18"/>
                <w:szCs w:val="18"/>
              </w:rPr>
            </w:pPr>
            <w:r>
              <w:rPr>
                <w:rFonts w:ascii="宋体"/>
                <w:sz w:val="18"/>
              </w:rPr>
              <w:t>580,000.00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1"/>
              <w:jc w:val="right"/>
              <w:rPr>
                <w:rFonts w:ascii="宋体" w:hAnsi="宋体" w:cs="宋体" w:eastAsia="宋体" w:hint="default"/>
                <w:sz w:val="18"/>
                <w:szCs w:val="18"/>
              </w:rPr>
            </w:pPr>
            <w:r>
              <w:rPr>
                <w:rFonts w:ascii="宋体"/>
                <w:sz w:val="18"/>
              </w:rPr>
              <w:t>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43" w:right="0"/>
              <w:jc w:val="center"/>
              <w:rPr>
                <w:rFonts w:ascii="宋体" w:hAnsi="宋体" w:cs="宋体" w:eastAsia="宋体" w:hint="default"/>
                <w:sz w:val="18"/>
                <w:szCs w:val="18"/>
              </w:rPr>
            </w:pPr>
            <w:r>
              <w:rPr>
                <w:rFonts w:ascii="宋体" w:hAnsi="宋体" w:cs="宋体" w:eastAsia="宋体" w:hint="default"/>
                <w:sz w:val="18"/>
                <w:szCs w:val="18"/>
              </w:rPr>
              <w:t>厂房租赁保证金</w:t>
            </w:r>
          </w:p>
        </w:tc>
      </w:tr>
      <w:tr>
        <w:trPr>
          <w:trHeight w:val="350"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第三名  深圳市龙岗区财政局</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4"/>
              <w:jc w:val="right"/>
              <w:rPr>
                <w:rFonts w:ascii="宋体" w:hAnsi="宋体" w:cs="宋体" w:eastAsia="宋体" w:hint="default"/>
                <w:sz w:val="18"/>
                <w:szCs w:val="18"/>
              </w:rPr>
            </w:pPr>
            <w:r>
              <w:rPr>
                <w:rFonts w:ascii="宋体"/>
                <w:sz w:val="18"/>
              </w:rPr>
              <w:t>345,275.00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1"/>
              <w:jc w:val="right"/>
              <w:rPr>
                <w:rFonts w:ascii="宋体" w:hAnsi="宋体" w:cs="宋体" w:eastAsia="宋体" w:hint="default"/>
                <w:sz w:val="18"/>
                <w:szCs w:val="18"/>
              </w:rPr>
            </w:pPr>
            <w:r>
              <w:rPr>
                <w:rFonts w:ascii="宋体"/>
                <w:sz w:val="18"/>
              </w:rPr>
              <w:t>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43" w:right="0"/>
              <w:jc w:val="center"/>
              <w:rPr>
                <w:rFonts w:ascii="宋体" w:hAnsi="宋体" w:cs="宋体" w:eastAsia="宋体" w:hint="default"/>
                <w:sz w:val="18"/>
                <w:szCs w:val="18"/>
              </w:rPr>
            </w:pPr>
            <w:r>
              <w:rPr>
                <w:rFonts w:ascii="宋体" w:hAnsi="宋体" w:cs="宋体" w:eastAsia="宋体" w:hint="default"/>
                <w:sz w:val="18"/>
                <w:szCs w:val="18"/>
              </w:rPr>
              <w:t>墙体保证金</w:t>
            </w:r>
          </w:p>
        </w:tc>
      </w:tr>
    </w:tbl>
    <w:p>
      <w:pPr>
        <w:pStyle w:val="BodyText"/>
        <w:spacing w:line="336" w:lineRule="auto" w:before="10"/>
        <w:ind w:left="154" w:right="132" w:firstLine="540"/>
        <w:jc w:val="left"/>
      </w:pPr>
      <w:r>
        <w:rPr/>
        <w:t>3.年末其他应收款中无持本公司 5%以上（含</w:t>
      </w:r>
      <w:r>
        <w:rPr>
          <w:spacing w:val="-22"/>
        </w:rPr>
        <w:t> </w:t>
      </w:r>
      <w:r>
        <w:rPr/>
        <w:t>5%）表决权股份的股东单位款项，无关联</w:t>
      </w:r>
      <w:r>
        <w:rPr/>
        <w:t> 公司欠款。</w:t>
      </w:r>
    </w:p>
    <w:p>
      <w:pPr>
        <w:pStyle w:val="BodyText"/>
        <w:spacing w:line="240" w:lineRule="auto"/>
        <w:ind w:left="694" w:right="0"/>
        <w:jc w:val="left"/>
      </w:pPr>
      <w:r>
        <w:rPr/>
        <w:t>4.年末其他应收款中欠款金额前五名</w:t>
      </w:r>
    </w:p>
    <w:p>
      <w:pPr>
        <w:spacing w:line="240" w:lineRule="auto" w:before="8"/>
        <w:rPr>
          <w:rFonts w:ascii="宋体" w:hAnsi="宋体" w:cs="宋体" w:eastAsia="宋体" w:hint="default"/>
          <w:sz w:val="8"/>
          <w:szCs w:val="8"/>
        </w:rPr>
      </w:pPr>
    </w:p>
    <w:tbl>
      <w:tblPr>
        <w:tblW w:w="0" w:type="auto"/>
        <w:jc w:val="left"/>
        <w:tblInd w:w="332" w:type="dxa"/>
        <w:tblLayout w:type="fixed"/>
        <w:tblCellMar>
          <w:top w:w="0" w:type="dxa"/>
          <w:left w:w="0" w:type="dxa"/>
          <w:bottom w:w="0" w:type="dxa"/>
          <w:right w:w="0" w:type="dxa"/>
        </w:tblCellMar>
        <w:tblLook w:val="01E0"/>
      </w:tblPr>
      <w:tblGrid>
        <w:gridCol w:w="3097"/>
        <w:gridCol w:w="1188"/>
        <w:gridCol w:w="1476"/>
        <w:gridCol w:w="1108"/>
        <w:gridCol w:w="2151"/>
      </w:tblGrid>
      <w:tr>
        <w:trPr>
          <w:trHeight w:val="693" w:hRule="exact"/>
        </w:trPr>
        <w:tc>
          <w:tcPr>
            <w:tcW w:w="3097" w:type="dxa"/>
            <w:tcBorders>
              <w:top w:val="nil" w:sz="6" w:space="0" w:color="auto"/>
              <w:left w:val="nil" w:sz="6" w:space="0" w:color="auto"/>
              <w:bottom w:val="nil" w:sz="6" w:space="0" w:color="auto"/>
              <w:right w:val="nil" w:sz="6" w:space="0" w:color="auto"/>
            </w:tcBorders>
          </w:tcPr>
          <w:p>
            <w:pPr>
              <w:pStyle w:val="TableParagraph"/>
              <w:tabs>
                <w:tab w:pos="1204" w:val="left" w:leader="none"/>
                <w:tab w:pos="2935" w:val="left" w:leader="none"/>
              </w:tabs>
              <w:spacing w:line="314" w:lineRule="auto" w:before="78"/>
              <w:ind w:left="35" w:right="14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债务人排名</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第一名  深圳市国家税务局南山分局</w:t>
            </w:r>
          </w:p>
        </w:tc>
        <w:tc>
          <w:tcPr>
            <w:tcW w:w="1188" w:type="dxa"/>
            <w:tcBorders>
              <w:top w:val="nil" w:sz="6" w:space="0" w:color="auto"/>
              <w:left w:val="nil" w:sz="6" w:space="0" w:color="auto"/>
              <w:bottom w:val="nil" w:sz="6" w:space="0" w:color="auto"/>
              <w:right w:val="nil" w:sz="6" w:space="0" w:color="auto"/>
            </w:tcBorders>
          </w:tcPr>
          <w:p>
            <w:pPr>
              <w:pStyle w:val="TableParagraph"/>
              <w:spacing w:line="314" w:lineRule="auto" w:before="78"/>
              <w:ind w:left="233" w:right="143"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性质或内容</w:t>
            </w:r>
            <w:r>
              <w:rPr>
                <w:rFonts w:ascii="宋体" w:hAnsi="宋体" w:cs="宋体" w:eastAsia="宋体" w:hint="default"/>
                <w:sz w:val="18"/>
                <w:szCs w:val="18"/>
              </w:rPr>
            </w:r>
            <w:r>
              <w:rPr>
                <w:rFonts w:ascii="宋体" w:hAnsi="宋体" w:cs="宋体" w:eastAsia="宋体" w:hint="default"/>
                <w:sz w:val="18"/>
                <w:szCs w:val="18"/>
              </w:rPr>
              <w:t> 出口退税</w:t>
            </w:r>
          </w:p>
        </w:tc>
        <w:tc>
          <w:tcPr>
            <w:tcW w:w="1476" w:type="dxa"/>
            <w:tcBorders>
              <w:top w:val="nil" w:sz="6" w:space="0" w:color="auto"/>
              <w:left w:val="nil" w:sz="6" w:space="0" w:color="auto"/>
              <w:bottom w:val="nil" w:sz="6" w:space="0" w:color="auto"/>
              <w:right w:val="nil" w:sz="6" w:space="0" w:color="auto"/>
            </w:tcBorders>
          </w:tcPr>
          <w:p>
            <w:pPr>
              <w:pStyle w:val="TableParagraph"/>
              <w:tabs>
                <w:tab w:pos="456" w:val="left" w:leader="none"/>
                <w:tab w:pos="877" w:val="left" w:leader="none"/>
                <w:tab w:pos="1259" w:val="left" w:leader="none"/>
              </w:tabs>
              <w:spacing w:line="240" w:lineRule="auto" w:before="35"/>
              <w:ind w:left="3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r>
          </w:p>
          <w:p>
            <w:pPr>
              <w:pStyle w:val="TableParagraph"/>
              <w:spacing w:line="240" w:lineRule="auto" w:before="77"/>
              <w:ind w:left="179" w:right="0"/>
              <w:jc w:val="center"/>
              <w:rPr>
                <w:rFonts w:ascii="宋体" w:hAnsi="宋体" w:cs="宋体" w:eastAsia="宋体" w:hint="default"/>
                <w:sz w:val="18"/>
                <w:szCs w:val="18"/>
              </w:rPr>
            </w:pPr>
            <w:r>
              <w:rPr>
                <w:rFonts w:ascii="宋体"/>
                <w:sz w:val="18"/>
              </w:rPr>
              <w:t>1,992,136.43</w:t>
            </w:r>
          </w:p>
        </w:tc>
        <w:tc>
          <w:tcPr>
            <w:tcW w:w="1108" w:type="dxa"/>
            <w:tcBorders>
              <w:top w:val="nil" w:sz="6" w:space="0" w:color="auto"/>
              <w:left w:val="nil" w:sz="6" w:space="0" w:color="auto"/>
              <w:bottom w:val="nil" w:sz="6" w:space="0" w:color="auto"/>
              <w:right w:val="nil" w:sz="6" w:space="0" w:color="auto"/>
            </w:tcBorders>
          </w:tcPr>
          <w:p>
            <w:pPr>
              <w:pStyle w:val="TableParagraph"/>
              <w:tabs>
                <w:tab w:pos="377" w:val="left" w:leader="none"/>
                <w:tab w:pos="954" w:val="left" w:leader="none"/>
              </w:tabs>
              <w:spacing w:line="314" w:lineRule="auto" w:before="78"/>
              <w:ind w:left="202" w:right="134" w:hanging="9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账龄</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51" w:type="dxa"/>
            <w:tcBorders>
              <w:top w:val="nil" w:sz="6" w:space="0" w:color="auto"/>
              <w:left w:val="nil" w:sz="6" w:space="0" w:color="auto"/>
              <w:bottom w:val="nil" w:sz="6" w:space="0" w:color="auto"/>
              <w:right w:val="nil" w:sz="6" w:space="0" w:color="auto"/>
            </w:tcBorders>
          </w:tcPr>
          <w:p>
            <w:pPr>
              <w:pStyle w:val="TableParagraph"/>
              <w:spacing w:line="314" w:lineRule="auto" w:before="78"/>
              <w:ind w:left="856" w:right="33" w:hanging="72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占其他应收款总额的比例</w:t>
            </w:r>
            <w:r>
              <w:rPr>
                <w:rFonts w:ascii="宋体" w:hAnsi="宋体" w:cs="宋体" w:eastAsia="宋体" w:hint="default"/>
                <w:sz w:val="18"/>
                <w:szCs w:val="18"/>
              </w:rPr>
            </w:r>
            <w:r>
              <w:rPr>
                <w:rFonts w:ascii="宋体" w:hAnsi="宋体" w:cs="宋体" w:eastAsia="宋体" w:hint="default"/>
                <w:sz w:val="18"/>
                <w:szCs w:val="18"/>
              </w:rPr>
              <w:t> 52.58%</w:t>
            </w:r>
          </w:p>
        </w:tc>
      </w:tr>
      <w:tr>
        <w:trPr>
          <w:trHeight w:val="32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第二名  深圳裕宝森科技有限公司</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580,000.00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54"/>
              <w:jc w:val="right"/>
              <w:rPr>
                <w:rFonts w:ascii="宋体" w:hAnsi="宋体" w:cs="宋体" w:eastAsia="宋体" w:hint="default"/>
                <w:sz w:val="18"/>
                <w:szCs w:val="18"/>
              </w:rPr>
            </w:pPr>
            <w:r>
              <w:rPr>
                <w:rFonts w:ascii="宋体"/>
                <w:sz w:val="18"/>
              </w:rPr>
              <w:t>15.31%</w:t>
            </w:r>
          </w:p>
        </w:tc>
      </w:tr>
      <w:tr>
        <w:trPr>
          <w:trHeight w:val="32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第三名  深圳市龙岗区财政局</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345,275.00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97"/>
              <w:jc w:val="right"/>
              <w:rPr>
                <w:rFonts w:ascii="宋体" w:hAnsi="宋体" w:cs="宋体" w:eastAsia="宋体" w:hint="default"/>
                <w:sz w:val="18"/>
                <w:szCs w:val="18"/>
              </w:rPr>
            </w:pPr>
            <w:r>
              <w:rPr>
                <w:rFonts w:ascii="宋体"/>
                <w:sz w:val="18"/>
              </w:rPr>
              <w:t>9.11%</w:t>
            </w:r>
          </w:p>
        </w:tc>
      </w:tr>
      <w:tr>
        <w:trPr>
          <w:trHeight w:val="32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第四名  公司员工</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189,732.46</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97"/>
              <w:jc w:val="right"/>
              <w:rPr>
                <w:rFonts w:ascii="宋体" w:hAnsi="宋体" w:cs="宋体" w:eastAsia="宋体" w:hint="default"/>
                <w:sz w:val="18"/>
                <w:szCs w:val="18"/>
              </w:rPr>
            </w:pPr>
            <w:r>
              <w:rPr>
                <w:rFonts w:ascii="宋体"/>
                <w:sz w:val="18"/>
              </w:rPr>
              <w:t>5.01%</w:t>
            </w:r>
          </w:p>
        </w:tc>
      </w:tr>
      <w:tr>
        <w:trPr>
          <w:trHeight w:val="35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第五名  飞利浦（香港）</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109,569.00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97"/>
              <w:jc w:val="right"/>
              <w:rPr>
                <w:rFonts w:ascii="宋体" w:hAnsi="宋体" w:cs="宋体" w:eastAsia="宋体" w:hint="default"/>
                <w:sz w:val="18"/>
                <w:szCs w:val="18"/>
              </w:rPr>
            </w:pPr>
            <w:r>
              <w:rPr>
                <w:rFonts w:ascii="宋体"/>
                <w:sz w:val="18"/>
              </w:rPr>
              <w:t>2.89%</w:t>
            </w:r>
          </w:p>
        </w:tc>
      </w:tr>
    </w:tbl>
    <w:p>
      <w:pPr>
        <w:pStyle w:val="BodyText"/>
        <w:spacing w:line="336" w:lineRule="auto" w:before="9"/>
        <w:ind w:left="154" w:right="131" w:firstLine="540"/>
        <w:jc w:val="left"/>
      </w:pPr>
      <w:r>
        <w:rPr/>
        <w:t>5.其他应收款年末数比年初数增</w:t>
      </w:r>
      <w:r>
        <w:rPr>
          <w:spacing w:val="-47"/>
        </w:rPr>
        <w:t> </w:t>
      </w:r>
      <w:r>
        <w:rPr/>
        <w:t>1,815,443.47</w:t>
      </w:r>
      <w:r>
        <w:rPr>
          <w:spacing w:val="-47"/>
        </w:rPr>
        <w:t> </w:t>
      </w:r>
      <w:r>
        <w:rPr/>
        <w:t>元，增加比例为</w:t>
      </w:r>
      <w:r>
        <w:rPr>
          <w:spacing w:val="-47"/>
        </w:rPr>
        <w:t> </w:t>
      </w:r>
      <w:r>
        <w:rPr/>
        <w:t>92.01%，变动原因：本</w:t>
      </w:r>
      <w:r>
        <w:rPr/>
        <w:t> 期出口退税款增加所致。</w:t>
      </w:r>
    </w:p>
    <w:p>
      <w:pPr>
        <w:pStyle w:val="BodyText"/>
        <w:spacing w:line="240" w:lineRule="auto"/>
        <w:ind w:left="694" w:right="0"/>
        <w:jc w:val="left"/>
      </w:pPr>
      <w:r>
        <w:rPr>
          <w:spacing w:val="13"/>
        </w:rPr>
        <w:t>6.其他应收款中应收出口退税款 </w:t>
      </w:r>
      <w:r>
        <w:rPr/>
        <w:t>1,992,136.43</w:t>
      </w:r>
      <w:r>
        <w:rPr>
          <w:spacing w:val="17"/>
        </w:rPr>
        <w:t> </w:t>
      </w:r>
      <w:r>
        <w:rPr>
          <w:spacing w:val="15"/>
        </w:rPr>
        <w:t>元，应收裕宝森科厂房租赁保证金</w:t>
      </w:r>
      <w:r>
        <w:rPr/>
      </w:r>
    </w:p>
    <w:p>
      <w:pPr>
        <w:pStyle w:val="BodyText"/>
        <w:spacing w:line="336" w:lineRule="auto" w:before="125"/>
        <w:ind w:left="694" w:right="710" w:hanging="540"/>
        <w:jc w:val="left"/>
      </w:pPr>
      <w:r>
        <w:rPr/>
        <w:t>580,000.00</w:t>
      </w:r>
      <w:r>
        <w:rPr>
          <w:spacing w:val="-60"/>
        </w:rPr>
        <w:t> </w:t>
      </w:r>
      <w:r>
        <w:rPr/>
        <w:t>元，龙岗财政局墙体保证金</w:t>
      </w:r>
      <w:r>
        <w:rPr>
          <w:spacing w:val="-60"/>
        </w:rPr>
        <w:t> </w:t>
      </w:r>
      <w:r>
        <w:rPr/>
        <w:t>345,275.00</w:t>
      </w:r>
      <w:r>
        <w:rPr>
          <w:spacing w:val="-60"/>
        </w:rPr>
        <w:t> </w:t>
      </w:r>
      <w:r>
        <w:rPr/>
        <w:t>元按个别认定法未计提坏账准备。</w:t>
      </w:r>
      <w:r>
        <w:rPr/>
        <w:t> (六)存货及存货跌价准备</w:t>
      </w:r>
    </w:p>
    <w:p>
      <w:pPr>
        <w:tabs>
          <w:tab w:pos="3341" w:val="left" w:leader="none"/>
          <w:tab w:pos="4961" w:val="left" w:leader="none"/>
          <w:tab w:pos="6001" w:val="left" w:leader="none"/>
          <w:tab w:pos="7261" w:val="left" w:leader="none"/>
          <w:tab w:pos="8791" w:val="left" w:leader="none"/>
        </w:tabs>
        <w:spacing w:line="218" w:lineRule="exact" w:before="95"/>
        <w:ind w:left="199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spacing w:line="200" w:lineRule="exact" w:before="0"/>
        <w:ind w:left="801" w:right="0" w:firstLine="0"/>
        <w:jc w:val="left"/>
        <w:rPr>
          <w:rFonts w:ascii="宋体" w:hAnsi="宋体" w:cs="宋体" w:eastAsia="宋体" w:hint="default"/>
          <w:sz w:val="18"/>
          <w:szCs w:val="18"/>
        </w:rPr>
      </w:pPr>
      <w:r>
        <w:rPr>
          <w:rFonts w:ascii="宋体" w:hAnsi="宋体" w:cs="宋体" w:eastAsia="宋体" w:hint="default"/>
          <w:sz w:val="18"/>
          <w:szCs w:val="18"/>
        </w:rPr>
        <w:t>项  目</w:t>
      </w:r>
    </w:p>
    <w:p>
      <w:pPr>
        <w:tabs>
          <w:tab w:pos="4471" w:val="left" w:leader="none"/>
          <w:tab w:pos="6361" w:val="left" w:leader="none"/>
          <w:tab w:pos="8423" w:val="left" w:leader="none"/>
        </w:tabs>
        <w:spacing w:line="217" w:lineRule="exact" w:before="0"/>
        <w:ind w:left="2441" w:right="0" w:firstLine="0"/>
        <w:jc w:val="left"/>
        <w:rPr>
          <w:rFonts w:ascii="宋体" w:hAnsi="宋体" w:cs="宋体" w:eastAsia="宋体" w:hint="default"/>
          <w:sz w:val="18"/>
          <w:szCs w:val="18"/>
        </w:rPr>
      </w:pPr>
      <w:r>
        <w:rPr/>
        <w:pict>
          <v:group style="position:absolute;margin-left:71.099998pt;margin-top:1.263397pt;width:58.5pt;height:.1pt;mso-position-horizontal-relative:page;mso-position-vertical-relative:paragraph;z-index:1720" coordorigin="1422,25" coordsize="1170,2">
            <v:shape style="position:absolute;left:1422;top:25;width:1170;height:2" coordorigin="1422,25" coordsize="1170,0" path="m1422,25l2592,25e" filled="false" stroked="true" strokeweight=".48pt" strokecolor="#000000">
              <v:path arrowok="t"/>
            </v:shape>
            <w10:wrap type="none"/>
          </v:group>
        </w:pict>
      </w:r>
      <w:r>
        <w:rPr>
          <w:rFonts w:ascii="宋体" w:hAnsi="宋体" w:cs="宋体" w:eastAsia="宋体" w:hint="default"/>
          <w:sz w:val="18"/>
          <w:szCs w:val="18"/>
        </w:rPr>
        <w:t>账面余额</w:t>
        <w:tab/>
        <w:t>跌价准备</w:t>
        <w:tab/>
        <w:t>账面余额</w:t>
        <w:tab/>
        <w:t>跌价准备</w:t>
      </w:r>
    </w:p>
    <w:p>
      <w:pPr>
        <w:tabs>
          <w:tab w:pos="2835" w:val="left" w:leader="none"/>
          <w:tab w:pos="5445" w:val="left" w:leader="none"/>
          <w:tab w:pos="6615" w:val="left" w:leader="none"/>
          <w:tab w:pos="9045" w:val="left" w:leader="none"/>
        </w:tabs>
        <w:spacing w:line="232" w:lineRule="exact" w:before="0"/>
        <w:ind w:left="441" w:right="0" w:firstLine="0"/>
        <w:jc w:val="left"/>
        <w:rPr>
          <w:rFonts w:ascii="宋体" w:hAnsi="宋体" w:cs="宋体" w:eastAsia="宋体" w:hint="default"/>
          <w:sz w:val="18"/>
          <w:szCs w:val="18"/>
        </w:rPr>
      </w:pPr>
      <w:r>
        <w:rPr/>
        <w:pict>
          <v:group style="position:absolute;margin-left:148.559998pt;margin-top:.354374pt;width:81pt;height:.1pt;mso-position-horizontal-relative:page;mso-position-vertical-relative:paragraph;z-index:-420856" coordorigin="2971,7" coordsize="1620,2">
            <v:shape style="position:absolute;left:2971;top:7;width:1620;height:2" coordorigin="2971,7" coordsize="1620,0" path="m2971,7l4591,7e" filled="false" stroked="true" strokeweight=".48001pt" strokecolor="#000000">
              <v:path arrowok="t"/>
            </v:shape>
            <w10:wrap type="none"/>
          </v:group>
        </w:pict>
      </w:r>
      <w:r>
        <w:rPr/>
        <w:pict>
          <v:group style="position:absolute;margin-left:259.079987pt;margin-top:.354374pt;width:67.5pt;height:.1pt;mso-position-horizontal-relative:page;mso-position-vertical-relative:paragraph;z-index:-420832" coordorigin="5182,7" coordsize="1350,2">
            <v:shape style="position:absolute;left:5182;top:7;width:1350;height:2" coordorigin="5182,7" coordsize="1350,0" path="m5182,7l6532,7e" filled="false" stroked="true" strokeweight=".48001pt" strokecolor="#000000">
              <v:path arrowok="t"/>
            </v:shape>
            <w10:wrap type="none"/>
          </v:group>
        </w:pict>
      </w:r>
      <w:r>
        <w:rPr/>
        <w:pict>
          <v:group style="position:absolute;margin-left:349.079987pt;margin-top:.354374pt;width:72pt;height:.1pt;mso-position-horizontal-relative:page;mso-position-vertical-relative:paragraph;z-index:-420808" coordorigin="6982,7" coordsize="1440,2">
            <v:shape style="position:absolute;left:6982;top:7;width:1440;height:2" coordorigin="6982,7" coordsize="1440,0" path="m6982,7l8422,7e" filled="false" stroked="true" strokeweight=".48001pt" strokecolor="#000000">
              <v:path arrowok="t"/>
            </v:shape>
            <w10:wrap type="none"/>
          </v:group>
        </w:pict>
      </w:r>
      <w:r>
        <w:rPr/>
        <w:pict>
          <v:group style="position:absolute;margin-left:461.160004pt;margin-top:.354374pt;width:54pt;height:.1pt;mso-position-horizontal-relative:page;mso-position-vertical-relative:paragraph;z-index:-420784" coordorigin="9223,7" coordsize="1080,2">
            <v:shape style="position:absolute;left:9223;top:7;width:1080;height:2" coordorigin="9223,7" coordsize="1080,0" path="m9223,7l10303,7e" filled="false" stroked="true" strokeweight=".48001pt" strokecolor="#000000">
              <v:path arrowok="t"/>
            </v:shape>
            <w10:wrap type="none"/>
          </v:group>
        </w:pict>
      </w:r>
      <w:r>
        <w:rPr>
          <w:rFonts w:ascii="宋体" w:hAnsi="宋体" w:cs="宋体" w:eastAsia="宋体" w:hint="default"/>
          <w:sz w:val="18"/>
          <w:szCs w:val="18"/>
        </w:rPr>
        <w:t>原材料</w:t>
        <w:tab/>
        <w:t>80,350,144.22</w:t>
        <w:tab/>
        <w:t>——</w:t>
        <w:tab/>
        <w:t>61,080,251.98</w:t>
        <w:tab/>
        <w:t>——</w:t>
      </w:r>
    </w:p>
    <w:p>
      <w:pPr>
        <w:tabs>
          <w:tab w:pos="3105" w:val="left" w:leader="none"/>
          <w:tab w:pos="5445" w:val="left" w:leader="none"/>
          <w:tab w:pos="6885" w:val="left" w:leader="none"/>
          <w:tab w:pos="9045" w:val="left" w:leader="none"/>
        </w:tabs>
        <w:spacing w:line="235" w:lineRule="exact" w:before="0"/>
        <w:ind w:left="441" w:right="0" w:firstLine="0"/>
        <w:jc w:val="left"/>
        <w:rPr>
          <w:rFonts w:ascii="宋体" w:hAnsi="宋体" w:cs="宋体" w:eastAsia="宋体" w:hint="default"/>
          <w:sz w:val="18"/>
          <w:szCs w:val="18"/>
        </w:rPr>
      </w:pPr>
      <w:r>
        <w:rPr>
          <w:rFonts w:ascii="宋体" w:hAnsi="宋体" w:cs="宋体" w:eastAsia="宋体" w:hint="default"/>
          <w:sz w:val="18"/>
          <w:szCs w:val="18"/>
        </w:rPr>
        <w:t>包装物</w:t>
        <w:tab/>
        <w:t>483,757.09</w:t>
        <w:tab/>
        <w:t>——</w:t>
        <w:tab/>
        <w:t>693,068.94</w:t>
        <w:tab/>
        <w:t>——</w:t>
      </w:r>
    </w:p>
    <w:p>
      <w:pPr>
        <w:spacing w:line="240" w:lineRule="auto" w:before="3"/>
        <w:rPr>
          <w:rFonts w:ascii="宋体" w:hAnsi="宋体" w:cs="宋体" w:eastAsia="宋体" w:hint="default"/>
          <w:sz w:val="15"/>
          <w:szCs w:val="15"/>
        </w:rPr>
      </w:pPr>
    </w:p>
    <w:tbl>
      <w:tblPr>
        <w:tblW w:w="0" w:type="auto"/>
        <w:jc w:val="left"/>
        <w:tblInd w:w="407" w:type="dxa"/>
        <w:tblLayout w:type="fixed"/>
        <w:tblCellMar>
          <w:top w:w="0" w:type="dxa"/>
          <w:left w:w="0" w:type="dxa"/>
          <w:bottom w:w="0" w:type="dxa"/>
          <w:right w:w="0" w:type="dxa"/>
        </w:tblCellMar>
        <w:tblLook w:val="01E0"/>
      </w:tblPr>
      <w:tblGrid>
        <w:gridCol w:w="1727"/>
        <w:gridCol w:w="2322"/>
        <w:gridCol w:w="1755"/>
        <w:gridCol w:w="1980"/>
        <w:gridCol w:w="1250"/>
      </w:tblGrid>
      <w:tr>
        <w:trPr>
          <w:trHeight w:val="207" w:hRule="exact"/>
        </w:trPr>
        <w:tc>
          <w:tcPr>
            <w:tcW w:w="1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22" w:type="dxa"/>
            <w:tcBorders>
              <w:top w:val="nil" w:sz="6" w:space="0" w:color="auto"/>
              <w:left w:val="nil" w:sz="6" w:space="0" w:color="auto"/>
              <w:bottom w:val="nil" w:sz="6" w:space="0" w:color="auto"/>
              <w:right w:val="nil" w:sz="6" w:space="0" w:color="auto"/>
            </w:tcBorders>
          </w:tcPr>
          <w:p>
            <w:pPr>
              <w:pStyle w:val="TableParagraph"/>
              <w:spacing w:line="107" w:lineRule="exact"/>
              <w:ind w:right="448"/>
              <w:jc w:val="right"/>
              <w:rPr>
                <w:rFonts w:ascii="宋体" w:hAnsi="宋体" w:cs="宋体" w:eastAsia="宋体" w:hint="default"/>
                <w:sz w:val="18"/>
                <w:szCs w:val="18"/>
              </w:rPr>
            </w:pPr>
            <w:r>
              <w:rPr>
                <w:rFonts w:ascii="宋体"/>
                <w:sz w:val="18"/>
              </w:rPr>
              <w:t>225,011.32</w:t>
            </w:r>
          </w:p>
        </w:tc>
        <w:tc>
          <w:tcPr>
            <w:tcW w:w="1755" w:type="dxa"/>
            <w:tcBorders>
              <w:top w:val="nil" w:sz="6" w:space="0" w:color="auto"/>
              <w:left w:val="nil" w:sz="6" w:space="0" w:color="auto"/>
              <w:bottom w:val="nil" w:sz="6" w:space="0" w:color="auto"/>
              <w:right w:val="nil" w:sz="6" w:space="0" w:color="auto"/>
            </w:tcBorders>
          </w:tcPr>
          <w:p>
            <w:pPr>
              <w:pStyle w:val="TableParagraph"/>
              <w:spacing w:line="180" w:lineRule="exact"/>
              <w:ind w:right="403"/>
              <w:jc w:val="right"/>
              <w:rPr>
                <w:rFonts w:ascii="宋体" w:hAnsi="宋体" w:cs="宋体" w:eastAsia="宋体" w:hint="default"/>
                <w:sz w:val="18"/>
                <w:szCs w:val="18"/>
              </w:rPr>
            </w:pPr>
            <w:r>
              <w:rPr>
                <w:rFonts w:ascii="宋体" w:hAnsi="宋体" w:cs="宋体" w:eastAsia="宋体" w:hint="default"/>
                <w:sz w:val="18"/>
                <w:szCs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180" w:lineRule="exact"/>
              <w:ind w:right="403"/>
              <w:jc w:val="right"/>
              <w:rPr>
                <w:rFonts w:ascii="宋体" w:hAnsi="宋体" w:cs="宋体" w:eastAsia="宋体" w:hint="default"/>
                <w:sz w:val="18"/>
                <w:szCs w:val="18"/>
              </w:rPr>
            </w:pPr>
            <w:r>
              <w:rPr>
                <w:rFonts w:ascii="宋体"/>
                <w:sz w:val="18"/>
              </w:rPr>
              <w:t>530,397.88</w:t>
            </w:r>
          </w:p>
        </w:tc>
        <w:tc>
          <w:tcPr>
            <w:tcW w:w="1250"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34" w:hRule="exact"/>
        </w:trPr>
        <w:tc>
          <w:tcPr>
            <w:tcW w:w="172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322" w:type="dxa"/>
            <w:tcBorders>
              <w:top w:val="nil" w:sz="6" w:space="0" w:color="auto"/>
              <w:left w:val="nil" w:sz="6" w:space="0" w:color="auto"/>
              <w:bottom w:val="nil" w:sz="6" w:space="0" w:color="auto"/>
              <w:right w:val="nil" w:sz="6" w:space="0" w:color="auto"/>
            </w:tcBorders>
          </w:tcPr>
          <w:p>
            <w:pPr>
              <w:pStyle w:val="TableParagraph"/>
              <w:spacing w:line="207" w:lineRule="exact"/>
              <w:ind w:right="449"/>
              <w:jc w:val="right"/>
              <w:rPr>
                <w:rFonts w:ascii="宋体" w:hAnsi="宋体" w:cs="宋体" w:eastAsia="宋体" w:hint="default"/>
                <w:sz w:val="18"/>
                <w:szCs w:val="18"/>
              </w:rPr>
            </w:pPr>
            <w:r>
              <w:rPr>
                <w:rFonts w:ascii="宋体"/>
                <w:sz w:val="18"/>
              </w:rPr>
              <w:t>2,787,109.20</w:t>
            </w:r>
          </w:p>
        </w:tc>
        <w:tc>
          <w:tcPr>
            <w:tcW w:w="1755"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hAnsi="宋体" w:cs="宋体" w:eastAsia="宋体" w:hint="default"/>
                <w:sz w:val="18"/>
                <w:szCs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sz w:val="18"/>
              </w:rPr>
              <w:t>1,102,388.16</w:t>
            </w:r>
          </w:p>
        </w:tc>
        <w:tc>
          <w:tcPr>
            <w:tcW w:w="1250"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33" w:hRule="exact"/>
        </w:trPr>
        <w:tc>
          <w:tcPr>
            <w:tcW w:w="172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322" w:type="dxa"/>
            <w:tcBorders>
              <w:top w:val="nil" w:sz="6" w:space="0" w:color="auto"/>
              <w:left w:val="nil" w:sz="6" w:space="0" w:color="auto"/>
              <w:bottom w:val="nil" w:sz="6" w:space="0" w:color="auto"/>
              <w:right w:val="nil" w:sz="6" w:space="0" w:color="auto"/>
            </w:tcBorders>
          </w:tcPr>
          <w:p>
            <w:pPr>
              <w:pStyle w:val="TableParagraph"/>
              <w:spacing w:line="207" w:lineRule="exact"/>
              <w:ind w:right="448"/>
              <w:jc w:val="right"/>
              <w:rPr>
                <w:rFonts w:ascii="宋体" w:hAnsi="宋体" w:cs="宋体" w:eastAsia="宋体" w:hint="default"/>
                <w:sz w:val="18"/>
                <w:szCs w:val="18"/>
              </w:rPr>
            </w:pPr>
            <w:r>
              <w:rPr>
                <w:rFonts w:ascii="宋体"/>
                <w:sz w:val="18"/>
              </w:rPr>
              <w:t>8,054,786.57</w:t>
            </w:r>
          </w:p>
        </w:tc>
        <w:tc>
          <w:tcPr>
            <w:tcW w:w="1755"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sz w:val="18"/>
              </w:rPr>
              <w:t>252,140.89</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sz w:val="18"/>
              </w:rPr>
              <w:t>3,586,636.25</w:t>
            </w:r>
          </w:p>
        </w:tc>
        <w:tc>
          <w:tcPr>
            <w:tcW w:w="1250"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z w:val="18"/>
              </w:rPr>
              <w:t>76,140.27</w:t>
            </w:r>
          </w:p>
        </w:tc>
      </w:tr>
      <w:tr>
        <w:trPr>
          <w:trHeight w:val="233" w:hRule="exact"/>
        </w:trPr>
        <w:tc>
          <w:tcPr>
            <w:tcW w:w="172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受托加工产品</w:t>
            </w:r>
          </w:p>
        </w:tc>
        <w:tc>
          <w:tcPr>
            <w:tcW w:w="2322" w:type="dxa"/>
            <w:tcBorders>
              <w:top w:val="nil" w:sz="6" w:space="0" w:color="auto"/>
              <w:left w:val="nil" w:sz="6" w:space="0" w:color="auto"/>
              <w:bottom w:val="nil" w:sz="6" w:space="0" w:color="auto"/>
              <w:right w:val="nil" w:sz="6" w:space="0" w:color="auto"/>
            </w:tcBorders>
          </w:tcPr>
          <w:p>
            <w:pPr>
              <w:pStyle w:val="TableParagraph"/>
              <w:spacing w:line="206" w:lineRule="exact"/>
              <w:ind w:right="449"/>
              <w:jc w:val="right"/>
              <w:rPr>
                <w:rFonts w:ascii="宋体" w:hAnsi="宋体" w:cs="宋体" w:eastAsia="宋体" w:hint="default"/>
                <w:sz w:val="18"/>
                <w:szCs w:val="18"/>
              </w:rPr>
            </w:pPr>
            <w:r>
              <w:rPr>
                <w:rFonts w:ascii="宋体"/>
                <w:sz w:val="18"/>
              </w:rPr>
              <w:t>9,968,529.74</w:t>
            </w:r>
          </w:p>
        </w:tc>
        <w:tc>
          <w:tcPr>
            <w:tcW w:w="1755" w:type="dxa"/>
            <w:tcBorders>
              <w:top w:val="nil" w:sz="6" w:space="0" w:color="auto"/>
              <w:left w:val="nil" w:sz="6" w:space="0" w:color="auto"/>
              <w:bottom w:val="nil" w:sz="6" w:space="0" w:color="auto"/>
              <w:right w:val="nil" w:sz="6" w:space="0" w:color="auto"/>
            </w:tcBorders>
          </w:tcPr>
          <w:p>
            <w:pPr>
              <w:pStyle w:val="TableParagraph"/>
              <w:spacing w:line="206" w:lineRule="exact"/>
              <w:ind w:right="403"/>
              <w:jc w:val="right"/>
              <w:rPr>
                <w:rFonts w:ascii="宋体" w:hAnsi="宋体" w:cs="宋体" w:eastAsia="宋体" w:hint="default"/>
                <w:sz w:val="18"/>
                <w:szCs w:val="18"/>
              </w:rPr>
            </w:pPr>
            <w:r>
              <w:rPr>
                <w:rFonts w:ascii="宋体" w:hAnsi="宋体" w:cs="宋体" w:eastAsia="宋体" w:hint="default"/>
                <w:sz w:val="18"/>
                <w:szCs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06" w:lineRule="exact"/>
              <w:ind w:right="403"/>
              <w:jc w:val="right"/>
              <w:rPr>
                <w:rFonts w:ascii="宋体" w:hAnsi="宋体" w:cs="宋体" w:eastAsia="宋体" w:hint="default"/>
                <w:sz w:val="18"/>
                <w:szCs w:val="18"/>
              </w:rPr>
            </w:pPr>
            <w:r>
              <w:rPr>
                <w:rFonts w:ascii="宋体"/>
                <w:sz w:val="18"/>
              </w:rPr>
              <w:t>5,947,088.27</w:t>
            </w:r>
          </w:p>
        </w:tc>
        <w:tc>
          <w:tcPr>
            <w:tcW w:w="1250"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33" w:hRule="exact"/>
        </w:trPr>
        <w:tc>
          <w:tcPr>
            <w:tcW w:w="172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322" w:type="dxa"/>
            <w:tcBorders>
              <w:top w:val="nil" w:sz="6" w:space="0" w:color="auto"/>
              <w:left w:val="nil" w:sz="6" w:space="0" w:color="auto"/>
              <w:bottom w:val="nil" w:sz="6" w:space="0" w:color="auto"/>
              <w:right w:val="nil" w:sz="6" w:space="0" w:color="auto"/>
            </w:tcBorders>
          </w:tcPr>
          <w:p>
            <w:pPr>
              <w:pStyle w:val="TableParagraph"/>
              <w:spacing w:line="207" w:lineRule="exact"/>
              <w:ind w:right="448"/>
              <w:jc w:val="right"/>
              <w:rPr>
                <w:rFonts w:ascii="宋体" w:hAnsi="宋体" w:cs="宋体" w:eastAsia="宋体" w:hint="default"/>
                <w:sz w:val="18"/>
                <w:szCs w:val="18"/>
              </w:rPr>
            </w:pPr>
            <w:r>
              <w:rPr>
                <w:rFonts w:ascii="宋体"/>
                <w:sz w:val="18"/>
              </w:rPr>
              <w:t>2,716,754.78</w:t>
            </w:r>
          </w:p>
        </w:tc>
        <w:tc>
          <w:tcPr>
            <w:tcW w:w="1755"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hAnsi="宋体" w:cs="宋体" w:eastAsia="宋体" w:hint="default"/>
                <w:sz w:val="18"/>
                <w:szCs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sz w:val="18"/>
              </w:rPr>
              <w:t>22,330.67</w:t>
            </w:r>
          </w:p>
        </w:tc>
        <w:tc>
          <w:tcPr>
            <w:tcW w:w="1250"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33" w:hRule="exact"/>
        </w:trPr>
        <w:tc>
          <w:tcPr>
            <w:tcW w:w="172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322" w:type="dxa"/>
            <w:tcBorders>
              <w:top w:val="nil" w:sz="6" w:space="0" w:color="auto"/>
              <w:left w:val="nil" w:sz="6" w:space="0" w:color="auto"/>
              <w:bottom w:val="nil" w:sz="6" w:space="0" w:color="auto"/>
              <w:right w:val="nil" w:sz="6" w:space="0" w:color="auto"/>
            </w:tcBorders>
          </w:tcPr>
          <w:p>
            <w:pPr>
              <w:pStyle w:val="TableParagraph"/>
              <w:spacing w:line="206" w:lineRule="exact"/>
              <w:ind w:right="448"/>
              <w:jc w:val="right"/>
              <w:rPr>
                <w:rFonts w:ascii="宋体" w:hAnsi="宋体" w:cs="宋体" w:eastAsia="宋体" w:hint="default"/>
                <w:sz w:val="18"/>
                <w:szCs w:val="18"/>
              </w:rPr>
            </w:pPr>
            <w:r>
              <w:rPr>
                <w:rFonts w:ascii="宋体"/>
                <w:sz w:val="18"/>
              </w:rPr>
              <w:t>10,434,839.00</w:t>
            </w:r>
          </w:p>
        </w:tc>
        <w:tc>
          <w:tcPr>
            <w:tcW w:w="1755" w:type="dxa"/>
            <w:tcBorders>
              <w:top w:val="nil" w:sz="6" w:space="0" w:color="auto"/>
              <w:left w:val="nil" w:sz="6" w:space="0" w:color="auto"/>
              <w:bottom w:val="nil" w:sz="6" w:space="0" w:color="auto"/>
              <w:right w:val="nil" w:sz="6" w:space="0" w:color="auto"/>
            </w:tcBorders>
          </w:tcPr>
          <w:p>
            <w:pPr>
              <w:pStyle w:val="TableParagraph"/>
              <w:spacing w:line="206" w:lineRule="exact"/>
              <w:ind w:right="403"/>
              <w:jc w:val="right"/>
              <w:rPr>
                <w:rFonts w:ascii="宋体" w:hAnsi="宋体" w:cs="宋体" w:eastAsia="宋体" w:hint="default"/>
                <w:sz w:val="18"/>
                <w:szCs w:val="18"/>
              </w:rPr>
            </w:pPr>
            <w:r>
              <w:rPr>
                <w:rFonts w:ascii="宋体"/>
                <w:sz w:val="18"/>
              </w:rPr>
              <w:t>532,393.23</w:t>
            </w:r>
          </w:p>
        </w:tc>
        <w:tc>
          <w:tcPr>
            <w:tcW w:w="1980" w:type="dxa"/>
            <w:tcBorders>
              <w:top w:val="nil" w:sz="6" w:space="0" w:color="auto"/>
              <w:left w:val="nil" w:sz="6" w:space="0" w:color="auto"/>
              <w:bottom w:val="nil" w:sz="6" w:space="0" w:color="auto"/>
              <w:right w:val="nil" w:sz="6" w:space="0" w:color="auto"/>
            </w:tcBorders>
          </w:tcPr>
          <w:p>
            <w:pPr>
              <w:pStyle w:val="TableParagraph"/>
              <w:spacing w:line="206" w:lineRule="exact"/>
              <w:ind w:right="403"/>
              <w:jc w:val="right"/>
              <w:rPr>
                <w:rFonts w:ascii="宋体" w:hAnsi="宋体" w:cs="宋体" w:eastAsia="宋体" w:hint="default"/>
                <w:sz w:val="18"/>
                <w:szCs w:val="18"/>
              </w:rPr>
            </w:pPr>
            <w:r>
              <w:rPr>
                <w:rFonts w:ascii="宋体"/>
                <w:sz w:val="18"/>
              </w:rPr>
              <w:t>7,560,431.79</w:t>
            </w:r>
          </w:p>
        </w:tc>
        <w:tc>
          <w:tcPr>
            <w:tcW w:w="1250"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172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2" w:type="dxa"/>
            <w:tcBorders>
              <w:top w:val="nil" w:sz="6" w:space="0" w:color="auto"/>
              <w:left w:val="nil" w:sz="6" w:space="0" w:color="auto"/>
              <w:bottom w:val="nil" w:sz="6" w:space="0" w:color="auto"/>
              <w:right w:val="nil" w:sz="6" w:space="0" w:color="auto"/>
            </w:tcBorders>
          </w:tcPr>
          <w:p>
            <w:pPr>
              <w:pStyle w:val="TableParagraph"/>
              <w:spacing w:line="207" w:lineRule="exact"/>
              <w:ind w:right="448"/>
              <w:jc w:val="right"/>
              <w:rPr>
                <w:rFonts w:ascii="宋体" w:hAnsi="宋体" w:cs="宋体" w:eastAsia="宋体" w:hint="default"/>
                <w:sz w:val="18"/>
                <w:szCs w:val="18"/>
              </w:rPr>
            </w:pPr>
            <w:r>
              <w:rPr>
                <w:rFonts w:ascii="宋体"/>
                <w:sz w:val="18"/>
              </w:rPr>
              <w:t>115,020,931.92</w:t>
            </w:r>
          </w:p>
        </w:tc>
        <w:tc>
          <w:tcPr>
            <w:tcW w:w="1755" w:type="dxa"/>
            <w:tcBorders>
              <w:top w:val="nil" w:sz="6" w:space="0" w:color="auto"/>
              <w:left w:val="nil" w:sz="6" w:space="0" w:color="auto"/>
              <w:bottom w:val="nil" w:sz="6" w:space="0" w:color="auto"/>
              <w:right w:val="nil" w:sz="6" w:space="0" w:color="auto"/>
            </w:tcBorders>
          </w:tcPr>
          <w:p>
            <w:pPr>
              <w:pStyle w:val="TableParagraph"/>
              <w:spacing w:line="207" w:lineRule="exact"/>
              <w:ind w:right="403"/>
              <w:jc w:val="right"/>
              <w:rPr>
                <w:rFonts w:ascii="宋体" w:hAnsi="宋体" w:cs="宋体" w:eastAsia="宋体" w:hint="default"/>
                <w:sz w:val="18"/>
                <w:szCs w:val="18"/>
              </w:rPr>
            </w:pPr>
            <w:r>
              <w:rPr>
                <w:rFonts w:ascii="宋体"/>
                <w:sz w:val="18"/>
              </w:rPr>
              <w:t>784,534.12</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right="404"/>
              <w:jc w:val="right"/>
              <w:rPr>
                <w:rFonts w:ascii="宋体" w:hAnsi="宋体" w:cs="宋体" w:eastAsia="宋体" w:hint="default"/>
                <w:sz w:val="18"/>
                <w:szCs w:val="18"/>
              </w:rPr>
            </w:pPr>
            <w:r>
              <w:rPr>
                <w:rFonts w:ascii="宋体"/>
                <w:sz w:val="18"/>
              </w:rPr>
              <w:t>80,522,593.94</w:t>
            </w:r>
          </w:p>
        </w:tc>
        <w:tc>
          <w:tcPr>
            <w:tcW w:w="1250"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z w:val="18"/>
              </w:rPr>
              <w:t>76,140.27</w:t>
            </w:r>
          </w:p>
        </w:tc>
      </w:tr>
    </w:tbl>
    <w:p>
      <w:pPr>
        <w:spacing w:after="0" w:line="207" w:lineRule="exact"/>
        <w:jc w:val="right"/>
        <w:rPr>
          <w:rFonts w:ascii="宋体" w:hAnsi="宋体" w:cs="宋体" w:eastAsia="宋体" w:hint="default"/>
          <w:sz w:val="18"/>
          <w:szCs w:val="18"/>
        </w:rPr>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pStyle w:val="BodyText"/>
        <w:spacing w:line="240" w:lineRule="auto" w:before="197"/>
        <w:ind w:left="694" w:right="0"/>
        <w:jc w:val="left"/>
      </w:pPr>
      <w:r>
        <w:rPr/>
        <w:t>1.存货跌价准备</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1339" w:top="980" w:bottom="1520" w:left="980" w:right="980"/>
        </w:sectPr>
      </w:pPr>
    </w:p>
    <w:p>
      <w:pPr>
        <w:spacing w:line="240" w:lineRule="auto" w:before="9"/>
        <w:rPr>
          <w:rFonts w:ascii="宋体" w:hAnsi="宋体" w:cs="宋体" w:eastAsia="宋体" w:hint="default"/>
          <w:sz w:val="18"/>
          <w:szCs w:val="18"/>
        </w:rPr>
      </w:pPr>
    </w:p>
    <w:p>
      <w:pPr>
        <w:tabs>
          <w:tab w:pos="531" w:val="left" w:leader="none"/>
          <w:tab w:pos="1521" w:val="left" w:leader="none"/>
          <w:tab w:pos="2095" w:val="left" w:leader="none"/>
          <w:tab w:pos="3746" w:val="left" w:leader="none"/>
          <w:tab w:pos="5006" w:val="left" w:leader="none"/>
        </w:tabs>
        <w:spacing w:before="0"/>
        <w:ind w:left="26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存货种类</w:t>
        <w:tab/>
      </w:r>
      <w:r>
        <w:rPr>
          <w:rFonts w:ascii="宋体" w:hAnsi="宋体" w:cs="宋体" w:eastAsia="宋体" w:hint="default"/>
          <w:sz w:val="18"/>
          <w:szCs w:val="18"/>
        </w:rPr>
        <w:tab/>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本年计提额</w:t>
        <w:tab/>
      </w:r>
      <w:r>
        <w:rPr>
          <w:rFonts w:ascii="宋体" w:hAnsi="宋体" w:cs="宋体" w:eastAsia="宋体" w:hint="default"/>
          <w:sz w:val="18"/>
          <w:szCs w:val="18"/>
        </w:rPr>
      </w:r>
    </w:p>
    <w:p>
      <w:pPr>
        <w:tabs>
          <w:tab w:pos="602" w:val="left" w:leader="none"/>
          <w:tab w:pos="1862" w:val="left" w:leader="none"/>
          <w:tab w:pos="2924" w:val="left" w:leader="none"/>
        </w:tabs>
        <w:spacing w:before="44"/>
        <w:ind w:left="332"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本年减少额</w:t>
        <w:tab/>
      </w:r>
      <w:r>
        <w:rPr>
          <w:rFonts w:ascii="宋体" w:hAnsi="宋体" w:cs="宋体" w:eastAsia="宋体" w:hint="default"/>
          <w:sz w:val="18"/>
          <w:szCs w:val="18"/>
        </w:rPr>
        <w:tab/>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p>
    <w:p>
      <w:pPr>
        <w:tabs>
          <w:tab w:pos="1038" w:val="left" w:leader="none"/>
          <w:tab w:pos="2298" w:val="left" w:leader="none"/>
        </w:tabs>
        <w:spacing w:before="0"/>
        <w:ind w:left="26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转销</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cols w:num="2" w:equalWidth="0">
            <w:col w:w="5007" w:space="142"/>
            <w:col w:w="4801"/>
          </w:cols>
        </w:sectPr>
      </w:pPr>
    </w:p>
    <w:p>
      <w:pPr>
        <w:spacing w:line="240" w:lineRule="auto" w:before="3"/>
        <w:rPr>
          <w:rFonts w:ascii="宋体" w:hAnsi="宋体" w:cs="宋体" w:eastAsia="宋体" w:hint="default"/>
          <w:sz w:val="9"/>
          <w:szCs w:val="9"/>
        </w:rPr>
      </w:pPr>
    </w:p>
    <w:p>
      <w:pPr>
        <w:tabs>
          <w:tab w:pos="2462" w:val="left" w:leader="none"/>
          <w:tab w:pos="4185" w:val="left" w:leader="none"/>
          <w:tab w:pos="5611" w:val="left" w:leader="none"/>
          <w:tab w:pos="6795" w:val="left" w:leader="none"/>
          <w:tab w:pos="8505" w:val="left" w:leader="none"/>
        </w:tabs>
        <w:spacing w:before="44"/>
        <w:ind w:left="261" w:right="0" w:firstLine="0"/>
        <w:jc w:val="left"/>
        <w:rPr>
          <w:rFonts w:ascii="宋体" w:hAnsi="宋体" w:cs="宋体" w:eastAsia="宋体" w:hint="default"/>
          <w:sz w:val="18"/>
          <w:szCs w:val="18"/>
        </w:rPr>
      </w:pPr>
      <w:r>
        <w:rPr>
          <w:rFonts w:ascii="宋体" w:hAnsi="宋体" w:cs="宋体" w:eastAsia="宋体" w:hint="default"/>
          <w:sz w:val="18"/>
          <w:szCs w:val="18"/>
        </w:rPr>
        <w:t>1.产成品</w:t>
        <w:tab/>
        <w:t>76,140.27</w:t>
        <w:tab/>
        <w:t>187,341.78</w:t>
        <w:tab/>
        <w:t>——</w:t>
        <w:tab/>
        <w:t>11,341.16</w:t>
        <w:tab/>
        <w:t>252,140.89</w:t>
      </w:r>
    </w:p>
    <w:p>
      <w:pPr>
        <w:spacing w:line="240" w:lineRule="auto" w:before="7"/>
        <w:rPr>
          <w:rFonts w:ascii="宋体" w:hAnsi="宋体" w:cs="宋体" w:eastAsia="宋体" w:hint="default"/>
          <w:sz w:val="12"/>
          <w:szCs w:val="12"/>
        </w:rPr>
      </w:pPr>
    </w:p>
    <w:p>
      <w:pPr>
        <w:tabs>
          <w:tab w:pos="4185" w:val="left" w:leader="none"/>
          <w:tab w:pos="8505" w:val="left" w:leader="none"/>
        </w:tabs>
        <w:spacing w:before="0"/>
        <w:ind w:left="261" w:right="0" w:firstLine="0"/>
        <w:jc w:val="left"/>
        <w:rPr>
          <w:rFonts w:ascii="宋体" w:hAnsi="宋体" w:cs="宋体" w:eastAsia="宋体" w:hint="default"/>
          <w:sz w:val="18"/>
          <w:szCs w:val="18"/>
        </w:rPr>
      </w:pPr>
      <w:r>
        <w:rPr>
          <w:rFonts w:ascii="宋体" w:hAnsi="宋体" w:cs="宋体" w:eastAsia="宋体" w:hint="default"/>
          <w:sz w:val="18"/>
          <w:szCs w:val="18"/>
        </w:rPr>
        <w:t>2.在产品</w:t>
        <w:tab/>
        <w:t>532,393.23</w:t>
        <w:tab/>
        <w:t>532,393.23</w:t>
      </w:r>
    </w:p>
    <w:p>
      <w:pPr>
        <w:spacing w:line="240" w:lineRule="auto" w:before="3"/>
        <w:rPr>
          <w:rFonts w:ascii="宋体" w:hAnsi="宋体" w:cs="宋体" w:eastAsia="宋体" w:hint="default"/>
          <w:sz w:val="15"/>
          <w:szCs w:val="15"/>
        </w:rPr>
      </w:pPr>
    </w:p>
    <w:p>
      <w:pPr>
        <w:tabs>
          <w:tab w:pos="801" w:val="left" w:leader="none"/>
          <w:tab w:pos="2462" w:val="left" w:leader="none"/>
          <w:tab w:pos="4185" w:val="left" w:leader="none"/>
          <w:tab w:pos="5611" w:val="left" w:leader="none"/>
          <w:tab w:pos="6795" w:val="left" w:leader="none"/>
          <w:tab w:pos="8505" w:val="left" w:leader="none"/>
        </w:tabs>
        <w:spacing w:before="0"/>
        <w:ind w:left="261"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t>76,140.27</w:t>
        <w:tab/>
        <w:t>719,735.01</w:t>
        <w:tab/>
        <w:t>——</w:t>
        <w:tab/>
        <w:t>11,341.16</w:t>
        <w:tab/>
        <w:t>784,534.12</w:t>
      </w:r>
    </w:p>
    <w:p>
      <w:pPr>
        <w:pStyle w:val="BodyText"/>
        <w:spacing w:line="240" w:lineRule="auto" w:before="98"/>
        <w:ind w:left="0" w:right="151"/>
        <w:jc w:val="right"/>
      </w:pPr>
      <w:r>
        <w:rPr>
          <w:spacing w:val="20"/>
        </w:rPr>
        <w:t>2007年4</w:t>
      </w:r>
      <w:r>
        <w:rPr>
          <w:spacing w:val="-40"/>
        </w:rPr>
        <w:t> </w:t>
      </w:r>
      <w:r>
        <w:rPr>
          <w:spacing w:val="-3"/>
        </w:rPr>
        <w:t>月，深圳市实益达数码科技有限公司注销，本期将产成品中由该公司委托加工</w:t>
      </w:r>
    </w:p>
    <w:p>
      <w:pPr>
        <w:pStyle w:val="BodyText"/>
        <w:spacing w:line="336" w:lineRule="auto" w:before="126"/>
        <w:ind w:left="0" w:right="148"/>
        <w:jc w:val="right"/>
      </w:pPr>
      <w:r>
        <w:rPr/>
        <w:t>的产品</w:t>
      </w:r>
      <w:r>
        <w:rPr>
          <w:spacing w:val="-53"/>
        </w:rPr>
        <w:t> </w:t>
      </w:r>
      <w:r>
        <w:rPr/>
        <w:t>187,341.78</w:t>
      </w:r>
      <w:r>
        <w:rPr>
          <w:spacing w:val="-53"/>
        </w:rPr>
        <w:t> </w:t>
      </w:r>
      <w:r>
        <w:rPr>
          <w:spacing w:val="-3"/>
        </w:rPr>
        <w:t>元全额计提存货跌价准备。在产品计提跌价准备的原因为本公司之子公司</w:t>
      </w:r>
      <w:r>
        <w:rPr/>
        <w:t> 无锡实益达在产品的成本高于售价，按存货的成本与可变现净值孰低提取的存货跌价准备。 2.存货年末数比年初数增加</w:t>
      </w:r>
      <w:r>
        <w:rPr>
          <w:spacing w:val="-47"/>
        </w:rPr>
        <w:t> </w:t>
      </w:r>
      <w:r>
        <w:rPr/>
        <w:t>34,498,337.98</w:t>
      </w:r>
      <w:r>
        <w:rPr>
          <w:spacing w:val="-47"/>
        </w:rPr>
        <w:t> </w:t>
      </w:r>
      <w:r>
        <w:rPr/>
        <w:t>元，增加比例为</w:t>
      </w:r>
      <w:r>
        <w:rPr>
          <w:spacing w:val="-47"/>
        </w:rPr>
        <w:t> </w:t>
      </w:r>
      <w:r>
        <w:rPr/>
        <w:t>42.84％，变动原因为：本</w:t>
      </w:r>
    </w:p>
    <w:p>
      <w:pPr>
        <w:pStyle w:val="BodyText"/>
        <w:spacing w:line="336" w:lineRule="auto"/>
        <w:ind w:left="694" w:right="4490" w:hanging="540"/>
        <w:jc w:val="left"/>
      </w:pPr>
      <w:r>
        <w:rPr/>
        <w:t>期销售量上升，为满足生产扩大而增加库存所致。 (七)长期股权投资</w:t>
      </w:r>
    </w:p>
    <w:p>
      <w:pPr>
        <w:spacing w:after="0" w:line="336" w:lineRule="auto"/>
        <w:jc w:val="left"/>
        <w:sectPr>
          <w:type w:val="continuous"/>
          <w:pgSz w:w="11910" w:h="16840"/>
          <w:pgMar w:top="980" w:bottom="1520" w:left="980" w:right="980"/>
        </w:sectPr>
      </w:pPr>
    </w:p>
    <w:p>
      <w:pPr>
        <w:spacing w:line="240" w:lineRule="auto" w:before="8"/>
        <w:rPr>
          <w:rFonts w:ascii="宋体" w:hAnsi="宋体" w:cs="宋体" w:eastAsia="宋体" w:hint="default"/>
          <w:sz w:val="20"/>
          <w:szCs w:val="20"/>
        </w:rPr>
      </w:pPr>
    </w:p>
    <w:p>
      <w:pPr>
        <w:spacing w:before="0"/>
        <w:ind w:left="979" w:right="-20" w:firstLine="0"/>
        <w:jc w:val="left"/>
        <w:rPr>
          <w:rFonts w:ascii="宋体" w:hAnsi="宋体" w:cs="宋体" w:eastAsia="宋体" w:hint="default"/>
          <w:sz w:val="18"/>
          <w:szCs w:val="18"/>
        </w:rPr>
      </w:pPr>
      <w:r>
        <w:rPr/>
        <w:pict>
          <v:group style="position:absolute;margin-left:66.480003pt;margin-top:12.132318pt;width:139.5pt;height:.1pt;mso-position-horizontal-relative:page;mso-position-vertical-relative:paragraph;z-index:1864" coordorigin="1330,243" coordsize="2790,2">
            <v:shape style="position:absolute;left:1330;top:243;width:2790;height:2" coordorigin="1330,243" coordsize="2790,0" path="m1330,243l4120,243e" filled="false" stroked="true" strokeweight=".47998pt" strokecolor="#000000">
              <v:path arrowok="t"/>
            </v:shape>
            <w10:wrap type="none"/>
          </v:group>
        </w:pict>
      </w:r>
      <w:r>
        <w:rPr>
          <w:rFonts w:ascii="宋体" w:hAnsi="宋体" w:cs="宋体" w:eastAsia="宋体" w:hint="default"/>
          <w:sz w:val="18"/>
          <w:szCs w:val="18"/>
        </w:rPr>
        <w:t>被投资单位名称</w:t>
      </w:r>
    </w:p>
    <w:p>
      <w:pPr>
        <w:tabs>
          <w:tab w:pos="2059" w:val="left" w:leader="none"/>
          <w:tab w:pos="2947" w:val="left" w:leader="none"/>
          <w:tab w:pos="3589" w:val="left" w:leader="none"/>
          <w:tab w:pos="4053" w:val="left" w:leader="none"/>
          <w:tab w:pos="4445" w:val="left" w:leader="none"/>
          <w:tab w:pos="5043" w:val="left" w:leader="none"/>
          <w:tab w:pos="6169" w:val="left" w:leader="none"/>
          <w:tab w:pos="6663" w:val="left" w:leader="none"/>
        </w:tabs>
        <w:spacing w:line="408" w:lineRule="auto" w:before="69"/>
        <w:ind w:left="1159" w:right="530" w:hanging="18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年末数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年初数</w:t>
        <w:tab/>
        <w:tab/>
      </w:r>
      <w:r>
        <w:rPr>
          <w:rFonts w:ascii="宋体" w:hAnsi="宋体" w:cs="宋体" w:eastAsia="宋体" w:hint="default"/>
          <w:sz w:val="18"/>
          <w:szCs w:val="18"/>
        </w:rPr>
      </w:r>
      <w:r>
        <w:rPr>
          <w:rFonts w:ascii="宋体" w:hAnsi="宋体" w:cs="宋体" w:eastAsia="宋体" w:hint="default"/>
          <w:sz w:val="18"/>
          <w:szCs w:val="18"/>
        </w:rPr>
        <w:t> 账面余额</w:t>
        <w:tab/>
        <w:tab/>
        <w:t>减值准备</w:t>
        <w:tab/>
        <w:tab/>
        <w:t>账面余额</w:t>
        <w:tab/>
        <w:t>减值准备</w:t>
      </w:r>
    </w:p>
    <w:p>
      <w:pPr>
        <w:spacing w:after="0" w:line="408" w:lineRule="auto"/>
        <w:jc w:val="left"/>
        <w:rPr>
          <w:rFonts w:ascii="宋体" w:hAnsi="宋体" w:cs="宋体" w:eastAsia="宋体" w:hint="default"/>
          <w:sz w:val="18"/>
          <w:szCs w:val="18"/>
        </w:rPr>
        <w:sectPr>
          <w:type w:val="continuous"/>
          <w:pgSz w:w="11910" w:h="16840"/>
          <w:pgMar w:top="980" w:bottom="1520" w:left="980" w:right="980"/>
          <w:cols w:num="2" w:equalWidth="0">
            <w:col w:w="2240" w:space="282"/>
            <w:col w:w="7428"/>
          </w:cols>
        </w:sectPr>
      </w:pPr>
    </w:p>
    <w:p>
      <w:pPr>
        <w:tabs>
          <w:tab w:pos="6999" w:val="left" w:leader="none"/>
          <w:tab w:pos="8671" w:val="left" w:leader="none"/>
        </w:tabs>
        <w:spacing w:before="39"/>
        <w:ind w:left="557" w:right="0" w:firstLine="0"/>
        <w:jc w:val="left"/>
        <w:rPr>
          <w:rFonts w:ascii="宋体" w:hAnsi="宋体" w:cs="宋体" w:eastAsia="宋体" w:hint="default"/>
          <w:sz w:val="18"/>
          <w:szCs w:val="18"/>
        </w:rPr>
      </w:pPr>
      <w:r>
        <w:rPr/>
        <w:pict>
          <v:group style="position:absolute;margin-left:224.100006pt;margin-top:-5.957971pt;width:54pt;height:.1pt;mso-position-horizontal-relative:page;mso-position-vertical-relative:paragraph;z-index:-420712" coordorigin="4482,-119" coordsize="1080,2">
            <v:shape style="position:absolute;left:4482;top:-119;width:1080;height:2" coordorigin="4482,-119" coordsize="1080,0" path="m4482,-119l5562,-119e" filled="false" stroked="true" strokeweight=".48001pt" strokecolor="#000000">
              <v:path arrowok="t"/>
            </v:shape>
            <w10:wrap type="none"/>
          </v:group>
        </w:pict>
      </w:r>
      <w:r>
        <w:rPr/>
        <w:pict>
          <v:group style="position:absolute;margin-left:318pt;margin-top:-5.957971pt;width:45pt;height:.1pt;mso-position-horizontal-relative:page;mso-position-vertical-relative:paragraph;z-index:-420688" coordorigin="6360,-119" coordsize="900,2">
            <v:shape style="position:absolute;left:6360;top:-119;width:900;height:2" coordorigin="6360,-119" coordsize="900,0" path="m6360,-119l7260,-119e" filled="false" stroked="true" strokeweight=".48001pt" strokecolor="#000000">
              <v:path arrowok="t"/>
            </v:shape>
            <w10:wrap type="none"/>
          </v:group>
        </w:pict>
      </w:r>
      <w:r>
        <w:rPr/>
        <w:pict>
          <v:group style="position:absolute;margin-left:388.380005pt;margin-top:-5.957971pt;width:54pt;height:.1pt;mso-position-horizontal-relative:page;mso-position-vertical-relative:paragraph;z-index:-420664" coordorigin="7768,-119" coordsize="1080,2">
            <v:shape style="position:absolute;left:7768;top:-119;width:1080;height:2" coordorigin="7768,-119" coordsize="1080,0" path="m7768,-119l8848,-119e" filled="false" stroked="true" strokeweight=".48001pt" strokecolor="#000000">
              <v:path arrowok="t"/>
            </v:shape>
            <w10:wrap type="none"/>
          </v:group>
        </w:pict>
      </w:r>
      <w:r>
        <w:rPr/>
        <w:pict>
          <v:group style="position:absolute;margin-left:474.600006pt;margin-top:-5.957971pt;width:53pt;height:.1pt;mso-position-horizontal-relative:page;mso-position-vertical-relative:paragraph;z-index:-420640" coordorigin="9492,-119" coordsize="1060,2">
            <v:shape style="position:absolute;left:9492;top:-119;width:1060;height:2" coordorigin="9492,-119" coordsize="1060,0" path="m9492,-119l10552,-119e" filled="false" stroked="true" strokeweight=".48001pt" strokecolor="#000000">
              <v:path arrowok="t"/>
            </v:shape>
            <w10:wrap type="none"/>
          </v:group>
        </w:pict>
      </w:r>
      <w:r>
        <w:rPr>
          <w:rFonts w:ascii="宋体" w:hAnsi="宋体" w:cs="宋体" w:eastAsia="宋体" w:hint="default"/>
          <w:sz w:val="18"/>
          <w:szCs w:val="18"/>
        </w:rPr>
        <w:t>深圳市实益达数码科技有限公司</w:t>
        <w:tab/>
        <w:t>100,000.00</w:t>
        <w:tab/>
        <w:t>100,000.00</w:t>
      </w:r>
    </w:p>
    <w:p>
      <w:pPr>
        <w:pStyle w:val="BodyText"/>
        <w:spacing w:line="240" w:lineRule="auto" w:before="94"/>
        <w:ind w:left="694" w:right="0"/>
        <w:jc w:val="left"/>
      </w:pPr>
      <w:r>
        <w:rPr/>
        <w:t>1.被投资单位主要信息</w:t>
      </w:r>
    </w:p>
    <w:p>
      <w:pPr>
        <w:spacing w:line="240" w:lineRule="auto" w:before="6"/>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980" w:bottom="1520" w:left="980" w:right="980"/>
        </w:sectPr>
      </w:pPr>
    </w:p>
    <w:p>
      <w:pPr>
        <w:spacing w:line="240" w:lineRule="auto" w:before="9"/>
        <w:rPr>
          <w:rFonts w:ascii="宋体" w:hAnsi="宋体" w:cs="宋体" w:eastAsia="宋体" w:hint="default"/>
          <w:sz w:val="18"/>
          <w:szCs w:val="18"/>
        </w:rPr>
      </w:pPr>
    </w:p>
    <w:p>
      <w:pPr>
        <w:tabs>
          <w:tab w:pos="1140" w:val="left" w:leader="none"/>
          <w:tab w:pos="2745" w:val="left" w:leader="none"/>
          <w:tab w:pos="3027" w:val="left" w:leader="none"/>
        </w:tabs>
        <w:spacing w:before="0"/>
        <w:ind w:left="4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8"/>
          <w:sz w:val="18"/>
          <w:szCs w:val="18"/>
          <w:u w:val="single" w:color="000000"/>
        </w:rPr>
        <w:t>被投资单位名称</w:t>
        <w:tab/>
      </w:r>
      <w:r>
        <w:rPr>
          <w:rFonts w:ascii="宋体" w:hAnsi="宋体" w:cs="宋体" w:eastAsia="宋体" w:hint="default"/>
          <w:spacing w:val="-18"/>
          <w:sz w:val="18"/>
          <w:szCs w:val="18"/>
        </w:rPr>
        <w:tab/>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21"/>
          <w:sz w:val="18"/>
          <w:szCs w:val="18"/>
          <w:u w:val="single" w:color="000000"/>
        </w:rPr>
        <w:t>注册地</w:t>
      </w:r>
      <w:r>
        <w:rPr>
          <w:rFonts w:ascii="宋体" w:hAnsi="宋体" w:cs="宋体" w:eastAsia="宋体" w:hint="default"/>
          <w:spacing w:val="-21"/>
          <w:sz w:val="18"/>
          <w:szCs w:val="18"/>
        </w:rPr>
      </w:r>
      <w:r>
        <w:rPr>
          <w:rFonts w:ascii="宋体" w:hAnsi="宋体" w:cs="宋体" w:eastAsia="宋体" w:hint="default"/>
          <w:sz w:val="18"/>
          <w:szCs w:val="18"/>
        </w:rPr>
      </w:r>
    </w:p>
    <w:p>
      <w:pPr>
        <w:tabs>
          <w:tab w:pos="1032" w:val="left" w:leader="none"/>
        </w:tabs>
        <w:spacing w:before="44"/>
        <w:ind w:left="352" w:right="-16" w:firstLine="0"/>
        <w:jc w:val="left"/>
        <w:rPr>
          <w:rFonts w:ascii="宋体" w:hAnsi="宋体" w:cs="宋体" w:eastAsia="宋体" w:hint="default"/>
          <w:sz w:val="18"/>
          <w:szCs w:val="18"/>
        </w:rPr>
      </w:pPr>
      <w:r>
        <w:rPr>
          <w:spacing w:val="-10"/>
        </w:rPr>
        <w:br w:type="column"/>
      </w:r>
      <w:r>
        <w:rPr>
          <w:rFonts w:ascii="宋体" w:hAnsi="宋体" w:cs="宋体" w:eastAsia="宋体" w:hint="default"/>
          <w:spacing w:val="-10"/>
          <w:sz w:val="18"/>
          <w:szCs w:val="18"/>
        </w:rPr>
      </w:r>
      <w:r>
        <w:rPr>
          <w:rFonts w:ascii="宋体" w:hAnsi="宋体" w:cs="宋体" w:eastAsia="宋体" w:hint="default"/>
          <w:spacing w:val="-10"/>
          <w:sz w:val="18"/>
          <w:szCs w:val="18"/>
          <w:u w:val="single" w:color="000000"/>
        </w:rPr>
        <w:t>业务</w:t>
      </w:r>
      <w:r>
        <w:rPr>
          <w:rFonts w:ascii="宋体" w:hAnsi="宋体" w:cs="宋体" w:eastAsia="宋体" w:hint="default"/>
          <w:spacing w:val="-10"/>
          <w:sz w:val="18"/>
          <w:szCs w:val="18"/>
        </w:rPr>
        <w:tab/>
      </w:r>
      <w:r>
        <w:rPr>
          <w:rFonts w:ascii="宋体" w:hAnsi="宋体" w:cs="宋体" w:eastAsia="宋体" w:hint="default"/>
          <w:spacing w:val="-21"/>
          <w:sz w:val="18"/>
          <w:szCs w:val="18"/>
        </w:rPr>
        <w:t>本企业持</w:t>
      </w:r>
      <w:r>
        <w:rPr>
          <w:rFonts w:ascii="宋体" w:hAnsi="宋体" w:cs="宋体" w:eastAsia="宋体" w:hint="default"/>
          <w:sz w:val="18"/>
          <w:szCs w:val="18"/>
        </w:rPr>
      </w:r>
    </w:p>
    <w:p>
      <w:pPr>
        <w:spacing w:line="240" w:lineRule="auto" w:before="8"/>
        <w:rPr>
          <w:rFonts w:ascii="宋体" w:hAnsi="宋体" w:cs="宋体" w:eastAsia="宋体" w:hint="default"/>
          <w:sz w:val="12"/>
          <w:szCs w:val="12"/>
        </w:rPr>
      </w:pPr>
    </w:p>
    <w:p>
      <w:pPr>
        <w:tabs>
          <w:tab w:pos="1111" w:val="left" w:leader="none"/>
        </w:tabs>
        <w:spacing w:before="0"/>
        <w:ind w:left="352" w:right="-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0"/>
          <w:sz w:val="18"/>
          <w:szCs w:val="18"/>
          <w:u w:val="single" w:color="000000"/>
        </w:rPr>
        <w:t>性质</w:t>
      </w:r>
      <w:r>
        <w:rPr>
          <w:rFonts w:ascii="宋体" w:hAnsi="宋体" w:cs="宋体" w:eastAsia="宋体" w:hint="default"/>
          <w:spacing w:val="-10"/>
          <w:sz w:val="18"/>
          <w:szCs w:val="18"/>
        </w:rPr>
        <w:tab/>
      </w:r>
      <w:r>
        <w:rPr>
          <w:rFonts w:ascii="宋体" w:hAnsi="宋体" w:cs="宋体" w:eastAsia="宋体" w:hint="default"/>
          <w:spacing w:val="-14"/>
          <w:sz w:val="18"/>
          <w:szCs w:val="18"/>
          <w:u w:val="single" w:color="000000"/>
        </w:rPr>
        <w:t>股比例</w:t>
      </w:r>
      <w:r>
        <w:rPr>
          <w:rFonts w:ascii="宋体" w:hAnsi="宋体" w:cs="宋体" w:eastAsia="宋体" w:hint="default"/>
          <w:spacing w:val="-14"/>
          <w:sz w:val="18"/>
          <w:szCs w:val="18"/>
        </w:rPr>
      </w:r>
    </w:p>
    <w:p>
      <w:pPr>
        <w:spacing w:line="408" w:lineRule="auto" w:before="44"/>
        <w:ind w:left="249" w:right="-14" w:firstLine="0"/>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本企业在被投资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u w:val="single" w:color="000000"/>
        </w:rPr>
        <w:t>单位表决权比例</w:t>
      </w:r>
      <w:r>
        <w:rPr>
          <w:rFonts w:ascii="宋体" w:hAnsi="宋体" w:cs="宋体" w:eastAsia="宋体" w:hint="default"/>
          <w:spacing w:val="-21"/>
          <w:sz w:val="18"/>
          <w:szCs w:val="18"/>
        </w:rPr>
      </w:r>
      <w:r>
        <w:rPr>
          <w:rFonts w:ascii="宋体" w:hAnsi="宋体" w:cs="宋体" w:eastAsia="宋体" w:hint="default"/>
          <w:sz w:val="18"/>
          <w:szCs w:val="18"/>
        </w:rPr>
      </w:r>
    </w:p>
    <w:p>
      <w:pPr>
        <w:spacing w:line="408" w:lineRule="auto" w:before="44"/>
        <w:ind w:left="304" w:right="-16" w:hanging="80"/>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年末净资 </w:t>
      </w:r>
      <w:r>
        <w:rPr>
          <w:rFonts w:ascii="宋体" w:hAnsi="宋体" w:cs="宋体" w:eastAsia="宋体" w:hint="default"/>
          <w:spacing w:val="-14"/>
          <w:sz w:val="18"/>
          <w:szCs w:val="18"/>
          <w:u w:val="single" w:color="000000"/>
        </w:rPr>
        <w:t>产总额</w:t>
      </w:r>
      <w:r>
        <w:rPr>
          <w:rFonts w:ascii="宋体" w:hAnsi="宋体" w:cs="宋体" w:eastAsia="宋体" w:hint="default"/>
          <w:spacing w:val="-14"/>
          <w:sz w:val="18"/>
          <w:szCs w:val="18"/>
        </w:rPr>
      </w:r>
    </w:p>
    <w:p>
      <w:pPr>
        <w:spacing w:line="408" w:lineRule="auto" w:before="44"/>
        <w:ind w:left="328" w:right="-16" w:firstLine="0"/>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本年营业 </w:t>
      </w:r>
      <w:r>
        <w:rPr>
          <w:rFonts w:ascii="宋体" w:hAnsi="宋体" w:cs="宋体" w:eastAsia="宋体" w:hint="default"/>
          <w:spacing w:val="-21"/>
          <w:sz w:val="18"/>
          <w:szCs w:val="18"/>
          <w:u w:val="single" w:color="000000"/>
        </w:rPr>
        <w:t>收入总额</w:t>
      </w:r>
      <w:r>
        <w:rPr>
          <w:rFonts w:ascii="宋体" w:hAnsi="宋体" w:cs="宋体" w:eastAsia="宋体" w:hint="default"/>
          <w:spacing w:val="-21"/>
          <w:sz w:val="18"/>
          <w:szCs w:val="18"/>
        </w:rPr>
      </w:r>
      <w:r>
        <w:rPr>
          <w:rFonts w:ascii="宋体" w:hAnsi="宋体" w:cs="宋体" w:eastAsia="宋体" w:hint="default"/>
          <w:sz w:val="18"/>
          <w:szCs w:val="18"/>
        </w:rPr>
      </w:r>
    </w:p>
    <w:p>
      <w:pPr>
        <w:spacing w:line="408" w:lineRule="auto" w:before="44"/>
        <w:ind w:left="390" w:right="384" w:firstLine="79"/>
        <w:jc w:val="left"/>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t>本年 </w:t>
      </w:r>
      <w:r>
        <w:rPr>
          <w:rFonts w:ascii="宋体" w:hAnsi="宋体" w:cs="宋体" w:eastAsia="宋体" w:hint="default"/>
          <w:spacing w:val="-14"/>
          <w:sz w:val="18"/>
          <w:szCs w:val="18"/>
          <w:u w:val="single" w:color="000000"/>
        </w:rPr>
        <w:t>净利润</w:t>
      </w:r>
      <w:r>
        <w:rPr>
          <w:rFonts w:ascii="宋体" w:hAnsi="宋体" w:cs="宋体" w:eastAsia="宋体" w:hint="default"/>
          <w:spacing w:val="-14"/>
          <w:sz w:val="18"/>
          <w:szCs w:val="18"/>
        </w:rPr>
      </w:r>
    </w:p>
    <w:p>
      <w:pPr>
        <w:spacing w:after="0" w:line="408" w:lineRule="auto"/>
        <w:jc w:val="left"/>
        <w:rPr>
          <w:rFonts w:ascii="宋体" w:hAnsi="宋体" w:cs="宋体" w:eastAsia="宋体" w:hint="default"/>
          <w:sz w:val="18"/>
          <w:szCs w:val="18"/>
        </w:rPr>
        <w:sectPr>
          <w:type w:val="continuous"/>
          <w:pgSz w:w="11910" w:h="16840"/>
          <w:pgMar w:top="980" w:bottom="1520" w:left="980" w:right="980"/>
          <w:cols w:num="6" w:equalWidth="0">
            <w:col w:w="3578" w:space="40"/>
            <w:col w:w="1673" w:space="40"/>
            <w:col w:w="1369" w:space="40"/>
            <w:col w:w="865" w:space="40"/>
            <w:col w:w="969" w:space="40"/>
            <w:col w:w="1296"/>
          </w:cols>
        </w:sectPr>
      </w:pPr>
    </w:p>
    <w:p>
      <w:pPr>
        <w:tabs>
          <w:tab w:pos="3143" w:val="left" w:leader="none"/>
          <w:tab w:pos="3889" w:val="left" w:leader="none"/>
          <w:tab w:pos="4889" w:val="left" w:leader="none"/>
          <w:tab w:pos="6057" w:val="left" w:leader="none"/>
        </w:tabs>
        <w:spacing w:before="38"/>
        <w:ind w:left="427" w:right="0" w:firstLine="0"/>
        <w:jc w:val="left"/>
        <w:rPr>
          <w:rFonts w:ascii="宋体" w:hAnsi="宋体" w:cs="宋体" w:eastAsia="宋体" w:hint="default"/>
          <w:sz w:val="18"/>
          <w:szCs w:val="18"/>
        </w:rPr>
      </w:pPr>
      <w:r>
        <w:rPr>
          <w:rFonts w:ascii="宋体" w:hAnsi="宋体" w:cs="宋体" w:eastAsia="宋体" w:hint="default"/>
          <w:spacing w:val="-20"/>
          <w:sz w:val="18"/>
          <w:szCs w:val="18"/>
        </w:rPr>
        <w:t>深圳市实益达数码科技有限公司</w:t>
        <w:tab/>
      </w:r>
      <w:r>
        <w:rPr>
          <w:rFonts w:ascii="宋体" w:hAnsi="宋体" w:cs="宋体" w:eastAsia="宋体" w:hint="default"/>
          <w:spacing w:val="-10"/>
          <w:sz w:val="18"/>
          <w:szCs w:val="18"/>
        </w:rPr>
        <w:t>深圳</w:t>
        <w:tab/>
      </w:r>
      <w:r>
        <w:rPr>
          <w:rFonts w:ascii="宋体" w:hAnsi="宋体" w:cs="宋体" w:eastAsia="宋体" w:hint="default"/>
          <w:spacing w:val="-14"/>
          <w:sz w:val="18"/>
          <w:szCs w:val="18"/>
        </w:rPr>
        <w:t>制造业</w:t>
        <w:tab/>
      </w:r>
      <w:r>
        <w:rPr>
          <w:rFonts w:ascii="宋体" w:hAnsi="宋体" w:cs="宋体" w:eastAsia="宋体" w:hint="default"/>
          <w:spacing w:val="-5"/>
          <w:sz w:val="18"/>
          <w:szCs w:val="18"/>
        </w:rPr>
        <w:t>5%</w:t>
        <w:tab/>
        <w:t>5%</w:t>
      </w:r>
    </w:p>
    <w:p>
      <w:pPr>
        <w:pStyle w:val="BodyText"/>
        <w:spacing w:line="240" w:lineRule="auto" w:before="94"/>
        <w:ind w:left="694" w:right="0"/>
        <w:jc w:val="left"/>
      </w:pPr>
      <w:r>
        <w:rPr/>
        <w:t>2.按成本法核算的长期股权投资</w:t>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980" w:bottom="1520" w:left="980" w:right="980"/>
        </w:sectPr>
      </w:pPr>
    </w:p>
    <w:p>
      <w:pPr>
        <w:spacing w:line="240" w:lineRule="auto" w:before="9"/>
        <w:rPr>
          <w:rFonts w:ascii="宋体" w:hAnsi="宋体" w:cs="宋体" w:eastAsia="宋体" w:hint="default"/>
          <w:sz w:val="18"/>
          <w:szCs w:val="18"/>
        </w:rPr>
      </w:pPr>
    </w:p>
    <w:p>
      <w:pPr>
        <w:tabs>
          <w:tab w:pos="840" w:val="left" w:leader="none"/>
          <w:tab w:pos="2521" w:val="left" w:leader="none"/>
          <w:tab w:pos="3110" w:val="left" w:leader="none"/>
          <w:tab w:pos="4110" w:val="left" w:leader="none"/>
        </w:tabs>
        <w:spacing w:before="0"/>
        <w:ind w:left="34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8"/>
          <w:sz w:val="18"/>
          <w:szCs w:val="18"/>
          <w:u w:val="single" w:color="000000"/>
        </w:rPr>
        <w:t>被投资单位名称</w:t>
        <w:tab/>
      </w:r>
      <w:r>
        <w:rPr>
          <w:rFonts w:ascii="宋体" w:hAnsi="宋体" w:cs="宋体" w:eastAsia="宋体" w:hint="default"/>
          <w:spacing w:val="-18"/>
          <w:sz w:val="18"/>
          <w:szCs w:val="18"/>
        </w:rPr>
        <w:tab/>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16"/>
          <w:sz w:val="18"/>
          <w:szCs w:val="18"/>
          <w:u w:val="single" w:color="000000"/>
        </w:rPr>
        <w:t>初始金额</w:t>
        <w:tab/>
      </w:r>
      <w:r>
        <w:rPr>
          <w:rFonts w:ascii="宋体" w:hAnsi="宋体" w:cs="宋体" w:eastAsia="宋体" w:hint="default"/>
          <w:spacing w:val="-16"/>
          <w:sz w:val="18"/>
          <w:szCs w:val="18"/>
        </w:rPr>
      </w:r>
    </w:p>
    <w:p>
      <w:pPr>
        <w:spacing w:before="44"/>
        <w:ind w:left="177" w:right="0" w:firstLine="0"/>
        <w:jc w:val="center"/>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t>年初</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p>
    <w:p>
      <w:pPr>
        <w:tabs>
          <w:tab w:pos="1221" w:val="left" w:leader="none"/>
        </w:tabs>
        <w:spacing w:before="0"/>
        <w:ind w:left="177"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p>
      <w:pPr>
        <w:spacing w:line="408" w:lineRule="auto" w:before="44"/>
        <w:ind w:left="268" w:right="-14" w:firstLine="240"/>
        <w:jc w:val="left"/>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t>本年 </w:t>
      </w:r>
      <w:r>
        <w:rPr>
          <w:rFonts w:ascii="宋体" w:hAnsi="宋体" w:cs="宋体" w:eastAsia="宋体" w:hint="default"/>
          <w:spacing w:val="-17"/>
          <w:sz w:val="18"/>
          <w:szCs w:val="18"/>
          <w:u w:val="single" w:color="000000"/>
        </w:rPr>
        <w:t>投资增减额</w:t>
      </w:r>
      <w:r>
        <w:rPr>
          <w:rFonts w:ascii="宋体" w:hAnsi="宋体" w:cs="宋体" w:eastAsia="宋体" w:hint="default"/>
          <w:spacing w:val="-17"/>
          <w:sz w:val="18"/>
          <w:szCs w:val="18"/>
        </w:rPr>
      </w:r>
    </w:p>
    <w:p>
      <w:pPr>
        <w:spacing w:before="44"/>
        <w:ind w:left="249" w:right="0" w:firstLine="0"/>
        <w:jc w:val="center"/>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t>年末</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p>
    <w:p>
      <w:pPr>
        <w:tabs>
          <w:tab w:pos="1350" w:val="left" w:leader="none"/>
        </w:tabs>
        <w:spacing w:before="0"/>
        <w:ind w:left="25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p>
      <w:pPr>
        <w:spacing w:line="240" w:lineRule="auto" w:before="9"/>
        <w:rPr>
          <w:rFonts w:ascii="宋体" w:hAnsi="宋体" w:cs="宋体" w:eastAsia="宋体" w:hint="default"/>
          <w:sz w:val="18"/>
          <w:szCs w:val="18"/>
        </w:rPr>
      </w:pPr>
      <w:r>
        <w:rPr/>
        <w:br w:type="column"/>
      </w:r>
      <w:r>
        <w:rPr>
          <w:rFonts w:ascii="宋体"/>
          <w:sz w:val="18"/>
        </w:rPr>
      </w:r>
    </w:p>
    <w:p>
      <w:pPr>
        <w:spacing w:before="0"/>
        <w:ind w:left="2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21"/>
          <w:sz w:val="18"/>
          <w:szCs w:val="18"/>
          <w:u w:val="single" w:color="000000"/>
        </w:rPr>
        <w:t>减值准备</w:t>
      </w:r>
      <w:r>
        <w:rPr>
          <w:rFonts w:ascii="宋体" w:hAnsi="宋体" w:cs="宋体" w:eastAsia="宋体" w:hint="default"/>
          <w:spacing w:val="-21"/>
          <w:sz w:val="18"/>
          <w:szCs w:val="18"/>
        </w:rPr>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cols w:num="5" w:equalWidth="0">
            <w:col w:w="4111" w:space="40"/>
            <w:col w:w="1222" w:space="40"/>
            <w:col w:w="1090" w:space="40"/>
            <w:col w:w="1351" w:space="40"/>
            <w:col w:w="2016"/>
          </w:cols>
        </w:sectPr>
      </w:pPr>
    </w:p>
    <w:p>
      <w:pPr>
        <w:tabs>
          <w:tab w:pos="3308" w:val="left" w:leader="none"/>
          <w:tab w:pos="4569" w:val="left" w:leader="none"/>
          <w:tab w:pos="5694" w:val="left" w:leader="none"/>
        </w:tabs>
        <w:spacing w:before="38"/>
        <w:ind w:left="349" w:right="0" w:firstLine="0"/>
        <w:jc w:val="left"/>
        <w:rPr>
          <w:rFonts w:ascii="宋体" w:hAnsi="宋体" w:cs="宋体" w:eastAsia="宋体" w:hint="default"/>
          <w:sz w:val="18"/>
          <w:szCs w:val="18"/>
        </w:rPr>
      </w:pPr>
      <w:r>
        <w:rPr>
          <w:rFonts w:ascii="宋体" w:hAnsi="宋体" w:cs="宋体" w:eastAsia="宋体" w:hint="default"/>
          <w:spacing w:val="-20"/>
          <w:sz w:val="18"/>
          <w:szCs w:val="18"/>
        </w:rPr>
        <w:t>深圳市实益达数码科技有限公司</w:t>
        <w:tab/>
      </w:r>
      <w:r>
        <w:rPr>
          <w:rFonts w:ascii="宋体" w:hAnsi="宋体" w:cs="宋体" w:eastAsia="宋体" w:hint="default"/>
          <w:spacing w:val="-10"/>
          <w:sz w:val="18"/>
          <w:szCs w:val="18"/>
        </w:rPr>
        <w:t>100,000.00</w:t>
        <w:tab/>
        <w:t>100,000.00</w:t>
        <w:tab/>
        <w:t>-100,000.00</w:t>
      </w:r>
    </w:p>
    <w:p>
      <w:pPr>
        <w:pStyle w:val="BodyText"/>
        <w:spacing w:line="336" w:lineRule="auto" w:before="126"/>
        <w:ind w:left="154" w:right="132" w:firstLine="540"/>
        <w:jc w:val="left"/>
      </w:pPr>
      <w:r>
        <w:rPr/>
        <w:t>深圳市实益达数码科技有限公司于 2006</w:t>
      </w:r>
      <w:r>
        <w:rPr>
          <w:spacing w:val="-22"/>
        </w:rPr>
        <w:t> </w:t>
      </w:r>
      <w:r>
        <w:rPr/>
        <w:t>年进行清算，上年已全额计提减值，本期四月</w:t>
      </w:r>
      <w:r>
        <w:rPr/>
        <w:t> 正式注销。</w:t>
      </w:r>
    </w:p>
    <w:p>
      <w:pPr>
        <w:pStyle w:val="BodyText"/>
        <w:spacing w:line="240" w:lineRule="auto"/>
        <w:ind w:left="694" w:right="0"/>
        <w:jc w:val="left"/>
      </w:pPr>
      <w:r>
        <w:rPr/>
        <w:t>3.长期股权投资减值准备</w:t>
      </w:r>
    </w:p>
    <w:p>
      <w:pPr>
        <w:tabs>
          <w:tab w:pos="967" w:val="left" w:leader="none"/>
          <w:tab w:pos="2947" w:val="left" w:leader="none"/>
          <w:tab w:pos="3501" w:val="left" w:leader="none"/>
          <w:tab w:pos="3771" w:val="left" w:leader="none"/>
          <w:tab w:pos="4581" w:val="left" w:leader="none"/>
          <w:tab w:pos="5013" w:val="left" w:leader="none"/>
          <w:tab w:pos="6180" w:val="left" w:leader="none"/>
          <w:tab w:pos="7557" w:val="left" w:leader="none"/>
          <w:tab w:pos="8571" w:val="left" w:leader="none"/>
        </w:tabs>
        <w:spacing w:before="165"/>
        <w:ind w:left="3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被投资单位名称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本年减少</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计提原因</w:t>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p>
      <w:pPr>
        <w:tabs>
          <w:tab w:pos="3663" w:val="left" w:leader="none"/>
          <w:tab w:pos="6183" w:val="left" w:leader="none"/>
        </w:tabs>
        <w:spacing w:before="44"/>
        <w:ind w:left="551" w:right="0" w:firstLine="0"/>
        <w:jc w:val="left"/>
        <w:rPr>
          <w:rFonts w:ascii="宋体" w:hAnsi="宋体" w:cs="宋体" w:eastAsia="宋体" w:hint="default"/>
          <w:sz w:val="18"/>
          <w:szCs w:val="18"/>
        </w:rPr>
      </w:pPr>
      <w:r>
        <w:rPr>
          <w:rFonts w:ascii="宋体" w:hAnsi="宋体" w:cs="宋体" w:eastAsia="宋体" w:hint="default"/>
          <w:sz w:val="18"/>
          <w:szCs w:val="18"/>
        </w:rPr>
        <w:t>深圳市实益达数码科技有限公司</w:t>
        <w:tab/>
        <w:t>100,000.00</w:t>
        <w:tab/>
        <w:t>100,000.00</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76" w:lineRule="auto" w:before="0"/>
        <w:ind w:left="694" w:right="6110"/>
        <w:jc w:val="left"/>
      </w:pPr>
      <w:r>
        <w:rPr/>
        <w:t>(八)固定资产原价及累计折旧 1.固定资产原价</w:t>
      </w:r>
    </w:p>
    <w:tbl>
      <w:tblPr>
        <w:tblW w:w="0" w:type="auto"/>
        <w:jc w:val="left"/>
        <w:tblInd w:w="405" w:type="dxa"/>
        <w:tblLayout w:type="fixed"/>
        <w:tblCellMar>
          <w:top w:w="0" w:type="dxa"/>
          <w:left w:w="0" w:type="dxa"/>
          <w:bottom w:w="0" w:type="dxa"/>
          <w:right w:w="0" w:type="dxa"/>
        </w:tblCellMar>
        <w:tblLook w:val="01E0"/>
      </w:tblPr>
      <w:tblGrid>
        <w:gridCol w:w="2704"/>
        <w:gridCol w:w="1844"/>
        <w:gridCol w:w="1574"/>
        <w:gridCol w:w="1439"/>
        <w:gridCol w:w="1474"/>
      </w:tblGrid>
      <w:tr>
        <w:trPr>
          <w:trHeight w:val="354" w:hRule="exact"/>
        </w:trPr>
        <w:tc>
          <w:tcPr>
            <w:tcW w:w="2704" w:type="dxa"/>
            <w:tcBorders>
              <w:top w:val="nil" w:sz="6" w:space="0" w:color="auto"/>
              <w:left w:val="nil" w:sz="6" w:space="0" w:color="auto"/>
              <w:bottom w:val="nil" w:sz="6" w:space="0" w:color="auto"/>
              <w:right w:val="nil" w:sz="6" w:space="0" w:color="auto"/>
            </w:tcBorders>
          </w:tcPr>
          <w:p>
            <w:pPr>
              <w:pStyle w:val="TableParagraph"/>
              <w:tabs>
                <w:tab w:pos="934" w:val="left" w:leader="none"/>
                <w:tab w:pos="1474" w:val="left" w:leader="none"/>
                <w:tab w:pos="2343" w:val="left" w:leader="none"/>
              </w:tabs>
              <w:spacing w:line="240" w:lineRule="auto" w:before="4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w:t>
              <w:tab/>
              <w:t>别</w:t>
              <w:tab/>
            </w:r>
            <w:r>
              <w:rPr>
                <w:rFonts w:ascii="宋体" w:hAnsi="宋体" w:cs="宋体" w:eastAsia="宋体" w:hint="default"/>
                <w:sz w:val="18"/>
                <w:szCs w:val="18"/>
              </w:rPr>
            </w:r>
          </w:p>
        </w:tc>
        <w:tc>
          <w:tcPr>
            <w:tcW w:w="184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43"/>
              <w:ind w:right="22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年初原价</w:t>
            </w:r>
            <w:r>
              <w:rPr>
                <w:rFonts w:ascii="宋体" w:hAnsi="宋体" w:cs="宋体" w:eastAsia="宋体" w:hint="default"/>
                <w:sz w:val="18"/>
                <w:szCs w:val="18"/>
              </w:rPr>
            </w:r>
          </w:p>
        </w:tc>
        <w:tc>
          <w:tcPr>
            <w:tcW w:w="157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43"/>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439" w:type="dxa"/>
            <w:tcBorders>
              <w:top w:val="nil" w:sz="6" w:space="0" w:color="auto"/>
              <w:left w:val="nil" w:sz="6" w:space="0" w:color="auto"/>
              <w:bottom w:val="nil" w:sz="6" w:space="0" w:color="auto"/>
              <w:right w:val="nil" w:sz="6" w:space="0" w:color="auto"/>
            </w:tcBorders>
          </w:tcPr>
          <w:p>
            <w:pPr>
              <w:pStyle w:val="TableParagraph"/>
              <w:tabs>
                <w:tab w:pos="361" w:val="left" w:leader="none"/>
              </w:tabs>
              <w:spacing w:line="240" w:lineRule="auto" w:before="4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1474"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43"/>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年末原价</w:t>
            </w:r>
            <w:r>
              <w:rPr>
                <w:rFonts w:ascii="宋体" w:hAnsi="宋体" w:cs="宋体" w:eastAsia="宋体" w:hint="default"/>
                <w:sz w:val="18"/>
                <w:szCs w:val="18"/>
              </w:rPr>
            </w:r>
          </w:p>
        </w:tc>
      </w:tr>
      <w:tr>
        <w:trPr>
          <w:trHeight w:val="321"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宋体" w:hAnsi="宋体" w:cs="宋体" w:eastAsia="宋体" w:hint="default"/>
                <w:sz w:val="18"/>
                <w:szCs w:val="18"/>
              </w:rPr>
            </w:pPr>
            <w:r>
              <w:rPr>
                <w:rFonts w:ascii="宋体"/>
                <w:sz w:val="18"/>
              </w:rPr>
              <w:t>30,709,540.00</w:t>
            </w:r>
          </w:p>
        </w:tc>
        <w:tc>
          <w:tcPr>
            <w:tcW w:w="1439"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sz w:val="18"/>
              </w:rPr>
              <w:t>30,709,540.00</w:t>
            </w:r>
          </w:p>
        </w:tc>
      </w:tr>
      <w:tr>
        <w:trPr>
          <w:trHeight w:val="356"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1"/>
              <w:jc w:val="right"/>
              <w:rPr>
                <w:rFonts w:ascii="宋体" w:hAnsi="宋体" w:cs="宋体" w:eastAsia="宋体" w:hint="default"/>
                <w:sz w:val="18"/>
                <w:szCs w:val="18"/>
              </w:rPr>
            </w:pPr>
            <w:r>
              <w:rPr>
                <w:rFonts w:ascii="宋体"/>
                <w:sz w:val="18"/>
              </w:rPr>
              <w:t>116,785,753.66</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9"/>
              <w:jc w:val="right"/>
              <w:rPr>
                <w:rFonts w:ascii="宋体" w:hAnsi="宋体" w:cs="宋体" w:eastAsia="宋体" w:hint="default"/>
                <w:sz w:val="18"/>
                <w:szCs w:val="18"/>
              </w:rPr>
            </w:pPr>
            <w:r>
              <w:rPr>
                <w:rFonts w:ascii="宋体"/>
                <w:sz w:val="18"/>
              </w:rPr>
              <w:t>59,595,533.38</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5,151,348.34</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sz w:val="18"/>
              </w:rPr>
              <w:t>171,229,938.70</w:t>
            </w:r>
          </w:p>
        </w:tc>
      </w:tr>
    </w:tbl>
    <w:p>
      <w:pPr>
        <w:spacing w:after="0" w:line="240" w:lineRule="auto"/>
        <w:jc w:val="right"/>
        <w:rPr>
          <w:rFonts w:ascii="宋体" w:hAnsi="宋体" w:cs="宋体" w:eastAsia="宋体" w:hint="default"/>
          <w:sz w:val="18"/>
          <w:szCs w:val="18"/>
        </w:rPr>
        <w:sectPr>
          <w:type w:val="continuous"/>
          <w:pgSz w:w="11910" w:h="16840"/>
          <w:pgMar w:top="980" w:bottom="152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407" w:type="dxa"/>
        <w:tblLayout w:type="fixed"/>
        <w:tblCellMar>
          <w:top w:w="0" w:type="dxa"/>
          <w:left w:w="0" w:type="dxa"/>
          <w:bottom w:w="0" w:type="dxa"/>
          <w:right w:w="0" w:type="dxa"/>
        </w:tblCellMar>
        <w:tblLook w:val="01E0"/>
      </w:tblPr>
      <w:tblGrid>
        <w:gridCol w:w="2629"/>
        <w:gridCol w:w="1918"/>
        <w:gridCol w:w="1574"/>
        <w:gridCol w:w="1439"/>
        <w:gridCol w:w="1474"/>
      </w:tblGrid>
      <w:tr>
        <w:trPr>
          <w:trHeight w:val="356" w:hRule="exact"/>
        </w:trPr>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宋体" w:hAnsi="宋体" w:cs="宋体" w:eastAsia="宋体" w:hint="default"/>
                <w:sz w:val="18"/>
                <w:szCs w:val="18"/>
              </w:rPr>
            </w:pPr>
            <w:r>
              <w:rPr>
                <w:rFonts w:ascii="宋体"/>
                <w:sz w:val="18"/>
              </w:rPr>
              <w:t>5,583,614.46</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8"/>
              <w:jc w:val="right"/>
              <w:rPr>
                <w:rFonts w:ascii="宋体" w:hAnsi="宋体" w:cs="宋体" w:eastAsia="宋体" w:hint="default"/>
                <w:sz w:val="18"/>
                <w:szCs w:val="18"/>
              </w:rPr>
            </w:pPr>
            <w:r>
              <w:rPr>
                <w:rFonts w:ascii="宋体"/>
                <w:sz w:val="18"/>
              </w:rPr>
              <w:t>2,080,511.88</w:t>
            </w:r>
          </w:p>
        </w:tc>
        <w:tc>
          <w:tcPr>
            <w:tcW w:w="1439"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7,664,126.34</w:t>
            </w:r>
          </w:p>
        </w:tc>
      </w:tr>
      <w:tr>
        <w:trPr>
          <w:trHeight w:val="320" w:hRule="exact"/>
        </w:trPr>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1"/>
              <w:jc w:val="right"/>
              <w:rPr>
                <w:rFonts w:ascii="宋体" w:hAnsi="宋体" w:cs="宋体" w:eastAsia="宋体" w:hint="default"/>
                <w:sz w:val="18"/>
                <w:szCs w:val="18"/>
              </w:rPr>
            </w:pPr>
            <w:r>
              <w:rPr>
                <w:rFonts w:ascii="宋体"/>
                <w:sz w:val="18"/>
              </w:rPr>
              <w:t>3,332,575.65</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宋体" w:hAnsi="宋体" w:cs="宋体" w:eastAsia="宋体" w:hint="default"/>
                <w:sz w:val="18"/>
                <w:szCs w:val="18"/>
              </w:rPr>
            </w:pPr>
            <w:r>
              <w:rPr>
                <w:rFonts w:ascii="宋体"/>
                <w:sz w:val="18"/>
              </w:rPr>
              <w:t>2,080,546.05</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6"/>
              <w:jc w:val="right"/>
              <w:rPr>
                <w:rFonts w:ascii="宋体" w:hAnsi="宋体" w:cs="宋体" w:eastAsia="宋体" w:hint="default"/>
                <w:sz w:val="18"/>
                <w:szCs w:val="18"/>
              </w:rPr>
            </w:pPr>
            <w:r>
              <w:rPr>
                <w:rFonts w:ascii="宋体"/>
                <w:sz w:val="18"/>
              </w:rPr>
              <w:t>153,975.00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sz w:val="18"/>
              </w:rPr>
              <w:t>5,259,146.70</w:t>
            </w:r>
          </w:p>
        </w:tc>
      </w:tr>
      <w:tr>
        <w:trPr>
          <w:trHeight w:val="1253" w:hRule="exact"/>
        </w:trPr>
        <w:tc>
          <w:tcPr>
            <w:tcW w:w="2629"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326" w:lineRule="auto" w:before="8"/>
              <w:ind w:left="35" w:right="432"/>
              <w:jc w:val="left"/>
              <w:rPr>
                <w:rFonts w:ascii="宋体" w:hAnsi="宋体" w:cs="宋体" w:eastAsia="宋体" w:hint="default"/>
                <w:sz w:val="18"/>
                <w:szCs w:val="18"/>
              </w:rPr>
            </w:pPr>
            <w:r>
              <w:rPr>
                <w:rFonts w:ascii="宋体" w:hAnsi="宋体" w:cs="宋体" w:eastAsia="宋体" w:hint="default"/>
                <w:sz w:val="18"/>
                <w:szCs w:val="18"/>
              </w:rPr>
              <w:t>融资租入固定资产 固定资产装修 融资租入固定资产改良支出 合</w:t>
              <w:tab/>
              <w:t>计</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1"/>
              <w:jc w:val="right"/>
              <w:rPr>
                <w:rFonts w:ascii="宋体" w:hAnsi="宋体" w:cs="宋体" w:eastAsia="宋体" w:hint="default"/>
                <w:sz w:val="18"/>
                <w:szCs w:val="18"/>
              </w:rPr>
            </w:pPr>
            <w:r>
              <w:rPr>
                <w:rFonts w:ascii="宋体"/>
                <w:sz w:val="18"/>
              </w:rPr>
              <w:t>125,701,943.77</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8"/>
              <w:jc w:val="right"/>
              <w:rPr>
                <w:rFonts w:ascii="宋体" w:hAnsi="宋体" w:cs="宋体" w:eastAsia="宋体" w:hint="default"/>
                <w:sz w:val="18"/>
                <w:szCs w:val="18"/>
              </w:rPr>
            </w:pPr>
            <w:r>
              <w:rPr>
                <w:rFonts w:ascii="宋体"/>
                <w:sz w:val="18"/>
              </w:rPr>
              <w:t>94,466,131.31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6"/>
              <w:jc w:val="right"/>
              <w:rPr>
                <w:rFonts w:ascii="宋体" w:hAnsi="宋体" w:cs="宋体" w:eastAsia="宋体" w:hint="default"/>
                <w:sz w:val="18"/>
                <w:szCs w:val="18"/>
              </w:rPr>
            </w:pPr>
            <w:r>
              <w:rPr>
                <w:rFonts w:ascii="宋体"/>
                <w:sz w:val="18"/>
              </w:rPr>
              <w:t>5,305,323.34</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8"/>
                <w:szCs w:val="18"/>
              </w:rPr>
            </w:pPr>
            <w:r>
              <w:rPr>
                <w:rFonts w:ascii="宋体"/>
                <w:sz w:val="18"/>
              </w:rPr>
              <w:t>214,862,751.74</w:t>
            </w:r>
          </w:p>
        </w:tc>
      </w:tr>
    </w:tbl>
    <w:p>
      <w:pPr>
        <w:pStyle w:val="BodyText"/>
        <w:tabs>
          <w:tab w:pos="5733" w:val="left" w:leader="none"/>
        </w:tabs>
        <w:spacing w:line="280" w:lineRule="exact" w:before="0"/>
        <w:ind w:left="694" w:right="215"/>
        <w:jc w:val="left"/>
      </w:pPr>
      <w:r>
        <w:rPr/>
        <w:t>其中：本年由在建工程转入固定资产原价为</w:t>
        <w:tab/>
        <w:t>25,964,933.57</w:t>
      </w:r>
      <w:r>
        <w:rPr>
          <w:spacing w:val="-60"/>
        </w:rPr>
        <w:t> </w:t>
      </w:r>
      <w:r>
        <w:rPr/>
        <w:t>元。</w:t>
      </w:r>
    </w:p>
    <w:p>
      <w:pPr>
        <w:pStyle w:val="BodyText"/>
        <w:spacing w:line="240" w:lineRule="auto" w:before="6"/>
        <w:ind w:left="694" w:right="4088"/>
        <w:jc w:val="left"/>
      </w:pPr>
      <w:r>
        <w:rPr/>
        <w:t>2.累计折旧</w:t>
      </w:r>
    </w:p>
    <w:p>
      <w:pPr>
        <w:spacing w:line="240" w:lineRule="auto" w:before="11"/>
        <w:rPr>
          <w:rFonts w:ascii="宋体" w:hAnsi="宋体" w:cs="宋体" w:eastAsia="宋体" w:hint="default"/>
          <w:sz w:val="4"/>
          <w:szCs w:val="4"/>
        </w:rPr>
      </w:pPr>
    </w:p>
    <w:tbl>
      <w:tblPr>
        <w:tblW w:w="0" w:type="auto"/>
        <w:jc w:val="left"/>
        <w:tblInd w:w="224" w:type="dxa"/>
        <w:tblLayout w:type="fixed"/>
        <w:tblCellMar>
          <w:top w:w="0" w:type="dxa"/>
          <w:left w:w="0" w:type="dxa"/>
          <w:bottom w:w="0" w:type="dxa"/>
          <w:right w:w="0" w:type="dxa"/>
        </w:tblCellMar>
        <w:tblLook w:val="01E0"/>
      </w:tblPr>
      <w:tblGrid>
        <w:gridCol w:w="2377"/>
        <w:gridCol w:w="1586"/>
        <w:gridCol w:w="1368"/>
        <w:gridCol w:w="1657"/>
        <w:gridCol w:w="1402"/>
        <w:gridCol w:w="1366"/>
      </w:tblGrid>
      <w:tr>
        <w:trPr>
          <w:trHeight w:val="683" w:hRule="exact"/>
        </w:trPr>
        <w:tc>
          <w:tcPr>
            <w:tcW w:w="2377" w:type="dxa"/>
            <w:tcBorders>
              <w:top w:val="nil" w:sz="6" w:space="0" w:color="auto"/>
              <w:left w:val="nil" w:sz="6" w:space="0" w:color="auto"/>
              <w:bottom w:val="nil" w:sz="6" w:space="0" w:color="auto"/>
              <w:right w:val="nil" w:sz="6" w:space="0" w:color="auto"/>
            </w:tcBorders>
          </w:tcPr>
          <w:p>
            <w:pPr>
              <w:pStyle w:val="TableParagraph"/>
              <w:tabs>
                <w:tab w:pos="844" w:val="left" w:leader="none"/>
                <w:tab w:pos="1384" w:val="left" w:leader="none"/>
                <w:tab w:pos="2178" w:val="left" w:leader="none"/>
              </w:tabs>
              <w:spacing w:line="333" w:lineRule="auto" w:before="44"/>
              <w:ind w:left="35"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w:t>
              <w:tab/>
              <w:t>别</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房屋及建筑物</w:t>
            </w:r>
          </w:p>
        </w:tc>
        <w:tc>
          <w:tcPr>
            <w:tcW w:w="1586" w:type="dxa"/>
            <w:tcBorders>
              <w:top w:val="nil" w:sz="6" w:space="0" w:color="auto"/>
              <w:left w:val="nil" w:sz="6" w:space="0" w:color="auto"/>
              <w:bottom w:val="nil" w:sz="6" w:space="0" w:color="auto"/>
              <w:right w:val="nil" w:sz="6" w:space="0" w:color="auto"/>
            </w:tcBorders>
          </w:tcPr>
          <w:p>
            <w:pPr>
              <w:pStyle w:val="TableParagraph"/>
              <w:tabs>
                <w:tab w:pos="359" w:val="left" w:leader="none"/>
                <w:tab w:pos="1222" w:val="left" w:leader="none"/>
              </w:tabs>
              <w:spacing w:line="240" w:lineRule="auto" w:before="44"/>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tc>
        <w:tc>
          <w:tcPr>
            <w:tcW w:w="1368" w:type="dxa"/>
            <w:tcBorders>
              <w:top w:val="nil" w:sz="6" w:space="0" w:color="auto"/>
              <w:left w:val="nil" w:sz="6" w:space="0" w:color="auto"/>
              <w:bottom w:val="nil" w:sz="6" w:space="0" w:color="auto"/>
              <w:right w:val="nil" w:sz="6" w:space="0" w:color="auto"/>
            </w:tcBorders>
          </w:tcPr>
          <w:p>
            <w:pPr>
              <w:pStyle w:val="TableParagraph"/>
              <w:tabs>
                <w:tab w:pos="1063" w:val="left" w:leader="none"/>
              </w:tabs>
              <w:spacing w:line="240" w:lineRule="auto" w:before="44"/>
              <w:ind w:right="10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本年增加</w:t>
              <w:tab/>
            </w:r>
            <w:r>
              <w:rPr>
                <w:rFonts w:ascii="宋体" w:hAnsi="宋体" w:cs="宋体" w:eastAsia="宋体" w:hint="default"/>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tabs>
                <w:tab w:pos="377" w:val="left" w:leader="none"/>
                <w:tab w:pos="1367" w:val="left" w:leader="none"/>
              </w:tabs>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本年提取</w:t>
              <w:tab/>
            </w:r>
            <w:r>
              <w:rPr>
                <w:rFonts w:ascii="宋体" w:hAnsi="宋体" w:cs="宋体" w:eastAsia="宋体" w:hint="default"/>
                <w:sz w:val="18"/>
                <w:szCs w:val="18"/>
              </w:rPr>
            </w:r>
          </w:p>
          <w:p>
            <w:pPr>
              <w:pStyle w:val="TableParagraph"/>
              <w:spacing w:line="240" w:lineRule="auto" w:before="103"/>
              <w:ind w:left="649" w:right="0"/>
              <w:jc w:val="left"/>
              <w:rPr>
                <w:rFonts w:ascii="宋体" w:hAnsi="宋体" w:cs="宋体" w:eastAsia="宋体" w:hint="default"/>
                <w:sz w:val="18"/>
                <w:szCs w:val="18"/>
              </w:rPr>
            </w:pPr>
            <w:r>
              <w:rPr>
                <w:rFonts w:ascii="宋体"/>
                <w:sz w:val="18"/>
              </w:rPr>
              <w:t>137,985.66</w:t>
            </w:r>
          </w:p>
        </w:tc>
        <w:tc>
          <w:tcPr>
            <w:tcW w:w="1402" w:type="dxa"/>
            <w:tcBorders>
              <w:top w:val="nil" w:sz="6" w:space="0" w:color="auto"/>
              <w:left w:val="nil" w:sz="6" w:space="0" w:color="auto"/>
              <w:bottom w:val="nil" w:sz="6" w:space="0" w:color="auto"/>
              <w:right w:val="nil" w:sz="6" w:space="0" w:color="auto"/>
            </w:tcBorders>
          </w:tcPr>
          <w:p>
            <w:pPr>
              <w:pStyle w:val="TableParagraph"/>
              <w:tabs>
                <w:tab w:pos="377" w:val="left" w:leader="none"/>
                <w:tab w:pos="1203" w:val="left" w:leader="none"/>
              </w:tabs>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本年减少</w:t>
              <w:tab/>
            </w:r>
            <w:r>
              <w:rPr>
                <w:rFonts w:ascii="宋体" w:hAnsi="宋体" w:cs="宋体" w:eastAsia="宋体" w:hint="default"/>
                <w:sz w:val="18"/>
                <w:szCs w:val="18"/>
              </w:rPr>
            </w:r>
          </w:p>
        </w:tc>
        <w:tc>
          <w:tcPr>
            <w:tcW w:w="1366" w:type="dxa"/>
            <w:tcBorders>
              <w:top w:val="nil" w:sz="6" w:space="0" w:color="auto"/>
              <w:left w:val="nil" w:sz="6" w:space="0" w:color="auto"/>
              <w:bottom w:val="nil" w:sz="6" w:space="0" w:color="auto"/>
              <w:right w:val="nil" w:sz="6" w:space="0" w:color="auto"/>
            </w:tcBorders>
          </w:tcPr>
          <w:p>
            <w:pPr>
              <w:pStyle w:val="TableParagraph"/>
              <w:tabs>
                <w:tab w:pos="1007" w:val="left" w:leader="none"/>
              </w:tabs>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pStyle w:val="TableParagraph"/>
              <w:spacing w:line="240" w:lineRule="auto" w:before="103"/>
              <w:ind w:left="430" w:right="0"/>
              <w:jc w:val="left"/>
              <w:rPr>
                <w:rFonts w:ascii="宋体" w:hAnsi="宋体" w:cs="宋体" w:eastAsia="宋体" w:hint="default"/>
                <w:sz w:val="18"/>
                <w:szCs w:val="18"/>
              </w:rPr>
            </w:pPr>
            <w:r>
              <w:rPr>
                <w:rFonts w:ascii="宋体"/>
                <w:sz w:val="18"/>
              </w:rPr>
              <w:t>137,985.66</w:t>
            </w:r>
          </w:p>
        </w:tc>
      </w:tr>
      <w:tr>
        <w:trPr>
          <w:trHeight w:val="32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9"/>
              <w:jc w:val="right"/>
              <w:rPr>
                <w:rFonts w:ascii="宋体" w:hAnsi="宋体" w:cs="宋体" w:eastAsia="宋体" w:hint="default"/>
                <w:sz w:val="18"/>
                <w:szCs w:val="18"/>
              </w:rPr>
            </w:pPr>
            <w:r>
              <w:rPr>
                <w:rFonts w:ascii="宋体"/>
                <w:sz w:val="18"/>
              </w:rPr>
              <w:t>18,540,669.59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1,320,776.76</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12,997,971.10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sz w:val="18"/>
              </w:rPr>
              <w:t>550,512.40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sz w:val="18"/>
              </w:rPr>
              <w:t>32,308,905.05</w:t>
            </w:r>
          </w:p>
        </w:tc>
      </w:tr>
      <w:tr>
        <w:trPr>
          <w:trHeight w:val="32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9"/>
              <w:jc w:val="right"/>
              <w:rPr>
                <w:rFonts w:ascii="宋体" w:hAnsi="宋体" w:cs="宋体" w:eastAsia="宋体" w:hint="default"/>
                <w:sz w:val="18"/>
                <w:szCs w:val="18"/>
              </w:rPr>
            </w:pPr>
            <w:r>
              <w:rPr>
                <w:rFonts w:ascii="宋体"/>
                <w:sz w:val="18"/>
              </w:rPr>
              <w:t>885,267.26</w:t>
            </w: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sz w:val="18"/>
              </w:rPr>
              <w:t>666,293.01</w:t>
            </w:r>
          </w:p>
        </w:tc>
        <w:tc>
          <w:tcPr>
            <w:tcW w:w="140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8"/>
                <w:szCs w:val="18"/>
              </w:rPr>
            </w:pPr>
            <w:r>
              <w:rPr>
                <w:rFonts w:ascii="宋体"/>
                <w:sz w:val="18"/>
              </w:rPr>
              <w:t>1,551,560.27</w:t>
            </w:r>
          </w:p>
        </w:tc>
      </w:tr>
      <w:tr>
        <w:trPr>
          <w:trHeight w:val="32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9"/>
              <w:jc w:val="right"/>
              <w:rPr>
                <w:rFonts w:ascii="宋体" w:hAnsi="宋体" w:cs="宋体" w:eastAsia="宋体" w:hint="default"/>
                <w:sz w:val="18"/>
                <w:szCs w:val="18"/>
              </w:rPr>
            </w:pPr>
            <w:r>
              <w:rPr>
                <w:rFonts w:ascii="宋体"/>
                <w:sz w:val="18"/>
              </w:rPr>
              <w:t>955,185.40</w:t>
            </w: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8"/>
                <w:szCs w:val="18"/>
              </w:rPr>
            </w:pPr>
            <w:r>
              <w:rPr>
                <w:rFonts w:ascii="宋体"/>
                <w:sz w:val="18"/>
              </w:rPr>
              <w:t>618,818.22</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宋体" w:hAnsi="宋体" w:cs="宋体" w:eastAsia="宋体" w:hint="default"/>
                <w:sz w:val="18"/>
                <w:szCs w:val="18"/>
              </w:rPr>
            </w:pPr>
            <w:r>
              <w:rPr>
                <w:rFonts w:ascii="宋体"/>
                <w:sz w:val="18"/>
              </w:rPr>
              <w:t>127,053.30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8"/>
                <w:szCs w:val="18"/>
              </w:rPr>
            </w:pPr>
            <w:r>
              <w:rPr>
                <w:rFonts w:ascii="宋体"/>
                <w:sz w:val="18"/>
              </w:rPr>
              <w:t>1,446,950.32</w:t>
            </w:r>
          </w:p>
        </w:tc>
      </w:tr>
      <w:tr>
        <w:trPr>
          <w:trHeight w:val="315"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r>
      <w:tr>
        <w:trPr>
          <w:trHeight w:val="32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r>
      <w:tr>
        <w:trPr>
          <w:trHeight w:val="32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融资租入固定资产改良支出</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r>
      <w:tr>
        <w:trPr>
          <w:trHeight w:val="261" w:hRule="exact"/>
        </w:trPr>
        <w:tc>
          <w:tcPr>
            <w:tcW w:w="237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9"/>
              <w:jc w:val="right"/>
              <w:rPr>
                <w:rFonts w:ascii="宋体" w:hAnsi="宋体" w:cs="宋体" w:eastAsia="宋体" w:hint="default"/>
                <w:sz w:val="18"/>
                <w:szCs w:val="18"/>
              </w:rPr>
            </w:pPr>
            <w:r>
              <w:rPr>
                <w:rFonts w:ascii="宋体"/>
                <w:sz w:val="18"/>
              </w:rPr>
              <w:t>20,381,122.25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1,320,776.76</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14,421,067.99</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677,565.70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35,445,401.30</w:t>
            </w:r>
          </w:p>
        </w:tc>
      </w:tr>
      <w:tr>
        <w:trPr>
          <w:trHeight w:val="436" w:hRule="exact"/>
        </w:trPr>
        <w:tc>
          <w:tcPr>
            <w:tcW w:w="975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6"/>
              <w:ind w:left="469" w:right="0"/>
              <w:jc w:val="left"/>
              <w:rPr>
                <w:rFonts w:ascii="宋体" w:hAnsi="宋体" w:cs="宋体" w:eastAsia="宋体" w:hint="default"/>
                <w:sz w:val="24"/>
                <w:szCs w:val="24"/>
              </w:rPr>
            </w:pPr>
            <w:r>
              <w:rPr>
                <w:rFonts w:ascii="宋体" w:hAnsi="宋体" w:cs="宋体" w:eastAsia="宋体" w:hint="default"/>
                <w:sz w:val="24"/>
                <w:szCs w:val="24"/>
              </w:rPr>
              <w:t>3.固定资产减值准备</w:t>
            </w:r>
          </w:p>
        </w:tc>
      </w:tr>
      <w:tr>
        <w:trPr>
          <w:trHeight w:val="338" w:hRule="exact"/>
        </w:trPr>
        <w:tc>
          <w:tcPr>
            <w:tcW w:w="2377" w:type="dxa"/>
            <w:tcBorders>
              <w:top w:val="nil" w:sz="6" w:space="0" w:color="auto"/>
              <w:left w:val="nil" w:sz="6" w:space="0" w:color="auto"/>
              <w:bottom w:val="nil" w:sz="6" w:space="0" w:color="auto"/>
              <w:right w:val="nil" w:sz="6" w:space="0" w:color="auto"/>
            </w:tcBorders>
          </w:tcPr>
          <w:p>
            <w:pPr>
              <w:pStyle w:val="TableParagraph"/>
              <w:tabs>
                <w:tab w:pos="664" w:val="left" w:leader="none"/>
                <w:tab w:pos="1204" w:val="left" w:leader="none"/>
                <w:tab w:pos="2104" w:val="left" w:leader="none"/>
              </w:tabs>
              <w:spacing w:line="240" w:lineRule="auto" w:before="3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w:t>
              <w:tab/>
              <w:t>别</w:t>
              <w:tab/>
            </w:r>
            <w:r>
              <w:rPr>
                <w:rFonts w:ascii="宋体" w:hAnsi="宋体" w:cs="宋体" w:eastAsia="宋体" w:hint="default"/>
                <w:sz w:val="18"/>
                <w:szCs w:val="18"/>
              </w:rPr>
            </w:r>
          </w:p>
        </w:tc>
        <w:tc>
          <w:tcPr>
            <w:tcW w:w="1586"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30"/>
              <w:ind w:right="178"/>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tc>
        <w:tc>
          <w:tcPr>
            <w:tcW w:w="2767" w:type="dxa"/>
            <w:gridSpan w:val="2"/>
            <w:tcBorders>
              <w:top w:val="nil" w:sz="6" w:space="0" w:color="auto"/>
              <w:left w:val="nil" w:sz="6" w:space="0" w:color="auto"/>
              <w:bottom w:val="nil" w:sz="6" w:space="0" w:color="auto"/>
              <w:right w:val="nil" w:sz="6" w:space="0" w:color="auto"/>
            </w:tcBorders>
          </w:tcPr>
          <w:p>
            <w:pPr>
              <w:pStyle w:val="TableParagraph"/>
              <w:tabs>
                <w:tab w:pos="439" w:val="left" w:leader="none"/>
                <w:tab w:pos="1805" w:val="left" w:leader="none"/>
              </w:tabs>
              <w:spacing w:line="240" w:lineRule="auto" w:before="30"/>
              <w:ind w:left="1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计提原因</w:t>
            </w:r>
            <w:r>
              <w:rPr>
                <w:rFonts w:ascii="宋体" w:hAnsi="宋体" w:cs="宋体" w:eastAsia="宋体" w:hint="default"/>
                <w:sz w:val="18"/>
                <w:szCs w:val="18"/>
              </w:rPr>
            </w:r>
          </w:p>
        </w:tc>
      </w:tr>
      <w:tr>
        <w:trPr>
          <w:trHeight w:val="300"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8"/>
              <w:jc w:val="right"/>
              <w:rPr>
                <w:rFonts w:ascii="宋体" w:hAnsi="宋体" w:cs="宋体" w:eastAsia="宋体" w:hint="default"/>
                <w:sz w:val="18"/>
                <w:szCs w:val="18"/>
              </w:rPr>
            </w:pPr>
            <w:r>
              <w:rPr>
                <w:rFonts w:ascii="宋体"/>
                <w:sz w:val="18"/>
              </w:rPr>
              <w:t>1,527,914.30</w:t>
            </w: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213" w:right="0"/>
              <w:jc w:val="left"/>
              <w:rPr>
                <w:rFonts w:ascii="宋体" w:hAnsi="宋体" w:cs="宋体" w:eastAsia="宋体" w:hint="default"/>
                <w:sz w:val="18"/>
                <w:szCs w:val="18"/>
              </w:rPr>
            </w:pPr>
            <w:r>
              <w:rPr>
                <w:rFonts w:ascii="宋体"/>
                <w:sz w:val="18"/>
              </w:rPr>
              <w:t>1,527,914.30</w:t>
            </w:r>
          </w:p>
        </w:tc>
      </w:tr>
      <w:tr>
        <w:trPr>
          <w:trHeight w:val="306"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
        </w:tc>
      </w:tr>
      <w:tr>
        <w:trPr>
          <w:trHeight w:val="315"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
        </w:tc>
      </w:tr>
      <w:tr>
        <w:trPr>
          <w:trHeight w:val="324" w:hRule="exact"/>
        </w:trPr>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pacing w:val="-12"/>
                <w:sz w:val="18"/>
                <w:szCs w:val="18"/>
              </w:rPr>
              <w:t>融资租入固定资产改良支出</w:t>
            </w:r>
            <w:r>
              <w:rPr>
                <w:rFonts w:ascii="宋体" w:hAnsi="宋体" w:cs="宋体" w:eastAsia="宋体" w:hint="default"/>
                <w:sz w:val="18"/>
                <w:szCs w:val="18"/>
              </w:rPr>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
        </w:tc>
      </w:tr>
      <w:tr>
        <w:trPr>
          <w:trHeight w:val="347" w:hRule="exact"/>
        </w:trPr>
        <w:tc>
          <w:tcPr>
            <w:tcW w:w="237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586"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
        </w:tc>
      </w:tr>
      <w:tr>
        <w:trPr>
          <w:trHeight w:val="361" w:hRule="exact"/>
        </w:trPr>
        <w:tc>
          <w:tcPr>
            <w:tcW w:w="2377" w:type="dxa"/>
            <w:tcBorders>
              <w:top w:val="nil" w:sz="6" w:space="0" w:color="auto"/>
              <w:left w:val="nil" w:sz="6" w:space="0" w:color="auto"/>
              <w:bottom w:val="nil" w:sz="6" w:space="0" w:color="auto"/>
              <w:right w:val="nil" w:sz="6" w:space="0" w:color="auto"/>
            </w:tcBorders>
          </w:tcPr>
          <w:p>
            <w:pPr>
              <w:pStyle w:val="TableParagraph"/>
              <w:tabs>
                <w:tab w:pos="577" w:val="left" w:leader="none"/>
              </w:tabs>
              <w:spacing w:line="240" w:lineRule="auto" w:before="35"/>
              <w:ind w:left="3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8"/>
              <w:jc w:val="right"/>
              <w:rPr>
                <w:rFonts w:ascii="宋体" w:hAnsi="宋体" w:cs="宋体" w:eastAsia="宋体" w:hint="default"/>
                <w:sz w:val="18"/>
                <w:szCs w:val="18"/>
              </w:rPr>
            </w:pPr>
            <w:r>
              <w:rPr>
                <w:rFonts w:ascii="宋体"/>
                <w:sz w:val="18"/>
              </w:rPr>
              <w:t>1,527,914.30</w:t>
            </w:r>
          </w:p>
        </w:tc>
        <w:tc>
          <w:tcPr>
            <w:tcW w:w="13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213" w:right="0"/>
              <w:jc w:val="left"/>
              <w:rPr>
                <w:rFonts w:ascii="宋体" w:hAnsi="宋体" w:cs="宋体" w:eastAsia="宋体" w:hint="default"/>
                <w:sz w:val="18"/>
                <w:szCs w:val="18"/>
              </w:rPr>
            </w:pPr>
            <w:r>
              <w:rPr>
                <w:rFonts w:ascii="宋体"/>
                <w:sz w:val="18"/>
              </w:rPr>
              <w:t>1,527,914.30</w:t>
            </w:r>
          </w:p>
        </w:tc>
      </w:tr>
    </w:tbl>
    <w:p>
      <w:pPr>
        <w:pStyle w:val="BodyText"/>
        <w:spacing w:line="280" w:lineRule="exact" w:before="0"/>
        <w:ind w:left="694" w:right="215"/>
        <w:jc w:val="left"/>
      </w:pPr>
      <w:r>
        <w:rPr>
          <w:spacing w:val="2"/>
        </w:rPr>
        <w:t>市价的计量结果表明，资产的市价低于其账面价值,本公司对低于其账面价值的差额计</w:t>
      </w:r>
      <w:r>
        <w:rPr/>
      </w:r>
    </w:p>
    <w:p>
      <w:pPr>
        <w:pStyle w:val="BodyText"/>
        <w:spacing w:line="276" w:lineRule="auto" w:before="46"/>
        <w:ind w:left="694" w:right="7210" w:hanging="540"/>
        <w:jc w:val="left"/>
      </w:pPr>
      <w:r>
        <w:rPr/>
        <w:t>提固定资产减值准备。 4.固定资产账面价值</w:t>
      </w:r>
    </w:p>
    <w:p>
      <w:pPr>
        <w:spacing w:line="240" w:lineRule="auto" w:before="9"/>
        <w:rPr>
          <w:rFonts w:ascii="宋体" w:hAnsi="宋体" w:cs="宋体" w:eastAsia="宋体" w:hint="default"/>
          <w:sz w:val="2"/>
          <w:szCs w:val="2"/>
        </w:rPr>
      </w:pPr>
    </w:p>
    <w:tbl>
      <w:tblPr>
        <w:tblW w:w="0" w:type="auto"/>
        <w:jc w:val="left"/>
        <w:tblInd w:w="224" w:type="dxa"/>
        <w:tblLayout w:type="fixed"/>
        <w:tblCellMar>
          <w:top w:w="0" w:type="dxa"/>
          <w:left w:w="0" w:type="dxa"/>
          <w:bottom w:w="0" w:type="dxa"/>
          <w:right w:w="0" w:type="dxa"/>
        </w:tblCellMar>
        <w:tblLook w:val="01E0"/>
      </w:tblPr>
      <w:tblGrid>
        <w:gridCol w:w="2470"/>
        <w:gridCol w:w="2030"/>
        <w:gridCol w:w="1837"/>
        <w:gridCol w:w="1791"/>
        <w:gridCol w:w="1582"/>
      </w:tblGrid>
      <w:tr>
        <w:trPr>
          <w:trHeight w:val="663" w:hRule="exact"/>
        </w:trPr>
        <w:tc>
          <w:tcPr>
            <w:tcW w:w="2470" w:type="dxa"/>
            <w:tcBorders>
              <w:top w:val="nil" w:sz="6" w:space="0" w:color="auto"/>
              <w:left w:val="nil" w:sz="6" w:space="0" w:color="auto"/>
              <w:bottom w:val="nil" w:sz="6" w:space="0" w:color="auto"/>
              <w:right w:val="nil" w:sz="6" w:space="0" w:color="auto"/>
            </w:tcBorders>
          </w:tcPr>
          <w:p>
            <w:pPr>
              <w:pStyle w:val="TableParagraph"/>
              <w:tabs>
                <w:tab w:pos="736" w:val="left" w:leader="none"/>
                <w:tab w:pos="1240" w:val="left" w:leader="none"/>
                <w:tab w:pos="2016" w:val="left" w:leader="none"/>
              </w:tabs>
              <w:spacing w:line="319" w:lineRule="auto" w:before="44"/>
              <w:ind w:left="35" w:right="43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w:t>
              <w:tab/>
              <w:t>别</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2"/>
                <w:sz w:val="18"/>
                <w:szCs w:val="18"/>
              </w:rPr>
              <w:t>房屋及建筑物</w:t>
            </w:r>
            <w:r>
              <w:rPr>
                <w:rFonts w:ascii="宋体" w:hAnsi="宋体" w:cs="宋体" w:eastAsia="宋体" w:hint="default"/>
                <w:sz w:val="18"/>
                <w:szCs w:val="18"/>
              </w:rPr>
            </w:r>
          </w:p>
        </w:tc>
        <w:tc>
          <w:tcPr>
            <w:tcW w:w="2030" w:type="dxa"/>
            <w:tcBorders>
              <w:top w:val="nil" w:sz="6" w:space="0" w:color="auto"/>
              <w:left w:val="nil" w:sz="6" w:space="0" w:color="auto"/>
              <w:bottom w:val="nil" w:sz="6" w:space="0" w:color="auto"/>
              <w:right w:val="nil" w:sz="6" w:space="0" w:color="auto"/>
            </w:tcBorders>
          </w:tcPr>
          <w:p>
            <w:pPr>
              <w:pStyle w:val="TableParagraph"/>
              <w:tabs>
                <w:tab w:pos="311" w:val="left" w:leader="none"/>
              </w:tabs>
              <w:spacing w:line="240" w:lineRule="auto" w:before="44"/>
              <w:ind w:right="33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2"/>
                <w:sz w:val="18"/>
                <w:szCs w:val="18"/>
                <w:u w:val="single" w:color="000000"/>
              </w:rPr>
              <w:t>年初数</w:t>
            </w:r>
            <w:r>
              <w:rPr>
                <w:rFonts w:ascii="宋体" w:hAnsi="宋体" w:cs="宋体" w:eastAsia="宋体" w:hint="default"/>
                <w:spacing w:val="-12"/>
                <w:sz w:val="18"/>
                <w:szCs w:val="18"/>
              </w:rPr>
            </w:r>
            <w:r>
              <w:rPr>
                <w:rFonts w:ascii="宋体" w:hAnsi="宋体" w:cs="宋体" w:eastAsia="宋体" w:hint="default"/>
                <w:sz w:val="18"/>
                <w:szCs w:val="18"/>
              </w:rPr>
            </w:r>
          </w:p>
        </w:tc>
        <w:tc>
          <w:tcPr>
            <w:tcW w:w="1837" w:type="dxa"/>
            <w:tcBorders>
              <w:top w:val="nil" w:sz="6" w:space="0" w:color="auto"/>
              <w:left w:val="nil" w:sz="6" w:space="0" w:color="auto"/>
              <w:bottom w:val="nil" w:sz="6" w:space="0" w:color="auto"/>
              <w:right w:val="nil" w:sz="6" w:space="0" w:color="auto"/>
            </w:tcBorders>
          </w:tcPr>
          <w:p>
            <w:pPr>
              <w:pStyle w:val="TableParagraph"/>
              <w:spacing w:line="340" w:lineRule="auto" w:before="44"/>
              <w:ind w:left="333" w:right="331" w:firstLine="26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pacing w:val="-12"/>
                <w:sz w:val="18"/>
                <w:szCs w:val="18"/>
                <w:u w:val="single" w:color="000000"/>
              </w:rPr>
              <w:t>本年增加</w:t>
            </w:r>
            <w:r>
              <w:rPr>
                <w:rFonts w:ascii="宋体" w:hAnsi="宋体" w:cs="宋体" w:eastAsia="宋体" w:hint="default"/>
                <w:spacing w:val="-12"/>
                <w:sz w:val="18"/>
                <w:szCs w:val="18"/>
              </w:rPr>
            </w:r>
            <w:r>
              <w:rPr>
                <w:rFonts w:ascii="宋体" w:hAnsi="宋体" w:cs="宋体" w:eastAsia="宋体" w:hint="default"/>
                <w:spacing w:val="-12"/>
                <w:sz w:val="18"/>
                <w:szCs w:val="18"/>
              </w:rPr>
              <w:t> </w:t>
            </w:r>
            <w:r>
              <w:rPr>
                <w:rFonts w:ascii="宋体" w:hAnsi="宋体" w:cs="宋体" w:eastAsia="宋体" w:hint="default"/>
                <w:sz w:val="18"/>
                <w:szCs w:val="18"/>
              </w:rPr>
              <w:t>30,709,540.00</w:t>
            </w:r>
          </w:p>
        </w:tc>
        <w:tc>
          <w:tcPr>
            <w:tcW w:w="1791" w:type="dxa"/>
            <w:tcBorders>
              <w:top w:val="nil" w:sz="6" w:space="0" w:color="auto"/>
              <w:left w:val="nil" w:sz="6" w:space="0" w:color="auto"/>
              <w:bottom w:val="nil" w:sz="6" w:space="0" w:color="auto"/>
              <w:right w:val="nil" w:sz="6" w:space="0" w:color="auto"/>
            </w:tcBorders>
          </w:tcPr>
          <w:p>
            <w:pPr>
              <w:pStyle w:val="TableParagraph"/>
              <w:spacing w:line="340" w:lineRule="auto" w:before="44"/>
              <w:ind w:left="603" w:right="285" w:hanging="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9"/>
                <w:sz w:val="18"/>
                <w:szCs w:val="18"/>
                <w:u w:val="single" w:color="000000"/>
              </w:rPr>
              <w:t> </w:t>
            </w:r>
            <w:r>
              <w:rPr>
                <w:rFonts w:ascii="宋体" w:hAnsi="宋体" w:cs="宋体" w:eastAsia="宋体" w:hint="default"/>
                <w:spacing w:val="-12"/>
                <w:sz w:val="18"/>
                <w:szCs w:val="18"/>
                <w:u w:val="single" w:color="000000"/>
              </w:rPr>
              <w:t>本年减少</w:t>
            </w:r>
            <w:r>
              <w:rPr>
                <w:rFonts w:ascii="宋体" w:hAnsi="宋体" w:cs="宋体" w:eastAsia="宋体" w:hint="default"/>
                <w:spacing w:val="-12"/>
                <w:sz w:val="18"/>
                <w:szCs w:val="18"/>
              </w:rPr>
            </w:r>
            <w:r>
              <w:rPr>
                <w:rFonts w:ascii="宋体" w:hAnsi="宋体" w:cs="宋体" w:eastAsia="宋体" w:hint="default"/>
                <w:spacing w:val="-12"/>
                <w:sz w:val="18"/>
                <w:szCs w:val="18"/>
              </w:rPr>
              <w:t> </w:t>
            </w:r>
            <w:r>
              <w:rPr>
                <w:rFonts w:ascii="宋体" w:hAnsi="宋体" w:cs="宋体" w:eastAsia="宋体" w:hint="default"/>
                <w:sz w:val="18"/>
                <w:szCs w:val="18"/>
              </w:rPr>
              <w:t>137,985.66</w:t>
            </w:r>
          </w:p>
        </w:tc>
        <w:tc>
          <w:tcPr>
            <w:tcW w:w="1582" w:type="dxa"/>
            <w:tcBorders>
              <w:top w:val="nil" w:sz="6" w:space="0" w:color="auto"/>
              <w:left w:val="nil" w:sz="6" w:space="0" w:color="auto"/>
              <w:bottom w:val="nil" w:sz="6" w:space="0" w:color="auto"/>
              <w:right w:val="nil" w:sz="6" w:space="0" w:color="auto"/>
            </w:tcBorders>
          </w:tcPr>
          <w:p>
            <w:pPr>
              <w:pStyle w:val="TableParagraph"/>
              <w:tabs>
                <w:tab w:pos="1043" w:val="left" w:leader="none"/>
              </w:tabs>
              <w:spacing w:line="340" w:lineRule="auto" w:before="44"/>
              <w:ind w:left="377" w:right="33" w:firstLine="35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2"/>
                <w:sz w:val="18"/>
                <w:szCs w:val="18"/>
                <w:u w:val="single" w:color="000000"/>
              </w:rPr>
              <w:t>年末数</w:t>
            </w:r>
            <w:r>
              <w:rPr>
                <w:rFonts w:ascii="宋体" w:hAnsi="宋体" w:cs="宋体" w:eastAsia="宋体" w:hint="default"/>
                <w:spacing w:val="-12"/>
                <w:sz w:val="18"/>
                <w:szCs w:val="18"/>
              </w:rPr>
            </w:r>
            <w:r>
              <w:rPr>
                <w:rFonts w:ascii="宋体" w:hAnsi="宋体" w:cs="宋体" w:eastAsia="宋体" w:hint="default"/>
                <w:spacing w:val="-12"/>
                <w:sz w:val="18"/>
                <w:szCs w:val="18"/>
              </w:rPr>
              <w:t> </w:t>
            </w:r>
            <w:r>
              <w:rPr>
                <w:rFonts w:ascii="宋体" w:hAnsi="宋体" w:cs="宋体" w:eastAsia="宋体" w:hint="default"/>
                <w:sz w:val="18"/>
                <w:szCs w:val="18"/>
              </w:rPr>
              <w:t>30,571,554.34</w:t>
            </w:r>
          </w:p>
        </w:tc>
      </w:tr>
      <w:tr>
        <w:trPr>
          <w:trHeight w:val="315"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机器设备</w:t>
            </w:r>
            <w:r>
              <w:rPr>
                <w:rFonts w:ascii="宋体" w:hAnsi="宋体" w:cs="宋体" w:eastAsia="宋体" w:hint="default"/>
                <w:sz w:val="18"/>
                <w:szCs w:val="18"/>
              </w:rPr>
            </w:r>
          </w:p>
        </w:tc>
        <w:tc>
          <w:tcPr>
            <w:tcW w:w="2030" w:type="dxa"/>
            <w:tcBorders>
              <w:top w:val="nil" w:sz="6" w:space="0" w:color="auto"/>
              <w:left w:val="nil" w:sz="6" w:space="0" w:color="auto"/>
              <w:bottom w:val="nil" w:sz="6" w:space="0" w:color="auto"/>
              <w:right w:val="nil" w:sz="6" w:space="0" w:color="auto"/>
            </w:tcBorders>
          </w:tcPr>
          <w:p>
            <w:pPr>
              <w:pStyle w:val="TableParagraph"/>
              <w:spacing w:line="185" w:lineRule="exact"/>
              <w:ind w:right="331"/>
              <w:jc w:val="right"/>
              <w:rPr>
                <w:rFonts w:ascii="宋体" w:hAnsi="宋体" w:cs="宋体" w:eastAsia="宋体" w:hint="default"/>
                <w:sz w:val="18"/>
                <w:szCs w:val="18"/>
              </w:rPr>
            </w:pPr>
            <w:r>
              <w:rPr>
                <w:rFonts w:ascii="宋体"/>
                <w:sz w:val="18"/>
              </w:rPr>
              <w:t>96,717,169.77</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center"/>
              <w:rPr>
                <w:rFonts w:ascii="宋体" w:hAnsi="宋体" w:cs="宋体" w:eastAsia="宋体" w:hint="default"/>
                <w:sz w:val="18"/>
                <w:szCs w:val="18"/>
              </w:rPr>
            </w:pPr>
            <w:r>
              <w:rPr>
                <w:rFonts w:ascii="宋体"/>
                <w:sz w:val="18"/>
              </w:rPr>
              <w:t>59,595,533.38</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5"/>
              <w:jc w:val="right"/>
              <w:rPr>
                <w:rFonts w:ascii="宋体" w:hAnsi="宋体" w:cs="宋体" w:eastAsia="宋体" w:hint="default"/>
                <w:sz w:val="18"/>
                <w:szCs w:val="18"/>
              </w:rPr>
            </w:pPr>
            <w:r>
              <w:rPr>
                <w:rFonts w:ascii="宋体"/>
                <w:sz w:val="18"/>
              </w:rPr>
              <w:t>18,919,583.80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137,393,119.35</w:t>
            </w:r>
          </w:p>
        </w:tc>
      </w:tr>
      <w:tr>
        <w:trPr>
          <w:trHeight w:val="315"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pacing w:val="-12"/>
                <w:sz w:val="18"/>
                <w:szCs w:val="18"/>
              </w:rPr>
              <w:t>运输设备</w:t>
            </w:r>
            <w:r>
              <w:rPr>
                <w:rFonts w:ascii="宋体" w:hAnsi="宋体" w:cs="宋体" w:eastAsia="宋体" w:hint="default"/>
                <w:sz w:val="18"/>
                <w:szCs w:val="18"/>
              </w:rPr>
            </w:r>
          </w:p>
        </w:tc>
        <w:tc>
          <w:tcPr>
            <w:tcW w:w="2030" w:type="dxa"/>
            <w:tcBorders>
              <w:top w:val="nil" w:sz="6" w:space="0" w:color="auto"/>
              <w:left w:val="nil" w:sz="6" w:space="0" w:color="auto"/>
              <w:bottom w:val="nil" w:sz="6" w:space="0" w:color="auto"/>
              <w:right w:val="nil" w:sz="6" w:space="0" w:color="auto"/>
            </w:tcBorders>
          </w:tcPr>
          <w:p>
            <w:pPr>
              <w:pStyle w:val="TableParagraph"/>
              <w:spacing w:line="184" w:lineRule="exact"/>
              <w:ind w:right="331"/>
              <w:jc w:val="right"/>
              <w:rPr>
                <w:rFonts w:ascii="宋体" w:hAnsi="宋体" w:cs="宋体" w:eastAsia="宋体" w:hint="default"/>
                <w:sz w:val="18"/>
                <w:szCs w:val="18"/>
              </w:rPr>
            </w:pPr>
            <w:r>
              <w:rPr>
                <w:rFonts w:ascii="宋体"/>
                <w:sz w:val="18"/>
              </w:rPr>
              <w:t>4,698,347.20</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89" w:right="0"/>
              <w:jc w:val="center"/>
              <w:rPr>
                <w:rFonts w:ascii="宋体" w:hAnsi="宋体" w:cs="宋体" w:eastAsia="宋体" w:hint="default"/>
                <w:sz w:val="18"/>
                <w:szCs w:val="18"/>
              </w:rPr>
            </w:pPr>
            <w:r>
              <w:rPr>
                <w:rFonts w:ascii="宋体"/>
                <w:sz w:val="18"/>
              </w:rPr>
              <w:t>2,080,511.88</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5"/>
              <w:jc w:val="right"/>
              <w:rPr>
                <w:rFonts w:ascii="宋体" w:hAnsi="宋体" w:cs="宋体" w:eastAsia="宋体" w:hint="default"/>
                <w:sz w:val="18"/>
                <w:szCs w:val="18"/>
              </w:rPr>
            </w:pPr>
            <w:r>
              <w:rPr>
                <w:rFonts w:ascii="宋体"/>
                <w:sz w:val="18"/>
              </w:rPr>
              <w:t>666,293.01</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z w:val="18"/>
              </w:rPr>
              <w:t>6,112,566.07</w:t>
            </w:r>
          </w:p>
        </w:tc>
      </w:tr>
      <w:tr>
        <w:trPr>
          <w:trHeight w:val="611"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319" w:lineRule="auto"/>
              <w:ind w:left="35" w:right="1088"/>
              <w:jc w:val="left"/>
              <w:rPr>
                <w:rFonts w:ascii="宋体" w:hAnsi="宋体" w:cs="宋体" w:eastAsia="宋体" w:hint="default"/>
                <w:sz w:val="18"/>
                <w:szCs w:val="18"/>
              </w:rPr>
            </w:pPr>
            <w:r>
              <w:rPr>
                <w:rFonts w:ascii="宋体" w:hAnsi="宋体" w:cs="宋体" w:eastAsia="宋体" w:hint="default"/>
                <w:spacing w:val="-12"/>
                <w:sz w:val="18"/>
                <w:szCs w:val="18"/>
              </w:rPr>
              <w:t>电子设备 融资租入固定资产</w:t>
            </w:r>
            <w:r>
              <w:rPr>
                <w:rFonts w:ascii="宋体" w:hAnsi="宋体" w:cs="宋体" w:eastAsia="宋体" w:hint="default"/>
                <w:sz w:val="18"/>
                <w:szCs w:val="18"/>
              </w:rPr>
            </w:r>
          </w:p>
        </w:tc>
        <w:tc>
          <w:tcPr>
            <w:tcW w:w="2030" w:type="dxa"/>
            <w:tcBorders>
              <w:top w:val="nil" w:sz="6" w:space="0" w:color="auto"/>
              <w:left w:val="nil" w:sz="6" w:space="0" w:color="auto"/>
              <w:bottom w:val="nil" w:sz="6" w:space="0" w:color="auto"/>
              <w:right w:val="nil" w:sz="6" w:space="0" w:color="auto"/>
            </w:tcBorders>
          </w:tcPr>
          <w:p>
            <w:pPr>
              <w:pStyle w:val="TableParagraph"/>
              <w:spacing w:line="185" w:lineRule="exact"/>
              <w:ind w:right="331"/>
              <w:jc w:val="right"/>
              <w:rPr>
                <w:rFonts w:ascii="宋体" w:hAnsi="宋体" w:cs="宋体" w:eastAsia="宋体" w:hint="default"/>
                <w:sz w:val="18"/>
                <w:szCs w:val="18"/>
              </w:rPr>
            </w:pPr>
            <w:r>
              <w:rPr>
                <w:rFonts w:ascii="宋体"/>
                <w:sz w:val="18"/>
              </w:rPr>
              <w:t>2,377,390.25</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9" w:right="0"/>
              <w:jc w:val="center"/>
              <w:rPr>
                <w:rFonts w:ascii="宋体" w:hAnsi="宋体" w:cs="宋体" w:eastAsia="宋体" w:hint="default"/>
                <w:sz w:val="18"/>
                <w:szCs w:val="18"/>
              </w:rPr>
            </w:pPr>
            <w:r>
              <w:rPr>
                <w:rFonts w:ascii="宋体"/>
                <w:sz w:val="18"/>
              </w:rPr>
              <w:t>2,080,546.05</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85"/>
              <w:jc w:val="right"/>
              <w:rPr>
                <w:rFonts w:ascii="宋体" w:hAnsi="宋体" w:cs="宋体" w:eastAsia="宋体" w:hint="default"/>
                <w:sz w:val="18"/>
                <w:szCs w:val="18"/>
              </w:rPr>
            </w:pPr>
            <w:r>
              <w:rPr>
                <w:rFonts w:ascii="宋体"/>
                <w:sz w:val="18"/>
              </w:rPr>
              <w:t>645,739.92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3,812,196.38</w:t>
            </w:r>
          </w:p>
        </w:tc>
      </w:tr>
      <w:tr>
        <w:trPr>
          <w:trHeight w:val="604"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85" w:lineRule="auto" w:before="12"/>
              <w:ind w:left="35" w:right="492"/>
              <w:jc w:val="left"/>
              <w:rPr>
                <w:rFonts w:ascii="宋体" w:hAnsi="宋体" w:cs="宋体" w:eastAsia="宋体" w:hint="default"/>
                <w:sz w:val="18"/>
                <w:szCs w:val="18"/>
              </w:rPr>
            </w:pPr>
            <w:r>
              <w:rPr>
                <w:rFonts w:ascii="宋体" w:hAnsi="宋体" w:cs="宋体" w:eastAsia="宋体" w:hint="default"/>
                <w:spacing w:val="-12"/>
                <w:sz w:val="18"/>
                <w:szCs w:val="18"/>
              </w:rPr>
              <w:t>固定资产装修 </w:t>
            </w:r>
            <w:r>
              <w:rPr>
                <w:rFonts w:ascii="宋体" w:hAnsi="宋体" w:cs="宋体" w:eastAsia="宋体" w:hint="default"/>
                <w:spacing w:val="-19"/>
                <w:sz w:val="18"/>
                <w:szCs w:val="18"/>
              </w:rPr>
              <w:t>融资租入固定资产改良支出</w:t>
            </w:r>
          </w:p>
        </w:tc>
        <w:tc>
          <w:tcPr>
            <w:tcW w:w="2030"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5" w:hRule="exact"/>
        </w:trPr>
        <w:tc>
          <w:tcPr>
            <w:tcW w:w="2470"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2030"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41" w:hRule="exact"/>
        </w:trPr>
        <w:tc>
          <w:tcPr>
            <w:tcW w:w="2470"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1"/>
              <w:jc w:val="right"/>
              <w:rPr>
                <w:rFonts w:ascii="宋体" w:hAnsi="宋体" w:cs="宋体" w:eastAsia="宋体" w:hint="default"/>
                <w:sz w:val="18"/>
                <w:szCs w:val="18"/>
              </w:rPr>
            </w:pPr>
            <w:r>
              <w:rPr>
                <w:rFonts w:ascii="宋体"/>
                <w:sz w:val="18"/>
              </w:rPr>
              <w:t>103,792,907.22</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94,466,131.31</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85"/>
              <w:jc w:val="right"/>
              <w:rPr>
                <w:rFonts w:ascii="宋体" w:hAnsi="宋体" w:cs="宋体" w:eastAsia="宋体" w:hint="default"/>
                <w:sz w:val="18"/>
                <w:szCs w:val="18"/>
              </w:rPr>
            </w:pPr>
            <w:r>
              <w:rPr>
                <w:rFonts w:ascii="宋体"/>
                <w:sz w:val="18"/>
              </w:rPr>
              <w:t>20,369,602.39</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18"/>
                <w:szCs w:val="18"/>
              </w:rPr>
            </w:pPr>
            <w:r>
              <w:rPr>
                <w:rFonts w:ascii="宋体"/>
                <w:sz w:val="18"/>
              </w:rPr>
              <w:t>177,889,436.14</w:t>
            </w:r>
          </w:p>
        </w:tc>
      </w:tr>
    </w:tbl>
    <w:p>
      <w:pPr>
        <w:pStyle w:val="BodyText"/>
        <w:spacing w:line="313" w:lineRule="exact" w:before="0"/>
        <w:ind w:left="694" w:right="215"/>
        <w:jc w:val="left"/>
      </w:pPr>
      <w:r>
        <w:rPr/>
        <w:t>5.固定资产原值年末数比年初数增加</w:t>
      </w:r>
      <w:r>
        <w:rPr>
          <w:spacing w:val="-47"/>
        </w:rPr>
        <w:t> </w:t>
      </w:r>
      <w:r>
        <w:rPr/>
        <w:t>89,160,807.97</w:t>
      </w:r>
      <w:r>
        <w:rPr>
          <w:spacing w:val="-47"/>
        </w:rPr>
        <w:t> </w:t>
      </w:r>
      <w:r>
        <w:rPr/>
        <w:t>元，增加比例为</w:t>
      </w:r>
      <w:r>
        <w:rPr>
          <w:spacing w:val="-47"/>
        </w:rPr>
        <w:t> </w:t>
      </w:r>
      <w:r>
        <w:rPr/>
        <w:t>70.93％，变动原</w:t>
      </w:r>
    </w:p>
    <w:p>
      <w:pPr>
        <w:spacing w:after="0" w:line="313" w:lineRule="exact"/>
        <w:jc w:val="left"/>
        <w:sectPr>
          <w:pgSz w:w="11910" w:h="16840"/>
          <w:pgMar w:header="747" w:footer="1339" w:top="980" w:bottom="1520" w:left="980" w:right="8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754" w:right="171" w:hanging="540"/>
        <w:jc w:val="left"/>
      </w:pPr>
      <w:r>
        <w:rPr/>
        <w:t>因为：公司为了扩大生产规模增加生产线而购买生产机器设备所致。 累计折旧年末数比年初数增加</w:t>
      </w:r>
      <w:r>
        <w:rPr>
          <w:spacing w:val="-47"/>
        </w:rPr>
        <w:t> </w:t>
      </w:r>
      <w:r>
        <w:rPr/>
        <w:t>15,064,279.05</w:t>
      </w:r>
      <w:r>
        <w:rPr>
          <w:spacing w:val="-47"/>
        </w:rPr>
        <w:t> </w:t>
      </w:r>
      <w:r>
        <w:rPr/>
        <w:t>元，增加比例为</w:t>
      </w:r>
      <w:r>
        <w:rPr>
          <w:spacing w:val="-47"/>
        </w:rPr>
        <w:t> </w:t>
      </w:r>
      <w:r>
        <w:rPr/>
        <w:t>73.91％，变动原因为：</w:t>
      </w:r>
    </w:p>
    <w:p>
      <w:pPr>
        <w:pStyle w:val="BodyText"/>
        <w:spacing w:line="336" w:lineRule="auto" w:before="29"/>
        <w:ind w:left="754" w:right="6690" w:hanging="540"/>
        <w:jc w:val="left"/>
      </w:pPr>
      <w:r>
        <w:rPr/>
        <w:t>本期新增生产机器设备所致。 (九)在建工程</w:t>
      </w:r>
    </w:p>
    <w:p>
      <w:pPr>
        <w:spacing w:after="0" w:line="336" w:lineRule="auto"/>
        <w:jc w:val="left"/>
        <w:sectPr>
          <w:pgSz w:w="11910" w:h="16840"/>
          <w:pgMar w:header="747" w:footer="1339" w:top="980" w:bottom="1520" w:left="920" w:right="940"/>
        </w:sectPr>
      </w:pPr>
    </w:p>
    <w:p>
      <w:pPr>
        <w:spacing w:line="240" w:lineRule="auto" w:before="4"/>
        <w:rPr>
          <w:rFonts w:ascii="宋体" w:hAnsi="宋体" w:cs="宋体" w:eastAsia="宋体" w:hint="default"/>
          <w:sz w:val="19"/>
          <w:szCs w:val="19"/>
        </w:rPr>
      </w:pPr>
    </w:p>
    <w:p>
      <w:pPr>
        <w:tabs>
          <w:tab w:pos="1460" w:val="left" w:leader="none"/>
          <w:tab w:pos="2287" w:val="left" w:leader="none"/>
          <w:tab w:pos="3258" w:val="left" w:leader="none"/>
          <w:tab w:pos="3547" w:val="left" w:leader="none"/>
          <w:tab w:pos="4605" w:val="left" w:leader="none"/>
        </w:tabs>
        <w:spacing w:before="0"/>
        <w:ind w:left="17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8"/>
          <w:sz w:val="18"/>
          <w:szCs w:val="18"/>
          <w:u w:val="single" w:color="000000"/>
        </w:rPr>
        <w:t>工程项目名称</w:t>
      </w:r>
      <w:r>
        <w:rPr>
          <w:rFonts w:ascii="宋体" w:hAnsi="宋体" w:cs="宋体" w:eastAsia="宋体" w:hint="default"/>
          <w:spacing w:val="-18"/>
          <w:sz w:val="18"/>
          <w:szCs w:val="18"/>
        </w:rPr>
        <w:tab/>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14"/>
          <w:sz w:val="18"/>
          <w:szCs w:val="18"/>
          <w:u w:val="single" w:color="000000"/>
        </w:rPr>
        <w:t>预算数</w:t>
      </w:r>
      <w:r>
        <w:rPr>
          <w:rFonts w:ascii="宋体" w:hAnsi="宋体" w:cs="宋体" w:eastAsia="宋体" w:hint="default"/>
          <w:spacing w:val="-14"/>
          <w:sz w:val="18"/>
          <w:szCs w:val="18"/>
        </w:rPr>
        <w:tab/>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pacing w:val="-14"/>
          <w:sz w:val="18"/>
          <w:szCs w:val="18"/>
          <w:u w:val="single" w:color="000000"/>
        </w:rPr>
        <w:t> </w:t>
      </w:r>
      <w:r>
        <w:rPr>
          <w:rFonts w:ascii="宋体" w:hAnsi="宋体" w:cs="宋体" w:eastAsia="宋体" w:hint="default"/>
          <w:spacing w:val="-14"/>
          <w:sz w:val="18"/>
          <w:szCs w:val="18"/>
          <w:u w:val="single" w:color="000000"/>
        </w:rPr>
        <w:t>年初数</w:t>
        <w:tab/>
      </w:r>
      <w:r>
        <w:rPr>
          <w:rFonts w:ascii="宋体" w:hAnsi="宋体" w:cs="宋体" w:eastAsia="宋体" w:hint="default"/>
          <w:spacing w:val="-14"/>
          <w:sz w:val="18"/>
          <w:szCs w:val="18"/>
        </w:rPr>
        <w:tab/>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pacing w:val="-14"/>
          <w:sz w:val="18"/>
          <w:szCs w:val="18"/>
          <w:u w:val="single" w:color="000000"/>
        </w:rPr>
        <w:t> </w:t>
      </w:r>
      <w:r>
        <w:rPr>
          <w:rFonts w:ascii="宋体" w:hAnsi="宋体" w:cs="宋体" w:eastAsia="宋体" w:hint="default"/>
          <w:spacing w:val="-16"/>
          <w:sz w:val="18"/>
          <w:szCs w:val="18"/>
          <w:u w:val="single" w:color="000000"/>
        </w:rPr>
        <w:t>本年增加</w:t>
        <w:tab/>
      </w:r>
      <w:r>
        <w:rPr>
          <w:rFonts w:ascii="宋体" w:hAnsi="宋体" w:cs="宋体" w:eastAsia="宋体" w:hint="default"/>
          <w:spacing w:val="-16"/>
          <w:sz w:val="18"/>
          <w:szCs w:val="18"/>
        </w:rPr>
      </w:r>
    </w:p>
    <w:p>
      <w:pPr>
        <w:tabs>
          <w:tab w:pos="862" w:val="left" w:leader="none"/>
          <w:tab w:pos="2119" w:val="left" w:leader="none"/>
        </w:tabs>
        <w:spacing w:line="209" w:lineRule="exact" w:before="0"/>
        <w:ind w:left="16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21"/>
          <w:sz w:val="18"/>
          <w:szCs w:val="18"/>
          <w:u w:val="single" w:color="000000"/>
        </w:rPr>
        <w:t>本年减</w:t>
      </w:r>
      <w:r>
        <w:rPr>
          <w:rFonts w:ascii="宋体" w:hAnsi="宋体" w:cs="宋体" w:eastAsia="宋体" w:hint="default"/>
          <w:sz w:val="18"/>
          <w:szCs w:val="18"/>
          <w:u w:val="single" w:color="000000"/>
        </w:rPr>
        <w:t>少</w:t>
        <w:tab/>
      </w:r>
      <w:r>
        <w:rPr>
          <w:rFonts w:ascii="宋体" w:hAnsi="宋体" w:cs="宋体" w:eastAsia="宋体" w:hint="default"/>
          <w:sz w:val="18"/>
          <w:szCs w:val="18"/>
        </w:rPr>
      </w:r>
    </w:p>
    <w:p>
      <w:pPr>
        <w:spacing w:line="188" w:lineRule="exact" w:before="112"/>
        <w:ind w:left="0" w:right="0" w:firstLine="0"/>
        <w:jc w:val="right"/>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r>
      <w:r>
        <w:rPr>
          <w:rFonts w:ascii="宋体" w:hAnsi="宋体" w:cs="宋体" w:eastAsia="宋体" w:hint="default"/>
          <w:spacing w:val="-20"/>
          <w:sz w:val="18"/>
          <w:szCs w:val="18"/>
          <w:u w:val="single" w:color="000000"/>
        </w:rPr>
        <w:t>资金</w:t>
      </w:r>
      <w:r>
        <w:rPr>
          <w:rFonts w:ascii="宋体" w:hAnsi="宋体" w:cs="宋体" w:eastAsia="宋体" w:hint="default"/>
          <w:spacing w:val="-20"/>
          <w:sz w:val="18"/>
          <w:szCs w:val="18"/>
        </w:rPr>
      </w:r>
      <w:r>
        <w:rPr>
          <w:rFonts w:ascii="宋体" w:hAnsi="宋体" w:cs="宋体" w:eastAsia="宋体" w:hint="default"/>
          <w:sz w:val="18"/>
          <w:szCs w:val="18"/>
        </w:rPr>
      </w:r>
    </w:p>
    <w:p>
      <w:pPr>
        <w:tabs>
          <w:tab w:pos="442" w:val="left" w:leader="none"/>
          <w:tab w:pos="1219" w:val="left" w:leader="none"/>
        </w:tabs>
        <w:spacing w:line="188" w:lineRule="exact" w:before="0"/>
        <w:ind w:left="161" w:right="0" w:firstLine="0"/>
        <w:jc w:val="left"/>
        <w:rPr>
          <w:rFonts w:ascii="宋体" w:hAnsi="宋体" w:cs="宋体" w:eastAsia="宋体" w:hint="default"/>
          <w:sz w:val="18"/>
          <w:szCs w:val="18"/>
        </w:rPr>
      </w:pPr>
      <w:r>
        <w:rPr/>
        <w:pict>
          <v:shape style="position:absolute;margin-left:53.029999pt;margin-top:7.358355pt;width:442.8pt;height:78.650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920"/>
                    <w:gridCol w:w="1250"/>
                    <w:gridCol w:w="1260"/>
                    <w:gridCol w:w="1270"/>
                    <w:gridCol w:w="899"/>
                    <w:gridCol w:w="1268"/>
                    <w:gridCol w:w="852"/>
                  </w:tblGrid>
                  <w:tr>
                    <w:trPr>
                      <w:trHeight w:val="702"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84"/>
                          <w:jc w:val="center"/>
                          <w:rPr>
                            <w:rFonts w:ascii="宋体" w:hAnsi="宋体" w:cs="宋体" w:eastAsia="宋体" w:hint="default"/>
                            <w:sz w:val="18"/>
                            <w:szCs w:val="18"/>
                          </w:rPr>
                        </w:pPr>
                        <w:r>
                          <w:rPr>
                            <w:rFonts w:ascii="宋体" w:hAnsi="宋体" w:cs="宋体" w:eastAsia="宋体" w:hint="default"/>
                            <w:spacing w:val="-18"/>
                            <w:sz w:val="18"/>
                            <w:szCs w:val="18"/>
                          </w:rPr>
                          <w:t>实益达科技园</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97"/>
                          <w:jc w:val="right"/>
                          <w:rPr>
                            <w:rFonts w:ascii="宋体" w:hAnsi="宋体" w:cs="宋体" w:eastAsia="宋体" w:hint="default"/>
                            <w:sz w:val="18"/>
                            <w:szCs w:val="18"/>
                          </w:rPr>
                        </w:pPr>
                        <w:r>
                          <w:rPr>
                            <w:rFonts w:ascii="宋体" w:hAnsi="宋体" w:cs="宋体" w:eastAsia="宋体" w:hint="default"/>
                            <w:spacing w:val="-8"/>
                            <w:sz w:val="18"/>
                            <w:szCs w:val="18"/>
                          </w:rPr>
                          <w:t>6237</w:t>
                        </w:r>
                        <w:r>
                          <w:rPr>
                            <w:rFonts w:ascii="宋体" w:hAnsi="宋体" w:cs="宋体" w:eastAsia="宋体" w:hint="default"/>
                            <w:spacing w:val="-60"/>
                            <w:sz w:val="18"/>
                            <w:szCs w:val="18"/>
                          </w:rPr>
                          <w:t> </w:t>
                        </w:r>
                        <w:r>
                          <w:rPr>
                            <w:rFonts w:ascii="宋体" w:hAnsi="宋体" w:cs="宋体" w:eastAsia="宋体" w:hint="default"/>
                            <w:spacing w:val="-10"/>
                            <w:sz w:val="18"/>
                            <w:szCs w:val="18"/>
                          </w:rPr>
                          <w:t>万元</w:t>
                        </w:r>
                      </w:p>
                    </w:tc>
                    <w:tc>
                      <w:tcPr>
                        <w:tcW w:w="125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8" w:right="0"/>
                          <w:jc w:val="left"/>
                          <w:rPr>
                            <w:rFonts w:ascii="宋体" w:hAnsi="宋体" w:cs="宋体" w:eastAsia="宋体" w:hint="default"/>
                            <w:sz w:val="18"/>
                            <w:szCs w:val="18"/>
                          </w:rPr>
                        </w:pPr>
                        <w:r>
                          <w:rPr>
                            <w:rFonts w:ascii="宋体"/>
                            <w:spacing w:val="-11"/>
                            <w:sz w:val="18"/>
                          </w:rPr>
                          <w:t>1,257,881.19</w:t>
                        </w:r>
                        <w:r>
                          <w:rPr>
                            <w:rFonts w:ascii="宋体"/>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181" w:lineRule="exact"/>
                          <w:ind w:right="1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转入固定资产</w:t>
                        </w:r>
                        <w:r>
                          <w:rPr>
                            <w:rFonts w:ascii="宋体" w:hAnsi="宋体" w:cs="宋体" w:eastAsia="宋体" w:hint="default"/>
                            <w:spacing w:val="-21"/>
                            <w:sz w:val="18"/>
                            <w:szCs w:val="18"/>
                          </w:rPr>
                        </w:r>
                        <w:r>
                          <w:rPr>
                            <w:rFonts w:ascii="宋体" w:hAnsi="宋体" w:cs="宋体" w:eastAsia="宋体" w:hint="default"/>
                            <w:sz w:val="18"/>
                            <w:szCs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181" w:lineRule="exact"/>
                          <w:ind w:left="1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其他减少</w:t>
                        </w:r>
                        <w:r>
                          <w:rPr>
                            <w:rFonts w:ascii="宋体" w:hAnsi="宋体" w:cs="宋体" w:eastAsia="宋体" w:hint="default"/>
                            <w:spacing w:val="-21"/>
                            <w:sz w:val="18"/>
                            <w:szCs w:val="18"/>
                          </w:rPr>
                        </w:r>
                        <w:r>
                          <w:rPr>
                            <w:rFonts w:ascii="宋体" w:hAnsi="宋体" w:cs="宋体" w:eastAsia="宋体" w:hint="default"/>
                            <w:sz w:val="18"/>
                            <w:szCs w:val="18"/>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4"/>
                          <w:jc w:val="center"/>
                          <w:rPr>
                            <w:rFonts w:ascii="宋体" w:hAnsi="宋体" w:cs="宋体" w:eastAsia="宋体" w:hint="default"/>
                            <w:sz w:val="18"/>
                            <w:szCs w:val="18"/>
                          </w:rPr>
                        </w:pPr>
                        <w:r>
                          <w:rPr>
                            <w:rFonts w:ascii="宋体"/>
                            <w:spacing w:val="-11"/>
                            <w:sz w:val="18"/>
                          </w:rPr>
                          <w:t>1,257,881.19</w:t>
                        </w:r>
                        <w:r>
                          <w:rPr>
                            <w:rFonts w:ascii="宋体"/>
                            <w:sz w:val="18"/>
                          </w:rPr>
                        </w:r>
                      </w:p>
                    </w:tc>
                    <w:tc>
                      <w:tcPr>
                        <w:tcW w:w="852" w:type="dxa"/>
                        <w:tcBorders>
                          <w:top w:val="nil" w:sz="6" w:space="0" w:color="auto"/>
                          <w:left w:val="nil" w:sz="6" w:space="0" w:color="auto"/>
                          <w:bottom w:val="nil" w:sz="6" w:space="0" w:color="auto"/>
                          <w:right w:val="nil" w:sz="6" w:space="0" w:color="auto"/>
                        </w:tcBorders>
                      </w:tcPr>
                      <w:p>
                        <w:pPr>
                          <w:pStyle w:val="TableParagraph"/>
                          <w:spacing w:line="180" w:lineRule="exact"/>
                          <w:ind w:left="10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0"/>
                            <w:sz w:val="18"/>
                            <w:szCs w:val="18"/>
                            <w:u w:val="single" w:color="000000"/>
                          </w:rPr>
                          <w:t>来源</w:t>
                        </w:r>
                        <w:r>
                          <w:rPr>
                            <w:rFonts w:ascii="宋体" w:hAnsi="宋体" w:cs="宋体" w:eastAsia="宋体" w:hint="default"/>
                            <w:spacing w:val="-20"/>
                            <w:sz w:val="18"/>
                            <w:szCs w:val="18"/>
                          </w:rPr>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center"/>
                          <w:rPr>
                            <w:rFonts w:ascii="宋体" w:hAnsi="宋体" w:cs="宋体" w:eastAsia="宋体" w:hint="default"/>
                            <w:sz w:val="18"/>
                            <w:szCs w:val="18"/>
                          </w:rPr>
                        </w:pPr>
                        <w:r>
                          <w:rPr>
                            <w:rFonts w:ascii="宋体" w:hAnsi="宋体" w:cs="宋体" w:eastAsia="宋体" w:hint="default"/>
                            <w:spacing w:val="-16"/>
                            <w:sz w:val="18"/>
                            <w:szCs w:val="18"/>
                          </w:rPr>
                          <w:t>自有资金</w:t>
                        </w:r>
                      </w:p>
                    </w:tc>
                  </w:tr>
                  <w:tr>
                    <w:trPr>
                      <w:trHeight w:val="420"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1"/>
                          <w:jc w:val="center"/>
                          <w:rPr>
                            <w:rFonts w:ascii="宋体" w:hAnsi="宋体" w:cs="宋体" w:eastAsia="宋体" w:hint="default"/>
                            <w:sz w:val="18"/>
                            <w:szCs w:val="18"/>
                          </w:rPr>
                        </w:pPr>
                        <w:r>
                          <w:rPr>
                            <w:rFonts w:ascii="宋体" w:hAnsi="宋体" w:cs="宋体" w:eastAsia="宋体" w:hint="default"/>
                            <w:spacing w:val="-16"/>
                            <w:sz w:val="18"/>
                            <w:szCs w:val="18"/>
                          </w:rPr>
                          <w:t>一期厂房</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7"/>
                          <w:jc w:val="right"/>
                          <w:rPr>
                            <w:rFonts w:ascii="宋体" w:hAnsi="宋体" w:cs="宋体" w:eastAsia="宋体" w:hint="default"/>
                            <w:sz w:val="18"/>
                            <w:szCs w:val="18"/>
                          </w:rPr>
                        </w:pPr>
                        <w:r>
                          <w:rPr>
                            <w:rFonts w:ascii="宋体" w:hAnsi="宋体" w:cs="宋体" w:eastAsia="宋体" w:hint="default"/>
                            <w:spacing w:val="-8"/>
                            <w:sz w:val="18"/>
                            <w:szCs w:val="18"/>
                          </w:rPr>
                          <w:t>2030</w:t>
                        </w:r>
                        <w:r>
                          <w:rPr>
                            <w:rFonts w:ascii="宋体" w:hAnsi="宋体" w:cs="宋体" w:eastAsia="宋体" w:hint="default"/>
                            <w:spacing w:val="-60"/>
                            <w:sz w:val="18"/>
                            <w:szCs w:val="18"/>
                          </w:rPr>
                          <w:t> </w:t>
                        </w:r>
                        <w:r>
                          <w:rPr>
                            <w:rFonts w:ascii="宋体" w:hAnsi="宋体" w:cs="宋体" w:eastAsia="宋体" w:hint="default"/>
                            <w:spacing w:val="-10"/>
                            <w:sz w:val="18"/>
                            <w:szCs w:val="18"/>
                          </w:rPr>
                          <w:t>万元</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9" w:right="0"/>
                          <w:jc w:val="left"/>
                          <w:rPr>
                            <w:rFonts w:ascii="宋体" w:hAnsi="宋体" w:cs="宋体" w:eastAsia="宋体" w:hint="default"/>
                            <w:sz w:val="18"/>
                            <w:szCs w:val="18"/>
                          </w:rPr>
                        </w:pPr>
                        <w:r>
                          <w:rPr>
                            <w:rFonts w:ascii="宋体"/>
                            <w:spacing w:val="-11"/>
                            <w:sz w:val="18"/>
                          </w:rPr>
                          <w:t>15,869,375.01</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spacing w:val="-11"/>
                            <w:sz w:val="18"/>
                          </w:rPr>
                          <w:t>10,493,667.01</w:t>
                        </w:r>
                        <w:r>
                          <w:rPr>
                            <w:rFonts w:ascii="宋体"/>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
                          <w:jc w:val="center"/>
                          <w:rPr>
                            <w:rFonts w:ascii="宋体" w:hAnsi="宋体" w:cs="宋体" w:eastAsia="宋体" w:hint="default"/>
                            <w:sz w:val="18"/>
                            <w:szCs w:val="18"/>
                          </w:rPr>
                        </w:pPr>
                        <w:r>
                          <w:rPr>
                            <w:rFonts w:ascii="宋体"/>
                            <w:spacing w:val="-11"/>
                            <w:sz w:val="18"/>
                          </w:rPr>
                          <w:t>25,964,933.57</w:t>
                        </w:r>
                        <w:r>
                          <w:rPr>
                            <w:rFonts w:ascii="宋体"/>
                            <w:sz w:val="18"/>
                          </w:rPr>
                        </w:r>
                      </w:p>
                    </w:tc>
                    <w:tc>
                      <w:tcPr>
                        <w:tcW w:w="899"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宋体" w:hAnsi="宋体" w:cs="宋体" w:eastAsia="宋体" w:hint="default"/>
                            <w:sz w:val="18"/>
                            <w:szCs w:val="18"/>
                          </w:rPr>
                        </w:pPr>
                        <w:r>
                          <w:rPr>
                            <w:rFonts w:ascii="宋体"/>
                            <w:spacing w:val="-11"/>
                            <w:sz w:val="18"/>
                          </w:rPr>
                          <w:t>398,108.45</w:t>
                        </w:r>
                        <w:r>
                          <w:rPr>
                            <w:rFonts w:ascii="宋体"/>
                            <w:sz w:val="18"/>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7" w:right="0"/>
                          <w:jc w:val="left"/>
                          <w:rPr>
                            <w:rFonts w:ascii="宋体" w:hAnsi="宋体" w:cs="宋体" w:eastAsia="宋体" w:hint="default"/>
                            <w:sz w:val="18"/>
                            <w:szCs w:val="18"/>
                          </w:rPr>
                        </w:pPr>
                        <w:r>
                          <w:rPr>
                            <w:rFonts w:ascii="宋体" w:hAnsi="宋体" w:cs="宋体" w:eastAsia="宋体" w:hint="default"/>
                            <w:spacing w:val="-21"/>
                            <w:sz w:val="18"/>
                            <w:szCs w:val="18"/>
                          </w:rPr>
                          <w:t>自有资金</w:t>
                        </w:r>
                        <w:r>
                          <w:rPr>
                            <w:rFonts w:ascii="宋体" w:hAnsi="宋体" w:cs="宋体" w:eastAsia="宋体" w:hint="default"/>
                            <w:sz w:val="18"/>
                            <w:szCs w:val="18"/>
                          </w:rPr>
                        </w:r>
                      </w:p>
                    </w:tc>
                  </w:tr>
                  <w:tr>
                    <w:trPr>
                      <w:trHeight w:val="450"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3"/>
                          <w:jc w:val="center"/>
                          <w:rPr>
                            <w:rFonts w:ascii="宋体" w:hAnsi="宋体" w:cs="宋体" w:eastAsia="宋体" w:hint="default"/>
                            <w:sz w:val="18"/>
                            <w:szCs w:val="18"/>
                          </w:rPr>
                        </w:pPr>
                        <w:r>
                          <w:rPr>
                            <w:rFonts w:ascii="宋体" w:hAnsi="宋体" w:cs="宋体" w:eastAsia="宋体" w:hint="default"/>
                            <w:spacing w:val="-14"/>
                            <w:sz w:val="18"/>
                            <w:szCs w:val="18"/>
                          </w:rPr>
                          <w:t>合计：</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7"/>
                          <w:jc w:val="right"/>
                          <w:rPr>
                            <w:rFonts w:ascii="宋体" w:hAnsi="宋体" w:cs="宋体" w:eastAsia="宋体" w:hint="default"/>
                            <w:sz w:val="18"/>
                            <w:szCs w:val="18"/>
                          </w:rPr>
                        </w:pPr>
                        <w:r>
                          <w:rPr>
                            <w:rFonts w:ascii="宋体" w:hAnsi="宋体" w:cs="宋体" w:eastAsia="宋体" w:hint="default"/>
                            <w:spacing w:val="-8"/>
                            <w:sz w:val="18"/>
                            <w:szCs w:val="18"/>
                          </w:rPr>
                          <w:t>8267</w:t>
                        </w:r>
                        <w:r>
                          <w:rPr>
                            <w:rFonts w:ascii="宋体" w:hAnsi="宋体" w:cs="宋体" w:eastAsia="宋体" w:hint="default"/>
                            <w:spacing w:val="-60"/>
                            <w:sz w:val="18"/>
                            <w:szCs w:val="18"/>
                          </w:rPr>
                          <w:t> </w:t>
                        </w:r>
                        <w:r>
                          <w:rPr>
                            <w:rFonts w:ascii="宋体" w:hAnsi="宋体" w:cs="宋体" w:eastAsia="宋体" w:hint="default"/>
                            <w:spacing w:val="-10"/>
                            <w:sz w:val="18"/>
                            <w:szCs w:val="18"/>
                          </w:rPr>
                          <w:t>万元</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99" w:right="0"/>
                          <w:jc w:val="left"/>
                          <w:rPr>
                            <w:rFonts w:ascii="宋体" w:hAnsi="宋体" w:cs="宋体" w:eastAsia="宋体" w:hint="default"/>
                            <w:sz w:val="18"/>
                            <w:szCs w:val="18"/>
                          </w:rPr>
                        </w:pPr>
                        <w:r>
                          <w:rPr>
                            <w:rFonts w:ascii="宋体"/>
                            <w:spacing w:val="-11"/>
                            <w:sz w:val="18"/>
                          </w:rPr>
                          <w:t>15,869,375.01</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9" w:right="0"/>
                          <w:jc w:val="left"/>
                          <w:rPr>
                            <w:rFonts w:ascii="宋体" w:hAnsi="宋体" w:cs="宋体" w:eastAsia="宋体" w:hint="default"/>
                            <w:sz w:val="18"/>
                            <w:szCs w:val="18"/>
                          </w:rPr>
                        </w:pPr>
                        <w:r>
                          <w:rPr>
                            <w:rFonts w:ascii="宋体"/>
                            <w:spacing w:val="-11"/>
                            <w:sz w:val="18"/>
                          </w:rPr>
                          <w:t>11,751,548.20</w:t>
                        </w:r>
                        <w:r>
                          <w:rPr>
                            <w:rFonts w:ascii="宋体"/>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
                          <w:jc w:val="center"/>
                          <w:rPr>
                            <w:rFonts w:ascii="宋体" w:hAnsi="宋体" w:cs="宋体" w:eastAsia="宋体" w:hint="default"/>
                            <w:sz w:val="18"/>
                            <w:szCs w:val="18"/>
                          </w:rPr>
                        </w:pPr>
                        <w:r>
                          <w:rPr>
                            <w:rFonts w:ascii="宋体"/>
                            <w:spacing w:val="-11"/>
                            <w:sz w:val="18"/>
                          </w:rPr>
                          <w:t>25,964,933.57</w:t>
                        </w:r>
                        <w:r>
                          <w:rPr>
                            <w:rFonts w:ascii="宋体"/>
                            <w:sz w:val="18"/>
                          </w:rPr>
                        </w:r>
                      </w:p>
                    </w:tc>
                    <w:tc>
                      <w:tcPr>
                        <w:tcW w:w="899"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5"/>
                          <w:jc w:val="center"/>
                          <w:rPr>
                            <w:rFonts w:ascii="宋体" w:hAnsi="宋体" w:cs="宋体" w:eastAsia="宋体" w:hint="default"/>
                            <w:sz w:val="18"/>
                            <w:szCs w:val="18"/>
                          </w:rPr>
                        </w:pPr>
                        <w:r>
                          <w:rPr>
                            <w:rFonts w:ascii="宋体"/>
                            <w:spacing w:val="-10"/>
                            <w:sz w:val="18"/>
                          </w:rPr>
                          <w:t>1,655,989.64</w:t>
                        </w:r>
                      </w:p>
                    </w:tc>
                    <w:tc>
                      <w:tcPr>
                        <w:tcW w:w="85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4"/>
          <w:sz w:val="18"/>
          <w:szCs w:val="18"/>
          <w:u w:val="single" w:color="000000"/>
        </w:rPr>
        <w:t>年末数</w:t>
        <w:tab/>
      </w:r>
      <w:r>
        <w:rPr>
          <w:rFonts w:ascii="宋体" w:hAnsi="宋体" w:cs="宋体" w:eastAsia="宋体" w:hint="default"/>
          <w:spacing w:val="-14"/>
          <w:sz w:val="18"/>
          <w:szCs w:val="18"/>
        </w:rPr>
      </w:r>
    </w:p>
    <w:p>
      <w:pPr>
        <w:spacing w:line="209" w:lineRule="exact" w:before="0"/>
        <w:ind w:left="176" w:right="0" w:firstLine="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r>
      <w:r>
        <w:rPr>
          <w:rFonts w:ascii="宋体" w:hAnsi="宋体" w:cs="宋体" w:eastAsia="宋体" w:hint="default"/>
          <w:spacing w:val="-14"/>
          <w:sz w:val="18"/>
          <w:szCs w:val="18"/>
          <w:u w:val="single" w:color="000000"/>
        </w:rPr>
        <w:t>工程投</w:t>
      </w:r>
      <w:r>
        <w:rPr>
          <w:rFonts w:ascii="宋体" w:hAnsi="宋体" w:cs="宋体" w:eastAsia="宋体" w:hint="default"/>
          <w:spacing w:val="-14"/>
          <w:sz w:val="18"/>
          <w:szCs w:val="18"/>
        </w:rPr>
      </w:r>
    </w:p>
    <w:p>
      <w:pPr>
        <w:spacing w:line="285" w:lineRule="auto" w:before="44"/>
        <w:ind w:left="176" w:right="28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4"/>
          <w:sz w:val="18"/>
          <w:szCs w:val="18"/>
          <w:u w:val="single" w:color="000000"/>
        </w:rPr>
        <w:t>入占预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14"/>
          <w:sz w:val="18"/>
          <w:szCs w:val="18"/>
          <w:u w:val="single" w:color="000000"/>
        </w:rPr>
        <w:t>算比例</w:t>
      </w:r>
      <w:r>
        <w:rPr>
          <w:rFonts w:ascii="宋体" w:hAnsi="宋体" w:cs="宋体" w:eastAsia="宋体" w:hint="default"/>
          <w:spacing w:val="-14"/>
          <w:sz w:val="18"/>
          <w:szCs w:val="18"/>
        </w:rPr>
      </w:r>
    </w:p>
    <w:p>
      <w:pPr>
        <w:spacing w:after="0" w:line="285" w:lineRule="auto"/>
        <w:jc w:val="left"/>
        <w:rPr>
          <w:rFonts w:ascii="宋体" w:hAnsi="宋体" w:cs="宋体" w:eastAsia="宋体" w:hint="default"/>
          <w:sz w:val="18"/>
          <w:szCs w:val="18"/>
        </w:rPr>
        <w:sectPr>
          <w:type w:val="continuous"/>
          <w:pgSz w:w="11910" w:h="16840"/>
          <w:pgMar w:top="980" w:bottom="1520" w:left="920" w:right="940"/>
          <w:cols w:num="4" w:equalWidth="0">
            <w:col w:w="4606" w:space="40"/>
            <w:col w:w="2120" w:space="40"/>
            <w:col w:w="1976" w:space="281"/>
            <w:col w:w="98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36" w:lineRule="auto" w:before="180"/>
        <w:ind w:left="214" w:right="171" w:firstLine="540"/>
        <w:jc w:val="left"/>
      </w:pPr>
      <w:r>
        <w:rPr/>
        <w:t>注: 在建工程年末数比年初数减少</w:t>
      </w:r>
      <w:r>
        <w:rPr>
          <w:spacing w:val="-47"/>
        </w:rPr>
        <w:t> </w:t>
      </w:r>
      <w:r>
        <w:rPr/>
        <w:t>14,213,385.37</w:t>
      </w:r>
      <w:r>
        <w:rPr>
          <w:spacing w:val="-47"/>
        </w:rPr>
        <w:t> </w:t>
      </w:r>
      <w:r>
        <w:rPr/>
        <w:t>元，减少比例为</w:t>
      </w:r>
      <w:r>
        <w:rPr>
          <w:spacing w:val="-47"/>
        </w:rPr>
        <w:t> </w:t>
      </w:r>
      <w:r>
        <w:rPr/>
        <w:t>89.56％，变动原因</w:t>
      </w:r>
      <w:r>
        <w:rPr/>
        <w:t> 为：本期在建工程暂估转入固定资产。</w:t>
      </w:r>
    </w:p>
    <w:p>
      <w:pPr>
        <w:pStyle w:val="BodyText"/>
        <w:spacing w:line="336" w:lineRule="auto"/>
        <w:ind w:left="754" w:right="7590"/>
        <w:jc w:val="left"/>
      </w:pPr>
      <w:r>
        <w:rPr/>
        <w:t>(十)无形资产 1.无形资产原价</w:t>
      </w:r>
    </w:p>
    <w:p>
      <w:pPr>
        <w:spacing w:line="240" w:lineRule="auto" w:before="1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162"/>
        <w:gridCol w:w="2399"/>
        <w:gridCol w:w="2156"/>
        <w:gridCol w:w="1268"/>
        <w:gridCol w:w="1852"/>
      </w:tblGrid>
      <w:tr>
        <w:trPr>
          <w:trHeight w:val="659" w:hRule="exact"/>
        </w:trPr>
        <w:tc>
          <w:tcPr>
            <w:tcW w:w="2162" w:type="dxa"/>
            <w:tcBorders>
              <w:top w:val="nil" w:sz="6" w:space="0" w:color="auto"/>
              <w:left w:val="nil" w:sz="6" w:space="0" w:color="auto"/>
              <w:bottom w:val="nil" w:sz="6" w:space="0" w:color="auto"/>
              <w:right w:val="nil" w:sz="6" w:space="0" w:color="auto"/>
            </w:tcBorders>
          </w:tcPr>
          <w:p>
            <w:pPr>
              <w:pStyle w:val="TableParagraph"/>
              <w:tabs>
                <w:tab w:pos="574" w:val="left" w:leader="none"/>
                <w:tab w:pos="1636" w:val="left" w:leader="none"/>
              </w:tabs>
              <w:spacing w:line="314" w:lineRule="auto" w:before="44"/>
              <w:ind w:left="37" w:right="506" w:hanging="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MFG/PRO</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2399" w:type="dxa"/>
            <w:tcBorders>
              <w:top w:val="nil" w:sz="6" w:space="0" w:color="auto"/>
              <w:left w:val="nil" w:sz="6" w:space="0" w:color="auto"/>
              <w:bottom w:val="nil" w:sz="6" w:space="0" w:color="auto"/>
              <w:right w:val="nil" w:sz="6" w:space="0" w:color="auto"/>
            </w:tcBorders>
          </w:tcPr>
          <w:p>
            <w:pPr>
              <w:pStyle w:val="TableParagraph"/>
              <w:tabs>
                <w:tab w:pos="776" w:val="left" w:leader="none"/>
                <w:tab w:pos="1856" w:val="left" w:leader="none"/>
              </w:tabs>
              <w:spacing w:line="240" w:lineRule="auto" w:before="44"/>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年初原价</w:t>
              <w:tab/>
            </w:r>
            <w:r>
              <w:rPr>
                <w:rFonts w:ascii="宋体" w:hAnsi="宋体" w:cs="宋体" w:eastAsia="宋体" w:hint="default"/>
                <w:sz w:val="18"/>
                <w:szCs w:val="18"/>
              </w:rPr>
            </w:r>
          </w:p>
          <w:p>
            <w:pPr>
              <w:pStyle w:val="TableParagraph"/>
              <w:spacing w:line="240" w:lineRule="auto" w:before="73"/>
              <w:ind w:left="1391" w:right="0"/>
              <w:jc w:val="left"/>
              <w:rPr>
                <w:rFonts w:ascii="宋体" w:hAnsi="宋体" w:cs="宋体" w:eastAsia="宋体" w:hint="default"/>
                <w:sz w:val="18"/>
                <w:szCs w:val="18"/>
              </w:rPr>
            </w:pPr>
            <w:r>
              <w:rPr>
                <w:rFonts w:ascii="宋体"/>
                <w:sz w:val="18"/>
              </w:rPr>
              <w:t>390,000.00</w:t>
            </w:r>
          </w:p>
        </w:tc>
        <w:tc>
          <w:tcPr>
            <w:tcW w:w="2156" w:type="dxa"/>
            <w:tcBorders>
              <w:top w:val="nil" w:sz="6" w:space="0" w:color="auto"/>
              <w:left w:val="nil" w:sz="6" w:space="0" w:color="auto"/>
              <w:bottom w:val="nil" w:sz="6" w:space="0" w:color="auto"/>
              <w:right w:val="nil" w:sz="6" w:space="0" w:color="auto"/>
            </w:tcBorders>
          </w:tcPr>
          <w:p>
            <w:pPr>
              <w:pStyle w:val="TableParagraph"/>
              <w:tabs>
                <w:tab w:pos="377" w:val="left" w:leader="none"/>
                <w:tab w:pos="1457" w:val="left" w:leader="none"/>
              </w:tabs>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本年增加</w:t>
              <w:tab/>
            </w:r>
            <w:r>
              <w:rPr>
                <w:rFonts w:ascii="宋体" w:hAnsi="宋体" w:cs="宋体" w:eastAsia="宋体" w:hint="default"/>
                <w:sz w:val="18"/>
                <w:szCs w:val="18"/>
              </w:rPr>
            </w:r>
          </w:p>
        </w:tc>
        <w:tc>
          <w:tcPr>
            <w:tcW w:w="1268" w:type="dxa"/>
            <w:tcBorders>
              <w:top w:val="nil" w:sz="6" w:space="0" w:color="auto"/>
              <w:left w:val="nil" w:sz="6" w:space="0" w:color="auto"/>
              <w:bottom w:val="nil" w:sz="6" w:space="0" w:color="auto"/>
              <w:right w:val="nil" w:sz="6" w:space="0" w:color="auto"/>
            </w:tcBorders>
          </w:tcPr>
          <w:p>
            <w:pPr>
              <w:pStyle w:val="TableParagraph"/>
              <w:tabs>
                <w:tab w:pos="1106" w:val="left" w:leader="none"/>
              </w:tabs>
              <w:spacing w:line="240" w:lineRule="auto" w:before="4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本年减少</w:t>
              <w:tab/>
            </w:r>
            <w:r>
              <w:rPr>
                <w:rFonts w:ascii="宋体" w:hAnsi="宋体" w:cs="宋体" w:eastAsia="宋体" w:hint="default"/>
                <w:sz w:val="18"/>
                <w:szCs w:val="18"/>
              </w:rPr>
            </w:r>
          </w:p>
        </w:tc>
        <w:tc>
          <w:tcPr>
            <w:tcW w:w="1852" w:type="dxa"/>
            <w:tcBorders>
              <w:top w:val="nil" w:sz="6" w:space="0" w:color="auto"/>
              <w:left w:val="nil" w:sz="6" w:space="0" w:color="auto"/>
              <w:bottom w:val="nil" w:sz="6" w:space="0" w:color="auto"/>
              <w:right w:val="nil" w:sz="6" w:space="0" w:color="auto"/>
            </w:tcBorders>
          </w:tcPr>
          <w:p>
            <w:pPr>
              <w:pStyle w:val="TableParagraph"/>
              <w:tabs>
                <w:tab w:pos="1331" w:val="left" w:leader="none"/>
              </w:tabs>
              <w:spacing w:line="240" w:lineRule="auto" w:before="44"/>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年末原价</w:t>
              <w:tab/>
            </w:r>
            <w:r>
              <w:rPr>
                <w:rFonts w:ascii="宋体" w:hAnsi="宋体" w:cs="宋体" w:eastAsia="宋体" w:hint="default"/>
                <w:sz w:val="18"/>
                <w:szCs w:val="18"/>
              </w:rPr>
            </w:r>
          </w:p>
          <w:p>
            <w:pPr>
              <w:pStyle w:val="TableParagraph"/>
              <w:spacing w:line="240" w:lineRule="auto" w:before="73"/>
              <w:ind w:left="916" w:right="0"/>
              <w:jc w:val="left"/>
              <w:rPr>
                <w:rFonts w:ascii="宋体" w:hAnsi="宋体" w:cs="宋体" w:eastAsia="宋体" w:hint="default"/>
                <w:sz w:val="18"/>
                <w:szCs w:val="18"/>
              </w:rPr>
            </w:pPr>
            <w:r>
              <w:rPr>
                <w:rFonts w:ascii="宋体"/>
                <w:sz w:val="18"/>
              </w:rPr>
              <w:t>390,000.00</w:t>
            </w:r>
          </w:p>
        </w:tc>
      </w:tr>
      <w:tr>
        <w:trPr>
          <w:trHeight w:val="320"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 w:right="0"/>
              <w:jc w:val="left"/>
              <w:rPr>
                <w:rFonts w:ascii="宋体" w:hAnsi="宋体" w:cs="宋体" w:eastAsia="宋体" w:hint="default"/>
                <w:sz w:val="18"/>
                <w:szCs w:val="18"/>
              </w:rPr>
            </w:pPr>
            <w:r>
              <w:rPr>
                <w:rFonts w:ascii="宋体" w:hAnsi="宋体" w:cs="宋体" w:eastAsia="宋体" w:hint="default"/>
                <w:sz w:val="18"/>
                <w:szCs w:val="18"/>
              </w:rPr>
              <w:t>考勤系统</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19,385.00</w:t>
            </w:r>
          </w:p>
        </w:tc>
        <w:tc>
          <w:tcPr>
            <w:tcW w:w="2156"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19,385.00</w:t>
            </w:r>
          </w:p>
        </w:tc>
      </w:tr>
      <w:tr>
        <w:trPr>
          <w:trHeight w:val="320"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1"/>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9,846,748.52</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44,805,000.00</w:t>
            </w:r>
          </w:p>
        </w:tc>
        <w:tc>
          <w:tcPr>
            <w:tcW w:w="1268"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54,651,748.52</w:t>
            </w:r>
          </w:p>
        </w:tc>
      </w:tr>
      <w:tr>
        <w:trPr>
          <w:trHeight w:val="320"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38"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399"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67,000.00</w:t>
            </w:r>
          </w:p>
        </w:tc>
        <w:tc>
          <w:tcPr>
            <w:tcW w:w="1268"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67,000.00</w:t>
            </w:r>
          </w:p>
        </w:tc>
      </w:tr>
      <w:tr>
        <w:trPr>
          <w:trHeight w:val="320"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38"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2399"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31,072.00</w:t>
            </w:r>
          </w:p>
        </w:tc>
        <w:tc>
          <w:tcPr>
            <w:tcW w:w="1268"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31,072.00</w:t>
            </w:r>
          </w:p>
        </w:tc>
      </w:tr>
      <w:tr>
        <w:trPr>
          <w:trHeight w:val="350"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45"/>
              <w:jc w:val="right"/>
              <w:rPr>
                <w:rFonts w:ascii="宋体" w:hAnsi="宋体" w:cs="宋体" w:eastAsia="宋体" w:hint="default"/>
                <w:sz w:val="18"/>
                <w:szCs w:val="18"/>
              </w:rPr>
            </w:pPr>
            <w:r>
              <w:rPr>
                <w:rFonts w:ascii="宋体" w:hAnsi="宋体" w:cs="宋体" w:eastAsia="宋体" w:hint="default"/>
                <w:sz w:val="18"/>
                <w:szCs w:val="18"/>
              </w:rPr>
              <w:t>合  计</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10,256,133.52</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44,903,072.00</w:t>
            </w:r>
          </w:p>
        </w:tc>
        <w:tc>
          <w:tcPr>
            <w:tcW w:w="1268" w:type="dxa"/>
            <w:tcBorders>
              <w:top w:val="nil" w:sz="6" w:space="0" w:color="auto"/>
              <w:left w:val="nil" w:sz="6" w:space="0" w:color="auto"/>
              <w:bottom w:val="nil" w:sz="6" w:space="0" w:color="auto"/>
              <w:right w:val="nil" w:sz="6" w:space="0" w:color="auto"/>
            </w:tcBorders>
          </w:tcPr>
          <w:p>
            <w:pP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55,159,205.52</w:t>
            </w:r>
          </w:p>
        </w:tc>
      </w:tr>
    </w:tbl>
    <w:p>
      <w:pPr>
        <w:pStyle w:val="BodyText"/>
        <w:spacing w:line="336" w:lineRule="auto" w:before="9"/>
        <w:ind w:left="214" w:right="171" w:firstLine="540"/>
        <w:jc w:val="left"/>
      </w:pPr>
      <w:r>
        <w:rPr/>
        <w:t>其中：无形资产年末数比年初数增加</w:t>
      </w:r>
      <w:r>
        <w:rPr>
          <w:spacing w:val="-47"/>
        </w:rPr>
        <w:t> </w:t>
      </w:r>
      <w:r>
        <w:rPr/>
        <w:t>44,903,072.00</w:t>
      </w:r>
      <w:r>
        <w:rPr>
          <w:spacing w:val="-47"/>
        </w:rPr>
        <w:t> </w:t>
      </w:r>
      <w:r>
        <w:rPr/>
        <w:t>元，增加比例为</w:t>
      </w:r>
      <w:r>
        <w:rPr>
          <w:spacing w:val="-47"/>
        </w:rPr>
        <w:t> </w:t>
      </w:r>
      <w:r>
        <w:rPr/>
        <w:t>437.82%，变动原</w:t>
      </w:r>
      <w:r>
        <w:rPr/>
        <w:t> 因为：本期取得实益达科技园土地使用权所致。</w:t>
      </w:r>
    </w:p>
    <w:p>
      <w:pPr>
        <w:pStyle w:val="BodyText"/>
        <w:spacing w:line="336" w:lineRule="auto"/>
        <w:ind w:left="754" w:right="2790"/>
        <w:jc w:val="left"/>
      </w:pPr>
      <w:r>
        <w:rPr/>
        <w:t>年末用于短期借款抵押的无形资产原价为</w:t>
      </w:r>
      <w:r>
        <w:rPr>
          <w:spacing w:val="-60"/>
        </w:rPr>
        <w:t> </w:t>
      </w:r>
      <w:r>
        <w:rPr/>
        <w:t>54,651,748.52</w:t>
      </w:r>
      <w:r>
        <w:rPr>
          <w:spacing w:val="-60"/>
        </w:rPr>
        <w:t> </w:t>
      </w:r>
      <w:r>
        <w:rPr/>
        <w:t>元。</w:t>
      </w:r>
      <w:r>
        <w:rPr/>
        <w:t> 2.累计摊销</w:t>
      </w:r>
    </w:p>
    <w:tbl>
      <w:tblPr>
        <w:tblW w:w="0" w:type="auto"/>
        <w:jc w:val="left"/>
        <w:tblInd w:w="257" w:type="dxa"/>
        <w:tblLayout w:type="fixed"/>
        <w:tblCellMar>
          <w:top w:w="0" w:type="dxa"/>
          <w:left w:w="0" w:type="dxa"/>
          <w:bottom w:w="0" w:type="dxa"/>
          <w:right w:w="0" w:type="dxa"/>
        </w:tblCellMar>
        <w:tblLook w:val="01E0"/>
      </w:tblPr>
      <w:tblGrid>
        <w:gridCol w:w="1217"/>
        <w:gridCol w:w="773"/>
        <w:gridCol w:w="802"/>
        <w:gridCol w:w="1117"/>
        <w:gridCol w:w="545"/>
        <w:gridCol w:w="1487"/>
        <w:gridCol w:w="1508"/>
        <w:gridCol w:w="1862"/>
      </w:tblGrid>
      <w:tr>
        <w:trPr>
          <w:trHeight w:val="730"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tabs>
                <w:tab w:pos="512" w:val="left" w:leader="none"/>
                <w:tab w:pos="1395" w:val="left" w:leader="none"/>
              </w:tabs>
              <w:spacing w:line="367" w:lineRule="auto" w:before="37"/>
              <w:ind w:left="65" w:right="575" w:hanging="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MFG/PRO</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1919" w:type="dxa"/>
            <w:gridSpan w:val="2"/>
            <w:tcBorders>
              <w:top w:val="nil" w:sz="6" w:space="0" w:color="auto"/>
              <w:left w:val="nil" w:sz="6" w:space="0" w:color="auto"/>
              <w:bottom w:val="nil" w:sz="6" w:space="0" w:color="auto"/>
              <w:right w:val="nil" w:sz="6" w:space="0" w:color="auto"/>
            </w:tcBorders>
          </w:tcPr>
          <w:p>
            <w:pPr>
              <w:pStyle w:val="TableParagraph"/>
              <w:tabs>
                <w:tab w:pos="847" w:val="left" w:leader="none"/>
                <w:tab w:pos="1747" w:val="left" w:leader="none"/>
              </w:tabs>
              <w:spacing w:line="367" w:lineRule="auto" w:before="37"/>
              <w:ind w:left="912" w:right="105" w:hanging="33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r>
              <w:rPr>
                <w:rFonts w:ascii="宋体" w:hAnsi="宋体" w:cs="宋体" w:eastAsia="宋体" w:hint="default"/>
                <w:sz w:val="18"/>
                <w:szCs w:val="18"/>
              </w:rPr>
              <w:t> 156,000.00</w:t>
            </w:r>
          </w:p>
        </w:tc>
        <w:tc>
          <w:tcPr>
            <w:tcW w:w="2033" w:type="dxa"/>
            <w:gridSpan w:val="2"/>
            <w:tcBorders>
              <w:top w:val="nil" w:sz="6" w:space="0" w:color="auto"/>
              <w:left w:val="nil" w:sz="6" w:space="0" w:color="auto"/>
              <w:bottom w:val="nil" w:sz="6" w:space="0" w:color="auto"/>
              <w:right w:val="nil" w:sz="6" w:space="0" w:color="auto"/>
            </w:tcBorders>
          </w:tcPr>
          <w:p>
            <w:pPr>
              <w:pStyle w:val="TableParagraph"/>
              <w:tabs>
                <w:tab w:pos="377" w:val="left" w:leader="none"/>
                <w:tab w:pos="1367" w:val="left" w:leader="none"/>
              </w:tabs>
              <w:spacing w:line="240" w:lineRule="auto" w:before="3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本年摊销</w:t>
              <w:tab/>
            </w:r>
            <w:r>
              <w:rPr>
                <w:rFonts w:ascii="宋体" w:hAnsi="宋体" w:cs="宋体" w:eastAsia="宋体" w:hint="default"/>
                <w:sz w:val="18"/>
                <w:szCs w:val="18"/>
              </w:rPr>
            </w:r>
          </w:p>
          <w:p>
            <w:pPr>
              <w:pStyle w:val="TableParagraph"/>
              <w:spacing w:line="240" w:lineRule="auto" w:before="124"/>
              <w:ind w:left="953" w:right="0"/>
              <w:jc w:val="left"/>
              <w:rPr>
                <w:rFonts w:ascii="宋体" w:hAnsi="宋体" w:cs="宋体" w:eastAsia="宋体" w:hint="default"/>
                <w:sz w:val="18"/>
                <w:szCs w:val="18"/>
              </w:rPr>
            </w:pPr>
            <w:r>
              <w:rPr>
                <w:rFonts w:ascii="宋体"/>
                <w:sz w:val="18"/>
              </w:rPr>
              <w:t>78,000.00</w:t>
            </w:r>
          </w:p>
        </w:tc>
        <w:tc>
          <w:tcPr>
            <w:tcW w:w="1508" w:type="dxa"/>
            <w:tcBorders>
              <w:top w:val="nil" w:sz="6" w:space="0" w:color="auto"/>
              <w:left w:val="nil" w:sz="6" w:space="0" w:color="auto"/>
              <w:bottom w:val="nil" w:sz="6" w:space="0" w:color="auto"/>
              <w:right w:val="nil" w:sz="6" w:space="0" w:color="auto"/>
            </w:tcBorders>
          </w:tcPr>
          <w:p>
            <w:pPr>
              <w:pStyle w:val="TableParagraph"/>
              <w:tabs>
                <w:tab w:pos="1134" w:val="left" w:leader="none"/>
              </w:tabs>
              <w:spacing w:line="240" w:lineRule="auto" w:before="37"/>
              <w:ind w:left="2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本年减少</w:t>
              <w:tab/>
            </w:r>
            <w:r>
              <w:rPr>
                <w:rFonts w:ascii="宋体" w:hAnsi="宋体" w:cs="宋体" w:eastAsia="宋体" w:hint="default"/>
                <w:sz w:val="18"/>
                <w:szCs w:val="18"/>
              </w:rPr>
            </w:r>
          </w:p>
        </w:tc>
        <w:tc>
          <w:tcPr>
            <w:tcW w:w="1862" w:type="dxa"/>
            <w:tcBorders>
              <w:top w:val="nil" w:sz="6" w:space="0" w:color="auto"/>
              <w:left w:val="nil" w:sz="6" w:space="0" w:color="auto"/>
              <w:bottom w:val="nil" w:sz="6" w:space="0" w:color="auto"/>
              <w:right w:val="nil" w:sz="6" w:space="0" w:color="auto"/>
            </w:tcBorders>
          </w:tcPr>
          <w:p>
            <w:pPr>
              <w:pStyle w:val="TableParagraph"/>
              <w:tabs>
                <w:tab w:pos="401" w:val="left" w:leader="none"/>
                <w:tab w:pos="1826" w:val="left" w:leader="none"/>
              </w:tabs>
              <w:spacing w:line="240" w:lineRule="auto" w:before="37"/>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pStyle w:val="TableParagraph"/>
              <w:spacing w:line="240" w:lineRule="auto" w:before="124"/>
              <w:ind w:left="927" w:right="0"/>
              <w:jc w:val="left"/>
              <w:rPr>
                <w:rFonts w:ascii="宋体" w:hAnsi="宋体" w:cs="宋体" w:eastAsia="宋体" w:hint="default"/>
                <w:sz w:val="18"/>
                <w:szCs w:val="18"/>
              </w:rPr>
            </w:pPr>
            <w:r>
              <w:rPr>
                <w:rFonts w:ascii="宋体"/>
                <w:sz w:val="18"/>
              </w:rPr>
              <w:t>234,000.00</w:t>
            </w:r>
          </w:p>
        </w:tc>
      </w:tr>
      <w:tr>
        <w:trPr>
          <w:trHeight w:val="360"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65" w:right="0"/>
              <w:jc w:val="left"/>
              <w:rPr>
                <w:rFonts w:ascii="宋体" w:hAnsi="宋体" w:cs="宋体" w:eastAsia="宋体" w:hint="default"/>
                <w:sz w:val="18"/>
                <w:szCs w:val="18"/>
              </w:rPr>
            </w:pPr>
            <w:r>
              <w:rPr>
                <w:rFonts w:ascii="宋体" w:hAnsi="宋体" w:cs="宋体" w:eastAsia="宋体" w:hint="default"/>
                <w:sz w:val="18"/>
                <w:szCs w:val="18"/>
              </w:rPr>
              <w:t>考勤系统</w:t>
            </w:r>
          </w:p>
        </w:tc>
        <w:tc>
          <w:tcPr>
            <w:tcW w:w="1919" w:type="dxa"/>
            <w:gridSpan w:val="2"/>
            <w:tcBorders>
              <w:top w:val="nil" w:sz="6" w:space="0" w:color="auto"/>
              <w:left w:val="nil" w:sz="6" w:space="0" w:color="auto"/>
              <w:bottom w:val="nil" w:sz="6" w:space="0" w:color="auto"/>
              <w:right w:val="nil" w:sz="6" w:space="0" w:color="auto"/>
            </w:tcBorders>
          </w:tcPr>
          <w:p>
            <w:pPr/>
          </w:p>
        </w:tc>
        <w:tc>
          <w:tcPr>
            <w:tcW w:w="20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43" w:right="0"/>
              <w:jc w:val="left"/>
              <w:rPr>
                <w:rFonts w:ascii="宋体" w:hAnsi="宋体" w:cs="宋体" w:eastAsia="宋体" w:hint="default"/>
                <w:sz w:val="18"/>
                <w:szCs w:val="18"/>
              </w:rPr>
            </w:pPr>
            <w:r>
              <w:rPr>
                <w:rFonts w:ascii="宋体"/>
                <w:sz w:val="18"/>
              </w:rPr>
              <w:t>4,200.05</w:t>
            </w:r>
          </w:p>
        </w:tc>
        <w:tc>
          <w:tcPr>
            <w:tcW w:w="15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4,200.05</w:t>
            </w:r>
          </w:p>
        </w:tc>
      </w:tr>
      <w:tr>
        <w:trPr>
          <w:trHeight w:val="360"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912" w:right="0"/>
              <w:jc w:val="left"/>
              <w:rPr>
                <w:rFonts w:ascii="宋体" w:hAnsi="宋体" w:cs="宋体" w:eastAsia="宋体" w:hint="default"/>
                <w:sz w:val="18"/>
                <w:szCs w:val="18"/>
              </w:rPr>
            </w:pPr>
            <w:r>
              <w:rPr>
                <w:rFonts w:ascii="宋体"/>
                <w:sz w:val="18"/>
              </w:rPr>
              <w:t>508,748.65</w:t>
            </w:r>
          </w:p>
        </w:tc>
        <w:tc>
          <w:tcPr>
            <w:tcW w:w="20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683" w:right="0"/>
              <w:jc w:val="left"/>
              <w:rPr>
                <w:rFonts w:ascii="宋体" w:hAnsi="宋体" w:cs="宋体" w:eastAsia="宋体" w:hint="default"/>
                <w:sz w:val="18"/>
                <w:szCs w:val="18"/>
              </w:rPr>
            </w:pPr>
            <w:r>
              <w:rPr>
                <w:rFonts w:ascii="宋体"/>
                <w:sz w:val="18"/>
              </w:rPr>
              <w:t>1,093,034.89</w:t>
            </w:r>
          </w:p>
        </w:tc>
        <w:tc>
          <w:tcPr>
            <w:tcW w:w="15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1,601,783.54</w:t>
            </w:r>
          </w:p>
        </w:tc>
      </w:tr>
      <w:tr>
        <w:trPr>
          <w:trHeight w:val="360"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589"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919" w:type="dxa"/>
            <w:gridSpan w:val="2"/>
            <w:tcBorders>
              <w:top w:val="nil" w:sz="6" w:space="0" w:color="auto"/>
              <w:left w:val="nil" w:sz="6" w:space="0" w:color="auto"/>
              <w:bottom w:val="nil" w:sz="6" w:space="0" w:color="auto"/>
              <w:right w:val="nil" w:sz="6" w:space="0" w:color="auto"/>
            </w:tcBorders>
          </w:tcPr>
          <w:p>
            <w:pPr/>
          </w:p>
        </w:tc>
        <w:tc>
          <w:tcPr>
            <w:tcW w:w="20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43" w:right="0"/>
              <w:jc w:val="left"/>
              <w:rPr>
                <w:rFonts w:ascii="宋体" w:hAnsi="宋体" w:cs="宋体" w:eastAsia="宋体" w:hint="default"/>
                <w:sz w:val="18"/>
                <w:szCs w:val="18"/>
              </w:rPr>
            </w:pPr>
            <w:r>
              <w:rPr>
                <w:rFonts w:ascii="宋体"/>
                <w:sz w:val="18"/>
              </w:rPr>
              <w:t>4,466.68</w:t>
            </w:r>
          </w:p>
        </w:tc>
        <w:tc>
          <w:tcPr>
            <w:tcW w:w="15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4,466.68</w:t>
            </w:r>
          </w:p>
        </w:tc>
      </w:tr>
      <w:tr>
        <w:trPr>
          <w:trHeight w:val="360"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589"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919" w:type="dxa"/>
            <w:gridSpan w:val="2"/>
            <w:tcBorders>
              <w:top w:val="nil" w:sz="6" w:space="0" w:color="auto"/>
              <w:left w:val="nil" w:sz="6" w:space="0" w:color="auto"/>
              <w:bottom w:val="nil" w:sz="6" w:space="0" w:color="auto"/>
              <w:right w:val="nil" w:sz="6" w:space="0" w:color="auto"/>
            </w:tcBorders>
          </w:tcPr>
          <w:p>
            <w:pPr/>
          </w:p>
        </w:tc>
        <w:tc>
          <w:tcPr>
            <w:tcW w:w="20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43" w:right="0"/>
              <w:jc w:val="left"/>
              <w:rPr>
                <w:rFonts w:ascii="宋体" w:hAnsi="宋体" w:cs="宋体" w:eastAsia="宋体" w:hint="default"/>
                <w:sz w:val="18"/>
                <w:szCs w:val="18"/>
              </w:rPr>
            </w:pPr>
            <w:r>
              <w:rPr>
                <w:rFonts w:ascii="宋体"/>
                <w:sz w:val="18"/>
              </w:rPr>
              <w:t>1,553.61</w:t>
            </w:r>
          </w:p>
        </w:tc>
        <w:tc>
          <w:tcPr>
            <w:tcW w:w="15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1,553.61</w:t>
            </w:r>
          </w:p>
        </w:tc>
      </w:tr>
      <w:tr>
        <w:trPr>
          <w:trHeight w:val="270" w:hRule="exact"/>
        </w:trPr>
        <w:tc>
          <w:tcPr>
            <w:tcW w:w="1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912" w:right="0"/>
              <w:jc w:val="left"/>
              <w:rPr>
                <w:rFonts w:ascii="宋体" w:hAnsi="宋体" w:cs="宋体" w:eastAsia="宋体" w:hint="default"/>
                <w:sz w:val="18"/>
                <w:szCs w:val="18"/>
              </w:rPr>
            </w:pPr>
            <w:r>
              <w:rPr>
                <w:rFonts w:ascii="宋体"/>
                <w:sz w:val="18"/>
              </w:rPr>
              <w:t>664,748.65</w:t>
            </w:r>
          </w:p>
        </w:tc>
        <w:tc>
          <w:tcPr>
            <w:tcW w:w="20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683" w:right="0"/>
              <w:jc w:val="left"/>
              <w:rPr>
                <w:rFonts w:ascii="宋体" w:hAnsi="宋体" w:cs="宋体" w:eastAsia="宋体" w:hint="default"/>
                <w:sz w:val="18"/>
                <w:szCs w:val="18"/>
              </w:rPr>
            </w:pPr>
            <w:r>
              <w:rPr>
                <w:rFonts w:ascii="宋体"/>
                <w:sz w:val="18"/>
              </w:rPr>
              <w:t>1,181,255.23</w:t>
            </w:r>
          </w:p>
        </w:tc>
        <w:tc>
          <w:tcPr>
            <w:tcW w:w="1508"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3"/>
              <w:jc w:val="right"/>
              <w:rPr>
                <w:rFonts w:ascii="宋体" w:hAnsi="宋体" w:cs="宋体" w:eastAsia="宋体" w:hint="default"/>
                <w:sz w:val="18"/>
                <w:szCs w:val="18"/>
              </w:rPr>
            </w:pPr>
            <w:r>
              <w:rPr>
                <w:rFonts w:ascii="宋体"/>
                <w:sz w:val="18"/>
              </w:rPr>
              <w:t>1,846,003.88</w:t>
            </w:r>
          </w:p>
        </w:tc>
      </w:tr>
      <w:tr>
        <w:trPr>
          <w:trHeight w:val="470" w:hRule="exact"/>
        </w:trPr>
        <w:tc>
          <w:tcPr>
            <w:tcW w:w="931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6"/>
              <w:ind w:left="497" w:right="0"/>
              <w:jc w:val="left"/>
              <w:rPr>
                <w:rFonts w:ascii="宋体" w:hAnsi="宋体" w:cs="宋体" w:eastAsia="宋体" w:hint="default"/>
                <w:sz w:val="24"/>
                <w:szCs w:val="24"/>
              </w:rPr>
            </w:pPr>
            <w:r>
              <w:rPr>
                <w:rFonts w:ascii="宋体" w:hAnsi="宋体" w:cs="宋体" w:eastAsia="宋体" w:hint="default"/>
                <w:sz w:val="24"/>
                <w:szCs w:val="24"/>
              </w:rPr>
              <w:t>3.无形资产账面价值</w:t>
            </w:r>
          </w:p>
        </w:tc>
      </w:tr>
      <w:tr>
        <w:trPr>
          <w:trHeight w:val="414" w:hRule="exact"/>
        </w:trPr>
        <w:tc>
          <w:tcPr>
            <w:tcW w:w="1217" w:type="dxa"/>
            <w:tcBorders>
              <w:top w:val="nil" w:sz="6" w:space="0" w:color="auto"/>
              <w:left w:val="nil" w:sz="6" w:space="0" w:color="auto"/>
              <w:bottom w:val="nil" w:sz="6" w:space="0" w:color="auto"/>
              <w:right w:val="nil" w:sz="6" w:space="0" w:color="auto"/>
            </w:tcBorders>
          </w:tcPr>
          <w:p>
            <w:pPr>
              <w:pStyle w:val="TableParagraph"/>
              <w:tabs>
                <w:tab w:pos="1108" w:val="left" w:leader="none"/>
              </w:tabs>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项目名称</w:t>
              <w:tab/>
            </w:r>
            <w:r>
              <w:rPr>
                <w:rFonts w:ascii="宋体" w:hAnsi="宋体" w:cs="宋体" w:eastAsia="宋体" w:hint="default"/>
                <w:sz w:val="18"/>
                <w:szCs w:val="18"/>
              </w:rPr>
            </w:r>
          </w:p>
        </w:tc>
        <w:tc>
          <w:tcPr>
            <w:tcW w:w="1575" w:type="dxa"/>
            <w:gridSpan w:val="2"/>
            <w:tcBorders>
              <w:top w:val="nil" w:sz="6" w:space="0" w:color="auto"/>
              <w:left w:val="nil" w:sz="6" w:space="0" w:color="auto"/>
              <w:bottom w:val="nil" w:sz="6" w:space="0" w:color="auto"/>
              <w:right w:val="nil" w:sz="6" w:space="0" w:color="auto"/>
            </w:tcBorders>
          </w:tcPr>
          <w:p>
            <w:pPr>
              <w:pStyle w:val="TableParagraph"/>
              <w:tabs>
                <w:tab w:pos="467" w:val="left" w:leader="none"/>
                <w:tab w:pos="1457" w:val="left" w:leader="none"/>
              </w:tabs>
              <w:spacing w:line="240" w:lineRule="auto" w:before="3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tc>
        <w:tc>
          <w:tcPr>
            <w:tcW w:w="1663" w:type="dxa"/>
            <w:gridSpan w:val="2"/>
            <w:tcBorders>
              <w:top w:val="nil" w:sz="6" w:space="0" w:color="auto"/>
              <w:left w:val="nil" w:sz="6" w:space="0" w:color="auto"/>
              <w:bottom w:val="nil" w:sz="6" w:space="0" w:color="auto"/>
              <w:right w:val="nil" w:sz="6" w:space="0" w:color="auto"/>
            </w:tcBorders>
          </w:tcPr>
          <w:p>
            <w:pPr>
              <w:pStyle w:val="TableParagraph"/>
              <w:tabs>
                <w:tab w:pos="378" w:val="left" w:leader="none"/>
                <w:tab w:pos="1368" w:val="left" w:leader="none"/>
              </w:tabs>
              <w:spacing w:line="240" w:lineRule="auto" w:before="3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本年增加</w:t>
              <w:tab/>
            </w:r>
            <w:r>
              <w:rPr>
                <w:rFonts w:ascii="宋体" w:hAnsi="宋体" w:cs="宋体" w:eastAsia="宋体" w:hint="default"/>
                <w:sz w:val="18"/>
                <w:szCs w:val="18"/>
              </w:rPr>
            </w:r>
          </w:p>
        </w:tc>
        <w:tc>
          <w:tcPr>
            <w:tcW w:w="1487" w:type="dxa"/>
            <w:tcBorders>
              <w:top w:val="nil" w:sz="6" w:space="0" w:color="auto"/>
              <w:left w:val="nil" w:sz="6" w:space="0" w:color="auto"/>
              <w:bottom w:val="nil" w:sz="6" w:space="0" w:color="auto"/>
              <w:right w:val="nil" w:sz="6" w:space="0" w:color="auto"/>
            </w:tcBorders>
          </w:tcPr>
          <w:p>
            <w:pPr>
              <w:pStyle w:val="TableParagraph"/>
              <w:tabs>
                <w:tab w:pos="1193" w:val="left" w:leader="none"/>
              </w:tabs>
              <w:spacing w:line="240" w:lineRule="auto" w:before="38"/>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本年减少</w:t>
              <w:tab/>
            </w:r>
            <w:r>
              <w:rPr>
                <w:rFonts w:ascii="宋体" w:hAnsi="宋体" w:cs="宋体" w:eastAsia="宋体" w:hint="default"/>
                <w:sz w:val="18"/>
                <w:szCs w:val="18"/>
              </w:rPr>
            </w:r>
          </w:p>
        </w:tc>
        <w:tc>
          <w:tcPr>
            <w:tcW w:w="1508" w:type="dxa"/>
            <w:tcBorders>
              <w:top w:val="nil" w:sz="6" w:space="0" w:color="auto"/>
              <w:left w:val="nil" w:sz="6" w:space="0" w:color="auto"/>
              <w:bottom w:val="nil" w:sz="6" w:space="0" w:color="auto"/>
              <w:right w:val="nil" w:sz="6" w:space="0" w:color="auto"/>
            </w:tcBorders>
          </w:tcPr>
          <w:p>
            <w:pPr>
              <w:pStyle w:val="TableParagraph"/>
              <w:tabs>
                <w:tab w:pos="449" w:val="left" w:leader="none"/>
                <w:tab w:pos="1349" w:val="left" w:leader="none"/>
              </w:tabs>
              <w:spacing w:line="240" w:lineRule="auto" w:before="38"/>
              <w:ind w:right="47"/>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剩余摊销期限</w:t>
            </w:r>
            <w:r>
              <w:rPr>
                <w:rFonts w:ascii="宋体" w:hAnsi="宋体" w:cs="宋体" w:eastAsia="宋体" w:hint="default"/>
                <w:sz w:val="18"/>
                <w:szCs w:val="18"/>
              </w:rPr>
            </w:r>
          </w:p>
        </w:tc>
      </w:tr>
      <w:tr>
        <w:trPr>
          <w:trHeight w:val="401"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7" w:right="0"/>
              <w:jc w:val="left"/>
              <w:rPr>
                <w:rFonts w:ascii="宋体" w:hAnsi="宋体" w:cs="宋体" w:eastAsia="宋体" w:hint="default"/>
                <w:sz w:val="18"/>
                <w:szCs w:val="18"/>
              </w:rPr>
            </w:pPr>
            <w:r>
              <w:rPr>
                <w:rFonts w:ascii="宋体" w:hAnsi="宋体" w:cs="宋体" w:eastAsia="宋体" w:hint="default"/>
                <w:sz w:val="18"/>
                <w:szCs w:val="18"/>
              </w:rPr>
              <w:t>MFG/PRO</w:t>
            </w:r>
            <w:r>
              <w:rPr>
                <w:rFonts w:ascii="宋体" w:hAnsi="宋体" w:cs="宋体" w:eastAsia="宋体" w:hint="default"/>
                <w:spacing w:val="-46"/>
                <w:sz w:val="18"/>
                <w:szCs w:val="18"/>
              </w:rPr>
              <w:t> </w:t>
            </w:r>
            <w:r>
              <w:rPr>
                <w:rFonts w:ascii="宋体" w:hAnsi="宋体" w:cs="宋体" w:eastAsia="宋体" w:hint="default"/>
                <w:sz w:val="18"/>
                <w:szCs w:val="18"/>
              </w:rPr>
              <w:t>系统</w:t>
            </w:r>
          </w:p>
        </w:tc>
        <w:tc>
          <w:tcPr>
            <w:tcW w:w="1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566" w:right="0"/>
              <w:jc w:val="left"/>
              <w:rPr>
                <w:rFonts w:ascii="宋体" w:hAnsi="宋体" w:cs="宋体" w:eastAsia="宋体" w:hint="default"/>
                <w:sz w:val="18"/>
                <w:szCs w:val="18"/>
              </w:rPr>
            </w:pPr>
            <w:r>
              <w:rPr>
                <w:rFonts w:ascii="宋体"/>
                <w:sz w:val="18"/>
              </w:rPr>
              <w:t>234,000.00</w:t>
            </w:r>
          </w:p>
        </w:tc>
        <w:tc>
          <w:tcPr>
            <w:tcW w:w="1663" w:type="dxa"/>
            <w:gridSpan w:val="2"/>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宋体" w:hAnsi="宋体" w:cs="宋体" w:eastAsia="宋体" w:hint="default"/>
                <w:sz w:val="18"/>
                <w:szCs w:val="18"/>
              </w:rPr>
            </w:pPr>
            <w:r>
              <w:rPr>
                <w:rFonts w:ascii="宋体"/>
                <w:sz w:val="18"/>
              </w:rPr>
              <w:t>78,000.00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
              <w:jc w:val="right"/>
              <w:rPr>
                <w:rFonts w:ascii="宋体" w:hAnsi="宋体" w:cs="宋体" w:eastAsia="宋体" w:hint="default"/>
                <w:sz w:val="18"/>
                <w:szCs w:val="18"/>
              </w:rPr>
            </w:pPr>
            <w:r>
              <w:rPr>
                <w:rFonts w:ascii="宋体"/>
                <w:sz w:val="18"/>
              </w:rPr>
              <w:t>156,000.00</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51"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90"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7" w:right="0"/>
              <w:jc w:val="left"/>
              <w:rPr>
                <w:rFonts w:ascii="宋体" w:hAnsi="宋体" w:cs="宋体" w:eastAsia="宋体" w:hint="default"/>
                <w:sz w:val="18"/>
                <w:szCs w:val="18"/>
              </w:rPr>
            </w:pPr>
            <w:r>
              <w:rPr>
                <w:rFonts w:ascii="宋体" w:hAnsi="宋体" w:cs="宋体" w:eastAsia="宋体" w:hint="default"/>
                <w:sz w:val="18"/>
                <w:szCs w:val="18"/>
              </w:rPr>
              <w:t>考勤系统</w:t>
            </w:r>
          </w:p>
        </w:tc>
        <w:tc>
          <w:tcPr>
            <w:tcW w:w="1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56" w:right="0"/>
              <w:jc w:val="left"/>
              <w:rPr>
                <w:rFonts w:ascii="宋体" w:hAnsi="宋体" w:cs="宋体" w:eastAsia="宋体" w:hint="default"/>
                <w:sz w:val="18"/>
                <w:szCs w:val="18"/>
              </w:rPr>
            </w:pPr>
            <w:r>
              <w:rPr>
                <w:rFonts w:ascii="宋体"/>
                <w:sz w:val="18"/>
              </w:rPr>
              <w:t>19,385.00</w:t>
            </w:r>
          </w:p>
        </w:tc>
        <w:tc>
          <w:tcPr>
            <w:tcW w:w="1663" w:type="dxa"/>
            <w:gridSpan w:val="2"/>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宋体" w:hAnsi="宋体" w:cs="宋体" w:eastAsia="宋体" w:hint="default"/>
                <w:sz w:val="18"/>
                <w:szCs w:val="18"/>
              </w:rPr>
            </w:pPr>
            <w:r>
              <w:rPr>
                <w:rFonts w:ascii="宋体"/>
                <w:sz w:val="18"/>
              </w:rPr>
              <w:t>4,200.05</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9"/>
              <w:jc w:val="right"/>
              <w:rPr>
                <w:rFonts w:ascii="宋体" w:hAnsi="宋体" w:cs="宋体" w:eastAsia="宋体" w:hint="default"/>
                <w:sz w:val="18"/>
                <w:szCs w:val="18"/>
              </w:rPr>
            </w:pPr>
            <w:r>
              <w:rPr>
                <w:rFonts w:ascii="宋体"/>
                <w:sz w:val="18"/>
              </w:rPr>
              <w:t>15,184.95</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63" w:right="0"/>
              <w:jc w:val="left"/>
              <w:rPr>
                <w:rFonts w:ascii="宋体" w:hAnsi="宋体" w:cs="宋体" w:eastAsia="宋体" w:hint="default"/>
                <w:sz w:val="18"/>
                <w:szCs w:val="18"/>
              </w:rPr>
            </w:pPr>
            <w:r>
              <w:rPr>
                <w:rFonts w:ascii="宋体" w:hAnsi="宋体" w:cs="宋体" w:eastAsia="宋体" w:hint="default"/>
                <w:sz w:val="18"/>
                <w:szCs w:val="18"/>
              </w:rPr>
              <w:t>3.92</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type w:val="continuous"/>
          <w:pgSz w:w="11910" w:h="16840"/>
          <w:pgMar w:top="980" w:bottom="1520" w:left="920" w:right="9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314"/>
        <w:gridCol w:w="1662"/>
        <w:gridCol w:w="1620"/>
        <w:gridCol w:w="1530"/>
        <w:gridCol w:w="1685"/>
        <w:gridCol w:w="1292"/>
      </w:tblGrid>
      <w:tr>
        <w:trPr>
          <w:trHeight w:val="39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0"/>
              <w:jc w:val="right"/>
              <w:rPr>
                <w:rFonts w:ascii="宋体" w:hAnsi="宋体" w:cs="宋体" w:eastAsia="宋体" w:hint="default"/>
                <w:sz w:val="18"/>
                <w:szCs w:val="18"/>
              </w:rPr>
            </w:pPr>
            <w:r>
              <w:rPr>
                <w:rFonts w:ascii="宋体"/>
                <w:sz w:val="18"/>
              </w:rPr>
              <w:t>9,337,999.87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5"/>
              <w:jc w:val="right"/>
              <w:rPr>
                <w:rFonts w:ascii="宋体" w:hAnsi="宋体" w:cs="宋体" w:eastAsia="宋体" w:hint="default"/>
                <w:sz w:val="18"/>
                <w:szCs w:val="18"/>
              </w:rPr>
            </w:pPr>
            <w:r>
              <w:rPr>
                <w:rFonts w:ascii="宋体"/>
                <w:sz w:val="18"/>
              </w:rPr>
              <w:t>44,805,000.00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0"/>
              <w:jc w:val="right"/>
              <w:rPr>
                <w:rFonts w:ascii="宋体" w:hAnsi="宋体" w:cs="宋体" w:eastAsia="宋体" w:hint="default"/>
                <w:sz w:val="18"/>
                <w:szCs w:val="18"/>
              </w:rPr>
            </w:pPr>
            <w:r>
              <w:rPr>
                <w:rFonts w:ascii="宋体"/>
                <w:sz w:val="18"/>
              </w:rPr>
              <w:t>1,093,034.89</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0"/>
              <w:jc w:val="right"/>
              <w:rPr>
                <w:rFonts w:ascii="宋体" w:hAnsi="宋体" w:cs="宋体" w:eastAsia="宋体" w:hint="default"/>
                <w:sz w:val="18"/>
                <w:szCs w:val="18"/>
              </w:rPr>
            </w:pPr>
            <w:r>
              <w:rPr>
                <w:rFonts w:ascii="宋体"/>
                <w:sz w:val="18"/>
              </w:rPr>
              <w:t>53,049,964.98</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7" w:right="0"/>
              <w:jc w:val="center"/>
              <w:rPr>
                <w:rFonts w:ascii="宋体" w:hAnsi="宋体" w:cs="宋体" w:eastAsia="宋体" w:hint="default"/>
                <w:sz w:val="18"/>
                <w:szCs w:val="18"/>
              </w:rPr>
            </w:pPr>
            <w:r>
              <w:rPr>
                <w:rFonts w:ascii="宋体" w:hAnsi="宋体" w:cs="宋体" w:eastAsia="宋体" w:hint="default"/>
                <w:sz w:val="18"/>
                <w:szCs w:val="18"/>
              </w:rPr>
              <w:t>46.70-49</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66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5"/>
              <w:jc w:val="right"/>
              <w:rPr>
                <w:rFonts w:ascii="宋体" w:hAnsi="宋体" w:cs="宋体" w:eastAsia="宋体" w:hint="default"/>
                <w:sz w:val="18"/>
                <w:szCs w:val="18"/>
              </w:rPr>
            </w:pPr>
            <w:r>
              <w:rPr>
                <w:rFonts w:ascii="宋体"/>
                <w:sz w:val="18"/>
              </w:rPr>
              <w:t>67,000.00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0"/>
              <w:jc w:val="right"/>
              <w:rPr>
                <w:rFonts w:ascii="宋体" w:hAnsi="宋体" w:cs="宋体" w:eastAsia="宋体" w:hint="default"/>
                <w:sz w:val="18"/>
                <w:szCs w:val="18"/>
              </w:rPr>
            </w:pPr>
            <w:r>
              <w:rPr>
                <w:rFonts w:ascii="宋体"/>
                <w:sz w:val="18"/>
              </w:rPr>
              <w:t>4,466.68</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宋体" w:hAnsi="宋体" w:cs="宋体" w:eastAsia="宋体" w:hint="default"/>
                <w:sz w:val="18"/>
                <w:szCs w:val="18"/>
              </w:rPr>
            </w:pPr>
            <w:r>
              <w:rPr>
                <w:rFonts w:ascii="宋体"/>
                <w:sz w:val="18"/>
              </w:rPr>
              <w:t>62,533.32</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92" w:right="0"/>
              <w:jc w:val="left"/>
              <w:rPr>
                <w:rFonts w:ascii="宋体" w:hAnsi="宋体" w:cs="宋体" w:eastAsia="宋体" w:hint="default"/>
                <w:sz w:val="18"/>
                <w:szCs w:val="18"/>
              </w:rPr>
            </w:pPr>
            <w:r>
              <w:rPr>
                <w:rFonts w:ascii="宋体" w:hAnsi="宋体" w:cs="宋体" w:eastAsia="宋体" w:hint="default"/>
                <w:sz w:val="18"/>
                <w:szCs w:val="18"/>
              </w:rPr>
              <w:t>4.67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0"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66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5"/>
              <w:jc w:val="right"/>
              <w:rPr>
                <w:rFonts w:ascii="宋体" w:hAnsi="宋体" w:cs="宋体" w:eastAsia="宋体" w:hint="default"/>
                <w:sz w:val="18"/>
                <w:szCs w:val="18"/>
              </w:rPr>
            </w:pPr>
            <w:r>
              <w:rPr>
                <w:rFonts w:ascii="宋体"/>
                <w:sz w:val="18"/>
              </w:rPr>
              <w:t>31,072.00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0"/>
              <w:jc w:val="right"/>
              <w:rPr>
                <w:rFonts w:ascii="宋体" w:hAnsi="宋体" w:cs="宋体" w:eastAsia="宋体" w:hint="default"/>
                <w:sz w:val="18"/>
                <w:szCs w:val="18"/>
              </w:rPr>
            </w:pPr>
            <w:r>
              <w:rPr>
                <w:rFonts w:ascii="宋体"/>
                <w:sz w:val="18"/>
              </w:rPr>
              <w:t>1,553.61</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宋体" w:hAnsi="宋体" w:cs="宋体" w:eastAsia="宋体" w:hint="default"/>
                <w:sz w:val="18"/>
                <w:szCs w:val="18"/>
              </w:rPr>
            </w:pPr>
            <w:r>
              <w:rPr>
                <w:rFonts w:ascii="宋体"/>
                <w:sz w:val="18"/>
              </w:rPr>
              <w:t>29,518.39</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92" w:right="0"/>
              <w:jc w:val="left"/>
              <w:rPr>
                <w:rFonts w:ascii="宋体" w:hAnsi="宋体" w:cs="宋体" w:eastAsia="宋体" w:hint="default"/>
                <w:sz w:val="18"/>
                <w:szCs w:val="18"/>
              </w:rPr>
            </w:pPr>
            <w:r>
              <w:rPr>
                <w:rFonts w:ascii="宋体" w:hAnsi="宋体" w:cs="宋体" w:eastAsia="宋体" w:hint="default"/>
                <w:sz w:val="18"/>
                <w:szCs w:val="18"/>
              </w:rPr>
              <w:t>4.75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85" w:hRule="exact"/>
        </w:trPr>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0"/>
              <w:jc w:val="right"/>
              <w:rPr>
                <w:rFonts w:ascii="宋体" w:hAnsi="宋体" w:cs="宋体" w:eastAsia="宋体" w:hint="default"/>
                <w:sz w:val="18"/>
                <w:szCs w:val="18"/>
              </w:rPr>
            </w:pPr>
            <w:r>
              <w:rPr>
                <w:rFonts w:ascii="宋体"/>
                <w:sz w:val="18"/>
              </w:rPr>
              <w:t>9,591,384.87</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5"/>
              <w:jc w:val="right"/>
              <w:rPr>
                <w:rFonts w:ascii="宋体" w:hAnsi="宋体" w:cs="宋体" w:eastAsia="宋体" w:hint="default"/>
                <w:sz w:val="18"/>
                <w:szCs w:val="18"/>
              </w:rPr>
            </w:pPr>
            <w:r>
              <w:rPr>
                <w:rFonts w:ascii="宋体"/>
                <w:sz w:val="18"/>
              </w:rPr>
              <w:t>44,903,072.00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0"/>
              <w:jc w:val="right"/>
              <w:rPr>
                <w:rFonts w:ascii="宋体" w:hAnsi="宋体" w:cs="宋体" w:eastAsia="宋体" w:hint="default"/>
                <w:sz w:val="18"/>
                <w:szCs w:val="18"/>
              </w:rPr>
            </w:pPr>
            <w:r>
              <w:rPr>
                <w:rFonts w:ascii="宋体"/>
                <w:sz w:val="18"/>
              </w:rPr>
              <w:t>1,181,255.23</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宋体" w:hAnsi="宋体" w:cs="宋体" w:eastAsia="宋体" w:hint="default"/>
                <w:sz w:val="18"/>
                <w:szCs w:val="18"/>
              </w:rPr>
            </w:pPr>
            <w:r>
              <w:rPr>
                <w:rFonts w:ascii="宋体"/>
                <w:sz w:val="18"/>
              </w:rPr>
              <w:t>53,313,201.64</w:t>
            </w:r>
          </w:p>
        </w:tc>
        <w:tc>
          <w:tcPr>
            <w:tcW w:w="1292" w:type="dxa"/>
            <w:tcBorders>
              <w:top w:val="nil" w:sz="6" w:space="0" w:color="auto"/>
              <w:left w:val="nil" w:sz="6" w:space="0" w:color="auto"/>
              <w:bottom w:val="nil" w:sz="6" w:space="0" w:color="auto"/>
              <w:right w:val="nil" w:sz="6" w:space="0" w:color="auto"/>
            </w:tcBorders>
          </w:tcPr>
          <w:p>
            <w:pPr/>
          </w:p>
        </w:tc>
      </w:tr>
    </w:tbl>
    <w:p>
      <w:pPr>
        <w:pStyle w:val="BodyText"/>
        <w:spacing w:line="280" w:lineRule="exact" w:before="0"/>
        <w:ind w:left="694" w:right="0"/>
        <w:jc w:val="left"/>
      </w:pPr>
      <w:r>
        <w:rPr/>
        <w:t>(十一)长期待摊费用</w:t>
      </w:r>
    </w:p>
    <w:p>
      <w:pPr>
        <w:tabs>
          <w:tab w:pos="543" w:val="left" w:leader="none"/>
          <w:tab w:pos="1280" w:val="left" w:leader="none"/>
          <w:tab w:pos="1536" w:val="left" w:leader="none"/>
          <w:tab w:pos="2563" w:val="left" w:leader="none"/>
          <w:tab w:pos="2810" w:val="left" w:leader="none"/>
          <w:tab w:pos="6143" w:val="left" w:leader="none"/>
          <w:tab w:pos="7315" w:val="left" w:leader="none"/>
          <w:tab w:pos="8058" w:val="left" w:leader="none"/>
          <w:tab w:pos="8289" w:val="left" w:leader="none"/>
        </w:tabs>
        <w:spacing w:line="343" w:lineRule="auto" w:before="148"/>
        <w:ind w:left="267" w:right="589" w:hanging="34"/>
        <w:jc w:val="left"/>
        <w:rPr>
          <w:rFonts w:ascii="宋体" w:hAnsi="宋体" w:cs="宋体" w:eastAsia="宋体" w:hint="default"/>
          <w:sz w:val="18"/>
          <w:szCs w:val="18"/>
        </w:rPr>
      </w:pPr>
      <w:r>
        <w:rPr/>
        <w:pict>
          <v:shape style="position:absolute;margin-left:60.3512pt;margin-top:34.956749pt;width:458.1pt;height:105.6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8"/>
                    <w:gridCol w:w="1198"/>
                    <w:gridCol w:w="1070"/>
                    <w:gridCol w:w="1129"/>
                    <w:gridCol w:w="1172"/>
                    <w:gridCol w:w="1163"/>
                    <w:gridCol w:w="1067"/>
                    <w:gridCol w:w="1295"/>
                  </w:tblGrid>
                  <w:tr>
                    <w:trPr>
                      <w:trHeight w:val="180" w:hRule="exact"/>
                    </w:trPr>
                    <w:tc>
                      <w:tcPr>
                        <w:tcW w:w="226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389" w:right="0"/>
                          <w:jc w:val="left"/>
                          <w:rPr>
                            <w:rFonts w:ascii="宋体" w:hAnsi="宋体" w:cs="宋体" w:eastAsia="宋体" w:hint="default"/>
                            <w:sz w:val="18"/>
                            <w:szCs w:val="18"/>
                          </w:rPr>
                        </w:pPr>
                        <w:r>
                          <w:rPr>
                            <w:rFonts w:ascii="宋体"/>
                            <w:spacing w:val="-15"/>
                            <w:sz w:val="18"/>
                          </w:rPr>
                          <w:t>426,737.85</w:t>
                        </w:r>
                        <w:r>
                          <w:rPr>
                            <w:rFonts w:ascii="宋体"/>
                            <w:sz w:val="18"/>
                          </w:rPr>
                        </w:r>
                      </w:p>
                    </w:tc>
                    <w:tc>
                      <w:tcPr>
                        <w:tcW w:w="1070" w:type="dxa"/>
                        <w:tcBorders>
                          <w:top w:val="nil" w:sz="6" w:space="0" w:color="auto"/>
                          <w:left w:val="nil" w:sz="6" w:space="0" w:color="auto"/>
                          <w:bottom w:val="nil" w:sz="6" w:space="0" w:color="auto"/>
                          <w:right w:val="nil" w:sz="6" w:space="0" w:color="auto"/>
                        </w:tcBorders>
                      </w:tcPr>
                      <w:p>
                        <w:pPr>
                          <w:pStyle w:val="TableParagraph"/>
                          <w:spacing w:line="180" w:lineRule="exact"/>
                          <w:ind w:right="79"/>
                          <w:jc w:val="right"/>
                          <w:rPr>
                            <w:rFonts w:ascii="宋体" w:hAnsi="宋体" w:cs="宋体" w:eastAsia="宋体" w:hint="default"/>
                            <w:sz w:val="18"/>
                            <w:szCs w:val="18"/>
                          </w:rPr>
                        </w:pPr>
                        <w:r>
                          <w:rPr>
                            <w:rFonts w:ascii="宋体"/>
                            <w:spacing w:val="-15"/>
                            <w:sz w:val="18"/>
                          </w:rPr>
                          <w:t>325,588.23</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pacing w:val="-15"/>
                            <w:sz w:val="18"/>
                          </w:rPr>
                          <w:t>325,588.23</w:t>
                        </w:r>
                        <w:r>
                          <w:rPr>
                            <w:rFonts w:ascii="宋体"/>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宋体" w:hAnsi="宋体" w:cs="宋体" w:eastAsia="宋体" w:hint="default"/>
                            <w:sz w:val="18"/>
                            <w:szCs w:val="18"/>
                          </w:rPr>
                        </w:pPr>
                        <w:r>
                          <w:rPr>
                            <w:rFonts w:ascii="宋体"/>
                            <w:spacing w:val="-15"/>
                            <w:sz w:val="18"/>
                          </w:rPr>
                          <w:t>426,737.85</w:t>
                        </w:r>
                        <w:r>
                          <w:rPr>
                            <w:rFonts w:ascii="宋体"/>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5"/>
                            <w:sz w:val="18"/>
                          </w:rPr>
                          <w:t>0.00</w:t>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
                    </w:tc>
                  </w:tr>
                  <w:tr>
                    <w:trPr>
                      <w:trHeight w:val="470" w:hRule="exact"/>
                    </w:trPr>
                    <w:tc>
                      <w:tcPr>
                        <w:tcW w:w="9161" w:type="dxa"/>
                        <w:gridSpan w:val="8"/>
                        <w:tcBorders>
                          <w:top w:val="nil" w:sz="6" w:space="0" w:color="auto"/>
                          <w:left w:val="nil" w:sz="6" w:space="0" w:color="auto"/>
                          <w:bottom w:val="nil" w:sz="6" w:space="0" w:color="auto"/>
                          <w:right w:val="nil" w:sz="6" w:space="0" w:color="auto"/>
                        </w:tcBorders>
                      </w:tcPr>
                      <w:p>
                        <w:pPr>
                          <w:pStyle w:val="TableParagraph"/>
                          <w:spacing w:line="160" w:lineRule="exact"/>
                          <w:ind w:left="34" w:right="0"/>
                          <w:jc w:val="left"/>
                          <w:rPr>
                            <w:rFonts w:ascii="宋体" w:hAnsi="宋体" w:cs="宋体" w:eastAsia="宋体" w:hint="default"/>
                            <w:sz w:val="18"/>
                            <w:szCs w:val="18"/>
                          </w:rPr>
                        </w:pPr>
                        <w:r>
                          <w:rPr>
                            <w:rFonts w:ascii="宋体" w:hAnsi="宋体" w:cs="宋体" w:eastAsia="宋体" w:hint="default"/>
                            <w:spacing w:val="-29"/>
                            <w:sz w:val="18"/>
                            <w:szCs w:val="18"/>
                          </w:rPr>
                          <w:t>赁厂房装修费</w:t>
                        </w:r>
                        <w:r>
                          <w:rPr>
                            <w:rFonts w:ascii="宋体" w:hAnsi="宋体" w:cs="宋体" w:eastAsia="宋体" w:hint="default"/>
                            <w:sz w:val="18"/>
                            <w:szCs w:val="18"/>
                          </w:rPr>
                        </w:r>
                      </w:p>
                      <w:p>
                        <w:pPr>
                          <w:pStyle w:val="TableParagraph"/>
                          <w:tabs>
                            <w:tab w:pos="1336" w:val="left" w:leader="none"/>
                            <w:tab w:pos="8144" w:val="left" w:leader="none"/>
                          </w:tabs>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2"/>
                            <w:sz w:val="18"/>
                            <w:szCs w:val="18"/>
                          </w:rPr>
                          <w:t>深圳实益达厂</w:t>
                          <w:tab/>
                        </w:r>
                        <w:r>
                          <w:rPr>
                            <w:rFonts w:ascii="宋体" w:hAnsi="宋体" w:cs="宋体" w:eastAsia="宋体" w:hint="default"/>
                            <w:spacing w:val="-14"/>
                            <w:sz w:val="18"/>
                            <w:szCs w:val="18"/>
                          </w:rPr>
                          <w:t>3,011,361.9</w:t>
                          <w:tab/>
                          <w:t>3.83-4.83</w:t>
                        </w:r>
                        <w:r>
                          <w:rPr>
                            <w:rFonts w:ascii="宋体" w:hAnsi="宋体" w:cs="宋体" w:eastAsia="宋体" w:hint="default"/>
                            <w:spacing w:val="-58"/>
                            <w:sz w:val="18"/>
                            <w:szCs w:val="18"/>
                          </w:rPr>
                          <w:t> </w:t>
                        </w:r>
                        <w:r>
                          <w:rPr>
                            <w:rFonts w:ascii="宋体" w:hAnsi="宋体" w:cs="宋体" w:eastAsia="宋体" w:hint="default"/>
                            <w:sz w:val="18"/>
                            <w:szCs w:val="18"/>
                          </w:rPr>
                          <w:t>年</w:t>
                        </w:r>
                      </w:p>
                    </w:tc>
                  </w:tr>
                  <w:tr>
                    <w:trPr>
                      <w:trHeight w:val="160" w:hRule="exact"/>
                    </w:trPr>
                    <w:tc>
                      <w:tcPr>
                        <w:tcW w:w="106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180" w:lineRule="exact"/>
                          <w:ind w:right="79"/>
                          <w:jc w:val="right"/>
                          <w:rPr>
                            <w:rFonts w:ascii="宋体" w:hAnsi="宋体" w:cs="宋体" w:eastAsia="宋体" w:hint="default"/>
                            <w:sz w:val="18"/>
                            <w:szCs w:val="18"/>
                          </w:rPr>
                        </w:pPr>
                        <w:r>
                          <w:rPr>
                            <w:rFonts w:ascii="宋体"/>
                            <w:spacing w:val="-15"/>
                            <w:sz w:val="18"/>
                          </w:rPr>
                          <w:t>2,286,002.12</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pacing w:val="-15"/>
                            <w:sz w:val="18"/>
                          </w:rPr>
                          <w:t>682,594.00</w:t>
                        </w:r>
                        <w:r>
                          <w:rPr>
                            <w:rFonts w:ascii="宋体"/>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pacing w:val="-15"/>
                            <w:sz w:val="18"/>
                          </w:rPr>
                          <w:t>523,289.61</w:t>
                        </w:r>
                        <w:r>
                          <w:rPr>
                            <w:rFonts w:ascii="宋体"/>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宋体" w:hAnsi="宋体" w:cs="宋体" w:eastAsia="宋体" w:hint="default"/>
                            <w:sz w:val="18"/>
                            <w:szCs w:val="18"/>
                          </w:rPr>
                        </w:pPr>
                        <w:r>
                          <w:rPr>
                            <w:rFonts w:ascii="宋体"/>
                            <w:spacing w:val="-15"/>
                            <w:sz w:val="18"/>
                          </w:rPr>
                          <w:t>566,055.43</w:t>
                        </w:r>
                        <w:r>
                          <w:rPr>
                            <w:rFonts w:ascii="宋体"/>
                            <w:sz w:val="18"/>
                          </w:rPr>
                        </w:r>
                      </w:p>
                    </w:tc>
                    <w:tc>
                      <w:tcPr>
                        <w:tcW w:w="236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21" w:right="0"/>
                          <w:jc w:val="left"/>
                          <w:rPr>
                            <w:rFonts w:ascii="宋体" w:hAnsi="宋体" w:cs="宋体" w:eastAsia="宋体" w:hint="default"/>
                            <w:sz w:val="18"/>
                            <w:szCs w:val="18"/>
                          </w:rPr>
                        </w:pPr>
                        <w:r>
                          <w:rPr>
                            <w:rFonts w:ascii="宋体"/>
                            <w:spacing w:val="-15"/>
                            <w:sz w:val="18"/>
                          </w:rPr>
                          <w:t>2,445,306.51</w:t>
                        </w:r>
                        <w:r>
                          <w:rPr>
                            <w:rFonts w:ascii="宋体"/>
                            <w:sz w:val="18"/>
                          </w:rPr>
                        </w:r>
                      </w:p>
                    </w:tc>
                  </w:tr>
                  <w:tr>
                    <w:trPr>
                      <w:trHeight w:val="240"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170" w:lineRule="exact"/>
                          <w:ind w:left="35" w:right="0"/>
                          <w:jc w:val="left"/>
                          <w:rPr>
                            <w:rFonts w:ascii="宋体" w:hAnsi="宋体" w:cs="宋体" w:eastAsia="宋体" w:hint="default"/>
                            <w:sz w:val="18"/>
                            <w:szCs w:val="18"/>
                          </w:rPr>
                        </w:pPr>
                        <w:r>
                          <w:rPr>
                            <w:rFonts w:ascii="宋体" w:hAnsi="宋体" w:cs="宋体" w:eastAsia="宋体" w:hint="default"/>
                            <w:spacing w:val="-29"/>
                            <w:sz w:val="18"/>
                            <w:szCs w:val="18"/>
                          </w:rPr>
                          <w:t>房装修费</w:t>
                        </w:r>
                        <w:r>
                          <w:rPr>
                            <w:rFonts w:ascii="宋体" w:hAnsi="宋体" w:cs="宋体" w:eastAsia="宋体" w:hint="default"/>
                            <w:sz w:val="18"/>
                            <w:szCs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170" w:lineRule="exact"/>
                          <w:ind w:right="75"/>
                          <w:jc w:val="right"/>
                          <w:rPr>
                            <w:rFonts w:ascii="宋体" w:hAnsi="宋体" w:cs="宋体" w:eastAsia="宋体" w:hint="default"/>
                            <w:sz w:val="18"/>
                            <w:szCs w:val="18"/>
                          </w:rPr>
                        </w:pPr>
                        <w:r>
                          <w:rPr>
                            <w:rFonts w:ascii="宋体"/>
                            <w:sz w:val="18"/>
                          </w:rPr>
                          <w:t>4</w:t>
                        </w:r>
                      </w:p>
                    </w:tc>
                    <w:tc>
                      <w:tcPr>
                        <w:tcW w:w="107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2362" w:type="dxa"/>
                        <w:gridSpan w:val="2"/>
                        <w:tcBorders>
                          <w:top w:val="nil" w:sz="6" w:space="0" w:color="auto"/>
                          <w:left w:val="nil" w:sz="6" w:space="0" w:color="auto"/>
                          <w:bottom w:val="nil" w:sz="6" w:space="0" w:color="auto"/>
                          <w:right w:val="nil" w:sz="6" w:space="0" w:color="auto"/>
                        </w:tcBorders>
                      </w:tcPr>
                      <w:p>
                        <w:pPr/>
                      </w:p>
                    </w:tc>
                  </w:tr>
                  <w:tr>
                    <w:trPr>
                      <w:trHeight w:val="336"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pacing w:val="-22"/>
                            <w:sz w:val="18"/>
                            <w:szCs w:val="18"/>
                          </w:rPr>
                          <w:t>上市费用</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宋体" w:hAnsi="宋体" w:cs="宋体" w:eastAsia="宋体" w:hint="default"/>
                            <w:sz w:val="18"/>
                            <w:szCs w:val="18"/>
                          </w:rPr>
                        </w:pPr>
                        <w:r>
                          <w:rPr>
                            <w:rFonts w:ascii="宋体"/>
                            <w:spacing w:val="-15"/>
                            <w:sz w:val="18"/>
                          </w:rPr>
                          <w:t>818,000.00</w:t>
                        </w:r>
                        <w:r>
                          <w:rPr>
                            <w:rFonts w:ascii="宋体"/>
                            <w:sz w:val="18"/>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9"/>
                          <w:jc w:val="right"/>
                          <w:rPr>
                            <w:rFonts w:ascii="宋体" w:hAnsi="宋体" w:cs="宋体" w:eastAsia="宋体" w:hint="default"/>
                            <w:sz w:val="18"/>
                            <w:szCs w:val="18"/>
                          </w:rPr>
                        </w:pPr>
                        <w:r>
                          <w:rPr>
                            <w:rFonts w:ascii="宋体"/>
                            <w:spacing w:val="-15"/>
                            <w:sz w:val="18"/>
                          </w:rPr>
                          <w:t>818,000.00</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8"/>
                          <w:jc w:val="right"/>
                          <w:rPr>
                            <w:rFonts w:ascii="宋体" w:hAnsi="宋体" w:cs="宋体" w:eastAsia="宋体" w:hint="default"/>
                            <w:sz w:val="18"/>
                            <w:szCs w:val="18"/>
                          </w:rPr>
                        </w:pPr>
                        <w:r>
                          <w:rPr>
                            <w:rFonts w:ascii="宋体"/>
                            <w:spacing w:val="-15"/>
                            <w:sz w:val="18"/>
                          </w:rPr>
                          <w:t>818,000.00</w:t>
                        </w:r>
                        <w:r>
                          <w:rPr>
                            <w:rFonts w:ascii="宋体"/>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宋体"/>
                            <w:spacing w:val="-15"/>
                            <w:sz w:val="18"/>
                          </w:rPr>
                          <w:t>818,000.00</w:t>
                        </w:r>
                        <w:r>
                          <w:rPr>
                            <w:rFonts w:ascii="宋体"/>
                            <w:sz w:val="18"/>
                          </w:rPr>
                        </w:r>
                      </w:p>
                    </w:tc>
                    <w:tc>
                      <w:tcPr>
                        <w:tcW w:w="23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729" w:right="0"/>
                          <w:jc w:val="left"/>
                          <w:rPr>
                            <w:rFonts w:ascii="宋体" w:hAnsi="宋体" w:cs="宋体" w:eastAsia="宋体" w:hint="default"/>
                            <w:sz w:val="18"/>
                            <w:szCs w:val="18"/>
                          </w:rPr>
                        </w:pPr>
                        <w:r>
                          <w:rPr>
                            <w:rFonts w:ascii="宋体"/>
                            <w:spacing w:val="-15"/>
                            <w:sz w:val="18"/>
                          </w:rPr>
                          <w:t>0.00</w:t>
                        </w:r>
                        <w:r>
                          <w:rPr>
                            <w:rFonts w:ascii="宋体"/>
                            <w:sz w:val="18"/>
                          </w:rPr>
                        </w:r>
                      </w:p>
                    </w:tc>
                  </w:tr>
                  <w:tr>
                    <w:trPr>
                      <w:trHeight w:val="266" w:hRule="exact"/>
                    </w:trPr>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
                            <w:sz w:val="18"/>
                            <w:szCs w:val="18"/>
                          </w:rPr>
                          <w:t> </w:t>
                        </w:r>
                        <w:r>
                          <w:rPr>
                            <w:rFonts w:ascii="宋体" w:hAnsi="宋体" w:cs="宋体" w:eastAsia="宋体" w:hint="default"/>
                            <w:sz w:val="18"/>
                            <w:szCs w:val="18"/>
                          </w:rPr>
                          <w:t>计</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6"/>
                          <w:jc w:val="right"/>
                          <w:rPr>
                            <w:rFonts w:ascii="宋体" w:hAnsi="宋体" w:cs="宋体" w:eastAsia="宋体" w:hint="default"/>
                            <w:sz w:val="18"/>
                            <w:szCs w:val="18"/>
                          </w:rPr>
                        </w:pPr>
                        <w:r>
                          <w:rPr>
                            <w:rFonts w:ascii="宋体"/>
                            <w:spacing w:val="-14"/>
                            <w:sz w:val="18"/>
                          </w:rPr>
                          <w:t>4,256,099.7</w:t>
                        </w:r>
                      </w:p>
                    </w:tc>
                    <w:tc>
                      <w:tcPr>
                        <w:tcW w:w="107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2362" w:type="dxa"/>
                        <w:gridSpan w:val="2"/>
                        <w:tcBorders>
                          <w:top w:val="nil" w:sz="6" w:space="0" w:color="auto"/>
                          <w:left w:val="nil" w:sz="6" w:space="0" w:color="auto"/>
                          <w:bottom w:val="nil" w:sz="6" w:space="0" w:color="auto"/>
                          <w:right w:val="nil" w:sz="6" w:space="0" w:color="auto"/>
                        </w:tcBorders>
                      </w:tcPr>
                      <w:p>
                        <w:pPr/>
                      </w:p>
                    </w:tc>
                  </w:tr>
                  <w:tr>
                    <w:trPr>
                      <w:trHeight w:val="180" w:hRule="exact"/>
                    </w:trPr>
                    <w:tc>
                      <w:tcPr>
                        <w:tcW w:w="106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180" w:lineRule="exact"/>
                          <w:ind w:right="79"/>
                          <w:jc w:val="right"/>
                          <w:rPr>
                            <w:rFonts w:ascii="宋体" w:hAnsi="宋体" w:cs="宋体" w:eastAsia="宋体" w:hint="default"/>
                            <w:sz w:val="18"/>
                            <w:szCs w:val="18"/>
                          </w:rPr>
                        </w:pPr>
                        <w:r>
                          <w:rPr>
                            <w:rFonts w:ascii="宋体"/>
                            <w:spacing w:val="-15"/>
                            <w:sz w:val="18"/>
                          </w:rPr>
                          <w:t>3,429,590.35</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pacing w:val="-15"/>
                            <w:sz w:val="18"/>
                          </w:rPr>
                          <w:t>682,594.00</w:t>
                        </w:r>
                        <w:r>
                          <w:rPr>
                            <w:rFonts w:ascii="宋体"/>
                            <w:sz w:val="18"/>
                          </w:rPr>
                        </w:r>
                      </w:p>
                    </w:tc>
                    <w:tc>
                      <w:tcPr>
                        <w:tcW w:w="1172"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宋体" w:hAnsi="宋体" w:cs="宋体" w:eastAsia="宋体" w:hint="default"/>
                            <w:sz w:val="18"/>
                            <w:szCs w:val="18"/>
                          </w:rPr>
                        </w:pPr>
                        <w:r>
                          <w:rPr>
                            <w:rFonts w:ascii="宋体"/>
                            <w:spacing w:val="-15"/>
                            <w:sz w:val="18"/>
                          </w:rPr>
                          <w:t>1,666,877.84</w:t>
                        </w:r>
                        <w:r>
                          <w:rPr>
                            <w:rFonts w:ascii="宋体"/>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宋体" w:hAnsi="宋体" w:cs="宋体" w:eastAsia="宋体" w:hint="default"/>
                            <w:sz w:val="18"/>
                            <w:szCs w:val="18"/>
                          </w:rPr>
                        </w:pPr>
                        <w:r>
                          <w:rPr>
                            <w:rFonts w:ascii="宋体"/>
                            <w:spacing w:val="-15"/>
                            <w:sz w:val="18"/>
                          </w:rPr>
                          <w:t>1,810,793.28</w:t>
                        </w:r>
                        <w:r>
                          <w:rPr>
                            <w:rFonts w:ascii="宋体"/>
                            <w:sz w:val="18"/>
                          </w:rPr>
                        </w:r>
                      </w:p>
                    </w:tc>
                    <w:tc>
                      <w:tcPr>
                        <w:tcW w:w="236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21" w:right="0"/>
                          <w:jc w:val="left"/>
                          <w:rPr>
                            <w:rFonts w:ascii="宋体" w:hAnsi="宋体" w:cs="宋体" w:eastAsia="宋体" w:hint="default"/>
                            <w:sz w:val="18"/>
                            <w:szCs w:val="18"/>
                          </w:rPr>
                        </w:pPr>
                        <w:r>
                          <w:rPr>
                            <w:rFonts w:ascii="宋体"/>
                            <w:spacing w:val="-15"/>
                            <w:sz w:val="18"/>
                          </w:rPr>
                          <w:t>2,445,306.51</w:t>
                        </w:r>
                        <w:r>
                          <w:rPr>
                            <w:rFonts w:ascii="宋体"/>
                            <w:sz w:val="18"/>
                          </w:rPr>
                        </w:r>
                      </w:p>
                    </w:tc>
                  </w:tr>
                  <w:tr>
                    <w:trPr>
                      <w:trHeight w:val="280" w:hRule="exact"/>
                    </w:trPr>
                    <w:tc>
                      <w:tcPr>
                        <w:tcW w:w="1068"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180" w:lineRule="exact"/>
                          <w:ind w:right="75"/>
                          <w:jc w:val="right"/>
                          <w:rPr>
                            <w:rFonts w:ascii="宋体" w:hAnsi="宋体" w:cs="宋体" w:eastAsia="宋体" w:hint="default"/>
                            <w:sz w:val="18"/>
                            <w:szCs w:val="18"/>
                          </w:rPr>
                        </w:pPr>
                        <w:r>
                          <w:rPr>
                            <w:rFonts w:ascii="宋体"/>
                            <w:sz w:val="18"/>
                          </w:rPr>
                          <w:t>9</w:t>
                        </w:r>
                      </w:p>
                    </w:tc>
                    <w:tc>
                      <w:tcPr>
                        <w:tcW w:w="1070"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2362"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r>
      <w:r>
        <w:rPr>
          <w:rFonts w:ascii="宋体" w:hAnsi="宋体" w:cs="宋体" w:eastAsia="宋体" w:hint="default"/>
          <w:spacing w:val="6"/>
          <w:sz w:val="18"/>
          <w:szCs w:val="18"/>
          <w:u w:val="single" w:color="000000"/>
        </w:rPr>
        <w:t> </w:t>
      </w:r>
      <w:r>
        <w:rPr>
          <w:rFonts w:ascii="宋体" w:hAnsi="宋体" w:cs="宋体" w:eastAsia="宋体" w:hint="default"/>
          <w:sz w:val="18"/>
          <w:szCs w:val="18"/>
          <w:u w:val="single" w:color="000000"/>
        </w:rPr>
        <w:t>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pacing w:val="-23"/>
          <w:sz w:val="18"/>
          <w:szCs w:val="18"/>
          <w:u w:val="single" w:color="000000"/>
        </w:rPr>
        <w:t>原始发生额</w:t>
      </w:r>
      <w:r>
        <w:rPr>
          <w:rFonts w:ascii="宋体" w:hAnsi="宋体" w:cs="宋体" w:eastAsia="宋体" w:hint="default"/>
          <w:spacing w:val="-23"/>
          <w:sz w:val="18"/>
          <w:szCs w:val="18"/>
        </w:rPr>
        <w:tab/>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pacing w:val="-23"/>
          <w:sz w:val="18"/>
          <w:szCs w:val="18"/>
          <w:u w:val="single" w:color="000000"/>
        </w:rPr>
        <w:t> </w:t>
        <w:tab/>
      </w:r>
      <w:r>
        <w:rPr>
          <w:rFonts w:ascii="宋体" w:hAnsi="宋体" w:cs="宋体" w:eastAsia="宋体" w:hint="default"/>
          <w:spacing w:val="-19"/>
          <w:sz w:val="18"/>
          <w:szCs w:val="18"/>
          <w:u w:val="single" w:color="000000"/>
        </w:rPr>
        <w:t>年初数        </w:t>
      </w:r>
      <w:r>
        <w:rPr>
          <w:rFonts w:ascii="宋体" w:hAnsi="宋体" w:cs="宋体" w:eastAsia="宋体" w:hint="default"/>
          <w:spacing w:val="-19"/>
          <w:sz w:val="18"/>
          <w:szCs w:val="18"/>
        </w:rPr>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pacing w:val="-19"/>
          <w:sz w:val="18"/>
          <w:szCs w:val="18"/>
          <w:u w:val="single" w:color="000000"/>
        </w:rPr>
        <w:t> </w:t>
      </w:r>
      <w:r>
        <w:rPr>
          <w:rFonts w:ascii="宋体" w:hAnsi="宋体" w:cs="宋体" w:eastAsia="宋体" w:hint="default"/>
          <w:spacing w:val="-22"/>
          <w:sz w:val="18"/>
          <w:szCs w:val="18"/>
          <w:u w:val="single" w:color="000000"/>
        </w:rPr>
        <w:t>本年增加     </w:t>
      </w:r>
      <w:r>
        <w:rPr>
          <w:rFonts w:ascii="宋体" w:hAnsi="宋体" w:cs="宋体" w:eastAsia="宋体" w:hint="default"/>
          <w:spacing w:val="-15"/>
          <w:sz w:val="18"/>
          <w:szCs w:val="18"/>
          <w:u w:val="single" w:color="000000"/>
        </w:rPr>
        <w:t> </w:t>
      </w:r>
      <w:r>
        <w:rPr>
          <w:rFonts w:ascii="宋体" w:hAnsi="宋体" w:cs="宋体" w:eastAsia="宋体" w:hint="default"/>
          <w:spacing w:val="-15"/>
          <w:sz w:val="18"/>
          <w:szCs w:val="18"/>
        </w:rPr>
      </w:r>
      <w:r>
        <w:rPr>
          <w:rFonts w:ascii="Times New Roman" w:hAnsi="Times New Roman" w:cs="Times New Roman" w:eastAsia="Times New Roman" w:hint="default"/>
          <w:spacing w:val="-15"/>
          <w:sz w:val="18"/>
          <w:szCs w:val="18"/>
        </w:rPr>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22"/>
          <w:sz w:val="18"/>
          <w:szCs w:val="18"/>
          <w:u w:val="single" w:color="000000"/>
        </w:rPr>
        <w:t>本年摊销</w:t>
      </w:r>
      <w:r>
        <w:rPr>
          <w:rFonts w:ascii="宋体" w:hAnsi="宋体" w:cs="宋体" w:eastAsia="宋体" w:hint="default"/>
          <w:spacing w:val="-22"/>
          <w:sz w:val="18"/>
          <w:szCs w:val="18"/>
        </w:rPr>
      </w:r>
      <w:r>
        <w:rPr>
          <w:rFonts w:ascii="Times New Roman" w:hAnsi="Times New Roman" w:cs="Times New Roman" w:eastAsia="Times New Roman" w:hint="default"/>
          <w:spacing w:val="-22"/>
          <w:sz w:val="18"/>
          <w:szCs w:val="18"/>
        </w:rPr>
      </w:r>
      <w:r>
        <w:rPr>
          <w:rFonts w:ascii="Times New Roman" w:hAnsi="Times New Roman" w:cs="Times New Roman" w:eastAsia="Times New Roman" w:hint="default"/>
          <w:spacing w:val="-22"/>
          <w:sz w:val="18"/>
          <w:szCs w:val="18"/>
          <w:u w:val="single" w:color="000000"/>
        </w:rPr>
        <w:t> </w:t>
        <w:tab/>
      </w:r>
      <w:r>
        <w:rPr>
          <w:rFonts w:ascii="宋体" w:hAnsi="宋体" w:cs="宋体" w:eastAsia="宋体" w:hint="default"/>
          <w:spacing w:val="-22"/>
          <w:sz w:val="18"/>
          <w:szCs w:val="18"/>
          <w:u w:val="single" w:color="000000"/>
        </w:rPr>
        <w:t>累计摊销</w:t>
      </w:r>
      <w:r>
        <w:rPr>
          <w:rFonts w:ascii="宋体" w:hAnsi="宋体" w:cs="宋体" w:eastAsia="宋体" w:hint="default"/>
          <w:spacing w:val="-22"/>
          <w:sz w:val="18"/>
          <w:szCs w:val="18"/>
        </w:rPr>
      </w:r>
      <w:r>
        <w:rPr>
          <w:rFonts w:ascii="Times New Roman" w:hAnsi="Times New Roman" w:cs="Times New Roman" w:eastAsia="Times New Roman" w:hint="default"/>
          <w:spacing w:val="-22"/>
          <w:sz w:val="18"/>
          <w:szCs w:val="18"/>
        </w:rPr>
      </w:r>
      <w:r>
        <w:rPr>
          <w:rFonts w:ascii="Times New Roman" w:hAnsi="Times New Roman" w:cs="Times New Roman" w:eastAsia="Times New Roman" w:hint="default"/>
          <w:spacing w:val="-22"/>
          <w:sz w:val="18"/>
          <w:szCs w:val="18"/>
          <w:u w:val="single" w:color="000000"/>
        </w:rPr>
        <w:t> </w:t>
        <w:tab/>
      </w:r>
      <w:r>
        <w:rPr>
          <w:rFonts w:ascii="宋体" w:hAnsi="宋体" w:cs="宋体" w:eastAsia="宋体" w:hint="default"/>
          <w:spacing w:val="-19"/>
          <w:sz w:val="18"/>
          <w:szCs w:val="18"/>
          <w:u w:val="single" w:color="000000"/>
        </w:rPr>
        <w:t>年末数</w:t>
        <w:tab/>
      </w:r>
      <w:r>
        <w:rPr>
          <w:rFonts w:ascii="宋体" w:hAnsi="宋体" w:cs="宋体" w:eastAsia="宋体" w:hint="default"/>
          <w:spacing w:val="-19"/>
          <w:sz w:val="18"/>
          <w:szCs w:val="18"/>
        </w:rPr>
        <w:tab/>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pacing w:val="-19"/>
          <w:sz w:val="18"/>
          <w:szCs w:val="18"/>
          <w:u w:val="single" w:color="000000"/>
        </w:rPr>
        <w:t> </w:t>
      </w:r>
      <w:r>
        <w:rPr>
          <w:rFonts w:ascii="宋体" w:hAnsi="宋体" w:cs="宋体" w:eastAsia="宋体" w:hint="default"/>
          <w:spacing w:val="-24"/>
          <w:sz w:val="18"/>
          <w:szCs w:val="18"/>
          <w:u w:val="single" w:color="000000"/>
        </w:rPr>
        <w:t>剩余摊销期限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4"/>
          <w:sz w:val="18"/>
          <w:szCs w:val="18"/>
        </w:rPr>
        <w:t>无锡实益达租</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4" w:lineRule="auto" w:before="169"/>
        <w:ind w:left="694" w:right="3710"/>
        <w:jc w:val="left"/>
      </w:pPr>
      <w:r>
        <w:rPr/>
        <w:t>长期待摊费用中上市费用上市募集资金后予以转销。 (十二)递延所得税资产</w:t>
      </w:r>
    </w:p>
    <w:p>
      <w:pPr>
        <w:pStyle w:val="BodyText"/>
        <w:spacing w:line="240" w:lineRule="auto" w:before="22"/>
        <w:ind w:left="694" w:right="0"/>
        <w:jc w:val="left"/>
      </w:pPr>
      <w:r>
        <w:rPr/>
        <w:t>1.已确认的递延所得税资产</w:t>
      </w:r>
    </w:p>
    <w:p>
      <w:pPr>
        <w:spacing w:line="240" w:lineRule="auto" w:before="7"/>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4220"/>
        <w:gridCol w:w="2367"/>
        <w:gridCol w:w="1907"/>
      </w:tblGrid>
      <w:tr>
        <w:trPr>
          <w:trHeight w:val="659" w:hRule="exact"/>
        </w:trPr>
        <w:tc>
          <w:tcPr>
            <w:tcW w:w="4220" w:type="dxa"/>
            <w:tcBorders>
              <w:top w:val="nil" w:sz="6" w:space="0" w:color="auto"/>
              <w:left w:val="nil" w:sz="6" w:space="0" w:color="auto"/>
              <w:bottom w:val="nil" w:sz="6" w:space="0" w:color="auto"/>
              <w:right w:val="nil" w:sz="6" w:space="0" w:color="auto"/>
            </w:tcBorders>
          </w:tcPr>
          <w:p>
            <w:pPr>
              <w:pStyle w:val="TableParagraph"/>
              <w:tabs>
                <w:tab w:pos="1564" w:val="left" w:leader="none"/>
                <w:tab w:pos="2104" w:val="left" w:leader="none"/>
                <w:tab w:pos="3887" w:val="left" w:leader="none"/>
              </w:tabs>
              <w:spacing w:line="314" w:lineRule="auto" w:before="44"/>
              <w:ind w:left="35" w:right="31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1.应收款项坏账准备形成的可抵扣暂时性差异</w:t>
            </w:r>
          </w:p>
        </w:tc>
        <w:tc>
          <w:tcPr>
            <w:tcW w:w="2367" w:type="dxa"/>
            <w:tcBorders>
              <w:top w:val="nil" w:sz="6" w:space="0" w:color="auto"/>
              <w:left w:val="nil" w:sz="6" w:space="0" w:color="auto"/>
              <w:bottom w:val="nil" w:sz="6" w:space="0" w:color="auto"/>
              <w:right w:val="nil" w:sz="6" w:space="0" w:color="auto"/>
            </w:tcBorders>
          </w:tcPr>
          <w:p>
            <w:pPr>
              <w:pStyle w:val="TableParagraph"/>
              <w:tabs>
                <w:tab w:pos="944" w:val="left" w:leader="none"/>
                <w:tab w:pos="2114" w:val="left" w:leader="none"/>
              </w:tabs>
              <w:spacing w:line="240" w:lineRule="auto" w:before="44"/>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pStyle w:val="TableParagraph"/>
              <w:spacing w:line="240" w:lineRule="auto" w:before="73"/>
              <w:ind w:left="1179" w:right="0"/>
              <w:jc w:val="left"/>
              <w:rPr>
                <w:rFonts w:ascii="宋体" w:hAnsi="宋体" w:cs="宋体" w:eastAsia="宋体" w:hint="default"/>
                <w:sz w:val="18"/>
                <w:szCs w:val="18"/>
              </w:rPr>
            </w:pPr>
            <w:r>
              <w:rPr>
                <w:rFonts w:ascii="宋体"/>
                <w:sz w:val="18"/>
              </w:rPr>
              <w:t>1,103,558.03</w:t>
            </w:r>
          </w:p>
        </w:tc>
        <w:tc>
          <w:tcPr>
            <w:tcW w:w="1907" w:type="dxa"/>
            <w:tcBorders>
              <w:top w:val="nil" w:sz="6" w:space="0" w:color="auto"/>
              <w:left w:val="nil" w:sz="6" w:space="0" w:color="auto"/>
              <w:bottom w:val="nil" w:sz="6" w:space="0" w:color="auto"/>
              <w:right w:val="nil" w:sz="6" w:space="0" w:color="auto"/>
            </w:tcBorders>
          </w:tcPr>
          <w:p>
            <w:pPr>
              <w:pStyle w:val="TableParagraph"/>
              <w:tabs>
                <w:tab w:pos="647" w:val="left" w:leader="none"/>
                <w:tab w:pos="1727" w:val="left" w:leader="none"/>
              </w:tabs>
              <w:spacing w:line="240" w:lineRule="auto" w:before="4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pStyle w:val="TableParagraph"/>
              <w:spacing w:line="240" w:lineRule="auto" w:before="73"/>
              <w:ind w:left="972" w:right="0"/>
              <w:jc w:val="left"/>
              <w:rPr>
                <w:rFonts w:ascii="宋体" w:hAnsi="宋体" w:cs="宋体" w:eastAsia="宋体" w:hint="default"/>
                <w:sz w:val="18"/>
                <w:szCs w:val="18"/>
              </w:rPr>
            </w:pPr>
            <w:r>
              <w:rPr>
                <w:rFonts w:ascii="宋体"/>
                <w:sz w:val="18"/>
              </w:rPr>
              <w:t>377,076.70</w:t>
            </w:r>
          </w:p>
        </w:tc>
      </w:tr>
      <w:tr>
        <w:trPr>
          <w:trHeight w:val="320" w:hRule="exact"/>
        </w:trPr>
        <w:tc>
          <w:tcPr>
            <w:tcW w:w="42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2.存货跌价准备形成的可抵扣暂时性差异</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8"/>
                <w:szCs w:val="18"/>
              </w:rPr>
            </w:pPr>
            <w:r>
              <w:rPr>
                <w:rFonts w:ascii="宋体"/>
                <w:sz w:val="18"/>
              </w:rPr>
              <w:t>152,008.88</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5,710.52</w:t>
            </w:r>
          </w:p>
        </w:tc>
      </w:tr>
      <w:tr>
        <w:trPr>
          <w:trHeight w:val="320" w:hRule="exact"/>
        </w:trPr>
        <w:tc>
          <w:tcPr>
            <w:tcW w:w="42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3.长期投资减值准备形成的可抵扣暂时性差异</w:t>
            </w:r>
          </w:p>
        </w:tc>
        <w:tc>
          <w:tcPr>
            <w:tcW w:w="2367"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7,500.00</w:t>
            </w:r>
          </w:p>
        </w:tc>
      </w:tr>
      <w:tr>
        <w:trPr>
          <w:trHeight w:val="320" w:hRule="exact"/>
        </w:trPr>
        <w:tc>
          <w:tcPr>
            <w:tcW w:w="42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4.固定资产减值准备形成的可抵扣暂时性差异</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宋体" w:hAnsi="宋体" w:cs="宋体" w:eastAsia="宋体" w:hint="default"/>
                <w:sz w:val="18"/>
                <w:szCs w:val="18"/>
              </w:rPr>
            </w:pPr>
            <w:r>
              <w:rPr>
                <w:rFonts w:ascii="宋体"/>
                <w:sz w:val="18"/>
              </w:rPr>
              <w:t>381,978.58</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114,593.57</w:t>
            </w:r>
          </w:p>
        </w:tc>
      </w:tr>
      <w:tr>
        <w:trPr>
          <w:trHeight w:val="350" w:hRule="exact"/>
        </w:trPr>
        <w:tc>
          <w:tcPr>
            <w:tcW w:w="422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1,637,545.49</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504,880.79</w:t>
            </w:r>
          </w:p>
        </w:tc>
      </w:tr>
    </w:tbl>
    <w:p>
      <w:pPr>
        <w:pStyle w:val="BodyText"/>
        <w:spacing w:line="336" w:lineRule="auto" w:before="10"/>
        <w:ind w:left="154" w:right="135" w:firstLine="540"/>
        <w:jc w:val="left"/>
      </w:pPr>
      <w:r>
        <w:rPr/>
        <w:t>2.本期递延所得税资产比上年增长</w:t>
      </w:r>
      <w:r>
        <w:rPr>
          <w:spacing w:val="-57"/>
        </w:rPr>
        <w:t> </w:t>
      </w:r>
      <w:r>
        <w:rPr/>
        <w:t>1,132,664.70</w:t>
      </w:r>
      <w:r>
        <w:rPr>
          <w:spacing w:val="-57"/>
        </w:rPr>
        <w:t> </w:t>
      </w:r>
      <w:r>
        <w:rPr>
          <w:spacing w:val="-6"/>
        </w:rPr>
        <w:t>元，增加比例为</w:t>
      </w:r>
      <w:r>
        <w:rPr>
          <w:spacing w:val="-57"/>
        </w:rPr>
        <w:t> </w:t>
      </w:r>
      <w:r>
        <w:rPr>
          <w:spacing w:val="-4"/>
        </w:rPr>
        <w:t>224.30%，主要是因为</w:t>
      </w:r>
      <w:r>
        <w:rPr/>
        <w:t> 应收款项坏账准备及存货跌价准备形成的可抵扣暂时性差异的增加。</w:t>
      </w:r>
    </w:p>
    <w:p>
      <w:pPr>
        <w:pStyle w:val="BodyText"/>
        <w:spacing w:line="240" w:lineRule="auto"/>
        <w:ind w:left="694" w:right="0"/>
        <w:jc w:val="left"/>
      </w:pPr>
      <w:r>
        <w:rPr/>
        <w:t>(十三)资产减值准备</w:t>
      </w:r>
    </w:p>
    <w:p>
      <w:pPr>
        <w:spacing w:after="0" w:line="240" w:lineRule="auto"/>
        <w:jc w:val="left"/>
        <w:sectPr>
          <w:pgSz w:w="11910" w:h="16840"/>
          <w:pgMar w:header="747" w:footer="1339" w:top="980" w:bottom="1520" w:left="980" w:right="980"/>
        </w:sectPr>
      </w:pPr>
    </w:p>
    <w:p>
      <w:pPr>
        <w:spacing w:line="240" w:lineRule="auto" w:before="11"/>
        <w:rPr>
          <w:rFonts w:ascii="宋体" w:hAnsi="宋体" w:cs="宋体" w:eastAsia="宋体" w:hint="default"/>
          <w:sz w:val="19"/>
          <w:szCs w:val="19"/>
        </w:rPr>
      </w:pPr>
    </w:p>
    <w:p>
      <w:pPr>
        <w:tabs>
          <w:tab w:pos="873" w:val="left" w:leader="none"/>
          <w:tab w:pos="1953" w:val="left" w:leader="none"/>
          <w:tab w:pos="2569" w:val="left" w:leader="none"/>
          <w:tab w:pos="4021" w:val="left" w:leader="none"/>
          <w:tab w:pos="5281" w:val="left" w:leader="none"/>
        </w:tabs>
        <w:spacing w:before="0"/>
        <w:ind w:left="154" w:right="0" w:firstLine="0"/>
        <w:jc w:val="left"/>
        <w:rPr>
          <w:rFonts w:ascii="宋体" w:hAnsi="宋体" w:cs="宋体" w:eastAsia="宋体" w:hint="default"/>
          <w:sz w:val="18"/>
          <w:szCs w:val="18"/>
        </w:rPr>
      </w:pPr>
      <w:r>
        <w:rPr/>
        <w:pict>
          <v:group style="position:absolute;margin-left:329.100006pt;margin-top:4.151715pt;width:99pt;height:.1pt;mso-position-horizontal-relative:page;mso-position-vertical-relative:paragraph;z-index:2008" coordorigin="6582,83" coordsize="1980,2">
            <v:shape style="position:absolute;left:6582;top:83;width:1980;height:2" coordorigin="6582,83" coordsize="1980,0" path="m6582,83l8562,83e" filled="false" stroked="true" strokeweight=".48001pt" strokecolor="#000000">
              <v:path arrowok="t"/>
            </v:shape>
            <w10:wrap type="none"/>
          </v:group>
        </w:pict>
      </w:r>
      <w:r>
        <w:rPr/>
        <w:pict>
          <v:shape style="position:absolute;margin-left:54.950001pt;margin-top:10.756945pt;width:466.2pt;height:94.0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0"/>
                    <w:gridCol w:w="1672"/>
                    <w:gridCol w:w="1484"/>
                    <w:gridCol w:w="1099"/>
                    <w:gridCol w:w="1340"/>
                    <w:gridCol w:w="1509"/>
                  </w:tblGrid>
                  <w:tr>
                    <w:trPr>
                      <w:trHeight w:val="571"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4"/>
                          <w:jc w:val="right"/>
                          <w:rPr>
                            <w:rFonts w:ascii="宋体" w:hAnsi="宋体" w:cs="宋体" w:eastAsia="宋体" w:hint="default"/>
                            <w:sz w:val="18"/>
                            <w:szCs w:val="18"/>
                          </w:rPr>
                        </w:pPr>
                        <w:r>
                          <w:rPr>
                            <w:rFonts w:ascii="宋体"/>
                            <w:sz w:val="18"/>
                          </w:rPr>
                          <w:t>5,576,040.39</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z w:val="18"/>
                          </w:rPr>
                          <w:t>10,909,678.07</w:t>
                        </w:r>
                      </w:p>
                    </w:tc>
                    <w:tc>
                      <w:tcPr>
                        <w:tcW w:w="1099" w:type="dxa"/>
                        <w:tcBorders>
                          <w:top w:val="nil" w:sz="6" w:space="0" w:color="auto"/>
                          <w:left w:val="nil" w:sz="6" w:space="0" w:color="auto"/>
                          <w:bottom w:val="nil" w:sz="6" w:space="0" w:color="auto"/>
                          <w:right w:val="nil" w:sz="6" w:space="0" w:color="auto"/>
                        </w:tcBorders>
                      </w:tcPr>
                      <w:p>
                        <w:pPr>
                          <w:pStyle w:val="TableParagraph"/>
                          <w:tabs>
                            <w:tab w:pos="377" w:val="left" w:leader="none"/>
                            <w:tab w:pos="917" w:val="left" w:leader="none"/>
                          </w:tabs>
                          <w:spacing w:line="18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转回</w:t>
                          <w:tab/>
                        </w:r>
                        <w:r>
                          <w:rPr>
                            <w:rFonts w:ascii="宋体" w:hAnsi="宋体" w:cs="宋体" w:eastAsia="宋体" w:hint="default"/>
                            <w:sz w:val="18"/>
                            <w:szCs w:val="18"/>
                          </w:rPr>
                        </w:r>
                      </w:p>
                    </w:tc>
                    <w:tc>
                      <w:tcPr>
                        <w:tcW w:w="1340" w:type="dxa"/>
                        <w:tcBorders>
                          <w:top w:val="nil" w:sz="6" w:space="0" w:color="auto"/>
                          <w:left w:val="nil" w:sz="6" w:space="0" w:color="auto"/>
                          <w:bottom w:val="nil" w:sz="6" w:space="0" w:color="auto"/>
                          <w:right w:val="nil" w:sz="6" w:space="0" w:color="auto"/>
                        </w:tcBorders>
                      </w:tcPr>
                      <w:p>
                        <w:pPr>
                          <w:pStyle w:val="TableParagraph"/>
                          <w:tabs>
                            <w:tab w:pos="451" w:val="left" w:leader="none"/>
                            <w:tab w:pos="1081" w:val="left" w:leader="none"/>
                          </w:tabs>
                          <w:spacing w:line="180" w:lineRule="exact"/>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转销</w:t>
                          <w:tab/>
                        </w:r>
                        <w:r>
                          <w:rPr>
                            <w:rFonts w:ascii="宋体" w:hAnsi="宋体" w:cs="宋体" w:eastAsia="宋体" w:hint="default"/>
                            <w:sz w:val="18"/>
                            <w:szCs w:val="18"/>
                          </w:rPr>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sz w:val="18"/>
                          </w:rPr>
                          <w:t>16,485,718.46</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76,140.27</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sz w:val="18"/>
                          </w:rPr>
                          <w:t>719,735.01</w:t>
                        </w:r>
                      </w:p>
                    </w:tc>
                    <w:tc>
                      <w:tcPr>
                        <w:tcW w:w="1099"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1" w:right="0"/>
                          <w:jc w:val="left"/>
                          <w:rPr>
                            <w:rFonts w:ascii="宋体" w:hAnsi="宋体" w:cs="宋体" w:eastAsia="宋体" w:hint="default"/>
                            <w:sz w:val="18"/>
                            <w:szCs w:val="18"/>
                          </w:rPr>
                        </w:pPr>
                        <w:r>
                          <w:rPr>
                            <w:rFonts w:ascii="宋体"/>
                            <w:sz w:val="18"/>
                          </w:rPr>
                          <w:t>11,341.16</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73" w:right="0"/>
                          <w:jc w:val="left"/>
                          <w:rPr>
                            <w:rFonts w:ascii="宋体" w:hAnsi="宋体" w:cs="宋体" w:eastAsia="宋体" w:hint="default"/>
                            <w:sz w:val="18"/>
                            <w:szCs w:val="18"/>
                          </w:rPr>
                        </w:pPr>
                        <w:r>
                          <w:rPr>
                            <w:rFonts w:ascii="宋体"/>
                            <w:sz w:val="18"/>
                          </w:rPr>
                          <w:t>784,534.12</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1,527,914.30</w:t>
                        </w:r>
                      </w:p>
                    </w:tc>
                    <w:tc>
                      <w:tcPr>
                        <w:tcW w:w="148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sz w:val="18"/>
                          </w:rPr>
                          <w:t>1,527,914.30</w:t>
                        </w:r>
                      </w:p>
                    </w:tc>
                  </w:tr>
                  <w:tr>
                    <w:trPr>
                      <w:trHeight w:val="32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四、长期投资减值准备</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100,000.00</w:t>
                        </w:r>
                      </w:p>
                    </w:tc>
                    <w:tc>
                      <w:tcPr>
                        <w:tcW w:w="148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81" w:right="0"/>
                          <w:jc w:val="left"/>
                          <w:rPr>
                            <w:rFonts w:ascii="宋体" w:hAnsi="宋体" w:cs="宋体" w:eastAsia="宋体" w:hint="default"/>
                            <w:sz w:val="18"/>
                            <w:szCs w:val="18"/>
                          </w:rPr>
                        </w:pPr>
                        <w:r>
                          <w:rPr>
                            <w:rFonts w:ascii="宋体"/>
                            <w:sz w:val="18"/>
                          </w:rPr>
                          <w:t>100,000.00</w:t>
                        </w:r>
                      </w:p>
                    </w:tc>
                    <w:tc>
                      <w:tcPr>
                        <w:tcW w:w="1509" w:type="dxa"/>
                        <w:tcBorders>
                          <w:top w:val="nil" w:sz="6" w:space="0" w:color="auto"/>
                          <w:left w:val="nil" w:sz="6" w:space="0" w:color="auto"/>
                          <w:bottom w:val="nil" w:sz="6" w:space="0" w:color="auto"/>
                          <w:right w:val="nil" w:sz="6" w:space="0" w:color="auto"/>
                        </w:tcBorders>
                      </w:tcPr>
                      <w:p>
                        <w:pPr/>
                      </w:p>
                    </w:tc>
                  </w:tr>
                  <w:tr>
                    <w:trPr>
                      <w:trHeight w:val="35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4"/>
                          <w:jc w:val="right"/>
                          <w:rPr>
                            <w:rFonts w:ascii="宋体" w:hAnsi="宋体" w:cs="宋体" w:eastAsia="宋体" w:hint="default"/>
                            <w:sz w:val="18"/>
                            <w:szCs w:val="18"/>
                          </w:rPr>
                        </w:pPr>
                        <w:r>
                          <w:rPr>
                            <w:rFonts w:ascii="宋体"/>
                            <w:sz w:val="18"/>
                          </w:rPr>
                          <w:t>7,280,094.96</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sz w:val="18"/>
                          </w:rPr>
                          <w:t>11,629,413.08</w:t>
                        </w:r>
                      </w:p>
                    </w:tc>
                    <w:tc>
                      <w:tcPr>
                        <w:tcW w:w="1099"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81" w:right="0"/>
                          <w:jc w:val="left"/>
                          <w:rPr>
                            <w:rFonts w:ascii="宋体" w:hAnsi="宋体" w:cs="宋体" w:eastAsia="宋体" w:hint="default"/>
                            <w:sz w:val="18"/>
                            <w:szCs w:val="18"/>
                          </w:rPr>
                        </w:pPr>
                        <w:r>
                          <w:rPr>
                            <w:rFonts w:ascii="宋体"/>
                            <w:sz w:val="18"/>
                          </w:rPr>
                          <w:t>111,341.16</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sz w:val="18"/>
                          </w:rPr>
                          <w:t>18,798,166.88</w:t>
                        </w: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项目</w:t>
        <w:tab/>
      </w:r>
      <w:r>
        <w:rPr>
          <w:rFonts w:ascii="宋体" w:hAnsi="宋体" w:cs="宋体" w:eastAsia="宋体" w:hint="default"/>
          <w:sz w:val="18"/>
          <w:szCs w:val="18"/>
        </w:rPr>
        <w:tab/>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本年计提额</w:t>
        <w:tab/>
      </w:r>
      <w:r>
        <w:rPr>
          <w:rFonts w:ascii="宋体" w:hAnsi="宋体" w:cs="宋体" w:eastAsia="宋体" w:hint="default"/>
          <w:sz w:val="18"/>
          <w:szCs w:val="18"/>
        </w:rPr>
      </w:r>
    </w:p>
    <w:p>
      <w:pPr>
        <w:spacing w:before="100"/>
        <w:ind w:left="15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本年减少额</w:t>
      </w:r>
    </w:p>
    <w:p>
      <w:pPr>
        <w:spacing w:line="240" w:lineRule="auto" w:before="11"/>
        <w:rPr>
          <w:rFonts w:ascii="宋体" w:hAnsi="宋体" w:cs="宋体" w:eastAsia="宋体" w:hint="default"/>
          <w:sz w:val="19"/>
          <w:szCs w:val="19"/>
        </w:rPr>
      </w:pPr>
      <w:r>
        <w:rPr/>
        <w:br w:type="column"/>
      </w:r>
      <w:r>
        <w:rPr>
          <w:rFonts w:ascii="宋体"/>
          <w:sz w:val="19"/>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cols w:num="3" w:equalWidth="0">
            <w:col w:w="5282" w:space="616"/>
            <w:col w:w="1055" w:space="935"/>
            <w:col w:w="206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76" w:lineRule="auto" w:before="26"/>
        <w:ind w:left="694" w:right="7550"/>
        <w:jc w:val="left"/>
      </w:pPr>
      <w:r>
        <w:rPr/>
        <w:t>(十四)短期借款 1.短期借款</w:t>
      </w:r>
    </w:p>
    <w:p>
      <w:pPr>
        <w:tabs>
          <w:tab w:pos="1069" w:val="left" w:leader="none"/>
          <w:tab w:pos="2599" w:val="left" w:leader="none"/>
          <w:tab w:pos="3501" w:val="left" w:leader="none"/>
          <w:tab w:pos="3951" w:val="left" w:leader="none"/>
          <w:tab w:pos="5031" w:val="left" w:leader="none"/>
          <w:tab w:pos="5391" w:val="left" w:leader="none"/>
          <w:tab w:pos="5751" w:val="left" w:leader="none"/>
          <w:tab w:pos="6634" w:val="left" w:leader="none"/>
        </w:tabs>
        <w:spacing w:line="314" w:lineRule="auto" w:before="139"/>
        <w:ind w:left="259" w:right="3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借款类别</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信用借款</w:t>
      </w:r>
    </w:p>
    <w:p>
      <w:pPr>
        <w:spacing w:before="48"/>
        <w:ind w:left="259" w:right="0" w:firstLine="0"/>
        <w:jc w:val="left"/>
        <w:rPr>
          <w:rFonts w:ascii="宋体" w:hAnsi="宋体" w:cs="宋体" w:eastAsia="宋体" w:hint="default"/>
          <w:sz w:val="18"/>
          <w:szCs w:val="18"/>
        </w:rPr>
      </w:pPr>
      <w:r>
        <w:rPr>
          <w:rFonts w:ascii="宋体" w:hAnsi="宋体" w:cs="宋体" w:eastAsia="宋体" w:hint="default"/>
          <w:sz w:val="18"/>
          <w:szCs w:val="18"/>
        </w:rPr>
        <w:t>质押借款</w:t>
      </w:r>
    </w:p>
    <w:p>
      <w:pPr>
        <w:spacing w:after="0"/>
        <w:jc w:val="left"/>
        <w:rPr>
          <w:rFonts w:ascii="宋体" w:hAnsi="宋体" w:cs="宋体" w:eastAsia="宋体" w:hint="default"/>
          <w:sz w:val="18"/>
          <w:szCs w:val="18"/>
        </w:rPr>
        <w:sectPr>
          <w:type w:val="continuous"/>
          <w:pgSz w:w="11910" w:h="16840"/>
          <w:pgMar w:top="980" w:bottom="152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224" w:type="dxa"/>
        <w:tblLayout w:type="fixed"/>
        <w:tblCellMar>
          <w:top w:w="0" w:type="dxa"/>
          <w:left w:w="0" w:type="dxa"/>
          <w:bottom w:w="0" w:type="dxa"/>
          <w:right w:w="0" w:type="dxa"/>
        </w:tblCellMar>
        <w:tblLook w:val="01E0"/>
      </w:tblPr>
      <w:tblGrid>
        <w:gridCol w:w="2800"/>
        <w:gridCol w:w="2407"/>
        <w:gridCol w:w="1460"/>
      </w:tblGrid>
      <w:tr>
        <w:trPr>
          <w:trHeight w:val="710"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345" w:lineRule="auto" w:before="44"/>
              <w:ind w:left="35" w:right="962"/>
              <w:jc w:val="left"/>
              <w:rPr>
                <w:rFonts w:ascii="宋体" w:hAnsi="宋体" w:cs="宋体" w:eastAsia="宋体" w:hint="default"/>
                <w:sz w:val="18"/>
                <w:szCs w:val="18"/>
              </w:rPr>
            </w:pPr>
            <w:r>
              <w:rPr>
                <w:rFonts w:ascii="宋体" w:hAnsi="宋体" w:cs="宋体" w:eastAsia="宋体" w:hint="default"/>
                <w:sz w:val="18"/>
                <w:szCs w:val="18"/>
              </w:rPr>
              <w:t>抵押、保证、质押借款 抵押保证借款</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3"/>
              <w:jc w:val="right"/>
              <w:rPr>
                <w:rFonts w:ascii="宋体" w:hAnsi="宋体" w:cs="宋体" w:eastAsia="宋体" w:hint="default"/>
                <w:sz w:val="18"/>
                <w:szCs w:val="18"/>
              </w:rPr>
            </w:pPr>
            <w:r>
              <w:rPr>
                <w:rFonts w:ascii="宋体"/>
                <w:sz w:val="18"/>
              </w:rPr>
              <w:t>65,741,400.00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66,852,200.00</w:t>
            </w:r>
          </w:p>
        </w:tc>
      </w:tr>
      <w:tr>
        <w:trPr>
          <w:trHeight w:val="340"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18"/>
                <w:szCs w:val="18"/>
              </w:rPr>
            </w:pPr>
            <w:r>
              <w:rPr>
                <w:rFonts w:ascii="宋体"/>
                <w:sz w:val="18"/>
              </w:rPr>
              <w:t>10,000,000.00</w:t>
            </w:r>
          </w:p>
        </w:tc>
        <w:tc>
          <w:tcPr>
            <w:tcW w:w="1460" w:type="dxa"/>
            <w:tcBorders>
              <w:top w:val="nil" w:sz="6" w:space="0" w:color="auto"/>
              <w:left w:val="nil" w:sz="6" w:space="0" w:color="auto"/>
              <w:bottom w:val="nil" w:sz="6" w:space="0" w:color="auto"/>
              <w:right w:val="nil" w:sz="6" w:space="0" w:color="auto"/>
            </w:tcBorders>
          </w:tcPr>
          <w:p>
            <w:pPr/>
          </w:p>
        </w:tc>
      </w:tr>
      <w:tr>
        <w:trPr>
          <w:trHeight w:val="674" w:hRule="exact"/>
        </w:trPr>
        <w:tc>
          <w:tcPr>
            <w:tcW w:w="2800" w:type="dxa"/>
            <w:tcBorders>
              <w:top w:val="nil" w:sz="6" w:space="0" w:color="auto"/>
              <w:left w:val="nil" w:sz="6" w:space="0" w:color="auto"/>
              <w:bottom w:val="nil" w:sz="6" w:space="0" w:color="auto"/>
              <w:right w:val="nil" w:sz="6" w:space="0" w:color="auto"/>
            </w:tcBorders>
          </w:tcPr>
          <w:p>
            <w:pPr>
              <w:pStyle w:val="TableParagraph"/>
              <w:spacing w:line="345" w:lineRule="auto" w:before="14"/>
              <w:ind w:left="35" w:right="1322"/>
              <w:jc w:val="left"/>
              <w:rPr>
                <w:rFonts w:ascii="宋体" w:hAnsi="宋体" w:cs="宋体" w:eastAsia="宋体" w:hint="default"/>
                <w:sz w:val="18"/>
                <w:szCs w:val="18"/>
              </w:rPr>
            </w:pPr>
            <w:r>
              <w:rPr>
                <w:rFonts w:ascii="宋体" w:hAnsi="宋体" w:cs="宋体" w:eastAsia="宋体" w:hint="default"/>
                <w:sz w:val="18"/>
                <w:szCs w:val="18"/>
              </w:rPr>
              <w:t>保证借款 商业承兑汇票贴现</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43,827,600.00</w:t>
            </w:r>
          </w:p>
        </w:tc>
        <w:tc>
          <w:tcPr>
            <w:tcW w:w="1460" w:type="dxa"/>
            <w:tcBorders>
              <w:top w:val="nil" w:sz="6" w:space="0" w:color="auto"/>
              <w:left w:val="nil" w:sz="6" w:space="0" w:color="auto"/>
              <w:bottom w:val="nil" w:sz="6" w:space="0" w:color="auto"/>
              <w:right w:val="nil" w:sz="6" w:space="0" w:color="auto"/>
            </w:tcBorders>
          </w:tcPr>
          <w:p>
            <w:pPr/>
          </w:p>
        </w:tc>
      </w:tr>
      <w:tr>
        <w:trPr>
          <w:trHeight w:val="355" w:hRule="exact"/>
        </w:trPr>
        <w:tc>
          <w:tcPr>
            <w:tcW w:w="2800" w:type="dxa"/>
            <w:tcBorders>
              <w:top w:val="nil" w:sz="6" w:space="0" w:color="auto"/>
              <w:left w:val="nil" w:sz="6" w:space="0" w:color="auto"/>
              <w:bottom w:val="nil" w:sz="6" w:space="0" w:color="auto"/>
              <w:right w:val="nil" w:sz="6" w:space="0" w:color="auto"/>
            </w:tcBorders>
          </w:tcPr>
          <w:p>
            <w:pPr>
              <w:pStyle w:val="TableParagraph"/>
              <w:tabs>
                <w:tab w:pos="1728" w:val="left" w:leader="none"/>
              </w:tabs>
              <w:spacing w:line="240" w:lineRule="auto" w:before="29"/>
              <w:ind w:left="118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54"/>
              <w:jc w:val="right"/>
              <w:rPr>
                <w:rFonts w:ascii="宋体" w:hAnsi="宋体" w:cs="宋体" w:eastAsia="宋体" w:hint="default"/>
                <w:sz w:val="18"/>
                <w:szCs w:val="18"/>
              </w:rPr>
            </w:pPr>
            <w:r>
              <w:rPr>
                <w:rFonts w:ascii="宋体"/>
                <w:sz w:val="18"/>
              </w:rPr>
              <w:t>119,569,000.00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66,852,200.00</w:t>
            </w:r>
          </w:p>
        </w:tc>
      </w:tr>
    </w:tbl>
    <w:p>
      <w:pPr>
        <w:pStyle w:val="BodyText"/>
        <w:spacing w:line="280" w:lineRule="exact" w:before="0"/>
        <w:ind w:left="694" w:right="92"/>
        <w:jc w:val="left"/>
      </w:pPr>
      <w:r>
        <w:rPr/>
        <w:t>其中：年末外币借款的外币金额为</w:t>
      </w:r>
      <w:r>
        <w:rPr>
          <w:spacing w:val="-47"/>
        </w:rPr>
        <w:t> </w:t>
      </w:r>
      <w:r>
        <w:rPr/>
        <w:t>15,000,000.00</w:t>
      </w:r>
      <w:r>
        <w:rPr>
          <w:spacing w:val="-47"/>
        </w:rPr>
        <w:t> </w:t>
      </w:r>
      <w:r>
        <w:rPr/>
        <w:t>美元，折算汇率</w:t>
      </w:r>
      <w:r>
        <w:rPr>
          <w:spacing w:val="-47"/>
        </w:rPr>
        <w:t> </w:t>
      </w:r>
      <w:r>
        <w:rPr/>
        <w:t>7.3046 ，折合人民</w:t>
      </w:r>
    </w:p>
    <w:p>
      <w:pPr>
        <w:pStyle w:val="BodyText"/>
        <w:spacing w:line="240" w:lineRule="auto" w:before="46"/>
        <w:ind w:left="154" w:right="212"/>
        <w:jc w:val="left"/>
      </w:pPr>
      <w:r>
        <w:rPr/>
        <w:t>币</w:t>
      </w:r>
      <w:r>
        <w:rPr>
          <w:spacing w:val="-60"/>
        </w:rPr>
        <w:t> </w:t>
      </w:r>
      <w:r>
        <w:rPr/>
        <w:t>109,569,000.00</w:t>
      </w:r>
      <w:r>
        <w:rPr>
          <w:spacing w:val="-60"/>
        </w:rPr>
        <w:t> </w:t>
      </w:r>
      <w:r>
        <w:rPr/>
        <w:t>元。</w:t>
      </w:r>
    </w:p>
    <w:p>
      <w:pPr>
        <w:pStyle w:val="BodyText"/>
        <w:spacing w:line="240" w:lineRule="auto" w:before="46"/>
        <w:ind w:left="694" w:right="212"/>
        <w:jc w:val="left"/>
      </w:pPr>
      <w:r>
        <w:rPr/>
        <w:t>2.短期借款外币明细表</w:t>
      </w:r>
    </w:p>
    <w:p>
      <w:pPr>
        <w:tabs>
          <w:tab w:pos="711" w:val="left" w:leader="none"/>
          <w:tab w:pos="1791" w:val="left" w:leader="none"/>
          <w:tab w:pos="2871" w:val="left" w:leader="none"/>
          <w:tab w:pos="3231" w:val="left" w:leader="none"/>
          <w:tab w:pos="3405" w:val="left" w:leader="none"/>
          <w:tab w:pos="4311" w:val="left" w:leader="none"/>
          <w:tab w:pos="5133" w:val="left" w:leader="none"/>
          <w:tab w:pos="5358" w:val="left" w:leader="none"/>
          <w:tab w:pos="5403" w:val="left" w:leader="none"/>
          <w:tab w:pos="6393" w:val="left" w:leader="none"/>
          <w:tab w:pos="7008" w:val="left" w:leader="none"/>
          <w:tab w:pos="7245" w:val="left" w:leader="none"/>
          <w:tab w:pos="8488" w:val="left" w:leader="none"/>
        </w:tabs>
        <w:spacing w:line="336" w:lineRule="auto" w:before="93"/>
        <w:ind w:left="1054" w:right="1516" w:hanging="70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外币币种</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外币金额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折算汇率</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折合人民币</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6"/>
          <w:sz w:val="18"/>
          <w:szCs w:val="18"/>
        </w:rPr>
        <w:t>美元</w:t>
        <w:tab/>
        <w:tab/>
        <w:tab/>
        <w:tab/>
        <w:t>15,000,000.00</w:t>
        <w:tab/>
        <w:tab/>
      </w:r>
      <w:r>
        <w:rPr>
          <w:rFonts w:ascii="宋体" w:hAnsi="宋体" w:cs="宋体" w:eastAsia="宋体" w:hint="default"/>
          <w:sz w:val="18"/>
          <w:szCs w:val="18"/>
        </w:rPr>
        <w:t>7.3046</w:t>
        <w:tab/>
        <w:tab/>
        <w:tab/>
        <w:t>109,569,000.00</w:t>
      </w:r>
    </w:p>
    <w:p>
      <w:pPr>
        <w:tabs>
          <w:tab w:pos="7245" w:val="left" w:leader="none"/>
        </w:tabs>
        <w:spacing w:before="199"/>
        <w:ind w:left="964" w:right="212" w:firstLine="0"/>
        <w:jc w:val="left"/>
        <w:rPr>
          <w:rFonts w:ascii="宋体" w:hAnsi="宋体" w:cs="宋体" w:eastAsia="宋体" w:hint="default"/>
          <w:sz w:val="18"/>
          <w:szCs w:val="18"/>
        </w:rPr>
      </w:pPr>
      <w:r>
        <w:rPr>
          <w:rFonts w:ascii="宋体" w:hAnsi="宋体" w:cs="宋体" w:eastAsia="宋体" w:hint="default"/>
          <w:position w:val="1"/>
          <w:sz w:val="18"/>
          <w:szCs w:val="18"/>
        </w:rPr>
        <w:t>合  计</w:t>
        <w:tab/>
      </w:r>
      <w:r>
        <w:rPr>
          <w:rFonts w:ascii="宋体" w:hAnsi="宋体" w:cs="宋体" w:eastAsia="宋体" w:hint="default"/>
          <w:sz w:val="18"/>
          <w:szCs w:val="18"/>
        </w:rPr>
        <w:t>109,569,000.00</w:t>
      </w:r>
    </w:p>
    <w:p>
      <w:pPr>
        <w:pStyle w:val="BodyText"/>
        <w:spacing w:line="240" w:lineRule="auto" w:before="78"/>
        <w:ind w:left="694" w:right="212"/>
        <w:jc w:val="left"/>
      </w:pPr>
      <w:r>
        <w:rPr/>
        <w:t>3.本公司截至</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日止的短期借款明细如下：</w:t>
      </w:r>
    </w:p>
    <w:p>
      <w:pPr>
        <w:spacing w:line="240" w:lineRule="auto" w:before="1"/>
        <w:rPr>
          <w:rFonts w:ascii="宋体" w:hAnsi="宋体" w:cs="宋体" w:eastAsia="宋体" w:hint="default"/>
          <w:sz w:val="3"/>
          <w:szCs w:val="3"/>
        </w:rPr>
      </w:pPr>
    </w:p>
    <w:tbl>
      <w:tblPr>
        <w:tblW w:w="0" w:type="auto"/>
        <w:jc w:val="left"/>
        <w:tblInd w:w="122" w:type="dxa"/>
        <w:tblLayout w:type="fixed"/>
        <w:tblCellMar>
          <w:top w:w="0" w:type="dxa"/>
          <w:left w:w="0" w:type="dxa"/>
          <w:bottom w:w="0" w:type="dxa"/>
          <w:right w:w="0" w:type="dxa"/>
        </w:tblCellMar>
        <w:tblLook w:val="01E0"/>
      </w:tblPr>
      <w:tblGrid>
        <w:gridCol w:w="2731"/>
        <w:gridCol w:w="2248"/>
        <w:gridCol w:w="1144"/>
        <w:gridCol w:w="1103"/>
        <w:gridCol w:w="1732"/>
      </w:tblGrid>
      <w:tr>
        <w:trPr>
          <w:trHeight w:val="774" w:hRule="exact"/>
        </w:trPr>
        <w:tc>
          <w:tcPr>
            <w:tcW w:w="2731" w:type="dxa"/>
            <w:tcBorders>
              <w:top w:val="nil" w:sz="6" w:space="0" w:color="auto"/>
              <w:left w:val="nil" w:sz="6" w:space="0" w:color="auto"/>
              <w:bottom w:val="nil" w:sz="6" w:space="0" w:color="auto"/>
              <w:right w:val="nil" w:sz="6" w:space="0" w:color="auto"/>
            </w:tcBorders>
          </w:tcPr>
          <w:p>
            <w:pPr>
              <w:pStyle w:val="TableParagraph"/>
              <w:tabs>
                <w:tab w:pos="934" w:val="left" w:leader="none"/>
                <w:tab w:pos="2605" w:val="left" w:leader="none"/>
              </w:tabs>
              <w:spacing w:line="403" w:lineRule="auto" w:before="35"/>
              <w:ind w:left="35"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贷款人名称</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兴业银行深圳南山支行</w:t>
            </w:r>
          </w:p>
        </w:tc>
        <w:tc>
          <w:tcPr>
            <w:tcW w:w="2248" w:type="dxa"/>
            <w:tcBorders>
              <w:top w:val="nil" w:sz="6" w:space="0" w:color="auto"/>
              <w:left w:val="nil" w:sz="6" w:space="0" w:color="auto"/>
              <w:bottom w:val="nil" w:sz="6" w:space="0" w:color="auto"/>
              <w:right w:val="nil" w:sz="6" w:space="0" w:color="auto"/>
            </w:tcBorders>
          </w:tcPr>
          <w:p>
            <w:pPr>
              <w:pStyle w:val="TableParagraph"/>
              <w:tabs>
                <w:tab w:pos="827" w:val="left" w:leader="none"/>
                <w:tab w:pos="2122" w:val="left" w:leader="none"/>
              </w:tabs>
              <w:spacing w:line="381" w:lineRule="auto" w:before="54"/>
              <w:ind w:left="108"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借款期限</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2007-11-14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2008-2-14</w:t>
            </w:r>
          </w:p>
        </w:tc>
        <w:tc>
          <w:tcPr>
            <w:tcW w:w="1144" w:type="dxa"/>
            <w:tcBorders>
              <w:top w:val="nil" w:sz="6" w:space="0" w:color="auto"/>
              <w:left w:val="nil" w:sz="6" w:space="0" w:color="auto"/>
              <w:bottom w:val="nil" w:sz="6" w:space="0" w:color="auto"/>
              <w:right w:val="nil" w:sz="6" w:space="0" w:color="auto"/>
            </w:tcBorders>
          </w:tcPr>
          <w:p>
            <w:pPr>
              <w:pStyle w:val="TableParagraph"/>
              <w:spacing w:line="381" w:lineRule="auto" w:before="54"/>
              <w:ind w:left="108"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借款条件</w:t>
            </w:r>
            <w:r>
              <w:rPr>
                <w:rFonts w:ascii="宋体" w:hAnsi="宋体" w:cs="宋体" w:eastAsia="宋体" w:hint="default"/>
                <w:sz w:val="18"/>
                <w:szCs w:val="18"/>
              </w:rPr>
            </w:r>
            <w:r>
              <w:rPr>
                <w:rFonts w:ascii="宋体" w:hAnsi="宋体" w:cs="宋体" w:eastAsia="宋体" w:hint="default"/>
                <w:sz w:val="18"/>
                <w:szCs w:val="18"/>
              </w:rPr>
              <w:t> 抵押、保证</w:t>
            </w:r>
          </w:p>
        </w:tc>
        <w:tc>
          <w:tcPr>
            <w:tcW w:w="1103" w:type="dxa"/>
            <w:tcBorders>
              <w:top w:val="nil" w:sz="6" w:space="0" w:color="auto"/>
              <w:left w:val="nil" w:sz="6" w:space="0" w:color="auto"/>
              <w:bottom w:val="nil" w:sz="6" w:space="0" w:color="auto"/>
              <w:right w:val="nil" w:sz="6" w:space="0" w:color="auto"/>
            </w:tcBorders>
          </w:tcPr>
          <w:p>
            <w:pPr>
              <w:pStyle w:val="TableParagraph"/>
              <w:spacing w:line="381" w:lineRule="auto" w:before="54"/>
              <w:ind w:left="136" w:right="110" w:firstLine="2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借款金额</w:t>
            </w:r>
            <w:r>
              <w:rPr>
                <w:rFonts w:ascii="宋体" w:hAnsi="宋体" w:cs="宋体" w:eastAsia="宋体" w:hint="default"/>
                <w:sz w:val="18"/>
                <w:szCs w:val="18"/>
              </w:rPr>
            </w:r>
            <w:r>
              <w:rPr>
                <w:rFonts w:ascii="宋体" w:hAnsi="宋体" w:cs="宋体" w:eastAsia="宋体" w:hint="default"/>
                <w:sz w:val="18"/>
                <w:szCs w:val="18"/>
              </w:rPr>
              <w:t> 300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732" w:type="dxa"/>
            <w:tcBorders>
              <w:top w:val="nil" w:sz="6" w:space="0" w:color="auto"/>
              <w:left w:val="nil" w:sz="6" w:space="0" w:color="auto"/>
              <w:bottom w:val="nil" w:sz="6" w:space="0" w:color="auto"/>
              <w:right w:val="nil" w:sz="6" w:space="0" w:color="auto"/>
            </w:tcBorders>
          </w:tcPr>
          <w:p>
            <w:pPr>
              <w:pStyle w:val="TableParagraph"/>
              <w:tabs>
                <w:tab w:pos="652" w:val="left" w:leader="none"/>
                <w:tab w:pos="1679" w:val="left" w:leader="none"/>
              </w:tabs>
              <w:spacing w:line="381" w:lineRule="auto" w:before="54"/>
              <w:ind w:left="11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年利率</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3</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46"/>
                <w:sz w:val="18"/>
                <w:szCs w:val="18"/>
              </w:rPr>
              <w:t> </w:t>
            </w:r>
            <w:r>
              <w:rPr>
                <w:rFonts w:ascii="宋体" w:hAnsi="宋体" w:cs="宋体" w:eastAsia="宋体" w:hint="default"/>
                <w:sz w:val="18"/>
                <w:szCs w:val="18"/>
              </w:rPr>
              <w:t>LIBOR+1.5%</w:t>
            </w:r>
          </w:p>
        </w:tc>
      </w:tr>
      <w:tr>
        <w:trPr>
          <w:trHeight w:val="397"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兴业银行深圳南山支行</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2007-4-28</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2008-4-28</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pacing w:val="-46"/>
                <w:sz w:val="18"/>
                <w:szCs w:val="18"/>
              </w:rPr>
              <w:t> </w:t>
            </w:r>
            <w:r>
              <w:rPr>
                <w:rFonts w:ascii="宋体" w:hAnsi="宋体" w:cs="宋体" w:eastAsia="宋体" w:hint="default"/>
                <w:sz w:val="18"/>
                <w:szCs w:val="18"/>
              </w:rPr>
              <w:t>LIBOR+1.85%</w:t>
            </w:r>
          </w:p>
        </w:tc>
      </w:tr>
      <w:tr>
        <w:trPr>
          <w:trHeight w:val="397"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招商银行深圳振兴支行</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2007-8-14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2008-8-14</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400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2" w:right="0"/>
              <w:jc w:val="left"/>
              <w:rPr>
                <w:rFonts w:ascii="宋体" w:hAnsi="宋体" w:cs="宋体" w:eastAsia="宋体" w:hint="default"/>
                <w:sz w:val="18"/>
                <w:szCs w:val="18"/>
              </w:rPr>
            </w:pPr>
            <w:r>
              <w:rPr>
                <w:rFonts w:ascii="宋体"/>
                <w:sz w:val="18"/>
              </w:rPr>
              <w:t>6.73125%</w:t>
            </w:r>
          </w:p>
        </w:tc>
      </w:tr>
      <w:tr>
        <w:trPr>
          <w:trHeight w:val="382"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招商银行深圳振兴支行</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2007-10-22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2008-2-22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2" w:right="0"/>
              <w:jc w:val="left"/>
              <w:rPr>
                <w:rFonts w:ascii="宋体" w:hAnsi="宋体" w:cs="宋体" w:eastAsia="宋体" w:hint="default"/>
                <w:sz w:val="18"/>
                <w:szCs w:val="18"/>
              </w:rPr>
            </w:pPr>
            <w:r>
              <w:rPr>
                <w:rFonts w:ascii="宋体"/>
                <w:sz w:val="18"/>
              </w:rPr>
              <w:t>6.28%</w:t>
            </w:r>
          </w:p>
        </w:tc>
      </w:tr>
      <w:tr>
        <w:trPr>
          <w:trHeight w:val="374"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上海浦东发展银行无锡新区支行</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2007-11-23</w:t>
            </w:r>
            <w:r>
              <w:rPr>
                <w:rFonts w:ascii="宋体" w:hAnsi="宋体" w:cs="宋体" w:eastAsia="宋体" w:hint="default"/>
                <w:spacing w:val="-65"/>
                <w:sz w:val="18"/>
                <w:szCs w:val="18"/>
              </w:rPr>
              <w:t> </w:t>
            </w:r>
            <w:r>
              <w:rPr>
                <w:rFonts w:ascii="宋体" w:hAnsi="宋体" w:cs="宋体" w:eastAsia="宋体" w:hint="default"/>
                <w:sz w:val="18"/>
                <w:szCs w:val="18"/>
              </w:rPr>
              <w:t>至</w:t>
            </w:r>
            <w:r>
              <w:rPr>
                <w:rFonts w:ascii="宋体" w:hAnsi="宋体" w:cs="宋体" w:eastAsia="宋体" w:hint="default"/>
                <w:spacing w:val="-65"/>
                <w:sz w:val="18"/>
                <w:szCs w:val="18"/>
              </w:rPr>
              <w:t> </w:t>
            </w:r>
            <w:r>
              <w:rPr>
                <w:rFonts w:ascii="宋体" w:hAnsi="宋体" w:cs="宋体" w:eastAsia="宋体" w:hint="default"/>
                <w:sz w:val="18"/>
                <w:szCs w:val="18"/>
              </w:rPr>
              <w:t>2008-11-23</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6"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2" w:right="0"/>
              <w:jc w:val="left"/>
              <w:rPr>
                <w:rFonts w:ascii="宋体" w:hAnsi="宋体" w:cs="宋体" w:eastAsia="宋体" w:hint="default"/>
                <w:sz w:val="18"/>
                <w:szCs w:val="18"/>
              </w:rPr>
            </w:pPr>
            <w:r>
              <w:rPr>
                <w:rFonts w:ascii="宋体"/>
                <w:sz w:val="18"/>
              </w:rPr>
              <w:t>8.019%</w:t>
            </w:r>
          </w:p>
        </w:tc>
      </w:tr>
    </w:tbl>
    <w:p>
      <w:pPr>
        <w:pStyle w:val="BodyText"/>
        <w:spacing w:line="336" w:lineRule="auto" w:before="20"/>
        <w:ind w:right="228" w:firstLine="540"/>
        <w:jc w:val="both"/>
      </w:pPr>
      <w:r>
        <w:rPr>
          <w:spacing w:val="-1"/>
        </w:rPr>
        <w:t>4.本公司本年以实益达科技园土地使用权抵押担保、股东深圳市冠德成科技发展有限公</w:t>
      </w:r>
      <w:r>
        <w:rPr/>
        <w:t> 司、深圳市恒顺昌投资发展有限公司、陈亚妹、乔昕提供连带保证担保，取得的兴业银行股</w:t>
      </w:r>
      <w:r>
        <w:rPr>
          <w:spacing w:val="-83"/>
        </w:rPr>
        <w:t> </w:t>
      </w:r>
      <w:r>
        <w:rPr>
          <w:spacing w:val="-83"/>
        </w:rPr>
      </w:r>
      <w:r>
        <w:rPr/>
        <w:t>份有限公司深圳南山支行综合授信额度</w:t>
      </w:r>
      <w:r>
        <w:rPr>
          <w:spacing w:val="-59"/>
        </w:rPr>
        <w:t> </w:t>
      </w:r>
      <w:r>
        <w:rPr/>
        <w:t>1,600</w:t>
      </w:r>
      <w:r>
        <w:rPr>
          <w:spacing w:val="-59"/>
        </w:rPr>
        <w:t> </w:t>
      </w:r>
      <w:r>
        <w:rPr>
          <w:spacing w:val="-3"/>
        </w:rPr>
        <w:t>万美元，担保期限从</w:t>
      </w:r>
      <w:r>
        <w:rPr>
          <w:spacing w:val="-59"/>
        </w:rPr>
        <w:t> </w:t>
      </w:r>
      <w:r>
        <w:rPr>
          <w:spacing w:val="25"/>
        </w:rPr>
        <w:t>2007年4月</w:t>
      </w:r>
      <w:r>
        <w:rPr>
          <w:spacing w:val="-59"/>
        </w:rPr>
        <w:t> </w:t>
      </w:r>
      <w:r>
        <w:rPr/>
        <w:t>28</w:t>
      </w:r>
      <w:r>
        <w:rPr>
          <w:spacing w:val="-59"/>
        </w:rPr>
        <w:t> </w:t>
      </w:r>
      <w:r>
        <w:rPr/>
        <w:t>日至</w:t>
      </w:r>
      <w:r>
        <w:rPr>
          <w:spacing w:val="-59"/>
        </w:rPr>
        <w:t> </w:t>
      </w:r>
      <w:r>
        <w:rPr/>
        <w:t>2008</w:t>
      </w:r>
      <w:r>
        <w:rPr/>
        <w:t> </w:t>
      </w:r>
      <w:r>
        <w:rPr>
          <w:spacing w:val="44"/>
        </w:rPr>
        <w:t>年4月</w:t>
      </w:r>
      <w:r>
        <w:rPr>
          <w:spacing w:val="-54"/>
        </w:rPr>
        <w:t> </w:t>
      </w:r>
      <w:r>
        <w:rPr/>
        <w:t>28</w:t>
      </w:r>
      <w:r>
        <w:rPr>
          <w:spacing w:val="-54"/>
        </w:rPr>
        <w:t> </w:t>
      </w:r>
      <w:r>
        <w:rPr/>
        <w:t>日止,年末在此授信合同下的借款余额为</w:t>
      </w:r>
      <w:r>
        <w:rPr>
          <w:spacing w:val="-54"/>
        </w:rPr>
        <w:t> </w:t>
      </w:r>
      <w:r>
        <w:rPr/>
        <w:t>900</w:t>
      </w:r>
      <w:r>
        <w:rPr>
          <w:spacing w:val="-53"/>
        </w:rPr>
        <w:t> </w:t>
      </w:r>
      <w:r>
        <w:rPr/>
        <w:t>万美元。本公司本年以股东深圳市恒</w:t>
      </w:r>
      <w:r>
        <w:rPr/>
        <w:t> 顺昌投资发展有限公司提供连带保证担保，取得的招商银行股份有限公司深圳振兴支行授信</w:t>
      </w:r>
      <w:r>
        <w:rPr>
          <w:spacing w:val="-83"/>
        </w:rPr>
        <w:t> </w:t>
      </w:r>
      <w:r>
        <w:rPr>
          <w:spacing w:val="-83"/>
        </w:rPr>
      </w:r>
      <w:r>
        <w:rPr/>
        <w:t>额度</w:t>
      </w:r>
      <w:r>
        <w:rPr>
          <w:spacing w:val="-57"/>
        </w:rPr>
        <w:t> </w:t>
      </w:r>
      <w:r>
        <w:rPr/>
        <w:t>600</w:t>
      </w:r>
      <w:r>
        <w:rPr>
          <w:spacing w:val="-57"/>
        </w:rPr>
        <w:t> </w:t>
      </w:r>
      <w:r>
        <w:rPr/>
        <w:t>万美元，担保期限从</w:t>
      </w:r>
      <w:r>
        <w:rPr>
          <w:spacing w:val="-57"/>
        </w:rPr>
        <w:t> </w:t>
      </w:r>
      <w:r>
        <w:rPr>
          <w:spacing w:val="26"/>
        </w:rPr>
        <w:t>2007年8月</w:t>
      </w:r>
      <w:r>
        <w:rPr>
          <w:spacing w:val="-57"/>
        </w:rPr>
        <w:t> </w:t>
      </w:r>
      <w:r>
        <w:rPr/>
        <w:t>14</w:t>
      </w:r>
      <w:r>
        <w:rPr>
          <w:spacing w:val="-57"/>
        </w:rPr>
        <w:t> </w:t>
      </w:r>
      <w:r>
        <w:rPr/>
        <w:t>日至</w:t>
      </w:r>
      <w:r>
        <w:rPr>
          <w:spacing w:val="-57"/>
        </w:rPr>
        <w:t> </w:t>
      </w:r>
      <w:r>
        <w:rPr>
          <w:spacing w:val="26"/>
        </w:rPr>
        <w:t>2008年8月</w:t>
      </w:r>
      <w:r>
        <w:rPr>
          <w:spacing w:val="-57"/>
        </w:rPr>
        <w:t> </w:t>
      </w:r>
      <w:r>
        <w:rPr/>
        <w:t>14</w:t>
      </w:r>
      <w:r>
        <w:rPr>
          <w:spacing w:val="-57"/>
        </w:rPr>
        <w:t> </w:t>
      </w:r>
      <w:r>
        <w:rPr/>
        <w:t>日止，年末在此授信合同</w:t>
      </w:r>
    </w:p>
    <w:p>
      <w:pPr>
        <w:pStyle w:val="BodyText"/>
        <w:spacing w:line="240" w:lineRule="auto"/>
        <w:ind w:left="154" w:right="92"/>
        <w:jc w:val="left"/>
      </w:pPr>
      <w:r>
        <w:rPr/>
        <w:t>下的借款余额为 600</w:t>
      </w:r>
      <w:r>
        <w:rPr>
          <w:spacing w:val="-82"/>
        </w:rPr>
        <w:t> </w:t>
      </w:r>
      <w:r>
        <w:rPr/>
        <w:t>万美元。本公司子公司无锡实益达电子有限公司本年以其所有的土地使</w:t>
      </w:r>
    </w:p>
    <w:p>
      <w:pPr>
        <w:pStyle w:val="BodyText"/>
        <w:spacing w:line="336" w:lineRule="auto" w:before="126"/>
        <w:ind w:left="694" w:right="92" w:hanging="540"/>
        <w:jc w:val="left"/>
      </w:pPr>
      <w:r>
        <w:rPr/>
        <w:t>用权抵押担保取得了上海浦东发展银行无锡新区支行</w:t>
      </w:r>
      <w:r>
        <w:rPr>
          <w:spacing w:val="-60"/>
        </w:rPr>
        <w:t> </w:t>
      </w:r>
      <w:r>
        <w:rPr/>
        <w:t>1000</w:t>
      </w:r>
      <w:r>
        <w:rPr>
          <w:spacing w:val="-60"/>
        </w:rPr>
        <w:t> </w:t>
      </w:r>
      <w:r>
        <w:rPr/>
        <w:t>万元借款。</w:t>
      </w:r>
      <w:r>
        <w:rPr/>
        <w:t> 5.短期借款年末数比年初数增加</w:t>
      </w:r>
      <w:r>
        <w:rPr>
          <w:spacing w:val="-56"/>
        </w:rPr>
        <w:t> </w:t>
      </w:r>
      <w:r>
        <w:rPr/>
        <w:t>52,716,800.00</w:t>
      </w:r>
      <w:r>
        <w:rPr>
          <w:spacing w:val="-56"/>
        </w:rPr>
        <w:t> </w:t>
      </w:r>
      <w:r>
        <w:rPr>
          <w:spacing w:val="-6"/>
        </w:rPr>
        <w:t>元，增加比例为</w:t>
      </w:r>
      <w:r>
        <w:rPr>
          <w:spacing w:val="-56"/>
        </w:rPr>
        <w:t> </w:t>
      </w:r>
      <w:r>
        <w:rPr>
          <w:spacing w:val="-4"/>
        </w:rPr>
        <w:t>78.86％，变动原因为：</w:t>
      </w:r>
    </w:p>
    <w:p>
      <w:pPr>
        <w:pStyle w:val="BodyText"/>
        <w:spacing w:line="312" w:lineRule="auto"/>
        <w:ind w:left="694" w:right="5770" w:hanging="540"/>
        <w:jc w:val="left"/>
      </w:pPr>
      <w:r>
        <w:rPr/>
        <w:t>公司业务量扩大，增加流动资金贷款。 (十五)应付票据</w:t>
      </w:r>
    </w:p>
    <w:p>
      <w:pPr>
        <w:spacing w:line="240" w:lineRule="auto" w:before="0"/>
        <w:rPr>
          <w:rFonts w:ascii="宋体" w:hAnsi="宋体" w:cs="宋体" w:eastAsia="宋体" w:hint="default"/>
          <w:sz w:val="5"/>
          <w:szCs w:val="5"/>
        </w:rPr>
      </w:pPr>
    </w:p>
    <w:tbl>
      <w:tblPr>
        <w:tblW w:w="0" w:type="auto"/>
        <w:jc w:val="left"/>
        <w:tblInd w:w="404" w:type="dxa"/>
        <w:tblLayout w:type="fixed"/>
        <w:tblCellMar>
          <w:top w:w="0" w:type="dxa"/>
          <w:left w:w="0" w:type="dxa"/>
          <w:bottom w:w="0" w:type="dxa"/>
          <w:right w:w="0" w:type="dxa"/>
        </w:tblCellMar>
        <w:tblLook w:val="01E0"/>
      </w:tblPr>
      <w:tblGrid>
        <w:gridCol w:w="1926"/>
        <w:gridCol w:w="1598"/>
        <w:gridCol w:w="1450"/>
      </w:tblGrid>
      <w:tr>
        <w:trPr>
          <w:trHeight w:val="678" w:hRule="exact"/>
        </w:trPr>
        <w:tc>
          <w:tcPr>
            <w:tcW w:w="1926" w:type="dxa"/>
            <w:tcBorders>
              <w:top w:val="nil" w:sz="6" w:space="0" w:color="auto"/>
              <w:left w:val="nil" w:sz="6" w:space="0" w:color="auto"/>
              <w:bottom w:val="nil" w:sz="6" w:space="0" w:color="auto"/>
              <w:right w:val="nil" w:sz="6" w:space="0" w:color="auto"/>
            </w:tcBorders>
          </w:tcPr>
          <w:p>
            <w:pPr>
              <w:pStyle w:val="TableParagraph"/>
              <w:tabs>
                <w:tab w:pos="484" w:val="left" w:leader="none"/>
                <w:tab w:pos="1024" w:val="left" w:leader="none"/>
                <w:tab w:pos="1637" w:val="left" w:leader="none"/>
              </w:tabs>
              <w:spacing w:line="324" w:lineRule="auto" w:before="44"/>
              <w:ind w:left="468" w:right="269" w:hanging="43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种</w:t>
              <w:tab/>
              <w:t> 类</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银行承兑汇票</w:t>
            </w:r>
          </w:p>
        </w:tc>
        <w:tc>
          <w:tcPr>
            <w:tcW w:w="1598" w:type="dxa"/>
            <w:tcBorders>
              <w:top w:val="nil" w:sz="6" w:space="0" w:color="auto"/>
              <w:left w:val="nil" w:sz="6" w:space="0" w:color="auto"/>
              <w:bottom w:val="nil" w:sz="6" w:space="0" w:color="auto"/>
              <w:right w:val="nil" w:sz="6" w:space="0" w:color="auto"/>
            </w:tcBorders>
          </w:tcPr>
          <w:p>
            <w:pPr>
              <w:pStyle w:val="TableParagraph"/>
              <w:tabs>
                <w:tab w:pos="541" w:val="left" w:leader="none"/>
                <w:tab w:pos="1351" w:val="left" w:leader="none"/>
              </w:tabs>
              <w:spacing w:line="314" w:lineRule="auto" w:before="44"/>
              <w:ind w:left="363" w:right="152" w:hanging="9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r>
              <w:rPr>
                <w:rFonts w:ascii="宋体" w:hAnsi="宋体" w:cs="宋体" w:eastAsia="宋体" w:hint="default"/>
                <w:sz w:val="18"/>
                <w:szCs w:val="18"/>
              </w:rPr>
              <w:t> 1,614,478.51</w:t>
            </w:r>
          </w:p>
        </w:tc>
        <w:tc>
          <w:tcPr>
            <w:tcW w:w="1450" w:type="dxa"/>
            <w:tcBorders>
              <w:top w:val="nil" w:sz="6" w:space="0" w:color="auto"/>
              <w:left w:val="nil" w:sz="6" w:space="0" w:color="auto"/>
              <w:bottom w:val="nil" w:sz="6" w:space="0" w:color="auto"/>
              <w:right w:val="nil" w:sz="6" w:space="0" w:color="auto"/>
            </w:tcBorders>
          </w:tcPr>
          <w:p>
            <w:pPr>
              <w:pStyle w:val="TableParagraph"/>
              <w:tabs>
                <w:tab w:pos="514" w:val="left" w:leader="none"/>
                <w:tab w:pos="1397" w:val="left" w:leader="none"/>
              </w:tabs>
              <w:spacing w:line="314" w:lineRule="auto" w:before="44"/>
              <w:ind w:left="316" w:right="33" w:hanging="16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年初数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2,447,726.28</w:t>
            </w:r>
          </w:p>
        </w:tc>
      </w:tr>
      <w:tr>
        <w:trPr>
          <w:trHeight w:val="700" w:hRule="exact"/>
        </w:trPr>
        <w:tc>
          <w:tcPr>
            <w:tcW w:w="1926"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345" w:lineRule="auto" w:before="25"/>
              <w:ind w:left="649" w:right="377" w:hanging="182"/>
              <w:jc w:val="left"/>
              <w:rPr>
                <w:rFonts w:ascii="宋体" w:hAnsi="宋体" w:cs="宋体" w:eastAsia="宋体" w:hint="default"/>
                <w:sz w:val="18"/>
                <w:szCs w:val="18"/>
              </w:rPr>
            </w:pPr>
            <w:r>
              <w:rPr>
                <w:rFonts w:ascii="宋体" w:hAnsi="宋体" w:cs="宋体" w:eastAsia="宋体" w:hint="default"/>
                <w:sz w:val="18"/>
                <w:szCs w:val="18"/>
              </w:rPr>
              <w:t>商业承兑汇票 合</w:t>
              <w:tab/>
              <w:t>计</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3" w:right="0"/>
              <w:jc w:val="left"/>
              <w:rPr>
                <w:rFonts w:ascii="宋体" w:hAnsi="宋体" w:cs="宋体" w:eastAsia="宋体" w:hint="default"/>
                <w:sz w:val="18"/>
                <w:szCs w:val="18"/>
              </w:rPr>
            </w:pPr>
            <w:r>
              <w:rPr>
                <w:rFonts w:ascii="宋体"/>
                <w:sz w:val="18"/>
              </w:rPr>
              <w:t>1,614,478.51</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16" w:right="0"/>
              <w:jc w:val="left"/>
              <w:rPr>
                <w:rFonts w:ascii="宋体" w:hAnsi="宋体" w:cs="宋体" w:eastAsia="宋体" w:hint="default"/>
                <w:sz w:val="18"/>
                <w:szCs w:val="18"/>
              </w:rPr>
            </w:pPr>
            <w:r>
              <w:rPr>
                <w:rFonts w:ascii="宋体"/>
                <w:sz w:val="18"/>
              </w:rPr>
              <w:t>2,447,726.28</w:t>
            </w:r>
          </w:p>
        </w:tc>
      </w:tr>
    </w:tbl>
    <w:p>
      <w:pPr>
        <w:pStyle w:val="BodyText"/>
        <w:spacing w:line="240" w:lineRule="auto" w:before="20"/>
        <w:ind w:left="694" w:right="212"/>
        <w:jc w:val="left"/>
      </w:pPr>
      <w:r>
        <w:rPr/>
        <w:t>应付票据为本公司以全额保证金开票的银行承兑汇票。</w:t>
      </w:r>
    </w:p>
    <w:p>
      <w:pPr>
        <w:spacing w:after="0" w:line="240"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1990"/>
        <w:jc w:val="left"/>
      </w:pPr>
      <w:r>
        <w:rPr/>
        <w:t>应付票据年末数比年初数减少</w:t>
      </w:r>
      <w:r>
        <w:rPr>
          <w:spacing w:val="-60"/>
        </w:rPr>
        <w:t> </w:t>
      </w:r>
      <w:r>
        <w:rPr/>
        <w:t>833,247.77 元，减少比例为</w:t>
      </w:r>
      <w:r>
        <w:rPr>
          <w:spacing w:val="-60"/>
        </w:rPr>
        <w:t> </w:t>
      </w:r>
      <w:r>
        <w:rPr/>
        <w:t>34.04％。</w:t>
      </w:r>
      <w:r>
        <w:rPr/>
        <w:t> (十六)应付账款</w:t>
      </w:r>
    </w:p>
    <w:p>
      <w:pPr>
        <w:pStyle w:val="BodyText"/>
        <w:spacing w:line="240" w:lineRule="auto" w:before="29"/>
        <w:ind w:left="694" w:right="212"/>
        <w:jc w:val="left"/>
      </w:pPr>
      <w:r>
        <w:rPr/>
        <w:t>1.账龄分析</w:t>
      </w:r>
    </w:p>
    <w:p>
      <w:pPr>
        <w:tabs>
          <w:tab w:pos="727" w:val="left" w:leader="none"/>
          <w:tab w:pos="1537" w:val="left" w:leader="none"/>
          <w:tab w:pos="3123" w:val="left" w:leader="none"/>
          <w:tab w:pos="3465" w:val="left" w:leader="none"/>
          <w:tab w:pos="4653" w:val="left" w:leader="none"/>
          <w:tab w:pos="5748" w:val="left" w:leader="none"/>
          <w:tab w:pos="6195" w:val="left" w:leader="none"/>
          <w:tab w:pos="6288" w:val="left" w:leader="none"/>
          <w:tab w:pos="7368" w:val="left" w:leader="none"/>
        </w:tabs>
        <w:spacing w:line="302" w:lineRule="auto" w:before="151"/>
        <w:ind w:left="367" w:right="2566" w:firstLine="0"/>
        <w:jc w:val="left"/>
        <w:rPr>
          <w:rFonts w:ascii="宋体" w:hAnsi="宋体" w:cs="宋体" w:eastAsia="宋体" w:hint="default"/>
          <w:sz w:val="18"/>
          <w:szCs w:val="18"/>
        </w:rPr>
      </w:pPr>
      <w:r>
        <w:rPr>
          <w:rFonts w:ascii="Times New Roman" w:hAnsi="Times New Roman" w:cs="Times New Roman" w:eastAsia="Times New Roman" w:hint="default"/>
          <w:position w:val="4"/>
          <w:sz w:val="18"/>
          <w:szCs w:val="18"/>
        </w:rPr>
      </w:r>
      <w:r>
        <w:rPr>
          <w:rFonts w:ascii="Times New Roman" w:hAnsi="Times New Roman" w:cs="Times New Roman" w:eastAsia="Times New Roman" w:hint="default"/>
          <w:position w:val="4"/>
          <w:sz w:val="18"/>
          <w:szCs w:val="18"/>
          <w:u w:val="single" w:color="000000"/>
        </w:rPr>
        <w:t> </w:t>
        <w:tab/>
      </w:r>
      <w:r>
        <w:rPr>
          <w:rFonts w:ascii="宋体" w:hAnsi="宋体" w:cs="宋体" w:eastAsia="宋体" w:hint="default"/>
          <w:position w:val="4"/>
          <w:sz w:val="18"/>
          <w:szCs w:val="18"/>
          <w:u w:val="single" w:color="000000"/>
        </w:rPr>
        <w:t>账 龄</w:t>
        <w:tab/>
      </w:r>
      <w:r>
        <w:rPr>
          <w:rFonts w:ascii="宋体" w:hAnsi="宋体" w:cs="宋体" w:eastAsia="宋体" w:hint="default"/>
          <w:position w:val="4"/>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position w:val="9"/>
          <w:sz w:val="18"/>
          <w:szCs w:val="18"/>
        </w:rPr>
        <w:t>1</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年以内</w:t>
        <w:tab/>
        <w:tab/>
        <w:tab/>
      </w:r>
      <w:r>
        <w:rPr>
          <w:rFonts w:ascii="宋体" w:hAnsi="宋体" w:cs="宋体" w:eastAsia="宋体" w:hint="default"/>
          <w:sz w:val="18"/>
          <w:szCs w:val="18"/>
        </w:rPr>
        <w:t>207,374,020.66</w:t>
        <w:tab/>
        <w:tab/>
        <w:t>130,078,519.35</w:t>
      </w:r>
    </w:p>
    <w:p>
      <w:pPr>
        <w:tabs>
          <w:tab w:pos="3825" w:val="left" w:leader="none"/>
          <w:tab w:pos="6645" w:val="left" w:leader="none"/>
        </w:tabs>
        <w:spacing w:before="8"/>
        <w:ind w:left="367" w:right="212" w:firstLine="0"/>
        <w:jc w:val="left"/>
        <w:rPr>
          <w:rFonts w:ascii="宋体" w:hAnsi="宋体" w:cs="宋体" w:eastAsia="宋体" w:hint="default"/>
          <w:sz w:val="18"/>
          <w:szCs w:val="18"/>
        </w:rPr>
      </w:pPr>
      <w:r>
        <w:rPr>
          <w:rFonts w:ascii="宋体" w:hAnsi="宋体" w:cs="宋体" w:eastAsia="宋体" w:hint="default"/>
          <w:position w:val="6"/>
          <w:sz w:val="18"/>
          <w:szCs w:val="18"/>
        </w:rPr>
        <w:t>1-2</w:t>
      </w:r>
      <w:r>
        <w:rPr>
          <w:rFonts w:ascii="宋体" w:hAnsi="宋体" w:cs="宋体" w:eastAsia="宋体" w:hint="default"/>
          <w:spacing w:val="-46"/>
          <w:position w:val="6"/>
          <w:sz w:val="18"/>
          <w:szCs w:val="18"/>
        </w:rPr>
        <w:t> </w:t>
      </w:r>
      <w:r>
        <w:rPr>
          <w:rFonts w:ascii="宋体" w:hAnsi="宋体" w:cs="宋体" w:eastAsia="宋体" w:hint="default"/>
          <w:position w:val="6"/>
          <w:sz w:val="18"/>
          <w:szCs w:val="18"/>
        </w:rPr>
        <w:t>年</w:t>
        <w:tab/>
      </w:r>
      <w:r>
        <w:rPr>
          <w:rFonts w:ascii="宋体" w:hAnsi="宋体" w:cs="宋体" w:eastAsia="宋体" w:hint="default"/>
          <w:sz w:val="18"/>
          <w:szCs w:val="18"/>
        </w:rPr>
        <w:t>364,232.53</w:t>
        <w:tab/>
        <w:t>49,000.00</w:t>
      </w:r>
    </w:p>
    <w:p>
      <w:pPr>
        <w:spacing w:before="97"/>
        <w:ind w:left="367" w:right="212" w:firstLine="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before="161"/>
        <w:ind w:left="367" w:right="212"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p>
      <w:pPr>
        <w:spacing w:line="240" w:lineRule="auto" w:before="9"/>
        <w:rPr>
          <w:rFonts w:ascii="宋体" w:hAnsi="宋体" w:cs="宋体" w:eastAsia="宋体" w:hint="default"/>
          <w:sz w:val="12"/>
          <w:szCs w:val="12"/>
        </w:rPr>
      </w:pPr>
    </w:p>
    <w:p>
      <w:pPr>
        <w:tabs>
          <w:tab w:pos="3467" w:val="left" w:leader="none"/>
          <w:tab w:pos="6195" w:val="left" w:leader="none"/>
        </w:tabs>
        <w:spacing w:before="0"/>
        <w:ind w:left="727" w:right="212" w:firstLine="0"/>
        <w:jc w:val="left"/>
        <w:rPr>
          <w:rFonts w:ascii="宋体" w:hAnsi="宋体" w:cs="宋体" w:eastAsia="宋体" w:hint="default"/>
          <w:sz w:val="18"/>
          <w:szCs w:val="18"/>
        </w:rPr>
      </w:pPr>
      <w:r>
        <w:rPr>
          <w:rFonts w:ascii="宋体" w:hAnsi="宋体" w:cs="宋体" w:eastAsia="宋体" w:hint="default"/>
          <w:position w:val="6"/>
          <w:sz w:val="18"/>
          <w:szCs w:val="18"/>
        </w:rPr>
        <w:t>合  计</w:t>
        <w:tab/>
      </w:r>
      <w:r>
        <w:rPr>
          <w:rFonts w:ascii="宋体" w:hAnsi="宋体" w:cs="宋体" w:eastAsia="宋体" w:hint="default"/>
          <w:spacing w:val="-1"/>
          <w:position w:val="-2"/>
          <w:sz w:val="18"/>
          <w:szCs w:val="18"/>
        </w:rPr>
        <w:t>207,738,253.19</w:t>
        <w:tab/>
      </w:r>
      <w:r>
        <w:rPr>
          <w:rFonts w:ascii="宋体" w:hAnsi="宋体" w:cs="宋体" w:eastAsia="宋体" w:hint="default"/>
          <w:sz w:val="18"/>
          <w:szCs w:val="18"/>
        </w:rPr>
        <w:t>130,127,519.35</w:t>
      </w:r>
    </w:p>
    <w:p>
      <w:pPr>
        <w:pStyle w:val="BodyText"/>
        <w:spacing w:line="240" w:lineRule="auto" w:before="95"/>
        <w:ind w:left="694" w:right="92"/>
        <w:jc w:val="left"/>
      </w:pPr>
      <w:r>
        <w:rPr/>
        <w:t>2.年末余额中无欠持本公司 5％以上（含</w:t>
      </w:r>
      <w:r>
        <w:rPr>
          <w:spacing w:val="-22"/>
        </w:rPr>
        <w:t> </w:t>
      </w:r>
      <w:r>
        <w:rPr/>
        <w:t>5％）表决权股份的股东款项，无欠关联方款</w:t>
      </w:r>
    </w:p>
    <w:p>
      <w:pPr>
        <w:spacing w:line="240" w:lineRule="auto" w:before="9"/>
        <w:rPr>
          <w:rFonts w:ascii="宋体" w:hAnsi="宋体" w:cs="宋体" w:eastAsia="宋体" w:hint="default"/>
          <w:sz w:val="7"/>
          <w:szCs w:val="7"/>
        </w:rPr>
      </w:pPr>
    </w:p>
    <w:p>
      <w:pPr>
        <w:pStyle w:val="BodyText"/>
        <w:spacing w:line="240" w:lineRule="auto" w:before="26"/>
        <w:ind w:left="154" w:right="212"/>
        <w:jc w:val="left"/>
      </w:pPr>
      <w:r>
        <w:rPr/>
        <w:t>项。</w:t>
      </w:r>
    </w:p>
    <w:p>
      <w:pPr>
        <w:pStyle w:val="BodyText"/>
        <w:spacing w:line="240" w:lineRule="auto" w:before="125"/>
        <w:ind w:left="694" w:right="0"/>
        <w:jc w:val="left"/>
      </w:pPr>
      <w:r>
        <w:rPr/>
        <w:t>3.应付账款年末数比年初数增加</w:t>
      </w:r>
      <w:r>
        <w:rPr>
          <w:spacing w:val="-56"/>
        </w:rPr>
        <w:t> </w:t>
      </w:r>
      <w:r>
        <w:rPr/>
        <w:t>77,610,733.84</w:t>
      </w:r>
      <w:r>
        <w:rPr>
          <w:spacing w:val="-56"/>
        </w:rPr>
        <w:t> </w:t>
      </w:r>
      <w:r>
        <w:rPr>
          <w:spacing w:val="-6"/>
        </w:rPr>
        <w:t>元，增加比例为</w:t>
      </w:r>
      <w:r>
        <w:rPr>
          <w:spacing w:val="-56"/>
        </w:rPr>
        <w:t> </w:t>
      </w:r>
      <w:r>
        <w:rPr>
          <w:spacing w:val="-4"/>
        </w:rPr>
        <w:t>59.64％，变动原因为：</w:t>
      </w:r>
    </w:p>
    <w:p>
      <w:pPr>
        <w:spacing w:line="240" w:lineRule="auto" w:before="9"/>
        <w:rPr>
          <w:rFonts w:ascii="宋体" w:hAnsi="宋体" w:cs="宋体" w:eastAsia="宋体" w:hint="default"/>
          <w:sz w:val="7"/>
          <w:szCs w:val="7"/>
        </w:rPr>
      </w:pPr>
    </w:p>
    <w:p>
      <w:pPr>
        <w:pStyle w:val="BodyText"/>
        <w:spacing w:line="336" w:lineRule="auto" w:before="26"/>
        <w:ind w:left="694" w:right="5290" w:hanging="540"/>
        <w:jc w:val="left"/>
      </w:pPr>
      <w:r>
        <w:rPr/>
        <w:t>公司本期因生产扩大相应采购量增加所致。 (十七)预收款项</w:t>
      </w:r>
    </w:p>
    <w:p>
      <w:pPr>
        <w:spacing w:line="240" w:lineRule="auto" w:before="11"/>
        <w:rPr>
          <w:rFonts w:ascii="宋体" w:hAnsi="宋体" w:cs="宋体" w:eastAsia="宋体" w:hint="default"/>
          <w:sz w:val="3"/>
          <w:szCs w:val="3"/>
        </w:rPr>
      </w:pPr>
    </w:p>
    <w:tbl>
      <w:tblPr>
        <w:tblW w:w="0" w:type="auto"/>
        <w:jc w:val="left"/>
        <w:tblInd w:w="314" w:type="dxa"/>
        <w:tblLayout w:type="fixed"/>
        <w:tblCellMar>
          <w:top w:w="0" w:type="dxa"/>
          <w:left w:w="0" w:type="dxa"/>
          <w:bottom w:w="0" w:type="dxa"/>
          <w:right w:w="0" w:type="dxa"/>
        </w:tblCellMar>
        <w:tblLook w:val="01E0"/>
      </w:tblPr>
      <w:tblGrid>
        <w:gridCol w:w="1189"/>
        <w:gridCol w:w="900"/>
        <w:gridCol w:w="2781"/>
        <w:gridCol w:w="2276"/>
      </w:tblGrid>
      <w:tr>
        <w:trPr>
          <w:trHeight w:val="669" w:hRule="exact"/>
        </w:trPr>
        <w:tc>
          <w:tcPr>
            <w:tcW w:w="1189" w:type="dxa"/>
            <w:tcBorders>
              <w:top w:val="nil" w:sz="6" w:space="0" w:color="auto"/>
              <w:left w:val="nil" w:sz="6" w:space="0" w:color="auto"/>
              <w:bottom w:val="nil" w:sz="6" w:space="0" w:color="auto"/>
              <w:right w:val="nil" w:sz="6" w:space="0" w:color="auto"/>
            </w:tcBorders>
          </w:tcPr>
          <w:p>
            <w:pPr>
              <w:pStyle w:val="TableParagraph"/>
              <w:tabs>
                <w:tab w:pos="484" w:val="left" w:leader="none"/>
                <w:tab w:pos="1185" w:val="left" w:leader="none"/>
              </w:tabs>
              <w:spacing w:line="314" w:lineRule="auto" w:before="44"/>
              <w:ind w:left="127" w:right="-16" w:hanging="9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账龄</w:t>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00" w:type="dxa"/>
            <w:tcBorders>
              <w:top w:val="nil" w:sz="6" w:space="0" w:color="auto"/>
              <w:left w:val="nil" w:sz="6" w:space="0" w:color="auto"/>
              <w:bottom w:val="nil" w:sz="6" w:space="0" w:color="auto"/>
              <w:right w:val="nil" w:sz="6" w:space="0" w:color="auto"/>
            </w:tcBorders>
          </w:tcPr>
          <w:p>
            <w:pPr/>
          </w:p>
        </w:tc>
        <w:tc>
          <w:tcPr>
            <w:tcW w:w="2781" w:type="dxa"/>
            <w:tcBorders>
              <w:top w:val="nil" w:sz="6" w:space="0" w:color="auto"/>
              <w:left w:val="nil" w:sz="6" w:space="0" w:color="auto"/>
              <w:bottom w:val="nil" w:sz="6" w:space="0" w:color="auto"/>
              <w:right w:val="nil" w:sz="6" w:space="0" w:color="auto"/>
            </w:tcBorders>
          </w:tcPr>
          <w:p>
            <w:pPr>
              <w:pStyle w:val="TableParagraph"/>
              <w:tabs>
                <w:tab w:pos="1079" w:val="left" w:leader="none"/>
                <w:tab w:pos="2159" w:val="left" w:leader="none"/>
              </w:tabs>
              <w:spacing w:line="240" w:lineRule="auto" w:before="44"/>
              <w:ind w:left="7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pStyle w:val="TableParagraph"/>
              <w:spacing w:line="240" w:lineRule="auto" w:before="74"/>
              <w:ind w:left="1242" w:right="0"/>
              <w:jc w:val="left"/>
              <w:rPr>
                <w:rFonts w:ascii="宋体" w:hAnsi="宋体" w:cs="宋体" w:eastAsia="宋体" w:hint="default"/>
                <w:sz w:val="18"/>
                <w:szCs w:val="18"/>
              </w:rPr>
            </w:pPr>
            <w:r>
              <w:rPr>
                <w:rFonts w:ascii="宋体"/>
                <w:sz w:val="18"/>
              </w:rPr>
              <w:t>1,348,333.78</w:t>
            </w:r>
          </w:p>
        </w:tc>
        <w:tc>
          <w:tcPr>
            <w:tcW w:w="2276" w:type="dxa"/>
            <w:tcBorders>
              <w:top w:val="nil" w:sz="6" w:space="0" w:color="auto"/>
              <w:left w:val="nil" w:sz="6" w:space="0" w:color="auto"/>
              <w:bottom w:val="nil" w:sz="6" w:space="0" w:color="auto"/>
              <w:right w:val="nil" w:sz="6" w:space="0" w:color="auto"/>
            </w:tcBorders>
          </w:tcPr>
          <w:p>
            <w:pPr>
              <w:pStyle w:val="TableParagraph"/>
              <w:tabs>
                <w:tab w:pos="998" w:val="left" w:leader="none"/>
                <w:tab w:pos="2078" w:val="left" w:leader="none"/>
              </w:tabs>
              <w:spacing w:line="240" w:lineRule="auto" w:before="44"/>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pStyle w:val="TableParagraph"/>
              <w:spacing w:line="240" w:lineRule="auto" w:before="74"/>
              <w:ind w:left="1071" w:right="0"/>
              <w:jc w:val="left"/>
              <w:rPr>
                <w:rFonts w:ascii="宋体" w:hAnsi="宋体" w:cs="宋体" w:eastAsia="宋体" w:hint="default"/>
                <w:sz w:val="18"/>
                <w:szCs w:val="18"/>
              </w:rPr>
            </w:pPr>
            <w:r>
              <w:rPr>
                <w:rFonts w:ascii="宋体"/>
                <w:sz w:val="18"/>
              </w:rPr>
              <w:t>11,746,754.99</w:t>
            </w:r>
          </w:p>
        </w:tc>
      </w:tr>
      <w:tr>
        <w:trPr>
          <w:trHeight w:val="340" w:hRule="exact"/>
        </w:trPr>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00" w:type="dxa"/>
            <w:tcBorders>
              <w:top w:val="nil" w:sz="6" w:space="0" w:color="auto"/>
              <w:left w:val="nil" w:sz="6" w:space="0" w:color="auto"/>
              <w:bottom w:val="nil" w:sz="6" w:space="0" w:color="auto"/>
              <w:right w:val="nil" w:sz="6" w:space="0" w:color="auto"/>
            </w:tcBorders>
          </w:tcPr>
          <w:p>
            <w:pPr/>
          </w:p>
        </w:tc>
        <w:tc>
          <w:tcPr>
            <w:tcW w:w="2781"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
        </w:tc>
      </w:tr>
      <w:tr>
        <w:trPr>
          <w:trHeight w:val="1010" w:hRule="exact"/>
        </w:trPr>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85"/>
              <w:ind w:left="12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p>
            <w:pPr>
              <w:pStyle w:val="TableParagraph"/>
              <w:spacing w:line="240" w:lineRule="auto" w:before="94"/>
              <w:ind w:left="649" w:right="0"/>
              <w:jc w:val="left"/>
              <w:rPr>
                <w:rFonts w:ascii="宋体" w:hAnsi="宋体" w:cs="宋体" w:eastAsia="宋体" w:hint="default"/>
                <w:sz w:val="18"/>
                <w:szCs w:val="18"/>
              </w:rPr>
            </w:pPr>
            <w:r>
              <w:rPr>
                <w:rFonts w:ascii="宋体" w:hAnsi="宋体" w:cs="宋体" w:eastAsia="宋体" w:hint="default"/>
                <w:sz w:val="18"/>
                <w:szCs w:val="18"/>
              </w:rPr>
              <w:t>合</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41" w:right="0"/>
              <w:jc w:val="left"/>
              <w:rPr>
                <w:rFonts w:ascii="宋体" w:hAnsi="宋体" w:cs="宋体" w:eastAsia="宋体" w:hint="default"/>
                <w:sz w:val="18"/>
                <w:szCs w:val="18"/>
              </w:rPr>
            </w:pPr>
            <w:r>
              <w:rPr>
                <w:rFonts w:ascii="宋体"/>
                <w:sz w:val="18"/>
              </w:rPr>
              <w:t>1,348,333.78</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71" w:right="0"/>
              <w:jc w:val="left"/>
              <w:rPr>
                <w:rFonts w:ascii="宋体" w:hAnsi="宋体" w:cs="宋体" w:eastAsia="宋体" w:hint="default"/>
                <w:sz w:val="18"/>
                <w:szCs w:val="18"/>
              </w:rPr>
            </w:pPr>
            <w:r>
              <w:rPr>
                <w:rFonts w:ascii="宋体"/>
                <w:sz w:val="18"/>
              </w:rPr>
              <w:t>11,746,754.99</w:t>
            </w:r>
          </w:p>
        </w:tc>
      </w:tr>
    </w:tbl>
    <w:p>
      <w:pPr>
        <w:pStyle w:val="BodyText"/>
        <w:spacing w:line="240" w:lineRule="auto" w:before="20"/>
        <w:ind w:left="694" w:right="0"/>
        <w:jc w:val="left"/>
      </w:pPr>
      <w:r>
        <w:rPr/>
        <w:t>1.年末余额中无欠持本公司</w:t>
      </w:r>
      <w:r>
        <w:rPr>
          <w:spacing w:val="-72"/>
        </w:rPr>
        <w:t> </w:t>
      </w:r>
      <w:r>
        <w:rPr/>
        <w:t>5%以上（含</w:t>
      </w:r>
      <w:r>
        <w:rPr>
          <w:spacing w:val="-72"/>
        </w:rPr>
        <w:t> </w:t>
      </w:r>
      <w:r>
        <w:rPr/>
        <w:t>5%）表决权股份的股东款项，无欠关联方款项。</w:t>
      </w:r>
    </w:p>
    <w:p>
      <w:pPr>
        <w:pStyle w:val="BodyText"/>
        <w:spacing w:line="336" w:lineRule="auto" w:before="126"/>
        <w:ind w:left="154" w:right="93" w:firstLine="540"/>
        <w:jc w:val="left"/>
      </w:pPr>
      <w:r>
        <w:rPr/>
        <w:t>2.预收账款年末数比年初数减少</w:t>
      </w:r>
      <w:r>
        <w:rPr>
          <w:spacing w:val="-66"/>
        </w:rPr>
        <w:t> </w:t>
      </w:r>
      <w:r>
        <w:rPr/>
        <w:t>10,398,421.21</w:t>
      </w:r>
      <w:r>
        <w:rPr>
          <w:spacing w:val="-11"/>
        </w:rPr>
        <w:t> </w:t>
      </w:r>
      <w:r>
        <w:rPr/>
        <w:t>元，减少比例为</w:t>
      </w:r>
      <w:r>
        <w:rPr>
          <w:spacing w:val="-66"/>
        </w:rPr>
        <w:t> </w:t>
      </w:r>
      <w:r>
        <w:rPr/>
        <w:t>88.52%，变动原因为：</w:t>
      </w:r>
      <w:r>
        <w:rPr/>
        <w:t> 年初预收货款本期销售实现。</w:t>
      </w:r>
    </w:p>
    <w:p>
      <w:pPr>
        <w:pStyle w:val="BodyText"/>
        <w:spacing w:line="240" w:lineRule="auto"/>
        <w:ind w:left="694" w:right="212"/>
        <w:jc w:val="left"/>
      </w:pPr>
      <w:r>
        <w:rPr/>
        <w:t>(十八)应付职工薪酬</w:t>
      </w:r>
    </w:p>
    <w:p>
      <w:pPr>
        <w:spacing w:line="240" w:lineRule="auto" w:before="12"/>
        <w:rPr>
          <w:rFonts w:ascii="宋体" w:hAnsi="宋体" w:cs="宋体" w:eastAsia="宋体" w:hint="default"/>
          <w:sz w:val="7"/>
          <w:szCs w:val="7"/>
        </w:rPr>
      </w:pPr>
    </w:p>
    <w:tbl>
      <w:tblPr>
        <w:tblW w:w="0" w:type="auto"/>
        <w:jc w:val="left"/>
        <w:tblInd w:w="332" w:type="dxa"/>
        <w:tblLayout w:type="fixed"/>
        <w:tblCellMar>
          <w:top w:w="0" w:type="dxa"/>
          <w:left w:w="0" w:type="dxa"/>
          <w:bottom w:w="0" w:type="dxa"/>
          <w:right w:w="0" w:type="dxa"/>
        </w:tblCellMar>
        <w:tblLook w:val="01E0"/>
      </w:tblPr>
      <w:tblGrid>
        <w:gridCol w:w="2484"/>
        <w:gridCol w:w="1804"/>
        <w:gridCol w:w="1680"/>
        <w:gridCol w:w="1627"/>
        <w:gridCol w:w="1317"/>
      </w:tblGrid>
      <w:tr>
        <w:trPr>
          <w:trHeight w:val="671" w:hRule="exact"/>
        </w:trPr>
        <w:tc>
          <w:tcPr>
            <w:tcW w:w="2484" w:type="dxa"/>
            <w:tcBorders>
              <w:top w:val="nil" w:sz="6" w:space="0" w:color="auto"/>
              <w:left w:val="nil" w:sz="6" w:space="0" w:color="auto"/>
              <w:bottom w:val="nil" w:sz="6" w:space="0" w:color="auto"/>
              <w:right w:val="nil" w:sz="6" w:space="0" w:color="auto"/>
            </w:tcBorders>
          </w:tcPr>
          <w:p>
            <w:pPr>
              <w:pStyle w:val="TableParagraph"/>
              <w:tabs>
                <w:tab w:pos="754" w:val="left" w:leader="none"/>
                <w:tab w:pos="1204" w:val="left" w:leader="none"/>
                <w:tab w:pos="1997" w:val="left" w:leader="none"/>
              </w:tabs>
              <w:spacing w:line="321" w:lineRule="auto" w:before="44"/>
              <w:ind w:left="35" w:right="467"/>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工资、奖金、津贴和补贴</w:t>
            </w:r>
          </w:p>
        </w:tc>
        <w:tc>
          <w:tcPr>
            <w:tcW w:w="1804" w:type="dxa"/>
            <w:tcBorders>
              <w:top w:val="nil" w:sz="6" w:space="0" w:color="auto"/>
              <w:left w:val="nil" w:sz="6" w:space="0" w:color="auto"/>
              <w:bottom w:val="nil" w:sz="6" w:space="0" w:color="auto"/>
              <w:right w:val="nil" w:sz="6" w:space="0" w:color="auto"/>
            </w:tcBorders>
          </w:tcPr>
          <w:p>
            <w:pPr>
              <w:pStyle w:val="TableParagraph"/>
              <w:tabs>
                <w:tab w:pos="1009" w:val="left" w:leader="none"/>
              </w:tabs>
              <w:spacing w:line="314" w:lineRule="auto" w:before="44"/>
              <w:ind w:left="469" w:right="254"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r>
            <w:r>
              <w:rPr>
                <w:rFonts w:ascii="宋体" w:hAnsi="宋体" w:cs="宋体" w:eastAsia="宋体" w:hint="default"/>
                <w:sz w:val="18"/>
                <w:szCs w:val="18"/>
              </w:rPr>
            </w:r>
            <w:r>
              <w:rPr>
                <w:rFonts w:ascii="宋体" w:hAnsi="宋体" w:cs="宋体" w:eastAsia="宋体" w:hint="default"/>
                <w:sz w:val="18"/>
                <w:szCs w:val="18"/>
              </w:rPr>
              <w:t> 4,904,426.14</w:t>
            </w:r>
          </w:p>
        </w:tc>
        <w:tc>
          <w:tcPr>
            <w:tcW w:w="1680" w:type="dxa"/>
            <w:tcBorders>
              <w:top w:val="nil" w:sz="6" w:space="0" w:color="auto"/>
              <w:left w:val="nil" w:sz="6" w:space="0" w:color="auto"/>
              <w:bottom w:val="nil" w:sz="6" w:space="0" w:color="auto"/>
              <w:right w:val="nil" w:sz="6" w:space="0" w:color="auto"/>
            </w:tcBorders>
          </w:tcPr>
          <w:p>
            <w:pPr>
              <w:pStyle w:val="TableParagraph"/>
              <w:tabs>
                <w:tab w:pos="704" w:val="left" w:leader="none"/>
              </w:tabs>
              <w:spacing w:line="314" w:lineRule="auto" w:before="44"/>
              <w:ind w:left="254" w:right="25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本年增加</w:t>
            </w:r>
            <w:r>
              <w:rPr>
                <w:rFonts w:ascii="宋体" w:hAnsi="宋体" w:cs="宋体" w:eastAsia="宋体" w:hint="default"/>
                <w:sz w:val="18"/>
                <w:szCs w:val="18"/>
              </w:rPr>
            </w:r>
            <w:r>
              <w:rPr>
                <w:rFonts w:ascii="宋体" w:hAnsi="宋体" w:cs="宋体" w:eastAsia="宋体" w:hint="default"/>
                <w:sz w:val="18"/>
                <w:szCs w:val="18"/>
              </w:rPr>
              <w:t> 47,162,310.08</w:t>
            </w:r>
          </w:p>
        </w:tc>
        <w:tc>
          <w:tcPr>
            <w:tcW w:w="1627" w:type="dxa"/>
            <w:tcBorders>
              <w:top w:val="nil" w:sz="6" w:space="0" w:color="auto"/>
              <w:left w:val="nil" w:sz="6" w:space="0" w:color="auto"/>
              <w:bottom w:val="nil" w:sz="6" w:space="0" w:color="auto"/>
              <w:right w:val="nil" w:sz="6" w:space="0" w:color="auto"/>
            </w:tcBorders>
          </w:tcPr>
          <w:p>
            <w:pPr>
              <w:pStyle w:val="TableParagraph"/>
              <w:tabs>
                <w:tab w:pos="704" w:val="left" w:leader="none"/>
              </w:tabs>
              <w:spacing w:line="314" w:lineRule="auto" w:before="44"/>
              <w:ind w:left="254" w:right="20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本年支付</w:t>
            </w:r>
            <w:r>
              <w:rPr>
                <w:rFonts w:ascii="宋体" w:hAnsi="宋体" w:cs="宋体" w:eastAsia="宋体" w:hint="default"/>
                <w:sz w:val="18"/>
                <w:szCs w:val="18"/>
              </w:rPr>
            </w:r>
            <w:r>
              <w:rPr>
                <w:rFonts w:ascii="宋体" w:hAnsi="宋体" w:cs="宋体" w:eastAsia="宋体" w:hint="default"/>
                <w:sz w:val="18"/>
                <w:szCs w:val="18"/>
              </w:rPr>
              <w:t> 48,226,847.59</w:t>
            </w:r>
          </w:p>
        </w:tc>
        <w:tc>
          <w:tcPr>
            <w:tcW w:w="1317" w:type="dxa"/>
            <w:tcBorders>
              <w:top w:val="nil" w:sz="6" w:space="0" w:color="auto"/>
              <w:left w:val="nil" w:sz="6" w:space="0" w:color="auto"/>
              <w:bottom w:val="nil" w:sz="6" w:space="0" w:color="auto"/>
              <w:right w:val="nil" w:sz="6" w:space="0" w:color="auto"/>
            </w:tcBorders>
          </w:tcPr>
          <w:p>
            <w:pPr>
              <w:pStyle w:val="TableParagraph"/>
              <w:tabs>
                <w:tab w:pos="742" w:val="left" w:leader="none"/>
              </w:tabs>
              <w:spacing w:line="314" w:lineRule="auto" w:before="44"/>
              <w:ind w:left="202" w:right="33"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r>
            <w:r>
              <w:rPr>
                <w:rFonts w:ascii="宋体" w:hAnsi="宋体" w:cs="宋体" w:eastAsia="宋体" w:hint="default"/>
                <w:sz w:val="18"/>
                <w:szCs w:val="18"/>
              </w:rPr>
            </w:r>
            <w:r>
              <w:rPr>
                <w:rFonts w:ascii="宋体" w:hAnsi="宋体" w:cs="宋体" w:eastAsia="宋体" w:hint="default"/>
                <w:sz w:val="18"/>
                <w:szCs w:val="18"/>
              </w:rPr>
              <w:t> 3,839,888.63</w:t>
            </w:r>
          </w:p>
        </w:tc>
      </w:tr>
      <w:tr>
        <w:trPr>
          <w:trHeight w:val="340"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4"/>
              <w:jc w:val="right"/>
              <w:rPr>
                <w:rFonts w:ascii="宋体" w:hAnsi="宋体" w:cs="宋体" w:eastAsia="宋体" w:hint="default"/>
                <w:sz w:val="18"/>
                <w:szCs w:val="18"/>
              </w:rPr>
            </w:pPr>
            <w:r>
              <w:rPr>
                <w:rFonts w:ascii="宋体"/>
                <w:sz w:val="18"/>
              </w:rPr>
              <w:t>1,978,332.94</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3"/>
              <w:jc w:val="right"/>
              <w:rPr>
                <w:rFonts w:ascii="宋体" w:hAnsi="宋体" w:cs="宋体" w:eastAsia="宋体" w:hint="default"/>
                <w:sz w:val="18"/>
                <w:szCs w:val="18"/>
              </w:rPr>
            </w:pPr>
            <w:r>
              <w:rPr>
                <w:rFonts w:ascii="宋体"/>
                <w:sz w:val="18"/>
              </w:rPr>
              <w:t>338,138.01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宋体" w:hAnsi="宋体" w:cs="宋体" w:eastAsia="宋体" w:hint="default"/>
                <w:sz w:val="18"/>
                <w:szCs w:val="18"/>
              </w:rPr>
            </w:pPr>
            <w:r>
              <w:rPr>
                <w:rFonts w:ascii="宋体"/>
                <w:sz w:val="18"/>
              </w:rPr>
              <w:t>2,316,470.95</w:t>
            </w:r>
          </w:p>
        </w:tc>
        <w:tc>
          <w:tcPr>
            <w:tcW w:w="1317" w:type="dxa"/>
            <w:tcBorders>
              <w:top w:val="nil" w:sz="6" w:space="0" w:color="auto"/>
              <w:left w:val="nil" w:sz="6" w:space="0" w:color="auto"/>
              <w:bottom w:val="nil" w:sz="6" w:space="0" w:color="auto"/>
              <w:right w:val="nil" w:sz="6" w:space="0" w:color="auto"/>
            </w:tcBorders>
          </w:tcPr>
          <w:p>
            <w:pPr/>
          </w:p>
        </w:tc>
      </w:tr>
      <w:tr>
        <w:trPr>
          <w:trHeight w:val="344"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0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4"/>
              <w:jc w:val="right"/>
              <w:rPr>
                <w:rFonts w:ascii="宋体" w:hAnsi="宋体" w:cs="宋体" w:eastAsia="宋体" w:hint="default"/>
                <w:sz w:val="18"/>
                <w:szCs w:val="18"/>
              </w:rPr>
            </w:pPr>
            <w:r>
              <w:rPr>
                <w:rFonts w:ascii="宋体"/>
                <w:sz w:val="18"/>
              </w:rPr>
              <w:t>570,469.85</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宋体" w:hAnsi="宋体" w:cs="宋体" w:eastAsia="宋体" w:hint="default"/>
                <w:sz w:val="18"/>
                <w:szCs w:val="18"/>
              </w:rPr>
            </w:pPr>
            <w:r>
              <w:rPr>
                <w:rFonts w:ascii="宋体"/>
                <w:sz w:val="18"/>
              </w:rPr>
              <w:t>570,469.85</w:t>
            </w:r>
          </w:p>
        </w:tc>
        <w:tc>
          <w:tcPr>
            <w:tcW w:w="1317" w:type="dxa"/>
            <w:tcBorders>
              <w:top w:val="nil" w:sz="6" w:space="0" w:color="auto"/>
              <w:left w:val="nil" w:sz="6" w:space="0" w:color="auto"/>
              <w:bottom w:val="nil" w:sz="6" w:space="0" w:color="auto"/>
              <w:right w:val="nil" w:sz="6" w:space="0" w:color="auto"/>
            </w:tcBorders>
          </w:tcPr>
          <w:p>
            <w:pPr/>
          </w:p>
        </w:tc>
      </w:tr>
      <w:tr>
        <w:trPr>
          <w:trHeight w:val="340"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0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4"/>
              <w:jc w:val="right"/>
              <w:rPr>
                <w:rFonts w:ascii="宋体" w:hAnsi="宋体" w:cs="宋体" w:eastAsia="宋体" w:hint="default"/>
                <w:sz w:val="18"/>
                <w:szCs w:val="18"/>
              </w:rPr>
            </w:pPr>
            <w:r>
              <w:rPr>
                <w:rFonts w:ascii="宋体"/>
                <w:sz w:val="18"/>
              </w:rPr>
              <w:t>145,474.46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宋体" w:hAnsi="宋体" w:cs="宋体" w:eastAsia="宋体" w:hint="default"/>
                <w:sz w:val="18"/>
                <w:szCs w:val="18"/>
              </w:rPr>
            </w:pPr>
            <w:r>
              <w:rPr>
                <w:rFonts w:ascii="宋体"/>
                <w:sz w:val="18"/>
              </w:rPr>
              <w:t>145,474.46</w:t>
            </w:r>
          </w:p>
        </w:tc>
        <w:tc>
          <w:tcPr>
            <w:tcW w:w="1317" w:type="dxa"/>
            <w:tcBorders>
              <w:top w:val="nil" w:sz="6" w:space="0" w:color="auto"/>
              <w:left w:val="nil" w:sz="6" w:space="0" w:color="auto"/>
              <w:bottom w:val="nil" w:sz="6" w:space="0" w:color="auto"/>
              <w:right w:val="nil" w:sz="6" w:space="0" w:color="auto"/>
            </w:tcBorders>
          </w:tcPr>
          <w:p>
            <w:pPr/>
          </w:p>
        </w:tc>
      </w:tr>
      <w:tr>
        <w:trPr>
          <w:trHeight w:val="340"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75"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0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4"/>
              <w:jc w:val="right"/>
              <w:rPr>
                <w:rFonts w:ascii="宋体" w:hAnsi="宋体" w:cs="宋体" w:eastAsia="宋体" w:hint="default"/>
                <w:sz w:val="18"/>
                <w:szCs w:val="18"/>
              </w:rPr>
            </w:pPr>
            <w:r>
              <w:rPr>
                <w:rFonts w:ascii="宋体"/>
                <w:sz w:val="18"/>
              </w:rPr>
              <w:t>363,494.62</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宋体" w:hAnsi="宋体" w:cs="宋体" w:eastAsia="宋体" w:hint="default"/>
                <w:sz w:val="18"/>
                <w:szCs w:val="18"/>
              </w:rPr>
            </w:pPr>
            <w:r>
              <w:rPr>
                <w:rFonts w:ascii="宋体"/>
                <w:sz w:val="18"/>
              </w:rPr>
              <w:t>363,494.62</w:t>
            </w:r>
          </w:p>
        </w:tc>
        <w:tc>
          <w:tcPr>
            <w:tcW w:w="1317" w:type="dxa"/>
            <w:tcBorders>
              <w:top w:val="nil" w:sz="6" w:space="0" w:color="auto"/>
              <w:left w:val="nil" w:sz="6" w:space="0" w:color="auto"/>
              <w:bottom w:val="nil" w:sz="6" w:space="0" w:color="auto"/>
              <w:right w:val="nil" w:sz="6" w:space="0" w:color="auto"/>
            </w:tcBorders>
          </w:tcPr>
          <w:p>
            <w:pPr/>
          </w:p>
        </w:tc>
      </w:tr>
      <w:tr>
        <w:trPr>
          <w:trHeight w:val="338"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75"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0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4"/>
              <w:jc w:val="right"/>
              <w:rPr>
                <w:rFonts w:ascii="宋体" w:hAnsi="宋体" w:cs="宋体" w:eastAsia="宋体" w:hint="default"/>
                <w:sz w:val="18"/>
                <w:szCs w:val="18"/>
              </w:rPr>
            </w:pPr>
            <w:r>
              <w:rPr>
                <w:rFonts w:ascii="宋体"/>
                <w:sz w:val="18"/>
              </w:rPr>
              <w:t>44,372.54</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宋体" w:hAnsi="宋体" w:cs="宋体" w:eastAsia="宋体" w:hint="default"/>
                <w:sz w:val="18"/>
                <w:szCs w:val="18"/>
              </w:rPr>
            </w:pPr>
            <w:r>
              <w:rPr>
                <w:rFonts w:ascii="宋体"/>
                <w:sz w:val="18"/>
              </w:rPr>
              <w:t>44,372.54</w:t>
            </w:r>
          </w:p>
        </w:tc>
        <w:tc>
          <w:tcPr>
            <w:tcW w:w="1317" w:type="dxa"/>
            <w:tcBorders>
              <w:top w:val="nil" w:sz="6" w:space="0" w:color="auto"/>
              <w:left w:val="nil" w:sz="6" w:space="0" w:color="auto"/>
              <w:bottom w:val="nil" w:sz="6" w:space="0" w:color="auto"/>
              <w:right w:val="nil" w:sz="6" w:space="0" w:color="auto"/>
            </w:tcBorders>
          </w:tcPr>
          <w:p>
            <w:pPr/>
          </w:p>
        </w:tc>
      </w:tr>
      <w:tr>
        <w:trPr>
          <w:trHeight w:val="337"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7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0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4"/>
              <w:jc w:val="right"/>
              <w:rPr>
                <w:rFonts w:ascii="宋体" w:hAnsi="宋体" w:cs="宋体" w:eastAsia="宋体" w:hint="default"/>
                <w:sz w:val="18"/>
                <w:szCs w:val="18"/>
              </w:rPr>
            </w:pPr>
            <w:r>
              <w:rPr>
                <w:rFonts w:ascii="宋体"/>
                <w:sz w:val="18"/>
              </w:rPr>
              <w:t>14,977.80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宋体" w:hAnsi="宋体" w:cs="宋体" w:eastAsia="宋体" w:hint="default"/>
                <w:sz w:val="18"/>
                <w:szCs w:val="18"/>
              </w:rPr>
            </w:pPr>
            <w:r>
              <w:rPr>
                <w:rFonts w:ascii="宋体"/>
                <w:sz w:val="18"/>
              </w:rPr>
              <w:t>14,977.80</w:t>
            </w:r>
          </w:p>
        </w:tc>
        <w:tc>
          <w:tcPr>
            <w:tcW w:w="1317" w:type="dxa"/>
            <w:tcBorders>
              <w:top w:val="nil" w:sz="6" w:space="0" w:color="auto"/>
              <w:left w:val="nil" w:sz="6" w:space="0" w:color="auto"/>
              <w:bottom w:val="nil" w:sz="6" w:space="0" w:color="auto"/>
              <w:right w:val="nil" w:sz="6" w:space="0" w:color="auto"/>
            </w:tcBorders>
          </w:tcPr>
          <w:p>
            <w:pPr/>
          </w:p>
        </w:tc>
      </w:tr>
      <w:tr>
        <w:trPr>
          <w:trHeight w:val="343"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7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04"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4"/>
              <w:jc w:val="right"/>
              <w:rPr>
                <w:rFonts w:ascii="宋体" w:hAnsi="宋体" w:cs="宋体" w:eastAsia="宋体" w:hint="default"/>
                <w:sz w:val="18"/>
                <w:szCs w:val="18"/>
              </w:rPr>
            </w:pPr>
            <w:r>
              <w:rPr>
                <w:rFonts w:ascii="宋体"/>
                <w:sz w:val="18"/>
              </w:rPr>
              <w:t>2,150.43</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宋体" w:hAnsi="宋体" w:cs="宋体" w:eastAsia="宋体" w:hint="default"/>
                <w:sz w:val="18"/>
                <w:szCs w:val="18"/>
              </w:rPr>
            </w:pPr>
            <w:r>
              <w:rPr>
                <w:rFonts w:ascii="宋体"/>
                <w:sz w:val="18"/>
              </w:rPr>
              <w:t>2,150.43</w:t>
            </w:r>
          </w:p>
        </w:tc>
        <w:tc>
          <w:tcPr>
            <w:tcW w:w="1317" w:type="dxa"/>
            <w:tcBorders>
              <w:top w:val="nil" w:sz="6" w:space="0" w:color="auto"/>
              <w:left w:val="nil" w:sz="6" w:space="0" w:color="auto"/>
              <w:bottom w:val="nil" w:sz="6" w:space="0" w:color="auto"/>
              <w:right w:val="nil" w:sz="6" w:space="0" w:color="auto"/>
            </w:tcBorders>
          </w:tcPr>
          <w:p>
            <w:pPr/>
          </w:p>
        </w:tc>
      </w:tr>
      <w:tr>
        <w:trPr>
          <w:trHeight w:val="350"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3"/>
              <w:jc w:val="right"/>
              <w:rPr>
                <w:rFonts w:ascii="宋体" w:hAnsi="宋体" w:cs="宋体" w:eastAsia="宋体" w:hint="default"/>
                <w:sz w:val="18"/>
                <w:szCs w:val="18"/>
              </w:rPr>
            </w:pPr>
            <w:r>
              <w:rPr>
                <w:rFonts w:ascii="宋体"/>
                <w:sz w:val="18"/>
              </w:rPr>
              <w:t>-228</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53"/>
              <w:jc w:val="right"/>
              <w:rPr>
                <w:rFonts w:ascii="宋体" w:hAnsi="宋体" w:cs="宋体" w:eastAsia="宋体" w:hint="default"/>
                <w:sz w:val="18"/>
                <w:szCs w:val="18"/>
              </w:rPr>
            </w:pPr>
            <w:r>
              <w:rPr>
                <w:rFonts w:ascii="宋体"/>
                <w:sz w:val="18"/>
              </w:rPr>
              <w:t>15,431.80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0"/>
              <w:jc w:val="right"/>
              <w:rPr>
                <w:rFonts w:ascii="宋体" w:hAnsi="宋体" w:cs="宋体" w:eastAsia="宋体" w:hint="default"/>
                <w:sz w:val="18"/>
                <w:szCs w:val="18"/>
              </w:rPr>
            </w:pPr>
            <w:r>
              <w:rPr>
                <w:rFonts w:ascii="宋体"/>
                <w:sz w:val="18"/>
              </w:rPr>
              <w:t>15,203.80</w:t>
            </w:r>
          </w:p>
        </w:tc>
        <w:tc>
          <w:tcPr>
            <w:tcW w:w="1317" w:type="dxa"/>
            <w:tcBorders>
              <w:top w:val="nil" w:sz="6" w:space="0" w:color="auto"/>
              <w:left w:val="nil" w:sz="6" w:space="0" w:color="auto"/>
              <w:bottom w:val="nil" w:sz="6" w:space="0" w:color="auto"/>
              <w:right w:val="nil" w:sz="6" w:space="0" w:color="auto"/>
            </w:tcBorders>
          </w:tcPr>
          <w:p>
            <w:pPr/>
          </w:p>
        </w:tc>
      </w:tr>
      <w:tr>
        <w:trPr>
          <w:trHeight w:val="325"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工会经费和职工教育</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3"/>
              <w:jc w:val="right"/>
              <w:rPr>
                <w:rFonts w:ascii="宋体" w:hAnsi="宋体" w:cs="宋体" w:eastAsia="宋体" w:hint="default"/>
                <w:sz w:val="18"/>
                <w:szCs w:val="18"/>
              </w:rPr>
            </w:pPr>
            <w:r>
              <w:rPr>
                <w:rFonts w:ascii="宋体"/>
                <w:sz w:val="18"/>
              </w:rPr>
              <w:t>667,665.72</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3"/>
              <w:jc w:val="right"/>
              <w:rPr>
                <w:rFonts w:ascii="宋体" w:hAnsi="宋体" w:cs="宋体" w:eastAsia="宋体" w:hint="default"/>
                <w:sz w:val="18"/>
                <w:szCs w:val="18"/>
              </w:rPr>
            </w:pPr>
            <w:r>
              <w:rPr>
                <w:rFonts w:ascii="宋体"/>
                <w:sz w:val="18"/>
              </w:rPr>
              <w:t>883,522.82</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0"/>
              <w:jc w:val="right"/>
              <w:rPr>
                <w:rFonts w:ascii="宋体" w:hAnsi="宋体" w:cs="宋体" w:eastAsia="宋体" w:hint="default"/>
                <w:sz w:val="18"/>
                <w:szCs w:val="18"/>
              </w:rPr>
            </w:pPr>
            <w:r>
              <w:rPr>
                <w:rFonts w:ascii="宋体"/>
                <w:sz w:val="18"/>
              </w:rPr>
              <w:t>1,551,188.54</w:t>
            </w:r>
          </w:p>
        </w:tc>
        <w:tc>
          <w:tcPr>
            <w:tcW w:w="1317" w:type="dxa"/>
            <w:tcBorders>
              <w:top w:val="nil" w:sz="6" w:space="0" w:color="auto"/>
              <w:left w:val="nil" w:sz="6" w:space="0" w:color="auto"/>
              <w:bottom w:val="nil" w:sz="6" w:space="0" w:color="auto"/>
              <w:right w:val="nil" w:sz="6" w:space="0" w:color="auto"/>
            </w:tcBorders>
          </w:tcPr>
          <w:p>
            <w:pPr/>
          </w:p>
        </w:tc>
      </w:tr>
      <w:tr>
        <w:trPr>
          <w:trHeight w:val="314"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9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4"/>
              <w:jc w:val="right"/>
              <w:rPr>
                <w:rFonts w:ascii="宋体" w:hAnsi="宋体" w:cs="宋体" w:eastAsia="宋体" w:hint="default"/>
                <w:sz w:val="18"/>
                <w:szCs w:val="18"/>
              </w:rPr>
            </w:pPr>
            <w:r>
              <w:rPr>
                <w:rFonts w:ascii="宋体"/>
                <w:sz w:val="18"/>
              </w:rPr>
              <w:t>7,550,196.80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3"/>
              <w:jc w:val="right"/>
              <w:rPr>
                <w:rFonts w:ascii="宋体" w:hAnsi="宋体" w:cs="宋体" w:eastAsia="宋体" w:hint="default"/>
                <w:sz w:val="18"/>
                <w:szCs w:val="18"/>
              </w:rPr>
            </w:pPr>
            <w:r>
              <w:rPr>
                <w:rFonts w:ascii="宋体"/>
                <w:sz w:val="18"/>
              </w:rPr>
              <w:t>48,969,872.56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0"/>
              <w:jc w:val="right"/>
              <w:rPr>
                <w:rFonts w:ascii="宋体" w:hAnsi="宋体" w:cs="宋体" w:eastAsia="宋体" w:hint="default"/>
                <w:sz w:val="18"/>
                <w:szCs w:val="18"/>
              </w:rPr>
            </w:pPr>
            <w:r>
              <w:rPr>
                <w:rFonts w:ascii="宋体"/>
                <w:sz w:val="18"/>
              </w:rPr>
              <w:t>52,680,180.73</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2" w:right="0"/>
              <w:jc w:val="left"/>
              <w:rPr>
                <w:rFonts w:ascii="宋体" w:hAnsi="宋体" w:cs="宋体" w:eastAsia="宋体" w:hint="default"/>
                <w:sz w:val="18"/>
                <w:szCs w:val="18"/>
              </w:rPr>
            </w:pPr>
            <w:r>
              <w:rPr>
                <w:rFonts w:ascii="宋体"/>
                <w:sz w:val="18"/>
              </w:rPr>
              <w:t>3,839,888.63</w:t>
            </w:r>
          </w:p>
        </w:tc>
      </w:tr>
    </w:tbl>
    <w:p>
      <w:pPr>
        <w:spacing w:after="0" w:line="240" w:lineRule="auto"/>
        <w:jc w:val="left"/>
        <w:rPr>
          <w:rFonts w:ascii="宋体" w:hAnsi="宋体" w:cs="宋体" w:eastAsia="宋体" w:hint="default"/>
          <w:sz w:val="18"/>
          <w:szCs w:val="18"/>
        </w:rPr>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214" w:right="131" w:firstLine="540"/>
        <w:jc w:val="left"/>
      </w:pPr>
      <w:r>
        <w:rPr/>
        <w:t>应付职工薪酬较上年减少</w:t>
      </w:r>
      <w:r>
        <w:rPr>
          <w:spacing w:val="-47"/>
        </w:rPr>
        <w:t> </w:t>
      </w:r>
      <w:r>
        <w:rPr/>
        <w:t>3,710,308.17</w:t>
      </w:r>
      <w:r>
        <w:rPr>
          <w:spacing w:val="-47"/>
        </w:rPr>
        <w:t> </w:t>
      </w:r>
      <w:r>
        <w:rPr/>
        <w:t>元，减少比例为</w:t>
      </w:r>
      <w:r>
        <w:rPr>
          <w:spacing w:val="-47"/>
        </w:rPr>
        <w:t> </w:t>
      </w:r>
      <w:r>
        <w:rPr/>
        <w:t>49.14%，变动原因为：本年职</w:t>
      </w:r>
      <w:r>
        <w:rPr/>
        <w:t> 工福利费不再计提，按实际发生额支付。</w:t>
      </w:r>
    </w:p>
    <w:p>
      <w:pPr>
        <w:pStyle w:val="BodyText"/>
        <w:spacing w:line="240" w:lineRule="auto" w:before="29"/>
        <w:ind w:left="754" w:right="131"/>
        <w:jc w:val="left"/>
      </w:pPr>
      <w:r>
        <w:rPr/>
        <w:t>(十九)应交税费</w:t>
      </w:r>
    </w:p>
    <w:p>
      <w:pPr>
        <w:spacing w:line="240" w:lineRule="auto" w:before="1"/>
        <w:rPr>
          <w:rFonts w:ascii="宋体" w:hAnsi="宋体" w:cs="宋体" w:eastAsia="宋体" w:hint="default"/>
          <w:sz w:val="3"/>
          <w:szCs w:val="3"/>
        </w:rPr>
      </w:pPr>
    </w:p>
    <w:tbl>
      <w:tblPr>
        <w:tblW w:w="0" w:type="auto"/>
        <w:jc w:val="left"/>
        <w:tblInd w:w="392" w:type="dxa"/>
        <w:tblLayout w:type="fixed"/>
        <w:tblCellMar>
          <w:top w:w="0" w:type="dxa"/>
          <w:left w:w="0" w:type="dxa"/>
          <w:bottom w:w="0" w:type="dxa"/>
          <w:right w:w="0" w:type="dxa"/>
        </w:tblCellMar>
        <w:tblLook w:val="01E0"/>
      </w:tblPr>
      <w:tblGrid>
        <w:gridCol w:w="2366"/>
        <w:gridCol w:w="2768"/>
        <w:gridCol w:w="2117"/>
        <w:gridCol w:w="1858"/>
      </w:tblGrid>
      <w:tr>
        <w:trPr>
          <w:trHeight w:val="519" w:hRule="exact"/>
        </w:trPr>
        <w:tc>
          <w:tcPr>
            <w:tcW w:w="2366" w:type="dxa"/>
            <w:tcBorders>
              <w:top w:val="nil" w:sz="6" w:space="0" w:color="auto"/>
              <w:left w:val="nil" w:sz="6" w:space="0" w:color="auto"/>
              <w:bottom w:val="nil" w:sz="6" w:space="0" w:color="auto"/>
              <w:right w:val="nil" w:sz="6" w:space="0" w:color="auto"/>
            </w:tcBorders>
          </w:tcPr>
          <w:p>
            <w:pPr>
              <w:pStyle w:val="TableParagraph"/>
              <w:tabs>
                <w:tab w:pos="484" w:val="left" w:leader="none"/>
                <w:tab w:pos="934" w:val="left" w:leader="none"/>
                <w:tab w:pos="1457" w:val="left" w:leader="none"/>
              </w:tabs>
              <w:spacing w:line="244" w:lineRule="auto"/>
              <w:ind w:left="35" w:right="88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税</w:t>
              <w:tab/>
              <w:t>种</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增值税</w:t>
            </w:r>
          </w:p>
        </w:tc>
        <w:tc>
          <w:tcPr>
            <w:tcW w:w="2768" w:type="dxa"/>
            <w:tcBorders>
              <w:top w:val="nil" w:sz="6" w:space="0" w:color="auto"/>
              <w:left w:val="nil" w:sz="6" w:space="0" w:color="auto"/>
              <w:bottom w:val="nil" w:sz="6" w:space="0" w:color="auto"/>
              <w:right w:val="nil" w:sz="6" w:space="0" w:color="auto"/>
            </w:tcBorders>
          </w:tcPr>
          <w:p>
            <w:pPr>
              <w:pStyle w:val="TableParagraph"/>
              <w:tabs>
                <w:tab w:pos="1250" w:val="left" w:leader="none"/>
                <w:tab w:pos="2240" w:val="left" w:leader="none"/>
              </w:tabs>
              <w:spacing w:line="229" w:lineRule="exact"/>
              <w:ind w:left="8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pStyle w:val="TableParagraph"/>
              <w:spacing w:line="232" w:lineRule="exact"/>
              <w:ind w:left="1397" w:right="0"/>
              <w:jc w:val="left"/>
              <w:rPr>
                <w:rFonts w:ascii="宋体" w:hAnsi="宋体" w:cs="宋体" w:eastAsia="宋体" w:hint="default"/>
                <w:sz w:val="18"/>
                <w:szCs w:val="18"/>
              </w:rPr>
            </w:pPr>
            <w:r>
              <w:rPr>
                <w:rFonts w:ascii="宋体"/>
                <w:sz w:val="18"/>
              </w:rPr>
              <w:t>-354,035.64</w:t>
            </w:r>
          </w:p>
        </w:tc>
        <w:tc>
          <w:tcPr>
            <w:tcW w:w="2117" w:type="dxa"/>
            <w:tcBorders>
              <w:top w:val="nil" w:sz="6" w:space="0" w:color="auto"/>
              <w:left w:val="nil" w:sz="6" w:space="0" w:color="auto"/>
              <w:bottom w:val="nil" w:sz="6" w:space="0" w:color="auto"/>
              <w:right w:val="nil" w:sz="6" w:space="0" w:color="auto"/>
            </w:tcBorders>
          </w:tcPr>
          <w:p>
            <w:pPr>
              <w:pStyle w:val="TableParagraph"/>
              <w:tabs>
                <w:tab w:pos="740" w:val="left" w:leader="none"/>
                <w:tab w:pos="1640" w:val="left" w:leader="none"/>
              </w:tabs>
              <w:spacing w:line="229" w:lineRule="exact"/>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pStyle w:val="TableParagraph"/>
              <w:spacing w:line="232" w:lineRule="exact"/>
              <w:ind w:left="654" w:right="0"/>
              <w:jc w:val="left"/>
              <w:rPr>
                <w:rFonts w:ascii="宋体" w:hAnsi="宋体" w:cs="宋体" w:eastAsia="宋体" w:hint="default"/>
                <w:sz w:val="18"/>
                <w:szCs w:val="18"/>
              </w:rPr>
            </w:pPr>
            <w:r>
              <w:rPr>
                <w:rFonts w:ascii="宋体"/>
                <w:sz w:val="18"/>
              </w:rPr>
              <w:t>-1,451,022.76</w:t>
            </w:r>
          </w:p>
        </w:tc>
        <w:tc>
          <w:tcPr>
            <w:tcW w:w="1858"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报告期执行的税率</w:t>
            </w:r>
            <w:r>
              <w:rPr>
                <w:rFonts w:ascii="宋体" w:hAnsi="宋体" w:cs="宋体" w:eastAsia="宋体" w:hint="default"/>
                <w:sz w:val="18"/>
                <w:szCs w:val="18"/>
              </w:rPr>
            </w:r>
          </w:p>
          <w:p>
            <w:pPr>
              <w:pStyle w:val="TableParagraph"/>
              <w:spacing w:line="240" w:lineRule="auto" w:before="4"/>
              <w:ind w:right="33"/>
              <w:jc w:val="right"/>
              <w:rPr>
                <w:rFonts w:ascii="宋体" w:hAnsi="宋体" w:cs="宋体" w:eastAsia="宋体" w:hint="default"/>
                <w:sz w:val="18"/>
                <w:szCs w:val="18"/>
              </w:rPr>
            </w:pPr>
            <w:r>
              <w:rPr>
                <w:rFonts w:ascii="宋体"/>
                <w:sz w:val="18"/>
              </w:rPr>
              <w:t>17%</w:t>
            </w:r>
          </w:p>
        </w:tc>
      </w:tr>
      <w:tr>
        <w:trPr>
          <w:trHeight w:val="283"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68" w:type="dxa"/>
            <w:tcBorders>
              <w:top w:val="nil" w:sz="6" w:space="0" w:color="auto"/>
              <w:left w:val="nil" w:sz="6" w:space="0" w:color="auto"/>
              <w:bottom w:val="nil" w:sz="6" w:space="0" w:color="auto"/>
              <w:right w:val="nil" w:sz="6" w:space="0" w:color="auto"/>
            </w:tcBorders>
          </w:tcPr>
          <w:p>
            <w:pPr>
              <w:pStyle w:val="TableParagraph"/>
              <w:spacing w:line="227" w:lineRule="exact"/>
              <w:ind w:right="378"/>
              <w:jc w:val="right"/>
              <w:rPr>
                <w:rFonts w:ascii="宋体" w:hAnsi="宋体" w:cs="宋体" w:eastAsia="宋体" w:hint="default"/>
                <w:sz w:val="18"/>
                <w:szCs w:val="18"/>
              </w:rPr>
            </w:pPr>
            <w:r>
              <w:rPr>
                <w:rFonts w:ascii="宋体"/>
                <w:sz w:val="18"/>
              </w:rPr>
              <w:t>2,800,383.38</w:t>
            </w:r>
          </w:p>
        </w:tc>
        <w:tc>
          <w:tcPr>
            <w:tcW w:w="2117" w:type="dxa"/>
            <w:tcBorders>
              <w:top w:val="nil" w:sz="6" w:space="0" w:color="auto"/>
              <w:left w:val="nil" w:sz="6" w:space="0" w:color="auto"/>
              <w:bottom w:val="nil" w:sz="6" w:space="0" w:color="auto"/>
              <w:right w:val="nil" w:sz="6" w:space="0" w:color="auto"/>
            </w:tcBorders>
          </w:tcPr>
          <w:p>
            <w:pPr>
              <w:pStyle w:val="TableParagraph"/>
              <w:spacing w:line="227" w:lineRule="exact"/>
              <w:ind w:right="290"/>
              <w:jc w:val="right"/>
              <w:rPr>
                <w:rFonts w:ascii="宋体" w:hAnsi="宋体" w:cs="宋体" w:eastAsia="宋体" w:hint="default"/>
                <w:sz w:val="18"/>
                <w:szCs w:val="18"/>
              </w:rPr>
            </w:pPr>
            <w:r>
              <w:rPr>
                <w:rFonts w:ascii="宋体"/>
                <w:sz w:val="18"/>
              </w:rPr>
              <w:t>1,847,443.35</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宋体" w:hAnsi="宋体" w:cs="宋体" w:eastAsia="宋体" w:hint="default"/>
                <w:sz w:val="18"/>
                <w:szCs w:val="18"/>
              </w:rPr>
            </w:pPr>
            <w:r>
              <w:rPr>
                <w:rFonts w:ascii="宋体"/>
                <w:sz w:val="18"/>
              </w:rPr>
              <w:t>7.5%</w:t>
            </w:r>
          </w:p>
        </w:tc>
      </w:tr>
      <w:tr>
        <w:trPr>
          <w:trHeight w:val="282"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68" w:type="dxa"/>
            <w:tcBorders>
              <w:top w:val="nil" w:sz="6" w:space="0" w:color="auto"/>
              <w:left w:val="nil" w:sz="6" w:space="0" w:color="auto"/>
              <w:bottom w:val="nil" w:sz="6" w:space="0" w:color="auto"/>
              <w:right w:val="nil" w:sz="6" w:space="0" w:color="auto"/>
            </w:tcBorders>
          </w:tcPr>
          <w:p>
            <w:pPr>
              <w:pStyle w:val="TableParagraph"/>
              <w:spacing w:line="224" w:lineRule="exact"/>
              <w:ind w:right="378"/>
              <w:jc w:val="right"/>
              <w:rPr>
                <w:rFonts w:ascii="宋体" w:hAnsi="宋体" w:cs="宋体" w:eastAsia="宋体" w:hint="default"/>
                <w:sz w:val="18"/>
                <w:szCs w:val="18"/>
              </w:rPr>
            </w:pPr>
            <w:r>
              <w:rPr>
                <w:rFonts w:ascii="宋体"/>
                <w:sz w:val="18"/>
              </w:rPr>
              <w:t>53,960.83</w:t>
            </w:r>
          </w:p>
        </w:tc>
        <w:tc>
          <w:tcPr>
            <w:tcW w:w="2117" w:type="dxa"/>
            <w:tcBorders>
              <w:top w:val="nil" w:sz="6" w:space="0" w:color="auto"/>
              <w:left w:val="nil" w:sz="6" w:space="0" w:color="auto"/>
              <w:bottom w:val="nil" w:sz="6" w:space="0" w:color="auto"/>
              <w:right w:val="nil" w:sz="6" w:space="0" w:color="auto"/>
            </w:tcBorders>
          </w:tcPr>
          <w:p>
            <w:pPr>
              <w:pStyle w:val="TableParagraph"/>
              <w:spacing w:line="224" w:lineRule="exact"/>
              <w:ind w:right="290"/>
              <w:jc w:val="right"/>
              <w:rPr>
                <w:rFonts w:ascii="宋体" w:hAnsi="宋体" w:cs="宋体" w:eastAsia="宋体" w:hint="default"/>
                <w:sz w:val="18"/>
                <w:szCs w:val="18"/>
              </w:rPr>
            </w:pPr>
            <w:r>
              <w:rPr>
                <w:rFonts w:ascii="宋体"/>
                <w:sz w:val="18"/>
              </w:rPr>
              <w:t>-</w:t>
            </w:r>
          </w:p>
        </w:tc>
        <w:tc>
          <w:tcPr>
            <w:tcW w:w="1858" w:type="dxa"/>
            <w:tcBorders>
              <w:top w:val="nil" w:sz="6" w:space="0" w:color="auto"/>
              <w:left w:val="nil" w:sz="6" w:space="0" w:color="auto"/>
              <w:bottom w:val="nil" w:sz="6" w:space="0" w:color="auto"/>
              <w:right w:val="nil" w:sz="6" w:space="0" w:color="auto"/>
            </w:tcBorders>
          </w:tcPr>
          <w:p>
            <w:pPr/>
          </w:p>
        </w:tc>
      </w:tr>
      <w:tr>
        <w:trPr>
          <w:trHeight w:val="286"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68" w:type="dxa"/>
            <w:tcBorders>
              <w:top w:val="nil" w:sz="6" w:space="0" w:color="auto"/>
              <w:left w:val="nil" w:sz="6" w:space="0" w:color="auto"/>
              <w:bottom w:val="nil" w:sz="6" w:space="0" w:color="auto"/>
              <w:right w:val="nil" w:sz="6" w:space="0" w:color="auto"/>
            </w:tcBorders>
          </w:tcPr>
          <w:p>
            <w:pPr>
              <w:pStyle w:val="TableParagraph"/>
              <w:spacing w:line="226" w:lineRule="exact"/>
              <w:ind w:right="378"/>
              <w:jc w:val="right"/>
              <w:rPr>
                <w:rFonts w:ascii="宋体" w:hAnsi="宋体" w:cs="宋体" w:eastAsia="宋体" w:hint="default"/>
                <w:sz w:val="18"/>
                <w:szCs w:val="18"/>
              </w:rPr>
            </w:pPr>
            <w:r>
              <w:rPr>
                <w:rFonts w:ascii="宋体"/>
                <w:sz w:val="18"/>
              </w:rPr>
              <w:t>106.25</w:t>
            </w:r>
          </w:p>
        </w:tc>
        <w:tc>
          <w:tcPr>
            <w:tcW w:w="2117" w:type="dxa"/>
            <w:tcBorders>
              <w:top w:val="nil" w:sz="6" w:space="0" w:color="auto"/>
              <w:left w:val="nil" w:sz="6" w:space="0" w:color="auto"/>
              <w:bottom w:val="nil" w:sz="6" w:space="0" w:color="auto"/>
              <w:right w:val="nil" w:sz="6" w:space="0" w:color="auto"/>
            </w:tcBorders>
          </w:tcPr>
          <w:p>
            <w:pPr>
              <w:pStyle w:val="TableParagraph"/>
              <w:spacing w:line="226" w:lineRule="exact"/>
              <w:ind w:right="290"/>
              <w:jc w:val="right"/>
              <w:rPr>
                <w:rFonts w:ascii="宋体" w:hAnsi="宋体" w:cs="宋体" w:eastAsia="宋体" w:hint="default"/>
                <w:sz w:val="18"/>
                <w:szCs w:val="18"/>
              </w:rPr>
            </w:pPr>
            <w:r>
              <w:rPr>
                <w:rFonts w:ascii="宋体"/>
                <w:sz w:val="18"/>
              </w:rPr>
              <w:t>-11.99</w:t>
            </w:r>
          </w:p>
        </w:tc>
        <w:tc>
          <w:tcPr>
            <w:tcW w:w="1858" w:type="dxa"/>
            <w:tcBorders>
              <w:top w:val="nil" w:sz="6" w:space="0" w:color="auto"/>
              <w:left w:val="nil" w:sz="6" w:space="0" w:color="auto"/>
              <w:bottom w:val="nil" w:sz="6" w:space="0" w:color="auto"/>
              <w:right w:val="nil" w:sz="6" w:space="0" w:color="auto"/>
            </w:tcBorders>
          </w:tcPr>
          <w:p>
            <w:pPr/>
          </w:p>
        </w:tc>
      </w:tr>
      <w:tr>
        <w:trPr>
          <w:trHeight w:val="323"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68" w:type="dxa"/>
            <w:tcBorders>
              <w:top w:val="nil" w:sz="6" w:space="0" w:color="auto"/>
              <w:left w:val="nil" w:sz="6" w:space="0" w:color="auto"/>
              <w:bottom w:val="nil" w:sz="6" w:space="0" w:color="auto"/>
              <w:right w:val="nil" w:sz="6" w:space="0" w:color="auto"/>
            </w:tcBorders>
          </w:tcPr>
          <w:p>
            <w:pPr>
              <w:pStyle w:val="TableParagraph"/>
              <w:spacing w:line="228" w:lineRule="exact"/>
              <w:ind w:right="378"/>
              <w:jc w:val="right"/>
              <w:rPr>
                <w:rFonts w:ascii="宋体" w:hAnsi="宋体" w:cs="宋体" w:eastAsia="宋体" w:hint="default"/>
                <w:sz w:val="18"/>
                <w:szCs w:val="18"/>
              </w:rPr>
            </w:pPr>
            <w:r>
              <w:rPr>
                <w:rFonts w:ascii="宋体"/>
                <w:sz w:val="18"/>
              </w:rPr>
              <w:t>134,803.99</w:t>
            </w:r>
          </w:p>
        </w:tc>
        <w:tc>
          <w:tcPr>
            <w:tcW w:w="2117"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
        </w:tc>
      </w:tr>
      <w:tr>
        <w:trPr>
          <w:trHeight w:val="369"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8"/>
              <w:jc w:val="right"/>
              <w:rPr>
                <w:rFonts w:ascii="宋体" w:hAnsi="宋体" w:cs="宋体" w:eastAsia="宋体" w:hint="default"/>
                <w:sz w:val="18"/>
                <w:szCs w:val="18"/>
              </w:rPr>
            </w:pPr>
            <w:r>
              <w:rPr>
                <w:rFonts w:ascii="宋体"/>
                <w:sz w:val="18"/>
              </w:rPr>
              <w:t>2,635,218.81</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0"/>
              <w:jc w:val="right"/>
              <w:rPr>
                <w:rFonts w:ascii="宋体" w:hAnsi="宋体" w:cs="宋体" w:eastAsia="宋体" w:hint="default"/>
                <w:sz w:val="18"/>
                <w:szCs w:val="18"/>
              </w:rPr>
            </w:pPr>
            <w:r>
              <w:rPr>
                <w:rFonts w:ascii="宋体"/>
                <w:sz w:val="18"/>
              </w:rPr>
              <w:t>396,408.60</w:t>
            </w:r>
          </w:p>
        </w:tc>
        <w:tc>
          <w:tcPr>
            <w:tcW w:w="1858" w:type="dxa"/>
            <w:tcBorders>
              <w:top w:val="nil" w:sz="6" w:space="0" w:color="auto"/>
              <w:left w:val="nil" w:sz="6" w:space="0" w:color="auto"/>
              <w:bottom w:val="nil" w:sz="6" w:space="0" w:color="auto"/>
              <w:right w:val="nil" w:sz="6" w:space="0" w:color="auto"/>
            </w:tcBorders>
          </w:tcPr>
          <w:p>
            <w:pPr/>
          </w:p>
        </w:tc>
      </w:tr>
    </w:tbl>
    <w:p>
      <w:pPr>
        <w:pStyle w:val="BodyText"/>
        <w:spacing w:line="336" w:lineRule="auto" w:before="0"/>
        <w:ind w:left="214" w:right="135" w:firstLine="540"/>
        <w:jc w:val="left"/>
      </w:pPr>
      <w:r>
        <w:rPr/>
        <w:t>应交税费较上年增加</w:t>
      </w:r>
      <w:r>
        <w:rPr>
          <w:spacing w:val="-60"/>
        </w:rPr>
        <w:t> </w:t>
      </w:r>
      <w:r>
        <w:rPr/>
        <w:t>2,238,810.21</w:t>
      </w:r>
      <w:r>
        <w:rPr>
          <w:spacing w:val="-60"/>
        </w:rPr>
        <w:t> </w:t>
      </w:r>
      <w:r>
        <w:rPr>
          <w:spacing w:val="-4"/>
        </w:rPr>
        <w:t>元，增长比例为</w:t>
      </w:r>
      <w:r>
        <w:rPr>
          <w:spacing w:val="-60"/>
        </w:rPr>
        <w:t> </w:t>
      </w:r>
      <w:r>
        <w:rPr>
          <w:spacing w:val="-3"/>
        </w:rPr>
        <w:t>564.77%，主要原因：本年应纳所得</w:t>
      </w:r>
      <w:r>
        <w:rPr/>
        <w:t> 税和应交增值税增加。</w:t>
      </w:r>
    </w:p>
    <w:p>
      <w:pPr>
        <w:pStyle w:val="BodyText"/>
        <w:spacing w:line="240" w:lineRule="auto"/>
        <w:ind w:left="754" w:right="131"/>
        <w:jc w:val="left"/>
      </w:pPr>
      <w:r>
        <w:rPr/>
        <w:t>(二十)其他应付款</w:t>
      </w:r>
    </w:p>
    <w:p>
      <w:pPr>
        <w:spacing w:line="240" w:lineRule="auto" w:before="7"/>
        <w:rPr>
          <w:rFonts w:ascii="宋体" w:hAnsi="宋体" w:cs="宋体" w:eastAsia="宋体" w:hint="default"/>
          <w:sz w:val="4"/>
          <w:szCs w:val="4"/>
        </w:rPr>
      </w:pPr>
    </w:p>
    <w:tbl>
      <w:tblPr>
        <w:tblW w:w="0" w:type="auto"/>
        <w:jc w:val="left"/>
        <w:tblInd w:w="466" w:type="dxa"/>
        <w:tblLayout w:type="fixed"/>
        <w:tblCellMar>
          <w:top w:w="0" w:type="dxa"/>
          <w:left w:w="0" w:type="dxa"/>
          <w:bottom w:w="0" w:type="dxa"/>
          <w:right w:w="0" w:type="dxa"/>
        </w:tblCellMar>
        <w:tblLook w:val="01E0"/>
      </w:tblPr>
      <w:tblGrid>
        <w:gridCol w:w="2705"/>
        <w:gridCol w:w="2200"/>
        <w:gridCol w:w="1665"/>
      </w:tblGrid>
      <w:tr>
        <w:trPr>
          <w:trHeight w:val="612" w:hRule="exact"/>
        </w:trPr>
        <w:tc>
          <w:tcPr>
            <w:tcW w:w="2705" w:type="dxa"/>
            <w:tcBorders>
              <w:top w:val="nil" w:sz="6" w:space="0" w:color="auto"/>
              <w:left w:val="nil" w:sz="6" w:space="0" w:color="auto"/>
              <w:bottom w:val="nil" w:sz="6" w:space="0" w:color="auto"/>
              <w:right w:val="nil" w:sz="6" w:space="0" w:color="auto"/>
            </w:tcBorders>
          </w:tcPr>
          <w:p>
            <w:pPr>
              <w:pStyle w:val="TableParagraph"/>
              <w:tabs>
                <w:tab w:pos="667" w:val="left" w:leader="none"/>
                <w:tab w:pos="1207" w:val="left" w:leader="none"/>
                <w:tab w:pos="2090" w:val="left" w:leader="none"/>
              </w:tabs>
              <w:spacing w:line="309" w:lineRule="auto" w:before="44"/>
              <w:ind w:left="307" w:right="595"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项</w:t>
              <w:tab/>
              <w:t> 目</w:t>
              <w:tab/>
            </w:r>
            <w:r>
              <w:rPr>
                <w:rFonts w:ascii="宋体" w:hAnsi="宋体" w:cs="宋体" w:eastAsia="宋体" w:hint="default"/>
                <w:sz w:val="18"/>
                <w:szCs w:val="18"/>
              </w:rPr>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00" w:type="dxa"/>
            <w:tcBorders>
              <w:top w:val="nil" w:sz="6" w:space="0" w:color="auto"/>
              <w:left w:val="nil" w:sz="6" w:space="0" w:color="auto"/>
              <w:bottom w:val="nil" w:sz="6" w:space="0" w:color="auto"/>
              <w:right w:val="nil" w:sz="6" w:space="0" w:color="auto"/>
            </w:tcBorders>
          </w:tcPr>
          <w:p>
            <w:pPr>
              <w:pStyle w:val="TableParagraph"/>
              <w:tabs>
                <w:tab w:pos="957" w:val="left" w:leader="none"/>
                <w:tab w:pos="1866" w:val="left" w:leader="none"/>
              </w:tabs>
              <w:spacing w:line="266" w:lineRule="auto" w:before="44"/>
              <w:ind w:left="804" w:right="314" w:hanging="207"/>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年末数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6,816,287.82</w:t>
            </w:r>
          </w:p>
        </w:tc>
        <w:tc>
          <w:tcPr>
            <w:tcW w:w="1665" w:type="dxa"/>
            <w:tcBorders>
              <w:top w:val="nil" w:sz="6" w:space="0" w:color="auto"/>
              <w:left w:val="nil" w:sz="6" w:space="0" w:color="auto"/>
              <w:bottom w:val="nil" w:sz="6" w:space="0" w:color="auto"/>
              <w:right w:val="nil" w:sz="6" w:space="0" w:color="auto"/>
            </w:tcBorders>
          </w:tcPr>
          <w:p>
            <w:pPr>
              <w:pStyle w:val="TableParagraph"/>
              <w:tabs>
                <w:tab w:pos="676" w:val="left" w:leader="none"/>
                <w:tab w:pos="1576" w:val="left" w:leader="none"/>
              </w:tabs>
              <w:spacing w:line="309" w:lineRule="auto" w:before="44"/>
              <w:ind w:left="460" w:right="33" w:hanging="14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r>
              <w:rPr>
                <w:rFonts w:ascii="宋体" w:hAnsi="宋体" w:cs="宋体" w:eastAsia="宋体" w:hint="default"/>
                <w:sz w:val="18"/>
                <w:szCs w:val="18"/>
              </w:rPr>
              <w:t> 35,017,499.24</w:t>
            </w:r>
          </w:p>
        </w:tc>
      </w:tr>
      <w:tr>
        <w:trPr>
          <w:trHeight w:val="302"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00" w:type="dxa"/>
            <w:tcBorders>
              <w:top w:val="nil" w:sz="6" w:space="0" w:color="auto"/>
              <w:left w:val="nil" w:sz="6" w:space="0" w:color="auto"/>
              <w:bottom w:val="nil" w:sz="6" w:space="0" w:color="auto"/>
              <w:right w:val="nil" w:sz="6" w:space="0" w:color="auto"/>
            </w:tcBorders>
          </w:tcPr>
          <w:p>
            <w:pPr>
              <w:pStyle w:val="TableParagraph"/>
              <w:spacing w:line="208" w:lineRule="exact"/>
              <w:ind w:right="314"/>
              <w:jc w:val="right"/>
              <w:rPr>
                <w:rFonts w:ascii="宋体" w:hAnsi="宋体" w:cs="宋体" w:eastAsia="宋体" w:hint="default"/>
                <w:sz w:val="18"/>
                <w:szCs w:val="18"/>
              </w:rPr>
            </w:pPr>
            <w:r>
              <w:rPr>
                <w:rFonts w:ascii="宋体"/>
                <w:sz w:val="18"/>
              </w:rPr>
              <w:t>10,060,872.15</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8"/>
                <w:szCs w:val="18"/>
              </w:rPr>
            </w:pPr>
            <w:r>
              <w:rPr>
                <w:rFonts w:ascii="宋体"/>
                <w:sz w:val="18"/>
              </w:rPr>
              <w:t>31,745.70</w:t>
            </w:r>
          </w:p>
        </w:tc>
      </w:tr>
      <w:tr>
        <w:trPr>
          <w:trHeight w:val="258"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30" w:lineRule="exact"/>
              <w:ind w:left="30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00"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35,430.00</w:t>
            </w:r>
          </w:p>
        </w:tc>
      </w:tr>
      <w:tr>
        <w:trPr>
          <w:trHeight w:val="302" w:hRule="exact"/>
        </w:trPr>
        <w:tc>
          <w:tcPr>
            <w:tcW w:w="2705" w:type="dxa"/>
            <w:tcBorders>
              <w:top w:val="nil" w:sz="6" w:space="0" w:color="auto"/>
              <w:left w:val="nil" w:sz="6" w:space="0" w:color="auto"/>
              <w:bottom w:val="nil" w:sz="6" w:space="0" w:color="auto"/>
              <w:right w:val="nil" w:sz="6" w:space="0" w:color="auto"/>
            </w:tcBorders>
          </w:tcPr>
          <w:p>
            <w:pPr>
              <w:pStyle w:val="TableParagraph"/>
              <w:tabs>
                <w:tab w:pos="571" w:val="left" w:leader="none"/>
              </w:tabs>
              <w:spacing w:line="240" w:lineRule="auto" w:before="16"/>
              <w:ind w:left="3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00" w:type="dxa"/>
            <w:tcBorders>
              <w:top w:val="nil" w:sz="6" w:space="0" w:color="auto"/>
              <w:left w:val="nil" w:sz="6" w:space="0" w:color="auto"/>
              <w:bottom w:val="nil" w:sz="6" w:space="0" w:color="auto"/>
              <w:right w:val="nil" w:sz="6" w:space="0" w:color="auto"/>
            </w:tcBorders>
          </w:tcPr>
          <w:p>
            <w:pPr>
              <w:pStyle w:val="TableParagraph"/>
              <w:spacing w:line="208" w:lineRule="exact"/>
              <w:ind w:right="314"/>
              <w:jc w:val="right"/>
              <w:rPr>
                <w:rFonts w:ascii="宋体" w:hAnsi="宋体" w:cs="宋体" w:eastAsia="宋体" w:hint="default"/>
                <w:sz w:val="18"/>
                <w:szCs w:val="18"/>
              </w:rPr>
            </w:pPr>
            <w:r>
              <w:rPr>
                <w:rFonts w:ascii="宋体"/>
                <w:sz w:val="18"/>
              </w:rPr>
              <w:t>16,877,159.97</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8"/>
                <w:szCs w:val="18"/>
              </w:rPr>
            </w:pPr>
            <w:r>
              <w:rPr>
                <w:rFonts w:ascii="宋体"/>
                <w:sz w:val="18"/>
              </w:rPr>
              <w:t>35,084,674.94</w:t>
            </w:r>
          </w:p>
        </w:tc>
      </w:tr>
      <w:tr>
        <w:trPr>
          <w:trHeight w:val="33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其中：预提费用</w:t>
            </w:r>
          </w:p>
        </w:tc>
        <w:tc>
          <w:tcPr>
            <w:tcW w:w="2200" w:type="dxa"/>
            <w:tcBorders>
              <w:top w:val="nil" w:sz="6" w:space="0" w:color="auto"/>
              <w:left w:val="nil" w:sz="6" w:space="0" w:color="auto"/>
              <w:bottom w:val="nil" w:sz="6" w:space="0" w:color="auto"/>
              <w:right w:val="nil" w:sz="6" w:space="0" w:color="auto"/>
            </w:tcBorders>
          </w:tcPr>
          <w:p>
            <w:pPr>
              <w:pStyle w:val="TableParagraph"/>
              <w:spacing w:line="230" w:lineRule="exact"/>
              <w:ind w:right="314"/>
              <w:jc w:val="right"/>
              <w:rPr>
                <w:rFonts w:ascii="宋体" w:hAnsi="宋体" w:cs="宋体" w:eastAsia="宋体" w:hint="default"/>
                <w:sz w:val="18"/>
                <w:szCs w:val="18"/>
              </w:rPr>
            </w:pPr>
            <w:r>
              <w:rPr>
                <w:rFonts w:ascii="宋体"/>
                <w:sz w:val="18"/>
              </w:rPr>
              <w:t>648,536.64</w:t>
            </w:r>
          </w:p>
        </w:tc>
        <w:tc>
          <w:tcPr>
            <w:tcW w:w="1665"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sz w:val="18"/>
              </w:rPr>
              <w:t>961,723.58</w:t>
            </w:r>
          </w:p>
        </w:tc>
      </w:tr>
    </w:tbl>
    <w:p>
      <w:pPr>
        <w:pStyle w:val="BodyText"/>
        <w:spacing w:line="240" w:lineRule="auto" w:before="2"/>
        <w:ind w:left="754" w:right="131"/>
        <w:jc w:val="left"/>
      </w:pPr>
      <w:r>
        <w:rPr/>
        <w:t>1.年末余额中无欠持本公司</w:t>
      </w:r>
      <w:r>
        <w:rPr>
          <w:spacing w:val="-60"/>
        </w:rPr>
        <w:t> </w:t>
      </w:r>
      <w:r>
        <w:rPr/>
        <w:t>5%以上（含</w:t>
      </w:r>
      <w:r>
        <w:rPr>
          <w:spacing w:val="-60"/>
        </w:rPr>
        <w:t> </w:t>
      </w:r>
      <w:r>
        <w:rPr/>
        <w:t>5%）表决权股份的股东款项。</w:t>
      </w:r>
    </w:p>
    <w:p>
      <w:pPr>
        <w:pStyle w:val="BodyText"/>
        <w:spacing w:line="240" w:lineRule="auto" w:before="125"/>
        <w:ind w:left="754" w:right="131"/>
        <w:jc w:val="left"/>
      </w:pPr>
      <w:r>
        <w:rPr/>
        <w:t>2.年末余额中无欠关联方款项。</w:t>
      </w:r>
    </w:p>
    <w:p>
      <w:pPr>
        <w:pStyle w:val="BodyText"/>
        <w:spacing w:line="240" w:lineRule="auto" w:before="126"/>
        <w:ind w:left="754" w:right="131"/>
        <w:jc w:val="left"/>
      </w:pPr>
      <w:r>
        <w:rPr/>
        <w:t>3.账龄超过一年的大额其他应付款</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550"/>
        <w:gridCol w:w="1541"/>
        <w:gridCol w:w="871"/>
        <w:gridCol w:w="1082"/>
        <w:gridCol w:w="1049"/>
        <w:gridCol w:w="1700"/>
      </w:tblGrid>
      <w:tr>
        <w:trPr>
          <w:trHeight w:val="789" w:hRule="exact"/>
        </w:trPr>
        <w:tc>
          <w:tcPr>
            <w:tcW w:w="2550" w:type="dxa"/>
            <w:tcBorders>
              <w:top w:val="nil" w:sz="6" w:space="0" w:color="auto"/>
              <w:left w:val="nil" w:sz="6" w:space="0" w:color="auto"/>
              <w:bottom w:val="nil" w:sz="6" w:space="0" w:color="auto"/>
              <w:right w:val="nil" w:sz="6" w:space="0" w:color="auto"/>
            </w:tcBorders>
          </w:tcPr>
          <w:p>
            <w:pPr>
              <w:pStyle w:val="TableParagraph"/>
              <w:tabs>
                <w:tab w:pos="664" w:val="left" w:leader="none"/>
                <w:tab w:pos="2087" w:val="left" w:leader="none"/>
              </w:tabs>
              <w:spacing w:line="408" w:lineRule="auto" w:before="44"/>
              <w:ind w:left="35" w:right="443"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客户名称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无锡市国土资源局</w:t>
            </w:r>
          </w:p>
        </w:tc>
        <w:tc>
          <w:tcPr>
            <w:tcW w:w="1541" w:type="dxa"/>
            <w:tcBorders>
              <w:top w:val="nil" w:sz="6" w:space="0" w:color="auto"/>
              <w:left w:val="nil" w:sz="6" w:space="0" w:color="auto"/>
              <w:bottom w:val="nil" w:sz="6" w:space="0" w:color="auto"/>
              <w:right w:val="nil" w:sz="6" w:space="0" w:color="auto"/>
            </w:tcBorders>
          </w:tcPr>
          <w:p>
            <w:pPr>
              <w:pStyle w:val="TableParagraph"/>
              <w:tabs>
                <w:tab w:pos="361" w:val="left" w:leader="none"/>
                <w:tab w:pos="811" w:val="left" w:leader="none"/>
                <w:tab w:pos="1261" w:val="left" w:leader="none"/>
              </w:tabs>
              <w:spacing w:line="240" w:lineRule="auto" w:before="4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w:t>
              <w:tab/>
              <w:t>额</w:t>
              <w:tab/>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0" w:right="0"/>
              <w:jc w:val="left"/>
              <w:rPr>
                <w:rFonts w:ascii="宋体" w:hAnsi="宋体" w:cs="宋体" w:eastAsia="宋体" w:hint="default"/>
                <w:sz w:val="18"/>
                <w:szCs w:val="18"/>
              </w:rPr>
            </w:pPr>
            <w:r>
              <w:rPr>
                <w:rFonts w:ascii="宋体"/>
                <w:sz w:val="18"/>
              </w:rPr>
              <w:t>6,259,130.00</w:t>
            </w:r>
          </w:p>
        </w:tc>
        <w:tc>
          <w:tcPr>
            <w:tcW w:w="1952" w:type="dxa"/>
            <w:gridSpan w:val="2"/>
            <w:tcBorders>
              <w:top w:val="nil" w:sz="6" w:space="0" w:color="auto"/>
              <w:left w:val="nil" w:sz="6" w:space="0" w:color="auto"/>
              <w:bottom w:val="nil" w:sz="6" w:space="0" w:color="auto"/>
              <w:right w:val="nil" w:sz="6" w:space="0" w:color="auto"/>
            </w:tcBorders>
          </w:tcPr>
          <w:p>
            <w:pPr>
              <w:pStyle w:val="TableParagraph"/>
              <w:tabs>
                <w:tab w:pos="674" w:val="left" w:leader="none"/>
                <w:tab w:pos="1826" w:val="left" w:leader="none"/>
              </w:tabs>
              <w:spacing w:line="408" w:lineRule="auto" w:before="44"/>
              <w:ind w:left="720" w:right="106" w:hanging="31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未偿还原因</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未催收</w:t>
            </w:r>
          </w:p>
        </w:tc>
        <w:tc>
          <w:tcPr>
            <w:tcW w:w="2749" w:type="dxa"/>
            <w:gridSpan w:val="2"/>
            <w:tcBorders>
              <w:top w:val="nil" w:sz="6" w:space="0" w:color="auto"/>
              <w:left w:val="nil" w:sz="6" w:space="0" w:color="auto"/>
              <w:bottom w:val="nil" w:sz="6" w:space="0" w:color="auto"/>
              <w:right w:val="nil" w:sz="6" w:space="0" w:color="auto"/>
            </w:tcBorders>
          </w:tcPr>
          <w:p>
            <w:pPr>
              <w:pStyle w:val="TableParagraph"/>
              <w:tabs>
                <w:tab w:pos="1097" w:val="left" w:leader="none"/>
                <w:tab w:pos="2520" w:val="left" w:leader="none"/>
              </w:tabs>
              <w:spacing w:line="408" w:lineRule="auto" w:before="44"/>
              <w:ind w:left="108"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备注</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土地出让金</w:t>
            </w:r>
          </w:p>
        </w:tc>
      </w:tr>
      <w:tr>
        <w:trPr>
          <w:trHeight w:val="29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深圳伍方瑞工贸有限公司</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8"/>
              <w:jc w:val="right"/>
              <w:rPr>
                <w:rFonts w:ascii="宋体" w:hAnsi="宋体" w:cs="宋体" w:eastAsia="宋体" w:hint="default"/>
                <w:sz w:val="18"/>
                <w:szCs w:val="18"/>
              </w:rPr>
            </w:pPr>
            <w:r>
              <w:rPr>
                <w:rFonts w:ascii="宋体"/>
                <w:sz w:val="18"/>
              </w:rPr>
              <w:t>3,000,000.00</w:t>
            </w:r>
          </w:p>
        </w:tc>
        <w:tc>
          <w:tcPr>
            <w:tcW w:w="19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27" w:right="0"/>
              <w:jc w:val="center"/>
              <w:rPr>
                <w:rFonts w:ascii="宋体" w:hAnsi="宋体" w:cs="宋体" w:eastAsia="宋体" w:hint="default"/>
                <w:sz w:val="18"/>
                <w:szCs w:val="18"/>
              </w:rPr>
            </w:pPr>
            <w:r>
              <w:rPr>
                <w:rFonts w:ascii="宋体" w:hAnsi="宋体" w:cs="宋体" w:eastAsia="宋体" w:hint="default"/>
                <w:sz w:val="18"/>
                <w:szCs w:val="18"/>
              </w:rPr>
              <w:t>未到期</w:t>
            </w:r>
          </w:p>
        </w:tc>
        <w:tc>
          <w:tcPr>
            <w:tcW w:w="27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日已偿还</w:t>
            </w:r>
          </w:p>
        </w:tc>
      </w:tr>
      <w:tr>
        <w:trPr>
          <w:trHeight w:val="429" w:hRule="exact"/>
        </w:trPr>
        <w:tc>
          <w:tcPr>
            <w:tcW w:w="879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4"/>
              <w:ind w:left="643" w:right="0"/>
              <w:jc w:val="left"/>
              <w:rPr>
                <w:rFonts w:ascii="宋体" w:hAnsi="宋体" w:cs="宋体" w:eastAsia="宋体" w:hint="default"/>
                <w:sz w:val="24"/>
                <w:szCs w:val="24"/>
              </w:rPr>
            </w:pPr>
            <w:r>
              <w:rPr>
                <w:rFonts w:ascii="宋体" w:hAnsi="宋体" w:cs="宋体" w:eastAsia="宋体" w:hint="default"/>
                <w:sz w:val="24"/>
                <w:szCs w:val="24"/>
              </w:rPr>
              <w:t>4.金额较大的其他应付款</w:t>
            </w:r>
          </w:p>
        </w:tc>
      </w:tr>
      <w:tr>
        <w:trPr>
          <w:trHeight w:val="406" w:hRule="exact"/>
        </w:trPr>
        <w:tc>
          <w:tcPr>
            <w:tcW w:w="2550" w:type="dxa"/>
            <w:tcBorders>
              <w:top w:val="nil" w:sz="6" w:space="0" w:color="auto"/>
              <w:left w:val="nil" w:sz="6" w:space="0" w:color="auto"/>
              <w:bottom w:val="nil" w:sz="6" w:space="0" w:color="auto"/>
              <w:right w:val="nil" w:sz="6" w:space="0" w:color="auto"/>
            </w:tcBorders>
          </w:tcPr>
          <w:p>
            <w:pPr>
              <w:pStyle w:val="TableParagraph"/>
              <w:tabs>
                <w:tab w:pos="838" w:val="left" w:leader="none"/>
                <w:tab w:pos="2548" w:val="left" w:leader="none"/>
              </w:tabs>
              <w:spacing w:line="240" w:lineRule="auto" w:before="55"/>
              <w:ind w:left="1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单位名称</w:t>
              <w:tab/>
            </w:r>
            <w:r>
              <w:rPr>
                <w:rFonts w:ascii="宋体" w:hAnsi="宋体" w:cs="宋体" w:eastAsia="宋体" w:hint="default"/>
                <w:sz w:val="18"/>
                <w:szCs w:val="18"/>
              </w:rPr>
            </w:r>
          </w:p>
        </w:tc>
        <w:tc>
          <w:tcPr>
            <w:tcW w:w="2411" w:type="dxa"/>
            <w:gridSpan w:val="2"/>
            <w:tcBorders>
              <w:top w:val="nil" w:sz="6" w:space="0" w:color="auto"/>
              <w:left w:val="nil" w:sz="6" w:space="0" w:color="auto"/>
              <w:bottom w:val="nil" w:sz="6" w:space="0" w:color="auto"/>
              <w:right w:val="nil" w:sz="6" w:space="0" w:color="auto"/>
            </w:tcBorders>
          </w:tcPr>
          <w:p>
            <w:pPr>
              <w:pStyle w:val="TableParagraph"/>
              <w:tabs>
                <w:tab w:pos="1197" w:val="left" w:leader="none"/>
                <w:tab w:pos="1647" w:val="left" w:leader="none"/>
                <w:tab w:pos="2125" w:val="left" w:leader="none"/>
              </w:tabs>
              <w:spacing w:line="240" w:lineRule="auto" w:before="55"/>
              <w:ind w:left="8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w:t>
              <w:tab/>
              <w:t>额</w:t>
              <w:tab/>
            </w:r>
            <w:r>
              <w:rPr>
                <w:rFonts w:ascii="宋体" w:hAnsi="宋体" w:cs="宋体" w:eastAsia="宋体" w:hint="default"/>
                <w:sz w:val="18"/>
                <w:szCs w:val="18"/>
              </w:rPr>
            </w:r>
          </w:p>
        </w:tc>
        <w:tc>
          <w:tcPr>
            <w:tcW w:w="2131" w:type="dxa"/>
            <w:gridSpan w:val="2"/>
            <w:tcBorders>
              <w:top w:val="nil" w:sz="6" w:space="0" w:color="auto"/>
              <w:left w:val="nil" w:sz="6" w:space="0" w:color="auto"/>
              <w:bottom w:val="nil" w:sz="6" w:space="0" w:color="auto"/>
              <w:right w:val="nil" w:sz="6" w:space="0" w:color="auto"/>
            </w:tcBorders>
          </w:tcPr>
          <w:p>
            <w:pPr>
              <w:pStyle w:val="TableParagraph"/>
              <w:tabs>
                <w:tab w:pos="556" w:val="left" w:leader="none"/>
                <w:tab w:pos="1726" w:val="left" w:leader="none"/>
              </w:tabs>
              <w:spacing w:line="240" w:lineRule="auto" w:before="55"/>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性质或内容</w:t>
              <w:tab/>
            </w:r>
            <w:r>
              <w:rPr>
                <w:rFonts w:ascii="宋体" w:hAnsi="宋体" w:cs="宋体" w:eastAsia="宋体" w:hint="default"/>
                <w:sz w:val="18"/>
                <w:szCs w:val="18"/>
              </w:rPr>
            </w:r>
          </w:p>
        </w:tc>
        <w:tc>
          <w:tcPr>
            <w:tcW w:w="1700" w:type="dxa"/>
            <w:tcBorders>
              <w:top w:val="nil" w:sz="6" w:space="0" w:color="auto"/>
              <w:left w:val="nil" w:sz="6" w:space="0" w:color="auto"/>
              <w:bottom w:val="nil" w:sz="6" w:space="0" w:color="auto"/>
              <w:right w:val="nil" w:sz="6" w:space="0" w:color="auto"/>
            </w:tcBorders>
          </w:tcPr>
          <w:p>
            <w:pPr>
              <w:pStyle w:val="TableParagraph"/>
              <w:tabs>
                <w:tab w:pos="674" w:val="left" w:leader="none"/>
                <w:tab w:pos="1214" w:val="left" w:leader="none"/>
                <w:tab w:pos="1664" w:val="left" w:leader="none"/>
              </w:tabs>
              <w:spacing w:line="240" w:lineRule="auto" w:before="55"/>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备</w:t>
              <w:tab/>
              <w:t>注</w:t>
              <w:tab/>
            </w:r>
            <w:r>
              <w:rPr>
                <w:rFonts w:ascii="宋体" w:hAnsi="宋体" w:cs="宋体" w:eastAsia="宋体" w:hint="default"/>
                <w:sz w:val="18"/>
                <w:szCs w:val="18"/>
              </w:rPr>
            </w:r>
          </w:p>
        </w:tc>
      </w:tr>
      <w:tr>
        <w:trPr>
          <w:trHeight w:val="395"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无锡市国土资源局</w:t>
            </w:r>
          </w:p>
        </w:tc>
        <w:tc>
          <w:tcPr>
            <w:tcW w:w="2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045" w:right="0"/>
              <w:jc w:val="left"/>
              <w:rPr>
                <w:rFonts w:ascii="宋体" w:hAnsi="宋体" w:cs="宋体" w:eastAsia="宋体" w:hint="default"/>
                <w:sz w:val="18"/>
                <w:szCs w:val="18"/>
              </w:rPr>
            </w:pPr>
            <w:r>
              <w:rPr>
                <w:rFonts w:ascii="宋体"/>
                <w:sz w:val="18"/>
              </w:rPr>
              <w:t>6,259,130.00</w:t>
            </w:r>
          </w:p>
        </w:tc>
        <w:tc>
          <w:tcPr>
            <w:tcW w:w="21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土地出让金</w:t>
            </w:r>
          </w:p>
        </w:tc>
        <w:tc>
          <w:tcPr>
            <w:tcW w:w="1700" w:type="dxa"/>
            <w:tcBorders>
              <w:top w:val="nil" w:sz="6" w:space="0" w:color="auto"/>
              <w:left w:val="nil" w:sz="6" w:space="0" w:color="auto"/>
              <w:bottom w:val="nil" w:sz="6" w:space="0" w:color="auto"/>
              <w:right w:val="nil" w:sz="6" w:space="0" w:color="auto"/>
            </w:tcBorders>
          </w:tcPr>
          <w:p>
            <w:pPr/>
          </w:p>
        </w:tc>
      </w:tr>
      <w:tr>
        <w:trPr>
          <w:trHeight w:val="40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8" w:right="0"/>
              <w:jc w:val="left"/>
              <w:rPr>
                <w:rFonts w:ascii="宋体" w:hAnsi="宋体" w:cs="宋体" w:eastAsia="宋体" w:hint="default"/>
                <w:sz w:val="18"/>
                <w:szCs w:val="18"/>
              </w:rPr>
            </w:pPr>
            <w:r>
              <w:rPr>
                <w:rFonts w:ascii="宋体" w:hAnsi="宋体" w:cs="宋体" w:eastAsia="宋体" w:hint="default"/>
                <w:sz w:val="18"/>
                <w:szCs w:val="18"/>
              </w:rPr>
              <w:t>深圳伍方瑞工贸有限公司</w:t>
            </w:r>
          </w:p>
        </w:tc>
        <w:tc>
          <w:tcPr>
            <w:tcW w:w="2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045" w:right="0"/>
              <w:jc w:val="left"/>
              <w:rPr>
                <w:rFonts w:ascii="宋体" w:hAnsi="宋体" w:cs="宋体" w:eastAsia="宋体" w:hint="default"/>
                <w:sz w:val="18"/>
                <w:szCs w:val="18"/>
              </w:rPr>
            </w:pPr>
            <w:r>
              <w:rPr>
                <w:rFonts w:ascii="宋体"/>
                <w:sz w:val="18"/>
              </w:rPr>
              <w:t>3,000,000.00</w:t>
            </w:r>
          </w:p>
        </w:tc>
        <w:tc>
          <w:tcPr>
            <w:tcW w:w="21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6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00" w:type="dxa"/>
            <w:tcBorders>
              <w:top w:val="nil" w:sz="6" w:space="0" w:color="auto"/>
              <w:left w:val="nil" w:sz="6" w:space="0" w:color="auto"/>
              <w:bottom w:val="nil" w:sz="6" w:space="0" w:color="auto"/>
              <w:right w:val="nil" w:sz="6" w:space="0" w:color="auto"/>
            </w:tcBorders>
          </w:tcPr>
          <w:p>
            <w:pPr/>
          </w:p>
        </w:tc>
      </w:tr>
      <w:tr>
        <w:trPr>
          <w:trHeight w:val="40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8" w:right="0"/>
              <w:jc w:val="left"/>
              <w:rPr>
                <w:rFonts w:ascii="宋体" w:hAnsi="宋体" w:cs="宋体" w:eastAsia="宋体" w:hint="default"/>
                <w:sz w:val="18"/>
                <w:szCs w:val="18"/>
              </w:rPr>
            </w:pPr>
            <w:r>
              <w:rPr>
                <w:rFonts w:ascii="宋体" w:hAnsi="宋体" w:cs="宋体" w:eastAsia="宋体" w:hint="default"/>
                <w:sz w:val="18"/>
                <w:szCs w:val="18"/>
              </w:rPr>
              <w:t>美亚电子科技有限公司</w:t>
            </w:r>
          </w:p>
        </w:tc>
        <w:tc>
          <w:tcPr>
            <w:tcW w:w="2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045" w:right="0"/>
              <w:jc w:val="left"/>
              <w:rPr>
                <w:rFonts w:ascii="宋体" w:hAnsi="宋体" w:cs="宋体" w:eastAsia="宋体" w:hint="default"/>
                <w:sz w:val="18"/>
                <w:szCs w:val="18"/>
              </w:rPr>
            </w:pPr>
            <w:r>
              <w:rPr>
                <w:rFonts w:ascii="宋体"/>
                <w:sz w:val="18"/>
              </w:rPr>
              <w:t>2,497,488.03</w:t>
            </w:r>
          </w:p>
        </w:tc>
        <w:tc>
          <w:tcPr>
            <w:tcW w:w="21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601"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1700" w:type="dxa"/>
            <w:tcBorders>
              <w:top w:val="nil" w:sz="6" w:space="0" w:color="auto"/>
              <w:left w:val="nil" w:sz="6" w:space="0" w:color="auto"/>
              <w:bottom w:val="nil" w:sz="6" w:space="0" w:color="auto"/>
              <w:right w:val="nil" w:sz="6" w:space="0" w:color="auto"/>
            </w:tcBorders>
          </w:tcPr>
          <w:p>
            <w:pPr/>
          </w:p>
        </w:tc>
      </w:tr>
      <w:tr>
        <w:trPr>
          <w:trHeight w:val="40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8" w:right="0"/>
              <w:jc w:val="left"/>
              <w:rPr>
                <w:rFonts w:ascii="宋体" w:hAnsi="宋体" w:cs="宋体" w:eastAsia="宋体" w:hint="default"/>
                <w:sz w:val="18"/>
                <w:szCs w:val="18"/>
              </w:rPr>
            </w:pPr>
            <w:r>
              <w:rPr>
                <w:rFonts w:ascii="宋体" w:hAnsi="宋体" w:cs="宋体" w:eastAsia="宋体" w:hint="default"/>
                <w:sz w:val="18"/>
                <w:szCs w:val="18"/>
              </w:rPr>
              <w:t>深圳市劲拓实业有限公司</w:t>
            </w:r>
          </w:p>
        </w:tc>
        <w:tc>
          <w:tcPr>
            <w:tcW w:w="2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225" w:right="0"/>
              <w:jc w:val="left"/>
              <w:rPr>
                <w:rFonts w:ascii="宋体" w:hAnsi="宋体" w:cs="宋体" w:eastAsia="宋体" w:hint="default"/>
                <w:sz w:val="18"/>
                <w:szCs w:val="18"/>
              </w:rPr>
            </w:pPr>
            <w:r>
              <w:rPr>
                <w:rFonts w:ascii="宋体"/>
                <w:sz w:val="18"/>
              </w:rPr>
              <w:t>736,000.00</w:t>
            </w:r>
          </w:p>
        </w:tc>
        <w:tc>
          <w:tcPr>
            <w:tcW w:w="21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601"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1700" w:type="dxa"/>
            <w:tcBorders>
              <w:top w:val="nil" w:sz="6" w:space="0" w:color="auto"/>
              <w:left w:val="nil" w:sz="6" w:space="0" w:color="auto"/>
              <w:bottom w:val="nil" w:sz="6" w:space="0" w:color="auto"/>
              <w:right w:val="nil" w:sz="6" w:space="0" w:color="auto"/>
            </w:tcBorders>
          </w:tcPr>
          <w:p>
            <w:pPr/>
          </w:p>
        </w:tc>
      </w:tr>
      <w:tr>
        <w:trPr>
          <w:trHeight w:val="56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8" w:right="0"/>
              <w:jc w:val="left"/>
              <w:rPr>
                <w:rFonts w:ascii="宋体" w:hAnsi="宋体" w:cs="宋体" w:eastAsia="宋体" w:hint="default"/>
                <w:sz w:val="18"/>
                <w:szCs w:val="18"/>
              </w:rPr>
            </w:pPr>
            <w:r>
              <w:rPr>
                <w:rFonts w:ascii="宋体" w:hAnsi="宋体" w:cs="宋体" w:eastAsia="宋体" w:hint="default"/>
                <w:sz w:val="18"/>
                <w:szCs w:val="18"/>
              </w:rPr>
              <w:t>深圳市日东电子科技有限公司</w:t>
            </w:r>
          </w:p>
          <w:p>
            <w:pPr>
              <w:pStyle w:val="TableParagraph"/>
              <w:spacing w:line="307" w:lineRule="exact" w:before="2"/>
              <w:ind w:left="643" w:right="-14"/>
              <w:jc w:val="left"/>
              <w:rPr>
                <w:rFonts w:ascii="宋体" w:hAnsi="宋体" w:cs="宋体" w:eastAsia="宋体" w:hint="default"/>
                <w:sz w:val="24"/>
                <w:szCs w:val="24"/>
              </w:rPr>
            </w:pPr>
            <w:r>
              <w:rPr>
                <w:rFonts w:ascii="宋体" w:hAnsi="宋体" w:cs="宋体" w:eastAsia="宋体" w:hint="default"/>
                <w:sz w:val="24"/>
                <w:szCs w:val="24"/>
              </w:rPr>
              <w:t>5.按费用类别列示</w:t>
            </w:r>
          </w:p>
        </w:tc>
        <w:tc>
          <w:tcPr>
            <w:tcW w:w="2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225" w:right="0"/>
              <w:jc w:val="left"/>
              <w:rPr>
                <w:rFonts w:ascii="宋体" w:hAnsi="宋体" w:cs="宋体" w:eastAsia="宋体" w:hint="default"/>
                <w:sz w:val="18"/>
                <w:szCs w:val="18"/>
              </w:rPr>
            </w:pPr>
            <w:r>
              <w:rPr>
                <w:rFonts w:ascii="宋体"/>
                <w:sz w:val="18"/>
              </w:rPr>
              <w:t>480,000.00</w:t>
            </w:r>
          </w:p>
          <w:p>
            <w:pPr>
              <w:pStyle w:val="TableParagraph"/>
              <w:spacing w:line="307" w:lineRule="exact" w:before="2"/>
              <w:ind w:left="13"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21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601"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1700" w:type="dxa"/>
            <w:tcBorders>
              <w:top w:val="nil" w:sz="6" w:space="0" w:color="auto"/>
              <w:left w:val="nil" w:sz="6" w:space="0" w:color="auto"/>
              <w:bottom w:val="nil" w:sz="6" w:space="0" w:color="auto"/>
              <w:right w:val="nil" w:sz="6" w:space="0" w:color="auto"/>
            </w:tcBorders>
          </w:tcPr>
          <w:p>
            <w:pPr/>
          </w:p>
        </w:tc>
      </w:tr>
      <w:tr>
        <w:trPr>
          <w:trHeight w:val="565"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840" w:val="left" w:leader="none"/>
                <w:tab w:pos="1830" w:val="left" w:leader="none"/>
              </w:tabs>
              <w:spacing w:line="240" w:lineRule="auto"/>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费用类别</w:t>
              <w:tab/>
            </w:r>
            <w:r>
              <w:rPr>
                <w:rFonts w:ascii="宋体" w:hAnsi="宋体" w:cs="宋体" w:eastAsia="宋体" w:hint="default"/>
                <w:sz w:val="18"/>
                <w:szCs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405" w:val="left" w:leader="none"/>
                <w:tab w:pos="1215" w:val="left" w:leader="none"/>
              </w:tabs>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tc>
        <w:tc>
          <w:tcPr>
            <w:tcW w:w="470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530" w:val="left" w:leader="none"/>
                <w:tab w:pos="2150" w:val="left" w:leader="none"/>
              </w:tabs>
              <w:spacing w:line="240" w:lineRule="auto"/>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年末结余原因</w:t>
              <w:tab/>
            </w:r>
            <w:r>
              <w:rPr>
                <w:rFonts w:ascii="宋体" w:hAnsi="宋体" w:cs="宋体" w:eastAsia="宋体" w:hint="default"/>
                <w:sz w:val="18"/>
                <w:szCs w:val="18"/>
              </w:rPr>
            </w:r>
          </w:p>
        </w:tc>
      </w:tr>
      <w:tr>
        <w:trPr>
          <w:trHeight w:val="395"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39"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3"/>
              <w:jc w:val="right"/>
              <w:rPr>
                <w:rFonts w:ascii="宋体" w:hAnsi="宋体" w:cs="宋体" w:eastAsia="宋体" w:hint="default"/>
                <w:sz w:val="18"/>
                <w:szCs w:val="18"/>
              </w:rPr>
            </w:pPr>
            <w:r>
              <w:rPr>
                <w:rFonts w:ascii="宋体"/>
                <w:sz w:val="18"/>
              </w:rPr>
              <w:t>498,599.74</w:t>
            </w:r>
          </w:p>
        </w:tc>
        <w:tc>
          <w:tcPr>
            <w:tcW w:w="470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9"/>
              <w:ind w:left="80"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月电费</w:t>
            </w:r>
          </w:p>
        </w:tc>
      </w:tr>
      <w:tr>
        <w:trPr>
          <w:trHeight w:val="40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39" w:right="0"/>
              <w:jc w:val="left"/>
              <w:rPr>
                <w:rFonts w:ascii="宋体" w:hAnsi="宋体" w:cs="宋体" w:eastAsia="宋体" w:hint="default"/>
                <w:sz w:val="18"/>
                <w:szCs w:val="18"/>
              </w:rPr>
            </w:pPr>
            <w:r>
              <w:rPr>
                <w:rFonts w:ascii="宋体" w:hAnsi="宋体" w:cs="宋体" w:eastAsia="宋体" w:hint="default"/>
                <w:sz w:val="18"/>
                <w:szCs w:val="18"/>
              </w:rPr>
              <w:t>水费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3"/>
              <w:jc w:val="right"/>
              <w:rPr>
                <w:rFonts w:ascii="宋体" w:hAnsi="宋体" w:cs="宋体" w:eastAsia="宋体" w:hint="default"/>
                <w:sz w:val="18"/>
                <w:szCs w:val="18"/>
              </w:rPr>
            </w:pPr>
            <w:r>
              <w:rPr>
                <w:rFonts w:ascii="宋体"/>
                <w:sz w:val="18"/>
              </w:rPr>
              <w:t>27,851.23</w:t>
            </w:r>
          </w:p>
        </w:tc>
        <w:tc>
          <w:tcPr>
            <w:tcW w:w="470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5"/>
              <w:ind w:left="80"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月水费</w:t>
            </w:r>
          </w:p>
        </w:tc>
      </w:tr>
      <w:tr>
        <w:trPr>
          <w:trHeight w:val="39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39"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3"/>
              <w:jc w:val="right"/>
              <w:rPr>
                <w:rFonts w:ascii="宋体" w:hAnsi="宋体" w:cs="宋体" w:eastAsia="宋体" w:hint="default"/>
                <w:sz w:val="18"/>
                <w:szCs w:val="18"/>
              </w:rPr>
            </w:pPr>
            <w:r>
              <w:rPr>
                <w:rFonts w:ascii="宋体"/>
                <w:sz w:val="18"/>
              </w:rPr>
              <w:t>12,697.77</w:t>
            </w:r>
          </w:p>
        </w:tc>
        <w:tc>
          <w:tcPr>
            <w:tcW w:w="470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4"/>
              <w:ind w:left="80"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月员工房租</w:t>
            </w:r>
          </w:p>
        </w:tc>
      </w:tr>
    </w:tbl>
    <w:p>
      <w:pPr>
        <w:spacing w:line="240" w:lineRule="auto" w:before="10"/>
        <w:rPr>
          <w:rFonts w:ascii="宋体" w:hAnsi="宋体" w:cs="宋体" w:eastAsia="宋体" w:hint="default"/>
          <w:sz w:val="19"/>
          <w:szCs w:val="19"/>
        </w:rPr>
      </w:pPr>
    </w:p>
    <w:p>
      <w:pPr>
        <w:spacing w:line="617" w:lineRule="exact"/>
        <w:ind w:left="23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footerReference w:type="default" r:id="rId22"/>
          <w:pgSz w:w="11910" w:h="16840"/>
          <w:pgMar w:footer="711" w:header="747" w:top="980" w:bottom="900" w:left="92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tabs>
          <w:tab w:pos="3395" w:val="left" w:leader="none"/>
          <w:tab w:pos="4421" w:val="left" w:leader="none"/>
        </w:tabs>
        <w:spacing w:before="44"/>
        <w:ind w:left="1089" w:right="133" w:firstLine="0"/>
        <w:jc w:val="left"/>
        <w:rPr>
          <w:rFonts w:ascii="宋体" w:hAnsi="宋体" w:cs="宋体" w:eastAsia="宋体" w:hint="default"/>
          <w:sz w:val="18"/>
          <w:szCs w:val="18"/>
        </w:rPr>
      </w:pPr>
      <w:r>
        <w:rPr>
          <w:rFonts w:ascii="宋体" w:hAnsi="宋体" w:cs="宋体" w:eastAsia="宋体" w:hint="default"/>
          <w:sz w:val="18"/>
          <w:szCs w:val="18"/>
        </w:rPr>
        <w:t>利息</w:t>
        <w:tab/>
        <w:t>68,860.30</w:t>
        <w:tab/>
        <w:t>计提</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月短期借款利息</w:t>
      </w:r>
    </w:p>
    <w:p>
      <w:pPr>
        <w:spacing w:line="240" w:lineRule="auto" w:before="7"/>
        <w:rPr>
          <w:rFonts w:ascii="宋体" w:hAnsi="宋体" w:cs="宋体" w:eastAsia="宋体" w:hint="default"/>
          <w:sz w:val="12"/>
          <w:szCs w:val="12"/>
        </w:rPr>
      </w:pPr>
    </w:p>
    <w:p>
      <w:pPr>
        <w:tabs>
          <w:tab w:pos="3395" w:val="left" w:leader="none"/>
          <w:tab w:pos="4421" w:val="left" w:leader="none"/>
        </w:tabs>
        <w:spacing w:before="0"/>
        <w:ind w:left="1089" w:right="133" w:firstLine="0"/>
        <w:jc w:val="left"/>
        <w:rPr>
          <w:rFonts w:ascii="宋体" w:hAnsi="宋体" w:cs="宋体" w:eastAsia="宋体" w:hint="default"/>
          <w:sz w:val="18"/>
          <w:szCs w:val="18"/>
        </w:rPr>
      </w:pPr>
      <w:r>
        <w:rPr>
          <w:rFonts w:ascii="宋体" w:hAnsi="宋体" w:cs="宋体" w:eastAsia="宋体" w:hint="default"/>
          <w:sz w:val="18"/>
          <w:szCs w:val="18"/>
        </w:rPr>
        <w:t>其他</w:t>
        <w:tab/>
        <w:t>40,527.60</w:t>
        <w:tab/>
        <w:t>计提</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月公司班车费用</w:t>
      </w:r>
    </w:p>
    <w:p>
      <w:pPr>
        <w:pStyle w:val="BodyText"/>
        <w:spacing w:line="244" w:lineRule="auto" w:before="4"/>
        <w:ind w:left="354" w:right="133" w:firstLine="540"/>
        <w:jc w:val="left"/>
      </w:pPr>
      <w:r>
        <w:rPr/>
        <w:t>6.其他应付款年末数与年初数减少</w:t>
      </w:r>
      <w:r>
        <w:rPr>
          <w:spacing w:val="-66"/>
        </w:rPr>
        <w:t> </w:t>
      </w:r>
      <w:r>
        <w:rPr/>
        <w:t>18,207,514.97</w:t>
      </w:r>
      <w:r>
        <w:rPr>
          <w:spacing w:val="-11"/>
        </w:rPr>
        <w:t> </w:t>
      </w:r>
      <w:r>
        <w:rPr/>
        <w:t>元，减少比例为</w:t>
      </w:r>
      <w:r>
        <w:rPr>
          <w:spacing w:val="-66"/>
        </w:rPr>
        <w:t> </w:t>
      </w:r>
      <w:r>
        <w:rPr/>
        <w:t>51.90％，变动原因</w:t>
      </w:r>
      <w:r>
        <w:rPr/>
        <w:t> 为：本期偿还年初王世佳、香港利达电子有限公司资金往来款</w:t>
      </w:r>
      <w:r>
        <w:rPr>
          <w:spacing w:val="-60"/>
        </w:rPr>
        <w:t> </w:t>
      </w:r>
      <w:r>
        <w:rPr/>
        <w:t>20,436,126.77</w:t>
      </w:r>
      <w:r>
        <w:rPr>
          <w:spacing w:val="-60"/>
        </w:rPr>
        <w:t> </w:t>
      </w:r>
      <w:r>
        <w:rPr/>
        <w:t>元。</w:t>
      </w:r>
    </w:p>
    <w:p>
      <w:pPr>
        <w:pStyle w:val="BodyText"/>
        <w:spacing w:line="240" w:lineRule="auto" w:before="1"/>
        <w:ind w:left="894" w:right="133"/>
        <w:jc w:val="left"/>
      </w:pPr>
      <w:r>
        <w:rPr/>
        <w:t>(二十一)长期应付款</w:t>
      </w:r>
    </w:p>
    <w:p>
      <w:pPr>
        <w:tabs>
          <w:tab w:pos="1391" w:val="left" w:leader="none"/>
          <w:tab w:pos="2291" w:val="left" w:leader="none"/>
          <w:tab w:pos="2913" w:val="left" w:leader="none"/>
          <w:tab w:pos="4623" w:val="left" w:leader="none"/>
          <w:tab w:pos="4893" w:val="left" w:leader="none"/>
          <w:tab w:pos="5793" w:val="left" w:leader="none"/>
          <w:tab w:pos="6235" w:val="left" w:leader="none"/>
          <w:tab w:pos="7045" w:val="left" w:leader="none"/>
        </w:tabs>
        <w:spacing w:before="167"/>
        <w:ind w:left="1031"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付款期限</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3"/>
          <w:pgSz w:w="11910" w:h="16840"/>
          <w:pgMar w:footer="1339" w:header="747" w:top="980" w:bottom="1520" w:left="780" w:right="980"/>
          <w:pgNumType w:start="83"/>
        </w:sectPr>
      </w:pPr>
    </w:p>
    <w:p>
      <w:pPr>
        <w:tabs>
          <w:tab w:pos="3064" w:val="left" w:leader="none"/>
        </w:tabs>
        <w:spacing w:before="73"/>
        <w:ind w:left="1121" w:right="-19" w:firstLine="0"/>
        <w:jc w:val="left"/>
        <w:rPr>
          <w:rFonts w:ascii="宋体" w:hAnsi="宋体" w:cs="宋体" w:eastAsia="宋体" w:hint="default"/>
          <w:sz w:val="18"/>
          <w:szCs w:val="18"/>
        </w:rPr>
      </w:pPr>
      <w:r>
        <w:rPr>
          <w:rFonts w:ascii="宋体" w:hAnsi="宋体" w:cs="宋体" w:eastAsia="宋体" w:hint="default"/>
          <w:sz w:val="18"/>
          <w:szCs w:val="18"/>
        </w:rPr>
        <w:t>大新银行</w:t>
        <w:tab/>
        <w:t>1-2</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line="209" w:lineRule="exact" w:before="73"/>
        <w:ind w:left="2936" w:right="3478" w:firstLine="0"/>
        <w:jc w:val="center"/>
        <w:rPr>
          <w:rFonts w:ascii="宋体" w:hAnsi="宋体" w:cs="宋体" w:eastAsia="宋体" w:hint="default"/>
          <w:sz w:val="18"/>
          <w:szCs w:val="18"/>
        </w:rPr>
      </w:pPr>
      <w:r>
        <w:rPr/>
        <w:br w:type="column"/>
      </w:r>
      <w:r>
        <w:rPr>
          <w:rFonts w:ascii="宋体"/>
          <w:sz w:val="18"/>
        </w:rPr>
        <w:t>-</w:t>
      </w:r>
    </w:p>
    <w:p>
      <w:pPr>
        <w:spacing w:line="235" w:lineRule="exact" w:before="0"/>
        <w:ind w:left="1026" w:right="0" w:firstLine="0"/>
        <w:jc w:val="left"/>
        <w:rPr>
          <w:rFonts w:ascii="宋体" w:hAnsi="宋体" w:cs="宋体" w:eastAsia="宋体" w:hint="default"/>
          <w:sz w:val="20"/>
          <w:szCs w:val="20"/>
        </w:rPr>
      </w:pPr>
      <w:r>
        <w:rPr>
          <w:rFonts w:ascii="宋体"/>
          <w:sz w:val="20"/>
        </w:rPr>
        <w:t>8,881,810.95</w:t>
      </w:r>
    </w:p>
    <w:p>
      <w:pPr>
        <w:spacing w:after="0" w:line="235" w:lineRule="exact"/>
        <w:jc w:val="left"/>
        <w:rPr>
          <w:rFonts w:ascii="宋体" w:hAnsi="宋体" w:cs="宋体" w:eastAsia="宋体" w:hint="default"/>
          <w:sz w:val="20"/>
          <w:szCs w:val="20"/>
        </w:rPr>
        <w:sectPr>
          <w:type w:val="continuous"/>
          <w:pgSz w:w="11910" w:h="16840"/>
          <w:pgMar w:top="980" w:bottom="1520" w:left="780" w:right="980"/>
          <w:cols w:num="2" w:equalWidth="0">
            <w:col w:w="3560" w:space="40"/>
            <w:col w:w="6550"/>
          </w:cols>
        </w:sectPr>
      </w:pPr>
    </w:p>
    <w:p>
      <w:pPr>
        <w:tabs>
          <w:tab w:pos="4693" w:val="left" w:leader="none"/>
          <w:tab w:pos="6554" w:val="left" w:leader="none"/>
        </w:tabs>
        <w:spacing w:before="51"/>
        <w:ind w:left="1212" w:right="133"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pacing w:val="-1"/>
          <w:sz w:val="20"/>
          <w:szCs w:val="20"/>
        </w:rPr>
        <w:t>8,881,810.95</w:t>
        <w:tab/>
      </w:r>
      <w:r>
        <w:rPr>
          <w:rFonts w:ascii="宋体" w:hAnsi="宋体" w:cs="宋体" w:eastAsia="宋体" w:hint="default"/>
          <w:sz w:val="18"/>
          <w:szCs w:val="18"/>
        </w:rPr>
        <w:t>-</w:t>
      </w:r>
    </w:p>
    <w:p>
      <w:pPr>
        <w:pStyle w:val="BodyText"/>
        <w:tabs>
          <w:tab w:pos="4493" w:val="left" w:leader="none"/>
        </w:tabs>
        <w:spacing w:line="244" w:lineRule="auto" w:before="12"/>
        <w:ind w:left="354" w:right="151" w:firstLine="540"/>
        <w:jc w:val="left"/>
      </w:pPr>
      <w:r>
        <w:rPr/>
        <w:t>长期应付款年末数比年初数增加</w:t>
        <w:tab/>
        <w:t>8,881,810.95</w:t>
      </w:r>
      <w:r>
        <w:rPr>
          <w:spacing w:val="-57"/>
        </w:rPr>
        <w:t> </w:t>
      </w:r>
      <w:r>
        <w:rPr>
          <w:spacing w:val="-5"/>
        </w:rPr>
        <w:t>元，变动原因为：本期向大新银行借款</w:t>
      </w:r>
      <w:r>
        <w:rPr/>
        <w:t> 所致。</w:t>
      </w:r>
    </w:p>
    <w:p>
      <w:pPr>
        <w:pStyle w:val="BodyText"/>
        <w:spacing w:line="240" w:lineRule="auto" w:before="0"/>
        <w:ind w:left="894" w:right="133"/>
        <w:jc w:val="left"/>
      </w:pPr>
      <w:r>
        <w:rPr/>
        <w:t>(二十二)股本</w:t>
      </w:r>
    </w:p>
    <w:p>
      <w:pPr>
        <w:tabs>
          <w:tab w:pos="3101" w:val="left" w:leader="none"/>
          <w:tab w:pos="4025" w:val="left" w:leader="none"/>
          <w:tab w:pos="4241" w:val="left" w:leader="none"/>
          <w:tab w:pos="4942" w:val="left" w:leader="none"/>
          <w:tab w:pos="7731" w:val="left" w:leader="none"/>
          <w:tab w:pos="7947" w:val="left" w:leader="none"/>
          <w:tab w:pos="8577" w:val="left" w:leader="none"/>
          <w:tab w:pos="9772" w:val="left" w:leader="none"/>
        </w:tabs>
        <w:spacing w:before="76"/>
        <w:ind w:left="2262"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4"/>
          <w:sz w:val="18"/>
          <w:szCs w:val="18"/>
          <w:u w:val="single" w:color="000000"/>
        </w:rPr>
        <w:t>年初数</w:t>
        <w:tab/>
      </w:r>
      <w:r>
        <w:rPr>
          <w:rFonts w:ascii="宋体" w:hAnsi="宋体" w:cs="宋体" w:eastAsia="宋体" w:hint="default"/>
          <w:spacing w:val="-14"/>
          <w:sz w:val="18"/>
          <w:szCs w:val="18"/>
        </w:rPr>
        <w:tab/>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pacing w:val="-14"/>
          <w:sz w:val="18"/>
          <w:szCs w:val="18"/>
          <w:u w:val="single" w:color="000000"/>
        </w:rPr>
        <w:t> </w:t>
        <w:tab/>
      </w:r>
      <w:r>
        <w:rPr>
          <w:rFonts w:ascii="宋体" w:hAnsi="宋体" w:cs="宋体" w:eastAsia="宋体" w:hint="default"/>
          <w:spacing w:val="-19"/>
          <w:sz w:val="18"/>
          <w:szCs w:val="18"/>
          <w:u w:val="single" w:color="000000"/>
        </w:rPr>
        <w:t>本年变动增（+）减（－）</w:t>
        <w:tab/>
      </w:r>
      <w:r>
        <w:rPr>
          <w:rFonts w:ascii="宋体" w:hAnsi="宋体" w:cs="宋体" w:eastAsia="宋体" w:hint="default"/>
          <w:spacing w:val="-19"/>
          <w:sz w:val="18"/>
          <w:szCs w:val="18"/>
        </w:rPr>
        <w:tab/>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pacing w:val="-19"/>
          <w:sz w:val="18"/>
          <w:szCs w:val="18"/>
          <w:u w:val="single" w:color="000000"/>
        </w:rPr>
        <w:t> </w:t>
        <w:tab/>
      </w:r>
      <w:r>
        <w:rPr>
          <w:rFonts w:ascii="宋体" w:hAnsi="宋体" w:cs="宋体" w:eastAsia="宋体" w:hint="default"/>
          <w:spacing w:val="-14"/>
          <w:sz w:val="18"/>
          <w:szCs w:val="18"/>
          <w:u w:val="single" w:color="000000"/>
        </w:rPr>
        <w:t>年末数</w:t>
        <w:tab/>
      </w:r>
      <w:r>
        <w:rPr>
          <w:rFonts w:ascii="宋体" w:hAnsi="宋体" w:cs="宋体" w:eastAsia="宋体" w:hint="default"/>
          <w:spacing w:val="-14"/>
          <w:sz w:val="18"/>
          <w:szCs w:val="18"/>
        </w:rPr>
      </w:r>
    </w:p>
    <w:p>
      <w:pPr>
        <w:spacing w:after="0"/>
        <w:jc w:val="left"/>
        <w:rPr>
          <w:rFonts w:ascii="宋体" w:hAnsi="宋体" w:cs="宋体" w:eastAsia="宋体" w:hint="default"/>
          <w:sz w:val="18"/>
          <w:szCs w:val="18"/>
        </w:rPr>
        <w:sectPr>
          <w:type w:val="continuous"/>
          <w:pgSz w:w="11910" w:h="16840"/>
          <w:pgMar w:top="980" w:bottom="1520" w:left="780" w:right="980"/>
        </w:sectPr>
      </w:pPr>
    </w:p>
    <w:p>
      <w:pPr>
        <w:tabs>
          <w:tab w:pos="662" w:val="left" w:leader="none"/>
          <w:tab w:pos="1142" w:val="left" w:leader="none"/>
          <w:tab w:pos="2045" w:val="left" w:leader="none"/>
        </w:tabs>
        <w:spacing w:before="83"/>
        <w:ind w:left="10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p>
      <w:pPr>
        <w:spacing w:line="198" w:lineRule="exact" w:before="85"/>
        <w:ind w:left="0" w:right="0" w:firstLine="0"/>
        <w:jc w:val="right"/>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tabs>
          <w:tab w:pos="521" w:val="left" w:leader="none"/>
          <w:tab w:pos="1221" w:val="left" w:leader="none"/>
        </w:tabs>
        <w:spacing w:line="160" w:lineRule="exact" w:before="0"/>
        <w:ind w:left="10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0"/>
          <w:sz w:val="18"/>
          <w:szCs w:val="18"/>
          <w:u w:val="single" w:color="000000"/>
        </w:rPr>
        <w:t>金额</w:t>
        <w:tab/>
      </w:r>
      <w:r>
        <w:rPr>
          <w:rFonts w:ascii="宋体" w:hAnsi="宋体" w:cs="宋体" w:eastAsia="宋体" w:hint="default"/>
          <w:spacing w:val="-10"/>
          <w:sz w:val="18"/>
          <w:szCs w:val="18"/>
        </w:rPr>
      </w:r>
    </w:p>
    <w:p>
      <w:pPr>
        <w:spacing w:line="198" w:lineRule="exact" w:before="0"/>
        <w:ind w:left="0" w:right="6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240" w:lineRule="auto" w:before="9"/>
        <w:rPr>
          <w:rFonts w:ascii="宋体" w:hAnsi="宋体" w:cs="宋体" w:eastAsia="宋体" w:hint="default"/>
          <w:sz w:val="18"/>
          <w:szCs w:val="18"/>
        </w:rPr>
      </w:pPr>
      <w:r>
        <w:rPr/>
        <w:br w:type="column"/>
      </w:r>
      <w:r>
        <w:rPr>
          <w:rFonts w:ascii="宋体"/>
          <w:sz w:val="18"/>
        </w:rPr>
      </w:r>
    </w:p>
    <w:p>
      <w:pPr>
        <w:tabs>
          <w:tab w:pos="1251" w:val="left" w:leader="none"/>
        </w:tabs>
        <w:spacing w:before="0"/>
        <w:ind w:left="10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pacing w:val="-16"/>
          <w:sz w:val="18"/>
          <w:szCs w:val="18"/>
          <w:u w:val="single" w:color="000000"/>
        </w:rPr>
        <w:t>发行新股</w:t>
      </w:r>
      <w:r>
        <w:rPr>
          <w:rFonts w:ascii="宋体" w:hAnsi="宋体" w:cs="宋体" w:eastAsia="宋体" w:hint="default"/>
          <w:spacing w:val="-16"/>
          <w:sz w:val="18"/>
          <w:szCs w:val="18"/>
        </w:rPr>
        <w:tab/>
      </w:r>
      <w:r>
        <w:rPr>
          <w:rFonts w:ascii="宋体" w:hAnsi="宋体" w:cs="宋体" w:eastAsia="宋体" w:hint="default"/>
          <w:spacing w:val="-20"/>
          <w:sz w:val="18"/>
          <w:szCs w:val="18"/>
          <w:u w:val="single" w:color="000000"/>
        </w:rPr>
        <w:t>送股</w:t>
      </w:r>
      <w:r>
        <w:rPr>
          <w:rFonts w:ascii="宋体" w:hAnsi="宋体" w:cs="宋体" w:eastAsia="宋体" w:hint="default"/>
          <w:spacing w:val="-20"/>
          <w:sz w:val="18"/>
          <w:szCs w:val="18"/>
        </w:rPr>
      </w:r>
      <w:r>
        <w:rPr>
          <w:rFonts w:ascii="宋体" w:hAnsi="宋体" w:cs="宋体" w:eastAsia="宋体" w:hint="default"/>
          <w:sz w:val="18"/>
          <w:szCs w:val="18"/>
        </w:rPr>
      </w:r>
    </w:p>
    <w:p>
      <w:pPr>
        <w:spacing w:line="326" w:lineRule="auto" w:before="85"/>
        <w:ind w:left="181" w:right="-17" w:hanging="8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r>
      <w:r>
        <w:rPr>
          <w:rFonts w:ascii="宋体" w:hAnsi="宋体" w:cs="宋体" w:eastAsia="宋体" w:hint="default"/>
          <w:spacing w:val="-14"/>
          <w:sz w:val="18"/>
          <w:szCs w:val="18"/>
          <w:u w:val="single" w:color="000000"/>
        </w:rPr>
        <w:t>公积金</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0"/>
          <w:sz w:val="18"/>
          <w:szCs w:val="18"/>
          <w:u w:val="single" w:color="000000"/>
        </w:rPr>
        <w:t>转股</w:t>
      </w:r>
      <w:r>
        <w:rPr>
          <w:rFonts w:ascii="宋体" w:hAnsi="宋体" w:cs="宋体" w:eastAsia="宋体" w:hint="default"/>
          <w:spacing w:val="-20"/>
          <w:sz w:val="18"/>
          <w:szCs w:val="18"/>
        </w:rPr>
      </w:r>
      <w:r>
        <w:rPr>
          <w:rFonts w:ascii="宋体" w:hAnsi="宋体" w:cs="宋体" w:eastAsia="宋体" w:hint="default"/>
          <w:sz w:val="18"/>
          <w:szCs w:val="18"/>
        </w:rPr>
      </w:r>
    </w:p>
    <w:p>
      <w:pPr>
        <w:spacing w:line="198" w:lineRule="exact" w:before="85"/>
        <w:ind w:left="0" w:right="441" w:firstLine="0"/>
        <w:jc w:val="right"/>
        <w:rPr>
          <w:rFonts w:ascii="宋体" w:hAnsi="宋体" w:cs="宋体" w:eastAsia="宋体" w:hint="default"/>
          <w:sz w:val="18"/>
          <w:szCs w:val="18"/>
        </w:rPr>
      </w:pPr>
      <w:r>
        <w:rPr>
          <w:spacing w:val="-20"/>
        </w:rPr>
        <w:br w:type="column"/>
      </w:r>
      <w:r>
        <w:rPr>
          <w:rFonts w:ascii="宋体" w:hAnsi="宋体" w:cs="宋体" w:eastAsia="宋体" w:hint="default"/>
          <w:spacing w:val="-20"/>
          <w:sz w:val="18"/>
          <w:szCs w:val="18"/>
        </w:rPr>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tabs>
          <w:tab w:pos="674" w:val="left" w:leader="none"/>
          <w:tab w:pos="1215" w:val="left" w:leader="none"/>
          <w:tab w:pos="1635" w:val="left" w:leader="none"/>
          <w:tab w:pos="2357" w:val="left" w:leader="none"/>
        </w:tabs>
        <w:spacing w:line="160" w:lineRule="exact" w:before="0"/>
        <w:ind w:left="10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0"/>
          <w:sz w:val="18"/>
          <w:szCs w:val="18"/>
          <w:u w:val="single" w:color="000000"/>
        </w:rPr>
        <w:t>其他</w:t>
      </w:r>
      <w:r>
        <w:rPr>
          <w:rFonts w:ascii="宋体" w:hAnsi="宋体" w:cs="宋体" w:eastAsia="宋体" w:hint="default"/>
          <w:spacing w:val="-10"/>
          <w:sz w:val="18"/>
          <w:szCs w:val="18"/>
        </w:rPr>
        <w:tab/>
      </w:r>
      <w:r>
        <w:rPr>
          <w:rFonts w:ascii="宋体" w:hAnsi="宋体" w:cs="宋体" w:eastAsia="宋体" w:hint="default"/>
          <w:spacing w:val="-10"/>
          <w:sz w:val="18"/>
          <w:szCs w:val="18"/>
          <w:u w:val="single" w:color="000000"/>
        </w:rPr>
        <w:t>小计</w:t>
      </w:r>
      <w:r>
        <w:rPr>
          <w:rFonts w:ascii="宋体" w:hAnsi="宋体" w:cs="宋体" w:eastAsia="宋体" w:hint="default"/>
          <w:spacing w:val="-10"/>
          <w:sz w:val="18"/>
          <w:szCs w:val="18"/>
        </w:rPr>
        <w:tab/>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pacing w:val="-10"/>
          <w:sz w:val="18"/>
          <w:szCs w:val="18"/>
          <w:u w:val="single" w:color="000000"/>
        </w:rPr>
        <w:t> </w:t>
        <w:tab/>
      </w:r>
      <w:r>
        <w:rPr>
          <w:rFonts w:ascii="宋体" w:hAnsi="宋体" w:cs="宋体" w:eastAsia="宋体" w:hint="default"/>
          <w:spacing w:val="-10"/>
          <w:sz w:val="18"/>
          <w:szCs w:val="18"/>
          <w:u w:val="single" w:color="000000"/>
        </w:rPr>
        <w:t>金额</w:t>
        <w:tab/>
      </w:r>
      <w:r>
        <w:rPr>
          <w:rFonts w:ascii="宋体" w:hAnsi="宋体" w:cs="宋体" w:eastAsia="宋体" w:hint="default"/>
          <w:spacing w:val="-10"/>
          <w:sz w:val="18"/>
          <w:szCs w:val="18"/>
        </w:rPr>
      </w:r>
    </w:p>
    <w:p>
      <w:pPr>
        <w:spacing w:line="198" w:lineRule="exact" w:before="0"/>
        <w:ind w:left="0" w:right="505"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after="0" w:line="198" w:lineRule="exact"/>
        <w:jc w:val="right"/>
        <w:rPr>
          <w:rFonts w:ascii="宋体" w:hAnsi="宋体" w:cs="宋体" w:eastAsia="宋体" w:hint="default"/>
          <w:sz w:val="18"/>
          <w:szCs w:val="18"/>
        </w:rPr>
        <w:sectPr>
          <w:type w:val="continuous"/>
          <w:pgSz w:w="11910" w:h="16840"/>
          <w:pgMar w:top="980" w:bottom="1520" w:left="780" w:right="980"/>
          <w:cols w:num="5" w:equalWidth="0">
            <w:col w:w="2047" w:space="113"/>
            <w:col w:w="1814" w:space="316"/>
            <w:col w:w="1574" w:space="129"/>
            <w:col w:w="603" w:space="136"/>
            <w:col w:w="3418"/>
          </w:cols>
        </w:sectPr>
      </w:pPr>
    </w:p>
    <w:p>
      <w:pPr>
        <w:tabs>
          <w:tab w:pos="2261" w:val="left" w:leader="none"/>
          <w:tab w:pos="3691" w:val="left" w:leader="none"/>
          <w:tab w:pos="7970" w:val="left" w:leader="none"/>
          <w:tab w:pos="9338" w:val="left" w:leader="none"/>
        </w:tabs>
        <w:spacing w:before="20"/>
        <w:ind w:left="102" w:right="133" w:firstLine="0"/>
        <w:jc w:val="left"/>
        <w:rPr>
          <w:rFonts w:ascii="宋体" w:hAnsi="宋体" w:cs="宋体" w:eastAsia="宋体" w:hint="default"/>
          <w:sz w:val="18"/>
          <w:szCs w:val="18"/>
        </w:rPr>
      </w:pPr>
      <w:r>
        <w:rPr>
          <w:rFonts w:ascii="宋体" w:hAnsi="宋体" w:cs="宋体" w:eastAsia="宋体" w:hint="default"/>
          <w:spacing w:val="-17"/>
          <w:sz w:val="18"/>
          <w:szCs w:val="18"/>
        </w:rPr>
        <w:t>1.有限售条件股份</w:t>
        <w:tab/>
      </w:r>
      <w:r>
        <w:rPr>
          <w:rFonts w:ascii="宋体" w:hAnsi="宋体" w:cs="宋体" w:eastAsia="宋体" w:hint="default"/>
          <w:spacing w:val="-10"/>
          <w:sz w:val="18"/>
          <w:szCs w:val="18"/>
        </w:rPr>
        <w:t>100,000,000.00</w:t>
        <w:tab/>
      </w:r>
      <w:r>
        <w:rPr>
          <w:rFonts w:ascii="宋体" w:hAnsi="宋体" w:cs="宋体" w:eastAsia="宋体" w:hint="default"/>
          <w:spacing w:val="-7"/>
          <w:sz w:val="18"/>
          <w:szCs w:val="18"/>
        </w:rPr>
        <w:t>100</w:t>
        <w:tab/>
      </w:r>
      <w:r>
        <w:rPr>
          <w:rFonts w:ascii="宋体" w:hAnsi="宋体" w:cs="宋体" w:eastAsia="宋体" w:hint="default"/>
          <w:spacing w:val="-10"/>
          <w:sz w:val="18"/>
          <w:szCs w:val="18"/>
        </w:rPr>
        <w:t>100,000,000.00</w:t>
        <w:tab/>
      </w:r>
      <w:r>
        <w:rPr>
          <w:rFonts w:ascii="宋体" w:hAnsi="宋体" w:cs="宋体" w:eastAsia="宋体" w:hint="default"/>
          <w:spacing w:val="-9"/>
          <w:sz w:val="18"/>
          <w:szCs w:val="18"/>
        </w:rPr>
        <w:t>74.96</w:t>
      </w:r>
    </w:p>
    <w:p>
      <w:pPr>
        <w:spacing w:line="326" w:lineRule="auto" w:before="85"/>
        <w:ind w:left="102" w:right="8834" w:firstLine="0"/>
        <w:jc w:val="left"/>
        <w:rPr>
          <w:rFonts w:ascii="宋体" w:hAnsi="宋体" w:cs="宋体" w:eastAsia="宋体" w:hint="default"/>
          <w:sz w:val="18"/>
          <w:szCs w:val="18"/>
        </w:rPr>
      </w:pPr>
      <w:r>
        <w:rPr>
          <w:rFonts w:ascii="宋体" w:hAnsi="宋体" w:cs="宋体" w:eastAsia="宋体" w:hint="default"/>
          <w:spacing w:val="-14"/>
          <w:sz w:val="18"/>
          <w:szCs w:val="18"/>
        </w:rPr>
        <w:t>(1)国家持股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(2)国有法人持股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8"/>
          <w:sz w:val="18"/>
          <w:szCs w:val="18"/>
        </w:rPr>
        <w:t>(3)其他内资持股</w:t>
      </w:r>
      <w:r>
        <w:rPr>
          <w:rFonts w:ascii="宋体" w:hAnsi="宋体" w:cs="宋体" w:eastAsia="宋体" w:hint="default"/>
          <w:sz w:val="18"/>
          <w:szCs w:val="18"/>
        </w:rPr>
      </w:r>
    </w:p>
    <w:p>
      <w:pPr>
        <w:tabs>
          <w:tab w:pos="2339" w:val="left" w:leader="none"/>
          <w:tab w:pos="3625" w:val="left" w:leader="none"/>
          <w:tab w:pos="8048" w:val="left" w:leader="none"/>
          <w:tab w:pos="9372" w:val="left" w:leader="none"/>
        </w:tabs>
        <w:spacing w:before="20"/>
        <w:ind w:left="102" w:right="133" w:firstLine="0"/>
        <w:jc w:val="left"/>
        <w:rPr>
          <w:rFonts w:ascii="宋体" w:hAnsi="宋体" w:cs="宋体" w:eastAsia="宋体" w:hint="default"/>
          <w:sz w:val="18"/>
          <w:szCs w:val="18"/>
        </w:rPr>
      </w:pPr>
      <w:r>
        <w:rPr>
          <w:rFonts w:ascii="宋体" w:hAnsi="宋体" w:cs="宋体" w:eastAsia="宋体" w:hint="default"/>
          <w:spacing w:val="-19"/>
          <w:sz w:val="18"/>
          <w:szCs w:val="18"/>
        </w:rPr>
        <w:t>其中：境内非国有法人持股</w:t>
        <w:tab/>
      </w:r>
      <w:r>
        <w:rPr>
          <w:rFonts w:ascii="宋体" w:hAnsi="宋体" w:cs="宋体" w:eastAsia="宋体" w:hint="default"/>
          <w:spacing w:val="-10"/>
          <w:sz w:val="18"/>
          <w:szCs w:val="18"/>
        </w:rPr>
        <w:t>97,000,000.00</w:t>
        <w:tab/>
      </w:r>
      <w:r>
        <w:rPr>
          <w:rFonts w:ascii="宋体" w:hAnsi="宋体" w:cs="宋体" w:eastAsia="宋体" w:hint="default"/>
          <w:spacing w:val="-9"/>
          <w:sz w:val="18"/>
          <w:szCs w:val="18"/>
        </w:rPr>
        <w:t>97.00</w:t>
        <w:tab/>
      </w:r>
      <w:r>
        <w:rPr>
          <w:rFonts w:ascii="宋体" w:hAnsi="宋体" w:cs="宋体" w:eastAsia="宋体" w:hint="default"/>
          <w:spacing w:val="-10"/>
          <w:sz w:val="18"/>
          <w:szCs w:val="18"/>
        </w:rPr>
        <w:t>97,000,000.00</w:t>
        <w:tab/>
      </w:r>
      <w:r>
        <w:rPr>
          <w:rFonts w:ascii="宋体" w:hAnsi="宋体" w:cs="宋体" w:eastAsia="宋体" w:hint="default"/>
          <w:spacing w:val="-9"/>
          <w:sz w:val="18"/>
          <w:szCs w:val="18"/>
        </w:rPr>
        <w:t>72.71</w:t>
      </w:r>
    </w:p>
    <w:p>
      <w:pPr>
        <w:tabs>
          <w:tab w:pos="2420" w:val="left" w:leader="none"/>
          <w:tab w:pos="3704" w:val="left" w:leader="none"/>
          <w:tab w:pos="8128" w:val="left" w:leader="none"/>
          <w:tab w:pos="9772" w:val="right" w:leader="none"/>
        </w:tabs>
        <w:spacing w:before="83"/>
        <w:ind w:left="102" w:right="0" w:firstLine="0"/>
        <w:jc w:val="left"/>
        <w:rPr>
          <w:rFonts w:ascii="宋体" w:hAnsi="宋体" w:cs="宋体" w:eastAsia="宋体" w:hint="default"/>
          <w:sz w:val="18"/>
          <w:szCs w:val="18"/>
        </w:rPr>
      </w:pPr>
      <w:r>
        <w:rPr>
          <w:rFonts w:ascii="宋体" w:hAnsi="宋体" w:cs="宋体" w:eastAsia="宋体" w:hint="default"/>
          <w:spacing w:val="-18"/>
          <w:sz w:val="18"/>
          <w:szCs w:val="18"/>
        </w:rPr>
        <w:t>境内自然人持股</w:t>
        <w:tab/>
      </w:r>
      <w:r>
        <w:rPr>
          <w:rFonts w:ascii="宋体" w:hAnsi="宋体" w:cs="宋体" w:eastAsia="宋体" w:hint="default"/>
          <w:spacing w:val="-10"/>
          <w:sz w:val="18"/>
          <w:szCs w:val="18"/>
        </w:rPr>
        <w:t>3,000,000.00</w:t>
        <w:tab/>
      </w:r>
      <w:r>
        <w:rPr>
          <w:rFonts w:ascii="宋体" w:hAnsi="宋体" w:cs="宋体" w:eastAsia="宋体" w:hint="default"/>
          <w:spacing w:val="-8"/>
          <w:sz w:val="18"/>
          <w:szCs w:val="18"/>
        </w:rPr>
        <w:t>3.00</w:t>
        <w:tab/>
      </w:r>
      <w:r>
        <w:rPr>
          <w:rFonts w:ascii="宋体" w:hAnsi="宋体" w:cs="宋体" w:eastAsia="宋体" w:hint="default"/>
          <w:spacing w:val="-11"/>
          <w:sz w:val="18"/>
          <w:szCs w:val="18"/>
        </w:rPr>
        <w:t>3,000,000.00</w:t>
      </w:r>
      <w:r>
        <w:rPr>
          <w:rFonts w:ascii="Times New Roman" w:hAnsi="Times New Roman" w:cs="Times New Roman" w:eastAsia="Times New Roman" w:hint="default"/>
          <w:spacing w:val="-11"/>
          <w:sz w:val="18"/>
          <w:szCs w:val="18"/>
        </w:rPr>
        <w:tab/>
      </w:r>
      <w:r>
        <w:rPr>
          <w:rFonts w:ascii="宋体" w:hAnsi="宋体" w:cs="宋体" w:eastAsia="宋体" w:hint="default"/>
          <w:spacing w:val="-10"/>
          <w:sz w:val="18"/>
          <w:szCs w:val="18"/>
        </w:rPr>
        <w:t>2.25</w:t>
      </w:r>
      <w:r>
        <w:rPr>
          <w:rFonts w:ascii="宋体" w:hAnsi="宋体" w:cs="宋体" w:eastAsia="宋体" w:hint="default"/>
          <w:sz w:val="18"/>
          <w:szCs w:val="18"/>
        </w:rPr>
      </w:r>
    </w:p>
    <w:p>
      <w:pPr>
        <w:spacing w:line="326" w:lineRule="auto" w:before="85"/>
        <w:ind w:left="102" w:right="8909" w:firstLine="0"/>
        <w:jc w:val="left"/>
        <w:rPr>
          <w:rFonts w:ascii="宋体" w:hAnsi="宋体" w:cs="宋体" w:eastAsia="宋体" w:hint="default"/>
          <w:sz w:val="18"/>
          <w:szCs w:val="18"/>
        </w:rPr>
      </w:pPr>
      <w:r>
        <w:rPr>
          <w:rFonts w:ascii="宋体" w:hAnsi="宋体" w:cs="宋体" w:eastAsia="宋体" w:hint="default"/>
          <w:spacing w:val="-14"/>
          <w:sz w:val="18"/>
          <w:szCs w:val="18"/>
        </w:rPr>
        <w:t>(4)外资持股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其中：</w:t>
      </w:r>
      <w:r>
        <w:rPr>
          <w:rFonts w:ascii="宋体" w:hAnsi="宋体" w:cs="宋体" w:eastAsia="宋体" w:hint="default"/>
          <w:sz w:val="18"/>
          <w:szCs w:val="18"/>
        </w:rPr>
        <w:t> </w:t>
      </w:r>
      <w:r>
        <w:rPr>
          <w:rFonts w:ascii="宋体" w:hAnsi="宋体" w:cs="宋体" w:eastAsia="宋体" w:hint="default"/>
          <w:spacing w:val="-21"/>
          <w:sz w:val="18"/>
          <w:szCs w:val="18"/>
        </w:rPr>
        <w:t>境外法人持股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境外自然人持股</w:t>
      </w:r>
      <w:r>
        <w:rPr>
          <w:rFonts w:ascii="宋体" w:hAnsi="宋体" w:cs="宋体" w:eastAsia="宋体" w:hint="default"/>
          <w:sz w:val="18"/>
          <w:szCs w:val="18"/>
        </w:rPr>
      </w:r>
    </w:p>
    <w:p>
      <w:pPr>
        <w:spacing w:line="326" w:lineRule="auto" w:before="20"/>
        <w:ind w:left="102" w:right="8573" w:firstLine="0"/>
        <w:jc w:val="left"/>
        <w:rPr>
          <w:rFonts w:ascii="宋体" w:hAnsi="宋体" w:cs="宋体" w:eastAsia="宋体" w:hint="default"/>
          <w:sz w:val="18"/>
          <w:szCs w:val="18"/>
        </w:rPr>
      </w:pPr>
      <w:r>
        <w:rPr>
          <w:rFonts w:ascii="宋体" w:hAnsi="宋体" w:cs="宋体" w:eastAsia="宋体" w:hint="default"/>
          <w:spacing w:val="-19"/>
          <w:sz w:val="18"/>
          <w:szCs w:val="18"/>
        </w:rPr>
        <w:t>有限售条件股份合计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2.无限售条件股份</w:t>
      </w:r>
      <w:r>
        <w:rPr>
          <w:rFonts w:ascii="宋体" w:hAnsi="宋体" w:cs="宋体" w:eastAsia="宋体" w:hint="default"/>
          <w:sz w:val="18"/>
          <w:szCs w:val="18"/>
        </w:rPr>
      </w:r>
    </w:p>
    <w:p>
      <w:pPr>
        <w:tabs>
          <w:tab w:pos="4280" w:val="left" w:leader="none"/>
          <w:tab w:pos="8048" w:val="left" w:leader="none"/>
          <w:tab w:pos="9782" w:val="right" w:leader="none"/>
        </w:tabs>
        <w:spacing w:before="20"/>
        <w:ind w:left="102" w:right="0" w:firstLine="0"/>
        <w:jc w:val="left"/>
        <w:rPr>
          <w:rFonts w:ascii="宋体" w:hAnsi="宋体" w:cs="宋体" w:eastAsia="宋体" w:hint="default"/>
          <w:sz w:val="18"/>
          <w:szCs w:val="18"/>
        </w:rPr>
      </w:pPr>
      <w:r>
        <w:rPr>
          <w:rFonts w:ascii="宋体" w:hAnsi="宋体" w:cs="宋体" w:eastAsia="宋体" w:hint="default"/>
          <w:spacing w:val="-15"/>
          <w:sz w:val="18"/>
          <w:szCs w:val="18"/>
        </w:rPr>
        <w:t>(1)人民币普通股</w:t>
        <w:tab/>
      </w:r>
      <w:r>
        <w:rPr>
          <w:rFonts w:ascii="宋体" w:hAnsi="宋体" w:cs="宋体" w:eastAsia="宋体" w:hint="default"/>
          <w:spacing w:val="-10"/>
          <w:sz w:val="18"/>
          <w:szCs w:val="18"/>
        </w:rPr>
        <w:t>33,400,000.00</w:t>
        <w:tab/>
      </w:r>
      <w:r>
        <w:rPr>
          <w:rFonts w:ascii="宋体" w:hAnsi="宋体" w:cs="宋体" w:eastAsia="宋体" w:hint="default"/>
          <w:spacing w:val="-11"/>
          <w:sz w:val="18"/>
          <w:szCs w:val="18"/>
        </w:rPr>
        <w:t>33,400,000.00</w:t>
      </w:r>
      <w:r>
        <w:rPr>
          <w:rFonts w:ascii="Times New Roman" w:hAnsi="Times New Roman" w:cs="Times New Roman" w:eastAsia="Times New Roman" w:hint="default"/>
          <w:spacing w:val="-11"/>
          <w:sz w:val="18"/>
          <w:szCs w:val="18"/>
        </w:rPr>
        <w:tab/>
      </w:r>
      <w:r>
        <w:rPr>
          <w:rFonts w:ascii="宋体" w:hAnsi="宋体" w:cs="宋体" w:eastAsia="宋体" w:hint="default"/>
          <w:spacing w:val="-9"/>
          <w:sz w:val="18"/>
          <w:szCs w:val="18"/>
        </w:rPr>
        <w:t>25.04</w:t>
      </w:r>
    </w:p>
    <w:p>
      <w:pPr>
        <w:spacing w:line="326" w:lineRule="auto" w:before="85"/>
        <w:ind w:left="102" w:right="8488" w:firstLine="0"/>
        <w:jc w:val="left"/>
        <w:rPr>
          <w:rFonts w:ascii="宋体" w:hAnsi="宋体" w:cs="宋体" w:eastAsia="宋体" w:hint="default"/>
          <w:sz w:val="18"/>
          <w:szCs w:val="18"/>
        </w:rPr>
      </w:pPr>
      <w:r>
        <w:rPr>
          <w:rFonts w:ascii="宋体" w:hAnsi="宋体" w:cs="宋体" w:eastAsia="宋体" w:hint="default"/>
          <w:spacing w:val="-16"/>
          <w:sz w:val="18"/>
          <w:szCs w:val="18"/>
        </w:rPr>
        <w:t>(2)境内上市的外资股</w:t>
      </w:r>
      <w:r>
        <w:rPr>
          <w:rFonts w:ascii="宋体" w:hAnsi="宋体" w:cs="宋体" w:eastAsia="宋体" w:hint="default"/>
          <w:sz w:val="18"/>
          <w:szCs w:val="18"/>
        </w:rPr>
        <w:t> </w:t>
      </w:r>
      <w:r>
        <w:rPr>
          <w:rFonts w:ascii="宋体" w:hAnsi="宋体" w:cs="宋体" w:eastAsia="宋体" w:hint="default"/>
          <w:spacing w:val="-16"/>
          <w:sz w:val="18"/>
          <w:szCs w:val="18"/>
        </w:rPr>
        <w:t>(3)境外上市的外资股</w:t>
      </w:r>
      <w:r>
        <w:rPr>
          <w:rFonts w:ascii="宋体" w:hAnsi="宋体" w:cs="宋体" w:eastAsia="宋体" w:hint="default"/>
          <w:sz w:val="18"/>
          <w:szCs w:val="18"/>
        </w:rPr>
        <w:t> </w:t>
      </w:r>
      <w:r>
        <w:rPr>
          <w:rFonts w:ascii="宋体" w:hAnsi="宋体" w:cs="宋体" w:eastAsia="宋体" w:hint="default"/>
          <w:spacing w:val="-11"/>
          <w:sz w:val="18"/>
          <w:szCs w:val="18"/>
        </w:rPr>
        <w:t>(4)其他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无限售条件股份合计</w:t>
      </w:r>
    </w:p>
    <w:p>
      <w:pPr>
        <w:tabs>
          <w:tab w:pos="2261" w:val="left" w:leader="none"/>
          <w:tab w:pos="3691" w:val="left" w:leader="none"/>
          <w:tab w:pos="7970" w:val="left" w:leader="none"/>
          <w:tab w:pos="9660" w:val="right" w:leader="none"/>
        </w:tabs>
        <w:spacing w:before="19"/>
        <w:ind w:left="102" w:right="0" w:firstLine="0"/>
        <w:jc w:val="left"/>
        <w:rPr>
          <w:rFonts w:ascii="宋体" w:hAnsi="宋体" w:cs="宋体" w:eastAsia="宋体" w:hint="default"/>
          <w:sz w:val="18"/>
          <w:szCs w:val="18"/>
        </w:rPr>
      </w:pPr>
      <w:r>
        <w:rPr>
          <w:rFonts w:ascii="宋体" w:hAnsi="宋体" w:cs="宋体" w:eastAsia="宋体" w:hint="default"/>
          <w:spacing w:val="-14"/>
          <w:sz w:val="18"/>
          <w:szCs w:val="18"/>
        </w:rPr>
        <w:t>3.股份总数</w:t>
        <w:tab/>
      </w:r>
      <w:r>
        <w:rPr>
          <w:rFonts w:ascii="宋体" w:hAnsi="宋体" w:cs="宋体" w:eastAsia="宋体" w:hint="default"/>
          <w:spacing w:val="-10"/>
          <w:sz w:val="18"/>
          <w:szCs w:val="18"/>
        </w:rPr>
        <w:t>100,000,000.00</w:t>
        <w:tab/>
      </w:r>
      <w:r>
        <w:rPr>
          <w:rFonts w:ascii="宋体" w:hAnsi="宋体" w:cs="宋体" w:eastAsia="宋体" w:hint="default"/>
          <w:spacing w:val="-7"/>
          <w:sz w:val="18"/>
          <w:szCs w:val="18"/>
        </w:rPr>
        <w:t>100</w:t>
        <w:tab/>
      </w:r>
      <w:r>
        <w:rPr>
          <w:rFonts w:ascii="宋体" w:hAnsi="宋体" w:cs="宋体" w:eastAsia="宋体" w:hint="default"/>
          <w:spacing w:val="-10"/>
          <w:sz w:val="18"/>
          <w:szCs w:val="18"/>
        </w:rPr>
        <w:t>133,400,000.00</w:t>
      </w:r>
      <w:r>
        <w:rPr>
          <w:rFonts w:ascii="Times New Roman" w:hAnsi="Times New Roman" w:cs="Times New Roman" w:eastAsia="Times New Roman" w:hint="default"/>
          <w:spacing w:val="-10"/>
          <w:sz w:val="18"/>
          <w:szCs w:val="18"/>
        </w:rPr>
        <w:tab/>
      </w:r>
      <w:r>
        <w:rPr>
          <w:rFonts w:ascii="宋体" w:hAnsi="宋体" w:cs="宋体" w:eastAsia="宋体" w:hint="default"/>
          <w:spacing w:val="-10"/>
          <w:sz w:val="18"/>
          <w:szCs w:val="18"/>
        </w:rPr>
        <w:t>100</w:t>
      </w:r>
      <w:r>
        <w:rPr>
          <w:rFonts w:ascii="宋体" w:hAnsi="宋体" w:cs="宋体" w:eastAsia="宋体" w:hint="default"/>
          <w:sz w:val="18"/>
          <w:szCs w:val="18"/>
        </w:rPr>
      </w:r>
    </w:p>
    <w:p>
      <w:pPr>
        <w:pStyle w:val="BodyText"/>
        <w:spacing w:line="336" w:lineRule="auto" w:before="111"/>
        <w:ind w:left="354" w:right="151" w:firstLine="540"/>
        <w:jc w:val="both"/>
      </w:pPr>
      <w:r>
        <w:rPr/>
        <w:t>经</w:t>
      </w:r>
      <w:r>
        <w:rPr>
          <w:spacing w:val="-48"/>
        </w:rPr>
        <w:t> </w:t>
      </w:r>
      <w:r>
        <w:rPr/>
        <w:t>2006</w:t>
      </w:r>
      <w:r>
        <w:rPr>
          <w:spacing w:val="-48"/>
        </w:rPr>
        <w:t> </w:t>
      </w:r>
      <w:r>
        <w:rPr/>
        <w:t>年度第四次临时股东大会决议，并于</w:t>
      </w:r>
      <w:r>
        <w:rPr>
          <w:spacing w:val="-48"/>
        </w:rPr>
        <w:t> </w:t>
      </w:r>
      <w:r>
        <w:rPr/>
        <w:t>2007</w:t>
      </w:r>
      <w:r>
        <w:rPr>
          <w:spacing w:val="-48"/>
        </w:rPr>
        <w:t> </w:t>
      </w:r>
      <w:r>
        <w:rPr/>
        <w:t>年</w:t>
      </w:r>
      <w:r>
        <w:rPr>
          <w:spacing w:val="-47"/>
        </w:rPr>
        <w:t> </w:t>
      </w:r>
      <w:r>
        <w:rPr/>
        <w:t>5</w:t>
      </w:r>
      <w:r>
        <w:rPr>
          <w:spacing w:val="-48"/>
        </w:rPr>
        <w:t> </w:t>
      </w:r>
      <w:r>
        <w:rPr/>
        <w:t>月</w:t>
      </w:r>
      <w:r>
        <w:rPr>
          <w:spacing w:val="-48"/>
        </w:rPr>
        <w:t> </w:t>
      </w:r>
      <w:r>
        <w:rPr/>
        <w:t>22</w:t>
      </w:r>
      <w:r>
        <w:rPr>
          <w:spacing w:val="-48"/>
        </w:rPr>
        <w:t> </w:t>
      </w:r>
      <w:r>
        <w:rPr/>
        <w:t>日经中国证券监督管理委</w:t>
      </w:r>
      <w:r>
        <w:rPr/>
        <w:t> 员会以证监发行字[2007]116</w:t>
      </w:r>
      <w:r>
        <w:rPr>
          <w:spacing w:val="24"/>
        </w:rPr>
        <w:t> </w:t>
      </w:r>
      <w:r>
        <w:rPr/>
        <w:t>号文《关于核准深圳市实益达科技股份有限公司公开发行股票</w:t>
      </w:r>
      <w:r>
        <w:rPr>
          <w:spacing w:val="-117"/>
        </w:rPr>
        <w:t> </w:t>
      </w:r>
      <w:r>
        <w:rPr>
          <w:spacing w:val="-117"/>
        </w:rPr>
      </w:r>
      <w:r>
        <w:rPr>
          <w:spacing w:val="-3"/>
        </w:rPr>
        <w:t>的通知》核准，本公司向社会公开发行人民币普通股股票(A </w:t>
      </w:r>
      <w:r>
        <w:rPr/>
        <w:t>股)3,340</w:t>
      </w:r>
      <w:r>
        <w:rPr>
          <w:spacing w:val="-92"/>
        </w:rPr>
        <w:t> </w:t>
      </w:r>
      <w:r>
        <w:rPr>
          <w:spacing w:val="-3"/>
        </w:rPr>
        <w:t>万股，注册资本变更为</w:t>
      </w:r>
      <w:r>
        <w:rPr/>
        <w:t> 人民币</w:t>
      </w:r>
      <w:r>
        <w:rPr>
          <w:spacing w:val="-68"/>
        </w:rPr>
        <w:t> </w:t>
      </w:r>
      <w:r>
        <w:rPr/>
        <w:t>13340</w:t>
      </w:r>
      <w:r>
        <w:rPr>
          <w:spacing w:val="-68"/>
        </w:rPr>
        <w:t> </w:t>
      </w:r>
      <w:r>
        <w:rPr/>
        <w:t>万元，该股本经北京立信会计师事务所京信（深）验字[2007]20</w:t>
      </w:r>
      <w:r>
        <w:rPr>
          <w:spacing w:val="-68"/>
        </w:rPr>
        <w:t> </w:t>
      </w:r>
      <w:r>
        <w:rPr/>
        <w:t>号验资报告验</w:t>
      </w:r>
      <w:r>
        <w:rPr/>
        <w:t> 证。</w:t>
      </w:r>
    </w:p>
    <w:p>
      <w:pPr>
        <w:pStyle w:val="BodyText"/>
        <w:spacing w:line="240" w:lineRule="auto" w:before="29"/>
        <w:ind w:left="894" w:right="133"/>
        <w:jc w:val="left"/>
      </w:pPr>
      <w:r>
        <w:rPr/>
        <w:t>(二十三)资本公积</w:t>
      </w:r>
    </w:p>
    <w:p>
      <w:pPr>
        <w:tabs>
          <w:tab w:pos="763" w:val="left" w:leader="none"/>
          <w:tab w:pos="1663" w:val="left" w:leader="none"/>
          <w:tab w:pos="2221" w:val="left" w:leader="none"/>
          <w:tab w:pos="3707" w:val="left" w:leader="none"/>
          <w:tab w:pos="4787" w:val="left" w:leader="none"/>
          <w:tab w:pos="5248" w:val="left" w:leader="none"/>
          <w:tab w:pos="6793" w:val="left" w:leader="none"/>
          <w:tab w:pos="7783" w:val="left" w:leader="none"/>
        </w:tabs>
        <w:spacing w:before="100"/>
        <w:ind w:left="403" w:right="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年初数</w:t>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本年增加</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本年减少</w:t>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7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378" w:type="dxa"/>
        <w:tblLayout w:type="fixed"/>
        <w:tblCellMar>
          <w:top w:w="0" w:type="dxa"/>
          <w:left w:w="0" w:type="dxa"/>
          <w:bottom w:w="0" w:type="dxa"/>
          <w:right w:w="0" w:type="dxa"/>
        </w:tblCellMar>
        <w:tblLook w:val="01E0"/>
      </w:tblPr>
      <w:tblGrid>
        <w:gridCol w:w="2101"/>
        <w:gridCol w:w="3146"/>
        <w:gridCol w:w="2195"/>
      </w:tblGrid>
      <w:tr>
        <w:trPr>
          <w:trHeight w:val="77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326" w:lineRule="auto" w:before="44"/>
              <w:ind w:left="35" w:right="984" w:firstLine="180"/>
              <w:jc w:val="left"/>
              <w:rPr>
                <w:rFonts w:ascii="宋体" w:hAnsi="宋体" w:cs="宋体" w:eastAsia="宋体" w:hint="default"/>
                <w:sz w:val="18"/>
                <w:szCs w:val="18"/>
              </w:rPr>
            </w:pPr>
            <w:r>
              <w:rPr>
                <w:rFonts w:ascii="宋体" w:hAnsi="宋体" w:cs="宋体" w:eastAsia="宋体" w:hint="default"/>
                <w:sz w:val="18"/>
                <w:szCs w:val="18"/>
              </w:rPr>
              <w:t>股本溢价 其他资本公积</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9"/>
              <w:jc w:val="right"/>
              <w:rPr>
                <w:rFonts w:ascii="宋体" w:hAnsi="宋体" w:cs="宋体" w:eastAsia="宋体" w:hint="default"/>
                <w:sz w:val="18"/>
                <w:szCs w:val="18"/>
              </w:rPr>
            </w:pPr>
            <w:r>
              <w:rPr>
                <w:rFonts w:ascii="宋体"/>
                <w:sz w:val="18"/>
              </w:rPr>
              <w:t>290,689,200.00</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290,689,200.00</w:t>
            </w:r>
          </w:p>
        </w:tc>
      </w:tr>
      <w:tr>
        <w:trPr>
          <w:trHeight w:val="45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98"/>
              <w:jc w:val="right"/>
              <w:rPr>
                <w:rFonts w:ascii="宋体" w:hAnsi="宋体" w:cs="宋体" w:eastAsia="宋体" w:hint="default"/>
                <w:sz w:val="18"/>
                <w:szCs w:val="18"/>
              </w:rPr>
            </w:pPr>
            <w:r>
              <w:rPr>
                <w:rFonts w:ascii="宋体"/>
                <w:sz w:val="18"/>
              </w:rPr>
              <w:t>290,689,200.00</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18"/>
                <w:szCs w:val="18"/>
              </w:rPr>
            </w:pPr>
            <w:r>
              <w:rPr>
                <w:rFonts w:ascii="宋体"/>
                <w:sz w:val="18"/>
              </w:rPr>
              <w:t>290,689,200.00</w:t>
            </w:r>
          </w:p>
        </w:tc>
      </w:tr>
    </w:tbl>
    <w:p>
      <w:pPr>
        <w:pStyle w:val="BodyText"/>
        <w:spacing w:line="336" w:lineRule="auto" w:before="10"/>
        <w:ind w:right="151" w:firstLine="540"/>
        <w:jc w:val="both"/>
      </w:pPr>
      <w:r>
        <w:rPr/>
        <w:t>资本公积年末数比年初数增加 290,689,200.00</w:t>
      </w:r>
      <w:r>
        <w:rPr>
          <w:spacing w:val="-22"/>
        </w:rPr>
        <w:t> </w:t>
      </w:r>
      <w:r>
        <w:rPr/>
        <w:t>元，变动原因为：本公司向社会公开发</w:t>
      </w:r>
      <w:r>
        <w:rPr/>
        <w:t> </w:t>
      </w:r>
      <w:r>
        <w:rPr>
          <w:spacing w:val="23"/>
        </w:rPr>
        <w:t>行人民币普通股股票(A</w:t>
      </w:r>
      <w:r>
        <w:rPr>
          <w:spacing w:val="30"/>
        </w:rPr>
        <w:t> </w:t>
      </w:r>
      <w:r>
        <w:rPr>
          <w:spacing w:val="4"/>
        </w:rPr>
        <w:t>股)3,340</w:t>
      </w:r>
      <w:r>
        <w:rPr>
          <w:spacing w:val="30"/>
        </w:rPr>
        <w:t> </w:t>
      </w:r>
      <w:r>
        <w:rPr>
          <w:spacing w:val="14"/>
        </w:rPr>
        <w:t>万股</w:t>
      </w:r>
      <w:r>
        <w:rPr>
          <w:spacing w:val="-90"/>
        </w:rPr>
        <w:t> </w:t>
      </w:r>
      <w:r>
        <w:rPr>
          <w:spacing w:val="24"/>
        </w:rPr>
        <w:t>，募集资金净额为</w:t>
      </w:r>
      <w:r>
        <w:rPr>
          <w:spacing w:val="32"/>
        </w:rPr>
        <w:t> </w:t>
      </w:r>
      <w:r>
        <w:rPr/>
        <w:t>324,089,200.00</w:t>
      </w:r>
      <w:r>
        <w:rPr>
          <w:spacing w:val="30"/>
        </w:rPr>
        <w:t> </w:t>
      </w:r>
      <w:r>
        <w:rPr>
          <w:spacing w:val="14"/>
        </w:rPr>
        <w:t>元，</w:t>
      </w:r>
      <w:r>
        <w:rPr>
          <w:spacing w:val="-90"/>
        </w:rPr>
        <w:t> </w:t>
      </w:r>
      <w:r>
        <w:rPr>
          <w:spacing w:val="14"/>
        </w:rPr>
        <w:t>其中</w:t>
      </w:r>
      <w:r>
        <w:rPr/>
        <w:t> 290,689,200.00</w:t>
      </w:r>
      <w:r>
        <w:rPr>
          <w:spacing w:val="-60"/>
        </w:rPr>
        <w:t> </w:t>
      </w:r>
      <w:r>
        <w:rPr/>
        <w:t>元为股本溢价列入资本公积。</w:t>
      </w:r>
    </w:p>
    <w:p>
      <w:pPr>
        <w:pStyle w:val="BodyText"/>
        <w:spacing w:line="240" w:lineRule="auto"/>
        <w:ind w:left="694" w:right="0"/>
        <w:jc w:val="left"/>
      </w:pPr>
      <w:r>
        <w:rPr/>
        <w:t>(二十四)盈余公积</w:t>
      </w:r>
    </w:p>
    <w:p>
      <w:pPr>
        <w:tabs>
          <w:tab w:pos="519" w:val="left" w:leader="none"/>
          <w:tab w:pos="1433" w:val="left" w:leader="none"/>
          <w:tab w:pos="2700" w:val="left" w:leader="none"/>
          <w:tab w:pos="3911" w:val="left" w:leader="none"/>
          <w:tab w:pos="5277" w:val="left" w:leader="none"/>
          <w:tab w:pos="6818" w:val="left" w:leader="none"/>
          <w:tab w:pos="7821" w:val="left" w:leader="none"/>
          <w:tab w:pos="8102" w:val="left" w:leader="none"/>
          <w:tab w:pos="8931" w:val="left" w:leader="none"/>
        </w:tabs>
        <w:spacing w:before="99"/>
        <w:ind w:left="16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r>
      <w:r>
        <w:rPr>
          <w:rFonts w:ascii="宋体" w:hAnsi="宋体" w:cs="宋体" w:eastAsia="宋体" w:hint="default"/>
          <w:spacing w:val="30"/>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tab/>
      </w:r>
      <w:r>
        <w:rPr>
          <w:rFonts w:ascii="宋体" w:hAnsi="宋体" w:cs="宋体" w:eastAsia="宋体" w:hint="default"/>
          <w:spacing w:val="-18"/>
          <w:sz w:val="18"/>
          <w:szCs w:val="18"/>
          <w:u w:val="single" w:color="000000"/>
        </w:rPr>
        <w:t>调整前年初数</w:t>
      </w:r>
      <w:r>
        <w:rPr>
          <w:rFonts w:ascii="宋体" w:hAnsi="宋体" w:cs="宋体" w:eastAsia="宋体" w:hint="default"/>
          <w:spacing w:val="-18"/>
          <w:sz w:val="18"/>
          <w:szCs w:val="18"/>
        </w:rPr>
        <w:tab/>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16"/>
          <w:sz w:val="18"/>
          <w:szCs w:val="18"/>
          <w:u w:val="single" w:color="000000"/>
        </w:rPr>
        <w:t>调整金额</w:t>
      </w:r>
      <w:r>
        <w:rPr>
          <w:rFonts w:ascii="宋体" w:hAnsi="宋体" w:cs="宋体" w:eastAsia="宋体" w:hint="default"/>
          <w:spacing w:val="-16"/>
          <w:sz w:val="18"/>
          <w:szCs w:val="18"/>
        </w:rPr>
        <w:tab/>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pacing w:val="-16"/>
          <w:sz w:val="18"/>
          <w:szCs w:val="18"/>
          <w:u w:val="single" w:color="000000"/>
        </w:rPr>
        <w:t> </w:t>
      </w:r>
      <w:r>
        <w:rPr>
          <w:rFonts w:ascii="宋体" w:hAnsi="宋体" w:cs="宋体" w:eastAsia="宋体" w:hint="default"/>
          <w:spacing w:val="-18"/>
          <w:sz w:val="18"/>
          <w:szCs w:val="18"/>
          <w:u w:val="single" w:color="000000"/>
        </w:rPr>
        <w:t>调整后年初数</w:t>
      </w:r>
      <w:r>
        <w:rPr>
          <w:rFonts w:ascii="宋体" w:hAnsi="宋体" w:cs="宋体" w:eastAsia="宋体" w:hint="default"/>
          <w:spacing w:val="-18"/>
          <w:sz w:val="18"/>
          <w:szCs w:val="18"/>
        </w:rPr>
        <w:tab/>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16"/>
          <w:sz w:val="18"/>
          <w:szCs w:val="18"/>
          <w:u w:val="single" w:color="000000"/>
        </w:rPr>
        <w:t>本年增加</w:t>
      </w:r>
      <w:r>
        <w:rPr>
          <w:rFonts w:ascii="宋体" w:hAnsi="宋体" w:cs="宋体" w:eastAsia="宋体" w:hint="default"/>
          <w:spacing w:val="-16"/>
          <w:sz w:val="18"/>
          <w:szCs w:val="18"/>
        </w:rPr>
        <w:tab/>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pacing w:val="-16"/>
          <w:sz w:val="18"/>
          <w:szCs w:val="18"/>
          <w:u w:val="single" w:color="000000"/>
        </w:rPr>
        <w:t> </w:t>
      </w:r>
      <w:r>
        <w:rPr>
          <w:rFonts w:ascii="宋体" w:hAnsi="宋体" w:cs="宋体" w:eastAsia="宋体" w:hint="default"/>
          <w:spacing w:val="-16"/>
          <w:sz w:val="18"/>
          <w:szCs w:val="18"/>
          <w:u w:val="single" w:color="000000"/>
        </w:rPr>
        <w:t>本年减少</w:t>
      </w:r>
      <w:r>
        <w:rPr>
          <w:rFonts w:ascii="宋体" w:hAnsi="宋体" w:cs="宋体" w:eastAsia="宋体" w:hint="default"/>
          <w:spacing w:val="-16"/>
          <w:sz w:val="18"/>
          <w:szCs w:val="18"/>
        </w:rPr>
        <w:tab/>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pacing w:val="-16"/>
          <w:sz w:val="18"/>
          <w:szCs w:val="18"/>
          <w:u w:val="single" w:color="000000"/>
        </w:rPr>
        <w:t> </w:t>
        <w:tab/>
      </w:r>
      <w:r>
        <w:rPr>
          <w:rFonts w:ascii="宋体" w:hAnsi="宋体" w:cs="宋体" w:eastAsia="宋体" w:hint="default"/>
          <w:spacing w:val="-14"/>
          <w:sz w:val="18"/>
          <w:szCs w:val="18"/>
          <w:u w:val="single" w:color="000000"/>
        </w:rPr>
        <w:t>年末数</w:t>
        <w:tab/>
      </w:r>
      <w:r>
        <w:rPr>
          <w:rFonts w:ascii="宋体" w:hAnsi="宋体" w:cs="宋体" w:eastAsia="宋体" w:hint="default"/>
          <w:spacing w:val="-14"/>
          <w:sz w:val="18"/>
          <w:szCs w:val="18"/>
        </w:rPr>
      </w:r>
    </w:p>
    <w:p>
      <w:pPr>
        <w:spacing w:after="0"/>
        <w:jc w:val="left"/>
        <w:rPr>
          <w:rFonts w:ascii="宋体" w:hAnsi="宋体" w:cs="宋体" w:eastAsia="宋体" w:hint="default"/>
          <w:sz w:val="18"/>
          <w:szCs w:val="18"/>
        </w:rPr>
        <w:sectPr>
          <w:pgSz w:w="11910" w:h="16840"/>
          <w:pgMar w:header="747" w:footer="1339" w:top="980" w:bottom="1520" w:left="980" w:right="980"/>
        </w:sectPr>
      </w:pPr>
    </w:p>
    <w:p>
      <w:pPr>
        <w:spacing w:line="326" w:lineRule="auto" w:before="85"/>
        <w:ind w:left="248" w:right="0" w:firstLine="0"/>
        <w:jc w:val="center"/>
        <w:rPr>
          <w:rFonts w:ascii="宋体" w:hAnsi="宋体" w:cs="宋体" w:eastAsia="宋体" w:hint="default"/>
          <w:sz w:val="18"/>
          <w:szCs w:val="18"/>
        </w:rPr>
      </w:pPr>
      <w:r>
        <w:rPr>
          <w:rFonts w:ascii="宋体" w:hAnsi="宋体" w:cs="宋体" w:eastAsia="宋体" w:hint="default"/>
          <w:spacing w:val="-17"/>
          <w:sz w:val="18"/>
          <w:szCs w:val="18"/>
        </w:rPr>
        <w:t>法定盈余公</w:t>
      </w:r>
      <w:r>
        <w:rPr>
          <w:rFonts w:ascii="宋体" w:hAnsi="宋体" w:cs="宋体" w:eastAsia="宋体" w:hint="default"/>
          <w:sz w:val="18"/>
          <w:szCs w:val="18"/>
        </w:rPr>
        <w:t> 积 </w:t>
      </w:r>
      <w:r>
        <w:rPr>
          <w:rFonts w:ascii="宋体" w:hAnsi="宋体" w:cs="宋体" w:eastAsia="宋体" w:hint="default"/>
          <w:spacing w:val="-17"/>
          <w:sz w:val="18"/>
          <w:szCs w:val="18"/>
        </w:rPr>
        <w:t>任意盈余公</w:t>
      </w:r>
      <w:r>
        <w:rPr>
          <w:rFonts w:ascii="宋体" w:hAnsi="宋体" w:cs="宋体" w:eastAsia="宋体" w:hint="default"/>
          <w:sz w:val="18"/>
          <w:szCs w:val="18"/>
        </w:rPr>
        <w:t> 积</w:t>
      </w:r>
    </w:p>
    <w:p>
      <w:pPr>
        <w:tabs>
          <w:tab w:pos="1590" w:val="left" w:leader="none"/>
          <w:tab w:pos="2826" w:val="left" w:leader="none"/>
        </w:tabs>
        <w:spacing w:before="9"/>
        <w:ind w:left="248" w:right="-20" w:firstLine="0"/>
        <w:jc w:val="left"/>
        <w:rPr>
          <w:rFonts w:ascii="宋体" w:hAnsi="宋体" w:cs="宋体" w:eastAsia="宋体" w:hint="default"/>
          <w:sz w:val="18"/>
          <w:szCs w:val="18"/>
        </w:rPr>
      </w:pPr>
      <w:r>
        <w:rPr/>
        <w:br w:type="column"/>
      </w:r>
      <w:r>
        <w:rPr>
          <w:rFonts w:ascii="宋体"/>
          <w:sz w:val="18"/>
        </w:rPr>
        <w:t>4,686,504.56</w:t>
        <w:tab/>
        <w:t>100,474.67</w:t>
        <w:tab/>
        <w:t>4,786,979.23</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3"/>
          <w:szCs w:val="13"/>
        </w:rPr>
      </w:pPr>
    </w:p>
    <w:p>
      <w:pPr>
        <w:spacing w:before="0"/>
        <w:ind w:left="248" w:right="-20" w:firstLine="0"/>
        <w:jc w:val="left"/>
        <w:rPr>
          <w:rFonts w:ascii="宋体" w:hAnsi="宋体" w:cs="宋体" w:eastAsia="宋体" w:hint="default"/>
          <w:sz w:val="18"/>
          <w:szCs w:val="18"/>
        </w:rPr>
      </w:pPr>
      <w:r>
        <w:rPr>
          <w:rFonts w:ascii="宋体"/>
          <w:sz w:val="18"/>
        </w:rPr>
        <w:t>6,849,437.18</w:t>
      </w:r>
    </w:p>
    <w:p>
      <w:pPr>
        <w:spacing w:before="9"/>
        <w:ind w:left="248" w:right="0" w:firstLine="0"/>
        <w:jc w:val="left"/>
        <w:rPr>
          <w:rFonts w:ascii="宋体" w:hAnsi="宋体" w:cs="宋体" w:eastAsia="宋体" w:hint="default"/>
          <w:sz w:val="18"/>
          <w:szCs w:val="18"/>
        </w:rPr>
      </w:pPr>
      <w:r>
        <w:rPr/>
        <w:br w:type="column"/>
      </w:r>
      <w:r>
        <w:rPr>
          <w:rFonts w:ascii="宋体"/>
          <w:sz w:val="18"/>
        </w:rPr>
        <w:t>11,636,416.41</w:t>
      </w:r>
    </w:p>
    <w:p>
      <w:pPr>
        <w:spacing w:after="0"/>
        <w:jc w:val="left"/>
        <w:rPr>
          <w:rFonts w:ascii="宋体" w:hAnsi="宋体" w:cs="宋体" w:eastAsia="宋体" w:hint="default"/>
          <w:sz w:val="18"/>
          <w:szCs w:val="18"/>
        </w:rPr>
        <w:sectPr>
          <w:type w:val="continuous"/>
          <w:pgSz w:w="11910" w:h="16840"/>
          <w:pgMar w:top="980" w:bottom="1520" w:left="980" w:right="980"/>
          <w:cols w:num="4" w:equalWidth="0">
            <w:col w:w="1070" w:space="85"/>
            <w:col w:w="3907" w:space="135"/>
            <w:col w:w="1329" w:space="1101"/>
            <w:col w:w="2323"/>
          </w:cols>
        </w:sectPr>
      </w:pPr>
    </w:p>
    <w:p>
      <w:pPr>
        <w:tabs>
          <w:tab w:pos="1404" w:val="left" w:leader="none"/>
          <w:tab w:pos="2745" w:val="left" w:leader="none"/>
          <w:tab w:pos="3981" w:val="left" w:leader="none"/>
          <w:tab w:pos="5445" w:val="left" w:leader="none"/>
          <w:tab w:pos="7875" w:val="left" w:leader="none"/>
        </w:tabs>
        <w:spacing w:line="270" w:lineRule="exact" w:before="0"/>
        <w:ind w:left="464" w:right="0" w:firstLine="0"/>
        <w:jc w:val="left"/>
        <w:rPr>
          <w:rFonts w:ascii="宋体" w:hAnsi="宋体" w:cs="宋体" w:eastAsia="宋体" w:hint="default"/>
          <w:sz w:val="18"/>
          <w:szCs w:val="18"/>
        </w:rPr>
      </w:pPr>
      <w:r>
        <w:rPr>
          <w:rFonts w:ascii="宋体" w:hAnsi="宋体" w:cs="宋体" w:eastAsia="宋体" w:hint="default"/>
          <w:position w:val="-7"/>
          <w:sz w:val="18"/>
          <w:szCs w:val="18"/>
        </w:rPr>
        <w:t>合</w:t>
      </w:r>
      <w:r>
        <w:rPr>
          <w:rFonts w:ascii="宋体" w:hAnsi="宋体" w:cs="宋体" w:eastAsia="宋体" w:hint="default"/>
          <w:spacing w:val="30"/>
          <w:position w:val="-7"/>
          <w:sz w:val="18"/>
          <w:szCs w:val="18"/>
        </w:rPr>
        <w:t> </w:t>
      </w:r>
      <w:r>
        <w:rPr>
          <w:rFonts w:ascii="宋体" w:hAnsi="宋体" w:cs="宋体" w:eastAsia="宋体" w:hint="default"/>
          <w:position w:val="-7"/>
          <w:sz w:val="18"/>
          <w:szCs w:val="18"/>
        </w:rPr>
        <w:t>计</w:t>
        <w:tab/>
      </w:r>
      <w:r>
        <w:rPr>
          <w:rFonts w:ascii="宋体" w:hAnsi="宋体" w:cs="宋体" w:eastAsia="宋体" w:hint="default"/>
          <w:sz w:val="18"/>
          <w:szCs w:val="18"/>
        </w:rPr>
        <w:t>4,686,504.56</w:t>
        <w:tab/>
        <w:t>100,474.67</w:t>
        <w:tab/>
        <w:t>4,786,979.23</w:t>
        <w:tab/>
      </w:r>
      <w:r>
        <w:rPr>
          <w:rFonts w:ascii="宋体" w:hAnsi="宋体" w:cs="宋体" w:eastAsia="宋体" w:hint="default"/>
          <w:position w:val="-8"/>
          <w:sz w:val="18"/>
          <w:szCs w:val="18"/>
        </w:rPr>
        <w:t>6,849,437.18</w:t>
        <w:tab/>
      </w:r>
      <w:r>
        <w:rPr>
          <w:rFonts w:ascii="宋体" w:hAnsi="宋体" w:cs="宋体" w:eastAsia="宋体" w:hint="default"/>
          <w:sz w:val="18"/>
          <w:szCs w:val="18"/>
        </w:rPr>
        <w:t>11,636,416.41</w:t>
      </w:r>
    </w:p>
    <w:p>
      <w:pPr>
        <w:pStyle w:val="BodyText"/>
        <w:spacing w:line="336" w:lineRule="auto" w:before="95"/>
        <w:ind w:right="111" w:firstLine="540"/>
        <w:jc w:val="left"/>
      </w:pPr>
      <w:r>
        <w:rPr>
          <w:spacing w:val="-4"/>
        </w:rPr>
        <w:t>年初数调整原因见附注二（二十三）。盈余公积年末数比年初数增加</w:t>
      </w:r>
      <w:r>
        <w:rPr>
          <w:spacing w:val="-60"/>
        </w:rPr>
        <w:t> </w:t>
      </w:r>
      <w:r>
        <w:rPr/>
        <w:t>6,849,437.18</w:t>
      </w:r>
      <w:r>
        <w:rPr>
          <w:spacing w:val="-60"/>
        </w:rPr>
        <w:t> </w:t>
      </w:r>
      <w:r>
        <w:rPr/>
        <w:t>元，</w:t>
      </w:r>
      <w:r>
        <w:rPr/>
        <w:t> 变动原因为：计提法定盈余公积金。</w:t>
      </w:r>
    </w:p>
    <w:p>
      <w:pPr>
        <w:pStyle w:val="BodyText"/>
        <w:spacing w:line="240" w:lineRule="auto"/>
        <w:ind w:left="694" w:right="0"/>
        <w:jc w:val="left"/>
      </w:pPr>
      <w:r>
        <w:rPr/>
        <w:t>(二十五)未分配利润</w:t>
      </w:r>
    </w:p>
    <w:p>
      <w:pPr>
        <w:spacing w:line="240" w:lineRule="auto" w:before="2"/>
        <w:rPr>
          <w:rFonts w:ascii="宋体" w:hAnsi="宋体" w:cs="宋体" w:eastAsia="宋体" w:hint="default"/>
          <w:sz w:val="4"/>
          <w:szCs w:val="4"/>
        </w:rPr>
      </w:pPr>
    </w:p>
    <w:tbl>
      <w:tblPr>
        <w:tblW w:w="0" w:type="auto"/>
        <w:jc w:val="left"/>
        <w:tblInd w:w="201" w:type="dxa"/>
        <w:tblLayout w:type="fixed"/>
        <w:tblCellMar>
          <w:top w:w="0" w:type="dxa"/>
          <w:left w:w="0" w:type="dxa"/>
          <w:bottom w:w="0" w:type="dxa"/>
          <w:right w:w="0" w:type="dxa"/>
        </w:tblCellMar>
        <w:tblLook w:val="01E0"/>
      </w:tblPr>
      <w:tblGrid>
        <w:gridCol w:w="4314"/>
        <w:gridCol w:w="2181"/>
        <w:gridCol w:w="1826"/>
      </w:tblGrid>
      <w:tr>
        <w:trPr>
          <w:trHeight w:val="654" w:hRule="exact"/>
        </w:trPr>
        <w:tc>
          <w:tcPr>
            <w:tcW w:w="4314" w:type="dxa"/>
            <w:tcBorders>
              <w:top w:val="nil" w:sz="6" w:space="0" w:color="auto"/>
              <w:left w:val="nil" w:sz="6" w:space="0" w:color="auto"/>
              <w:bottom w:val="nil" w:sz="6" w:space="0" w:color="auto"/>
              <w:right w:val="nil" w:sz="6" w:space="0" w:color="auto"/>
            </w:tcBorders>
          </w:tcPr>
          <w:p>
            <w:pPr>
              <w:pStyle w:val="TableParagraph"/>
              <w:tabs>
                <w:tab w:pos="1584" w:val="left" w:leader="none"/>
                <w:tab w:pos="2124" w:val="left" w:leader="none"/>
                <w:tab w:pos="3635" w:val="left" w:leader="none"/>
              </w:tabs>
              <w:spacing w:line="326" w:lineRule="auto" w:before="44"/>
              <w:ind w:left="35" w:right="659" w:firstLine="1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调整前 年初未分配利润</w:t>
            </w:r>
          </w:p>
        </w:tc>
        <w:tc>
          <w:tcPr>
            <w:tcW w:w="2181" w:type="dxa"/>
            <w:tcBorders>
              <w:top w:val="nil" w:sz="6" w:space="0" w:color="auto"/>
              <w:left w:val="nil" w:sz="6" w:space="0" w:color="auto"/>
              <w:bottom w:val="nil" w:sz="6" w:space="0" w:color="auto"/>
              <w:right w:val="nil" w:sz="6" w:space="0" w:color="auto"/>
            </w:tcBorders>
          </w:tcPr>
          <w:p>
            <w:pPr>
              <w:pStyle w:val="TableParagraph"/>
              <w:tabs>
                <w:tab w:pos="1289" w:val="left" w:leader="none"/>
              </w:tabs>
              <w:spacing w:line="292" w:lineRule="auto" w:before="44"/>
              <w:ind w:left="660" w:right="35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  额</w:t>
            </w:r>
            <w:r>
              <w:rPr>
                <w:rFonts w:ascii="宋体" w:hAnsi="宋体" w:cs="宋体" w:eastAsia="宋体" w:hint="default"/>
                <w:sz w:val="18"/>
                <w:szCs w:val="18"/>
              </w:rPr>
            </w:r>
            <w:r>
              <w:rPr>
                <w:rFonts w:ascii="宋体" w:hAnsi="宋体" w:cs="宋体" w:eastAsia="宋体" w:hint="default"/>
                <w:sz w:val="18"/>
                <w:szCs w:val="18"/>
              </w:rPr>
              <w:t> 28,863,754.65</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提取或分配比例</w:t>
            </w:r>
            <w:r>
              <w:rPr>
                <w:rFonts w:ascii="宋体" w:hAnsi="宋体" w:cs="宋体" w:eastAsia="宋体" w:hint="default"/>
                <w:sz w:val="18"/>
                <w:szCs w:val="18"/>
              </w:rPr>
            </w:r>
          </w:p>
        </w:tc>
      </w:tr>
      <w:tr>
        <w:trPr>
          <w:trHeight w:val="336"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调整  年初未分配利润（调增＋，调减－）</w:t>
            </w:r>
          </w:p>
        </w:tc>
        <w:tc>
          <w:tcPr>
            <w:tcW w:w="2181" w:type="dxa"/>
            <w:tcBorders>
              <w:top w:val="nil" w:sz="6" w:space="0" w:color="auto"/>
              <w:left w:val="nil" w:sz="6" w:space="0" w:color="auto"/>
              <w:bottom w:val="nil" w:sz="6" w:space="0" w:color="auto"/>
              <w:right w:val="nil" w:sz="6" w:space="0" w:color="auto"/>
            </w:tcBorders>
          </w:tcPr>
          <w:p>
            <w:pPr>
              <w:pStyle w:val="TableParagraph"/>
              <w:spacing w:line="234" w:lineRule="exact"/>
              <w:ind w:right="350"/>
              <w:jc w:val="right"/>
              <w:rPr>
                <w:rFonts w:ascii="宋体" w:hAnsi="宋体" w:cs="宋体" w:eastAsia="宋体" w:hint="default"/>
                <w:sz w:val="18"/>
                <w:szCs w:val="18"/>
              </w:rPr>
            </w:pPr>
            <w:r>
              <w:rPr>
                <w:rFonts w:ascii="宋体"/>
                <w:sz w:val="18"/>
              </w:rPr>
              <w:t>-5,215,447.88</w:t>
            </w:r>
          </w:p>
        </w:tc>
        <w:tc>
          <w:tcPr>
            <w:tcW w:w="1826" w:type="dxa"/>
            <w:tcBorders>
              <w:top w:val="nil" w:sz="6" w:space="0" w:color="auto"/>
              <w:left w:val="nil" w:sz="6" w:space="0" w:color="auto"/>
              <w:bottom w:val="nil" w:sz="6" w:space="0" w:color="auto"/>
              <w:right w:val="nil" w:sz="6" w:space="0" w:color="auto"/>
            </w:tcBorders>
          </w:tcPr>
          <w:p>
            <w:pPr/>
          </w:p>
        </w:tc>
      </w:tr>
      <w:tr>
        <w:trPr>
          <w:trHeight w:val="317"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调整后 年初未分配利润</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50"/>
              <w:jc w:val="right"/>
              <w:rPr>
                <w:rFonts w:ascii="宋体" w:hAnsi="宋体" w:cs="宋体" w:eastAsia="宋体" w:hint="default"/>
                <w:sz w:val="18"/>
                <w:szCs w:val="18"/>
              </w:rPr>
            </w:pPr>
            <w:r>
              <w:rPr>
                <w:rFonts w:ascii="宋体"/>
                <w:sz w:val="18"/>
              </w:rPr>
              <w:t>23,648,306.77</w:t>
            </w:r>
          </w:p>
        </w:tc>
        <w:tc>
          <w:tcPr>
            <w:tcW w:w="1826" w:type="dxa"/>
            <w:tcBorders>
              <w:top w:val="nil" w:sz="6" w:space="0" w:color="auto"/>
              <w:left w:val="nil" w:sz="6" w:space="0" w:color="auto"/>
              <w:bottom w:val="nil" w:sz="6" w:space="0" w:color="auto"/>
              <w:right w:val="nil" w:sz="6" w:space="0" w:color="auto"/>
            </w:tcBorders>
          </w:tcPr>
          <w:p>
            <w:pPr/>
          </w:p>
        </w:tc>
      </w:tr>
      <w:tr>
        <w:trPr>
          <w:trHeight w:val="340"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50"/>
              <w:jc w:val="right"/>
              <w:rPr>
                <w:rFonts w:ascii="宋体" w:hAnsi="宋体" w:cs="宋体" w:eastAsia="宋体" w:hint="default"/>
                <w:sz w:val="18"/>
                <w:szCs w:val="18"/>
              </w:rPr>
            </w:pPr>
            <w:r>
              <w:rPr>
                <w:rFonts w:ascii="宋体"/>
                <w:sz w:val="18"/>
              </w:rPr>
              <w:t>61,717,919.49</w:t>
            </w:r>
          </w:p>
        </w:tc>
        <w:tc>
          <w:tcPr>
            <w:tcW w:w="1826" w:type="dxa"/>
            <w:tcBorders>
              <w:top w:val="nil" w:sz="6" w:space="0" w:color="auto"/>
              <w:left w:val="nil" w:sz="6" w:space="0" w:color="auto"/>
              <w:bottom w:val="nil" w:sz="6" w:space="0" w:color="auto"/>
              <w:right w:val="nil" w:sz="6" w:space="0" w:color="auto"/>
            </w:tcBorders>
          </w:tcPr>
          <w:p>
            <w:pPr/>
          </w:p>
        </w:tc>
      </w:tr>
      <w:tr>
        <w:trPr>
          <w:trHeight w:val="337"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1" w:type="dxa"/>
            <w:tcBorders>
              <w:top w:val="nil" w:sz="6" w:space="0" w:color="auto"/>
              <w:left w:val="nil" w:sz="6" w:space="0" w:color="auto"/>
              <w:bottom w:val="nil" w:sz="6" w:space="0" w:color="auto"/>
              <w:right w:val="nil" w:sz="6" w:space="0" w:color="auto"/>
            </w:tcBorders>
          </w:tcPr>
          <w:p>
            <w:pPr>
              <w:pStyle w:val="TableParagraph"/>
              <w:spacing w:line="191" w:lineRule="exact"/>
              <w:ind w:right="350"/>
              <w:jc w:val="right"/>
              <w:rPr>
                <w:rFonts w:ascii="宋体" w:hAnsi="宋体" w:cs="宋体" w:eastAsia="宋体" w:hint="default"/>
                <w:sz w:val="18"/>
                <w:szCs w:val="18"/>
              </w:rPr>
            </w:pPr>
            <w:r>
              <w:rPr>
                <w:rFonts w:ascii="宋体"/>
                <w:sz w:val="18"/>
              </w:rPr>
              <w:t>6,849,437.18</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10%</w:t>
            </w:r>
          </w:p>
        </w:tc>
      </w:tr>
      <w:tr>
        <w:trPr>
          <w:trHeight w:val="349" w:hRule="exact"/>
        </w:trPr>
        <w:tc>
          <w:tcPr>
            <w:tcW w:w="43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81"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r>
    </w:tbl>
    <w:p>
      <w:pPr>
        <w:spacing w:line="220" w:lineRule="exact" w:before="0"/>
        <w:ind w:left="596" w:right="0" w:firstLine="0"/>
        <w:jc w:val="left"/>
        <w:rPr>
          <w:rFonts w:ascii="宋体" w:hAnsi="宋体" w:cs="宋体" w:eastAsia="宋体" w:hint="default"/>
          <w:sz w:val="18"/>
          <w:szCs w:val="18"/>
        </w:rPr>
      </w:pPr>
      <w:r>
        <w:rPr>
          <w:rFonts w:ascii="宋体" w:hAnsi="宋体" w:cs="宋体" w:eastAsia="宋体" w:hint="default"/>
          <w:sz w:val="18"/>
          <w:szCs w:val="18"/>
        </w:rPr>
        <w:t>应付普通股股利</w:t>
      </w:r>
    </w:p>
    <w:p>
      <w:pPr>
        <w:spacing w:before="85"/>
        <w:ind w:left="596" w:right="0" w:firstLine="0"/>
        <w:jc w:val="left"/>
        <w:rPr>
          <w:rFonts w:ascii="宋体" w:hAnsi="宋体" w:cs="宋体" w:eastAsia="宋体" w:hint="default"/>
          <w:sz w:val="18"/>
          <w:szCs w:val="18"/>
        </w:rPr>
      </w:pPr>
      <w:r>
        <w:rPr>
          <w:rFonts w:ascii="宋体" w:hAnsi="宋体" w:cs="宋体" w:eastAsia="宋体" w:hint="default"/>
          <w:sz w:val="18"/>
          <w:szCs w:val="18"/>
        </w:rPr>
        <w:t>转作股本的普通股股利</w:t>
      </w:r>
    </w:p>
    <w:p>
      <w:pPr>
        <w:tabs>
          <w:tab w:pos="5175" w:val="left" w:leader="none"/>
        </w:tabs>
        <w:spacing w:before="9"/>
        <w:ind w:left="236" w:right="0" w:firstLine="0"/>
        <w:jc w:val="left"/>
        <w:rPr>
          <w:rFonts w:ascii="宋体" w:hAnsi="宋体" w:cs="宋体" w:eastAsia="宋体" w:hint="default"/>
          <w:sz w:val="18"/>
          <w:szCs w:val="18"/>
        </w:rPr>
      </w:pPr>
      <w:r>
        <w:rPr>
          <w:rFonts w:ascii="宋体" w:hAnsi="宋体" w:cs="宋体" w:eastAsia="宋体" w:hint="default"/>
          <w:position w:val="-7"/>
          <w:sz w:val="18"/>
          <w:szCs w:val="18"/>
        </w:rPr>
        <w:t>年末未分配利润</w:t>
        <w:tab/>
      </w:r>
      <w:r>
        <w:rPr>
          <w:rFonts w:ascii="宋体" w:hAnsi="宋体" w:cs="宋体" w:eastAsia="宋体" w:hint="default"/>
          <w:sz w:val="18"/>
          <w:szCs w:val="18"/>
        </w:rPr>
        <w:t>78,516,789.08</w:t>
      </w:r>
    </w:p>
    <w:p>
      <w:pPr>
        <w:pStyle w:val="BodyText"/>
        <w:spacing w:line="336" w:lineRule="auto" w:before="105"/>
        <w:ind w:left="753" w:right="0" w:hanging="60"/>
        <w:jc w:val="left"/>
      </w:pPr>
      <w:r>
        <w:rPr>
          <w:spacing w:val="-8"/>
        </w:rPr>
        <w:t>年初数调整原因见附注二（二十三）。</w:t>
      </w:r>
      <w:r>
        <w:rPr>
          <w:spacing w:val="-104"/>
        </w:rPr>
        <w:t> </w:t>
      </w:r>
      <w:r>
        <w:rPr>
          <w:spacing w:val="-104"/>
        </w:rPr>
      </w:r>
      <w:r>
        <w:rPr>
          <w:spacing w:val="-3"/>
        </w:rPr>
        <w:t>本公司本年度利润分配方案详见附注十资产负债表日后事项。该预案尚需本公司股东大</w:t>
      </w:r>
    </w:p>
    <w:p>
      <w:pPr>
        <w:pStyle w:val="BodyText"/>
        <w:spacing w:line="240" w:lineRule="auto"/>
        <w:ind w:right="0"/>
        <w:jc w:val="left"/>
      </w:pPr>
      <w:r>
        <w:rPr/>
        <w:t>会审议通过。</w:t>
      </w:r>
    </w:p>
    <w:p>
      <w:pPr>
        <w:pStyle w:val="BodyText"/>
        <w:spacing w:line="240" w:lineRule="auto" w:before="125"/>
        <w:ind w:left="633" w:right="0"/>
        <w:jc w:val="left"/>
      </w:pPr>
      <w:r>
        <w:rPr/>
        <w:t>(二十六)营业收入及营业成本</w:t>
      </w:r>
    </w:p>
    <w:p>
      <w:pPr>
        <w:tabs>
          <w:tab w:pos="2772" w:val="left" w:leader="none"/>
          <w:tab w:pos="5058" w:val="left" w:leader="none"/>
          <w:tab w:pos="5274" w:val="left" w:leader="none"/>
          <w:tab w:pos="6815" w:val="left" w:leader="none"/>
          <w:tab w:pos="9187" w:val="left" w:leader="none"/>
        </w:tabs>
        <w:spacing w:line="196" w:lineRule="exact" w:before="74"/>
        <w:ind w:left="116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7"/>
          <w:sz w:val="18"/>
          <w:szCs w:val="18"/>
          <w:u w:val="single" w:color="000000"/>
        </w:rPr>
        <w:t>本年发生数</w:t>
        <w:tab/>
      </w:r>
      <w:r>
        <w:rPr>
          <w:rFonts w:ascii="宋体" w:hAnsi="宋体" w:cs="宋体" w:eastAsia="宋体" w:hint="default"/>
          <w:spacing w:val="-17"/>
          <w:sz w:val="18"/>
          <w:szCs w:val="18"/>
        </w:rPr>
        <w:tab/>
      </w:r>
      <w:r>
        <w:rPr>
          <w:rFonts w:ascii="Times New Roman" w:hAnsi="Times New Roman" w:cs="Times New Roman" w:eastAsia="Times New Roman" w:hint="default"/>
          <w:spacing w:val="-17"/>
          <w:sz w:val="18"/>
          <w:szCs w:val="18"/>
        </w:rPr>
      </w:r>
      <w:r>
        <w:rPr>
          <w:rFonts w:ascii="Times New Roman" w:hAnsi="Times New Roman" w:cs="Times New Roman" w:eastAsia="Times New Roman" w:hint="default"/>
          <w:spacing w:val="-17"/>
          <w:sz w:val="18"/>
          <w:szCs w:val="18"/>
          <w:u w:val="single" w:color="000000"/>
        </w:rPr>
        <w:t> </w:t>
        <w:tab/>
      </w:r>
      <w:r>
        <w:rPr>
          <w:rFonts w:ascii="宋体" w:hAnsi="宋体" w:cs="宋体" w:eastAsia="宋体" w:hint="default"/>
          <w:spacing w:val="-17"/>
          <w:sz w:val="18"/>
          <w:szCs w:val="18"/>
          <w:u w:val="single" w:color="000000"/>
        </w:rPr>
        <w:t>上年发生数</w:t>
        <w:tab/>
      </w:r>
      <w:r>
        <w:rPr>
          <w:rFonts w:ascii="宋体" w:hAnsi="宋体" w:cs="宋体" w:eastAsia="宋体" w:hint="default"/>
          <w:spacing w:val="-17"/>
          <w:sz w:val="18"/>
          <w:szCs w:val="18"/>
        </w:rPr>
      </w:r>
    </w:p>
    <w:p>
      <w:pPr>
        <w:spacing w:line="180" w:lineRule="exact" w:before="0"/>
        <w:ind w:left="379" w:right="0" w:firstLine="0"/>
        <w:jc w:val="left"/>
        <w:rPr>
          <w:rFonts w:ascii="宋体" w:hAnsi="宋体" w:cs="宋体" w:eastAsia="宋体" w:hint="default"/>
          <w:sz w:val="18"/>
          <w:szCs w:val="18"/>
        </w:rPr>
      </w:pPr>
      <w:r>
        <w:rPr/>
        <w:pict>
          <v:shape style="position:absolute;margin-left:61.73pt;margin-top:7.14pt;width:448.95pt;height:81.150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1"/>
                    <w:gridCol w:w="1562"/>
                    <w:gridCol w:w="1049"/>
                    <w:gridCol w:w="1509"/>
                    <w:gridCol w:w="1487"/>
                    <w:gridCol w:w="1217"/>
                    <w:gridCol w:w="1364"/>
                  </w:tblGrid>
                  <w:tr>
                    <w:trPr>
                      <w:trHeight w:val="439" w:hRule="exact"/>
                    </w:trPr>
                    <w:tc>
                      <w:tcPr>
                        <w:tcW w:w="79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tabs>
                            <w:tab w:pos="466" w:val="left" w:leader="none"/>
                            <w:tab w:pos="1436" w:val="left" w:leader="none"/>
                          </w:tabs>
                          <w:spacing w:line="180" w:lineRule="exact"/>
                          <w:ind w:left="176" w:right="0"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6"/>
                            <w:sz w:val="18"/>
                            <w:szCs w:val="18"/>
                            <w:u w:val="single" w:color="000000"/>
                          </w:rPr>
                          <w:t>主营业务</w:t>
                          <w:tab/>
                        </w:r>
                        <w:r>
                          <w:rPr>
                            <w:rFonts w:ascii="宋体" w:hAnsi="宋体" w:cs="宋体" w:eastAsia="宋体" w:hint="default"/>
                            <w:spacing w:val="-16"/>
                            <w:sz w:val="18"/>
                            <w:szCs w:val="18"/>
                          </w:rPr>
                        </w:r>
                      </w:p>
                      <w:p>
                        <w:pPr>
                          <w:pStyle w:val="TableParagraph"/>
                          <w:spacing w:line="240" w:lineRule="auto" w:before="2"/>
                          <w:ind w:left="176" w:right="0"/>
                          <w:jc w:val="left"/>
                          <w:rPr>
                            <w:rFonts w:ascii="宋体" w:hAnsi="宋体" w:cs="宋体" w:eastAsia="宋体" w:hint="default"/>
                            <w:sz w:val="18"/>
                            <w:szCs w:val="18"/>
                          </w:rPr>
                        </w:pPr>
                        <w:r>
                          <w:rPr>
                            <w:rFonts w:ascii="宋体"/>
                            <w:sz w:val="18"/>
                          </w:rPr>
                          <w:t>1,202,008,991.</w:t>
                        </w:r>
                      </w:p>
                    </w:tc>
                    <w:tc>
                      <w:tcPr>
                        <w:tcW w:w="1049" w:type="dxa"/>
                        <w:tcBorders>
                          <w:top w:val="nil" w:sz="6" w:space="0" w:color="auto"/>
                          <w:left w:val="nil" w:sz="6" w:space="0" w:color="auto"/>
                          <w:bottom w:val="nil" w:sz="6" w:space="0" w:color="auto"/>
                          <w:right w:val="nil" w:sz="6" w:space="0" w:color="auto"/>
                        </w:tcBorders>
                      </w:tcPr>
                      <w:p>
                        <w:pPr>
                          <w:pStyle w:val="TableParagraph"/>
                          <w:spacing w:line="180" w:lineRule="exact"/>
                          <w:ind w:left="131" w:right="0" w:hanging="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pacing w:val="-21"/>
                            <w:sz w:val="18"/>
                            <w:szCs w:val="18"/>
                            <w:u w:val="single" w:color="000000"/>
                          </w:rPr>
                          <w:t>其他业务</w:t>
                        </w:r>
                        <w:r>
                          <w:rPr>
                            <w:rFonts w:ascii="宋体" w:hAnsi="宋体" w:cs="宋体" w:eastAsia="宋体" w:hint="default"/>
                            <w:spacing w:val="-21"/>
                            <w:sz w:val="18"/>
                            <w:szCs w:val="18"/>
                          </w:rPr>
                        </w:r>
                        <w:r>
                          <w:rPr>
                            <w:rFonts w:ascii="宋体" w:hAnsi="宋体" w:cs="宋体" w:eastAsia="宋体" w:hint="default"/>
                            <w:sz w:val="18"/>
                            <w:szCs w:val="18"/>
                          </w:rPr>
                        </w:r>
                      </w:p>
                      <w:p>
                        <w:pPr>
                          <w:pStyle w:val="TableParagraph"/>
                          <w:spacing w:line="240" w:lineRule="auto" w:before="2"/>
                          <w:ind w:left="131" w:right="0"/>
                          <w:jc w:val="left"/>
                          <w:rPr>
                            <w:rFonts w:ascii="宋体" w:hAnsi="宋体" w:cs="宋体" w:eastAsia="宋体" w:hint="default"/>
                            <w:sz w:val="18"/>
                            <w:szCs w:val="18"/>
                          </w:rPr>
                        </w:pPr>
                        <w:r>
                          <w:rPr>
                            <w:rFonts w:ascii="宋体"/>
                            <w:sz w:val="18"/>
                          </w:rPr>
                          <w:t>694,877.7</w:t>
                        </w:r>
                      </w:p>
                    </w:tc>
                    <w:tc>
                      <w:tcPr>
                        <w:tcW w:w="1509" w:type="dxa"/>
                        <w:tcBorders>
                          <w:top w:val="nil" w:sz="6" w:space="0" w:color="auto"/>
                          <w:left w:val="nil" w:sz="6" w:space="0" w:color="auto"/>
                          <w:bottom w:val="nil" w:sz="6" w:space="0" w:color="auto"/>
                          <w:right w:val="nil" w:sz="6" w:space="0" w:color="auto"/>
                        </w:tcBorders>
                      </w:tcPr>
                      <w:p>
                        <w:pPr>
                          <w:pStyle w:val="TableParagraph"/>
                          <w:tabs>
                            <w:tab w:pos="527" w:val="left" w:leader="none"/>
                            <w:tab w:pos="1400" w:val="left" w:leader="none"/>
                          </w:tabs>
                          <w:spacing w:line="180" w:lineRule="exact"/>
                          <w:ind w:left="140" w:right="0" w:hanging="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小</w:t>
                        </w:r>
                        <w:r>
                          <w:rPr>
                            <w:rFonts w:ascii="宋体" w:hAnsi="宋体" w:cs="宋体" w:eastAsia="宋体" w:hint="default"/>
                            <w:spacing w:val="50"/>
                            <w:sz w:val="18"/>
                            <w:szCs w:val="18"/>
                            <w:u w:val="single" w:color="000000"/>
                          </w:rPr>
                          <w:t> </w:t>
                        </w:r>
                        <w:r>
                          <w:rPr>
                            <w:rFonts w:ascii="宋体" w:hAnsi="宋体" w:cs="宋体" w:eastAsia="宋体" w:hint="default"/>
                            <w:sz w:val="18"/>
                            <w:szCs w:val="18"/>
                            <w:u w:val="single" w:color="000000"/>
                          </w:rPr>
                          <w:t>计</w:t>
                          <w:tab/>
                        </w:r>
                        <w:r>
                          <w:rPr>
                            <w:rFonts w:ascii="宋体" w:hAnsi="宋体" w:cs="宋体" w:eastAsia="宋体" w:hint="default"/>
                            <w:sz w:val="18"/>
                            <w:szCs w:val="18"/>
                          </w:rPr>
                        </w:r>
                      </w:p>
                      <w:p>
                        <w:pPr>
                          <w:pStyle w:val="TableParagraph"/>
                          <w:spacing w:line="240" w:lineRule="auto" w:before="2"/>
                          <w:ind w:left="140" w:right="0"/>
                          <w:jc w:val="left"/>
                          <w:rPr>
                            <w:rFonts w:ascii="宋体" w:hAnsi="宋体" w:cs="宋体" w:eastAsia="宋体" w:hint="default"/>
                            <w:sz w:val="18"/>
                            <w:szCs w:val="18"/>
                          </w:rPr>
                        </w:pPr>
                        <w:r>
                          <w:rPr>
                            <w:rFonts w:ascii="宋体"/>
                            <w:sz w:val="18"/>
                          </w:rPr>
                          <w:t>1,202,703,869.</w:t>
                        </w:r>
                      </w:p>
                    </w:tc>
                    <w:tc>
                      <w:tcPr>
                        <w:tcW w:w="1487" w:type="dxa"/>
                        <w:tcBorders>
                          <w:top w:val="nil" w:sz="6" w:space="0" w:color="auto"/>
                          <w:left w:val="nil" w:sz="6" w:space="0" w:color="auto"/>
                          <w:bottom w:val="nil" w:sz="6" w:space="0" w:color="auto"/>
                          <w:right w:val="nil" w:sz="6" w:space="0" w:color="auto"/>
                        </w:tcBorders>
                      </w:tcPr>
                      <w:p>
                        <w:pPr>
                          <w:pStyle w:val="TableParagraph"/>
                          <w:tabs>
                            <w:tab w:pos="280" w:val="left" w:leader="none"/>
                            <w:tab w:pos="1223" w:val="left" w:leader="none"/>
                          </w:tabs>
                          <w:spacing w:line="180" w:lineRule="exact"/>
                          <w:ind w:right="15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6"/>
                            <w:sz w:val="18"/>
                            <w:szCs w:val="18"/>
                            <w:u w:val="single" w:color="000000"/>
                          </w:rPr>
                          <w:t>主营业务</w:t>
                          <w:tab/>
                        </w:r>
                        <w:r>
                          <w:rPr>
                            <w:rFonts w:ascii="宋体" w:hAnsi="宋体" w:cs="宋体" w:eastAsia="宋体" w:hint="default"/>
                            <w:spacing w:val="-16"/>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tabs>
                            <w:tab w:pos="946" w:val="left" w:leader="none"/>
                          </w:tabs>
                          <w:spacing w:line="180" w:lineRule="exact"/>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16"/>
                            <w:sz w:val="18"/>
                            <w:szCs w:val="18"/>
                            <w:u w:val="single" w:color="000000"/>
                          </w:rPr>
                          <w:t>其他业务</w:t>
                          <w:tab/>
                        </w:r>
                        <w:r>
                          <w:rPr>
                            <w:rFonts w:ascii="宋体" w:hAnsi="宋体" w:cs="宋体" w:eastAsia="宋体" w:hint="default"/>
                            <w:spacing w:val="-16"/>
                            <w:sz w:val="18"/>
                            <w:szCs w:val="18"/>
                          </w:rPr>
                        </w:r>
                      </w:p>
                    </w:tc>
                    <w:tc>
                      <w:tcPr>
                        <w:tcW w:w="1364" w:type="dxa"/>
                        <w:tcBorders>
                          <w:top w:val="nil" w:sz="6" w:space="0" w:color="auto"/>
                          <w:left w:val="nil" w:sz="6" w:space="0" w:color="auto"/>
                          <w:bottom w:val="nil" w:sz="6" w:space="0" w:color="auto"/>
                          <w:right w:val="nil" w:sz="6" w:space="0" w:color="auto"/>
                        </w:tcBorders>
                      </w:tcPr>
                      <w:p>
                        <w:pPr>
                          <w:pStyle w:val="TableParagraph"/>
                          <w:tabs>
                            <w:tab w:pos="477" w:val="left" w:leader="none"/>
                            <w:tab w:pos="1271" w:val="left" w:leader="none"/>
                          </w:tabs>
                          <w:spacing w:line="180" w:lineRule="exact"/>
                          <w:ind w:left="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小</w:t>
                        </w:r>
                        <w:r>
                          <w:rPr>
                            <w:rFonts w:ascii="宋体" w:hAnsi="宋体" w:cs="宋体" w:eastAsia="宋体" w:hint="default"/>
                            <w:spacing w:val="50"/>
                            <w:sz w:val="18"/>
                            <w:szCs w:val="18"/>
                            <w:u w:val="single" w:color="000000"/>
                          </w:rPr>
                          <w:t> </w:t>
                        </w:r>
                        <w:r>
                          <w:rPr>
                            <w:rFonts w:ascii="宋体" w:hAnsi="宋体" w:cs="宋体" w:eastAsia="宋体" w:hint="default"/>
                            <w:sz w:val="18"/>
                            <w:szCs w:val="18"/>
                            <w:u w:val="single" w:color="000000"/>
                          </w:rPr>
                          <w:t>计</w:t>
                          <w:tab/>
                        </w:r>
                        <w:r>
                          <w:rPr>
                            <w:rFonts w:ascii="宋体" w:hAnsi="宋体" w:cs="宋体" w:eastAsia="宋体" w:hint="default"/>
                            <w:sz w:val="18"/>
                            <w:szCs w:val="18"/>
                          </w:rPr>
                        </w:r>
                      </w:p>
                    </w:tc>
                  </w:tr>
                  <w:tr>
                    <w:trPr>
                      <w:trHeight w:val="239"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01" w:lineRule="exact"/>
                          <w:ind w:right="79"/>
                          <w:jc w:val="center"/>
                          <w:rPr>
                            <w:rFonts w:ascii="宋体" w:hAnsi="宋体" w:cs="宋体" w:eastAsia="宋体" w:hint="default"/>
                            <w:sz w:val="18"/>
                            <w:szCs w:val="18"/>
                          </w:rPr>
                        </w:pPr>
                        <w:r>
                          <w:rPr>
                            <w:rFonts w:ascii="宋体" w:hAnsi="宋体" w:cs="宋体" w:eastAsia="宋体" w:hint="default"/>
                            <w:spacing w:val="-21"/>
                            <w:sz w:val="18"/>
                            <w:szCs w:val="18"/>
                          </w:rPr>
                          <w:t>营业收入</w:t>
                        </w:r>
                        <w:r>
                          <w:rPr>
                            <w:rFonts w:ascii="宋体" w:hAnsi="宋体" w:cs="宋体" w:eastAsia="宋体" w:hint="default"/>
                            <w:sz w:val="18"/>
                            <w:szCs w:val="18"/>
                          </w:rPr>
                        </w:r>
                      </w:p>
                    </w:tc>
                    <w:tc>
                      <w:tcPr>
                        <w:tcW w:w="1562" w:type="dxa"/>
                        <w:tcBorders>
                          <w:top w:val="nil" w:sz="6" w:space="0" w:color="auto"/>
                          <w:left w:val="nil" w:sz="6" w:space="0" w:color="auto"/>
                          <w:bottom w:val="nil" w:sz="6" w:space="0" w:color="auto"/>
                          <w:right w:val="nil" w:sz="6" w:space="0" w:color="auto"/>
                        </w:tcBorders>
                      </w:tcPr>
                      <w:p>
                        <w:pPr>
                          <w:pStyle w:val="TableParagraph"/>
                          <w:spacing w:line="213" w:lineRule="exact"/>
                          <w:ind w:right="123"/>
                          <w:jc w:val="right"/>
                          <w:rPr>
                            <w:rFonts w:ascii="宋体" w:hAnsi="宋体" w:cs="宋体" w:eastAsia="宋体" w:hint="default"/>
                            <w:sz w:val="18"/>
                            <w:szCs w:val="18"/>
                          </w:rPr>
                        </w:pPr>
                        <w:r>
                          <w:rPr>
                            <w:rFonts w:ascii="宋体"/>
                            <w:sz w:val="18"/>
                          </w:rPr>
                          <w:t>75</w:t>
                        </w:r>
                      </w:p>
                    </w:tc>
                    <w:tc>
                      <w:tcPr>
                        <w:tcW w:w="1049" w:type="dxa"/>
                        <w:tcBorders>
                          <w:top w:val="nil" w:sz="6" w:space="0" w:color="auto"/>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1</w:t>
                        </w:r>
                      </w:p>
                    </w:tc>
                    <w:tc>
                      <w:tcPr>
                        <w:tcW w:w="1509" w:type="dxa"/>
                        <w:tcBorders>
                          <w:top w:val="nil" w:sz="6" w:space="0" w:color="auto"/>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46</w:t>
                        </w:r>
                      </w:p>
                    </w:tc>
                    <w:tc>
                      <w:tcPr>
                        <w:tcW w:w="1487" w:type="dxa"/>
                        <w:tcBorders>
                          <w:top w:val="nil" w:sz="6" w:space="0" w:color="auto"/>
                          <w:left w:val="nil" w:sz="6" w:space="0" w:color="auto"/>
                          <w:bottom w:val="nil" w:sz="6" w:space="0" w:color="auto"/>
                          <w:right w:val="nil" w:sz="6" w:space="0" w:color="auto"/>
                        </w:tcBorders>
                      </w:tcPr>
                      <w:p>
                        <w:pPr>
                          <w:pStyle w:val="TableParagraph"/>
                          <w:spacing w:line="201" w:lineRule="exact"/>
                          <w:ind w:right="141"/>
                          <w:jc w:val="right"/>
                          <w:rPr>
                            <w:rFonts w:ascii="宋体" w:hAnsi="宋体" w:cs="宋体" w:eastAsia="宋体" w:hint="default"/>
                            <w:sz w:val="18"/>
                            <w:szCs w:val="18"/>
                          </w:rPr>
                        </w:pPr>
                        <w:r>
                          <w:rPr>
                            <w:rFonts w:ascii="宋体"/>
                            <w:spacing w:val="-10"/>
                            <w:sz w:val="18"/>
                          </w:rPr>
                          <w:t>481,020,403.18</w:t>
                        </w:r>
                      </w:p>
                    </w:tc>
                    <w:tc>
                      <w:tcPr>
                        <w:tcW w:w="1217" w:type="dxa"/>
                        <w:tcBorders>
                          <w:top w:val="nil" w:sz="6" w:space="0" w:color="auto"/>
                          <w:left w:val="nil" w:sz="6" w:space="0" w:color="auto"/>
                          <w:bottom w:val="nil" w:sz="6" w:space="0" w:color="auto"/>
                          <w:right w:val="nil" w:sz="6" w:space="0" w:color="auto"/>
                        </w:tcBorders>
                      </w:tcPr>
                      <w:p>
                        <w:pPr>
                          <w:pStyle w:val="TableParagraph"/>
                          <w:spacing w:line="201" w:lineRule="exact"/>
                          <w:ind w:right="110"/>
                          <w:jc w:val="right"/>
                          <w:rPr>
                            <w:rFonts w:ascii="宋体" w:hAnsi="宋体" w:cs="宋体" w:eastAsia="宋体" w:hint="default"/>
                            <w:sz w:val="18"/>
                            <w:szCs w:val="18"/>
                          </w:rPr>
                        </w:pPr>
                        <w:r>
                          <w:rPr>
                            <w:rFonts w:ascii="宋体"/>
                            <w:spacing w:val="-11"/>
                            <w:sz w:val="18"/>
                          </w:rPr>
                          <w:t>2,269,726.11</w:t>
                        </w:r>
                        <w:r>
                          <w:rPr>
                            <w:rFonts w:ascii="宋体"/>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01" w:lineRule="exact"/>
                          <w:ind w:left="153" w:right="0"/>
                          <w:jc w:val="center"/>
                          <w:rPr>
                            <w:rFonts w:ascii="宋体" w:hAnsi="宋体" w:cs="宋体" w:eastAsia="宋体" w:hint="default"/>
                            <w:sz w:val="18"/>
                            <w:szCs w:val="18"/>
                          </w:rPr>
                        </w:pPr>
                        <w:r>
                          <w:rPr>
                            <w:rFonts w:ascii="宋体"/>
                            <w:spacing w:val="-11"/>
                            <w:sz w:val="18"/>
                          </w:rPr>
                          <w:t>483,290,129.29</w:t>
                        </w:r>
                        <w:r>
                          <w:rPr>
                            <w:rFonts w:ascii="宋体"/>
                            <w:sz w:val="18"/>
                          </w:rPr>
                        </w:r>
                      </w:p>
                    </w:tc>
                  </w:tr>
                  <w:tr>
                    <w:trPr>
                      <w:trHeight w:val="227" w:hRule="exact"/>
                    </w:trPr>
                    <w:tc>
                      <w:tcPr>
                        <w:tcW w:w="79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06" w:lineRule="exact"/>
                          <w:ind w:right="123"/>
                          <w:jc w:val="right"/>
                          <w:rPr>
                            <w:rFonts w:ascii="宋体" w:hAnsi="宋体" w:cs="宋体" w:eastAsia="宋体" w:hint="default"/>
                            <w:sz w:val="18"/>
                            <w:szCs w:val="18"/>
                          </w:rPr>
                        </w:pPr>
                        <w:r>
                          <w:rPr>
                            <w:rFonts w:ascii="宋体"/>
                            <w:sz w:val="18"/>
                          </w:rPr>
                          <w:t>1,088,234,908.</w:t>
                        </w:r>
                      </w:p>
                    </w:tc>
                    <w:tc>
                      <w:tcPr>
                        <w:tcW w:w="1049"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298,083.0</w:t>
                        </w:r>
                      </w:p>
                    </w:tc>
                    <w:tc>
                      <w:tcPr>
                        <w:tcW w:w="1509"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sz w:val="18"/>
                          </w:rPr>
                          <w:t>1,088,532,991.</w:t>
                        </w:r>
                      </w:p>
                    </w:tc>
                    <w:tc>
                      <w:tcPr>
                        <w:tcW w:w="1487"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239"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01" w:lineRule="exact"/>
                          <w:ind w:right="79"/>
                          <w:jc w:val="center"/>
                          <w:rPr>
                            <w:rFonts w:ascii="宋体" w:hAnsi="宋体" w:cs="宋体" w:eastAsia="宋体" w:hint="default"/>
                            <w:sz w:val="18"/>
                            <w:szCs w:val="18"/>
                          </w:rPr>
                        </w:pPr>
                        <w:r>
                          <w:rPr>
                            <w:rFonts w:ascii="宋体" w:hAnsi="宋体" w:cs="宋体" w:eastAsia="宋体" w:hint="default"/>
                            <w:spacing w:val="-21"/>
                            <w:sz w:val="18"/>
                            <w:szCs w:val="18"/>
                          </w:rPr>
                          <w:t>营业成本</w:t>
                        </w:r>
                        <w:r>
                          <w:rPr>
                            <w:rFonts w:ascii="宋体" w:hAnsi="宋体" w:cs="宋体" w:eastAsia="宋体" w:hint="default"/>
                            <w:sz w:val="18"/>
                            <w:szCs w:val="18"/>
                          </w:rPr>
                        </w:r>
                      </w:p>
                    </w:tc>
                    <w:tc>
                      <w:tcPr>
                        <w:tcW w:w="1562" w:type="dxa"/>
                        <w:tcBorders>
                          <w:top w:val="nil" w:sz="6" w:space="0" w:color="auto"/>
                          <w:left w:val="nil" w:sz="6" w:space="0" w:color="auto"/>
                          <w:bottom w:val="nil" w:sz="6" w:space="0" w:color="auto"/>
                          <w:right w:val="nil" w:sz="6" w:space="0" w:color="auto"/>
                        </w:tcBorders>
                      </w:tcPr>
                      <w:p>
                        <w:pPr>
                          <w:pStyle w:val="TableParagraph"/>
                          <w:spacing w:line="213" w:lineRule="exact"/>
                          <w:ind w:right="123"/>
                          <w:jc w:val="right"/>
                          <w:rPr>
                            <w:rFonts w:ascii="宋体" w:hAnsi="宋体" w:cs="宋体" w:eastAsia="宋体" w:hint="default"/>
                            <w:sz w:val="18"/>
                            <w:szCs w:val="18"/>
                          </w:rPr>
                        </w:pPr>
                        <w:r>
                          <w:rPr>
                            <w:rFonts w:ascii="宋体"/>
                            <w:sz w:val="18"/>
                          </w:rPr>
                          <w:t>87</w:t>
                        </w:r>
                      </w:p>
                    </w:tc>
                    <w:tc>
                      <w:tcPr>
                        <w:tcW w:w="1049" w:type="dxa"/>
                        <w:tcBorders>
                          <w:top w:val="nil" w:sz="6" w:space="0" w:color="auto"/>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9</w:t>
                        </w:r>
                      </w:p>
                    </w:tc>
                    <w:tc>
                      <w:tcPr>
                        <w:tcW w:w="1509" w:type="dxa"/>
                        <w:tcBorders>
                          <w:top w:val="nil" w:sz="6" w:space="0" w:color="auto"/>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96</w:t>
                        </w:r>
                      </w:p>
                    </w:tc>
                    <w:tc>
                      <w:tcPr>
                        <w:tcW w:w="1487" w:type="dxa"/>
                        <w:tcBorders>
                          <w:top w:val="nil" w:sz="6" w:space="0" w:color="auto"/>
                          <w:left w:val="nil" w:sz="6" w:space="0" w:color="auto"/>
                          <w:bottom w:val="nil" w:sz="6" w:space="0" w:color="auto"/>
                          <w:right w:val="nil" w:sz="6" w:space="0" w:color="auto"/>
                        </w:tcBorders>
                      </w:tcPr>
                      <w:p>
                        <w:pPr>
                          <w:pStyle w:val="TableParagraph"/>
                          <w:spacing w:line="201" w:lineRule="exact"/>
                          <w:ind w:right="141"/>
                          <w:jc w:val="right"/>
                          <w:rPr>
                            <w:rFonts w:ascii="宋体" w:hAnsi="宋体" w:cs="宋体" w:eastAsia="宋体" w:hint="default"/>
                            <w:sz w:val="18"/>
                            <w:szCs w:val="18"/>
                          </w:rPr>
                        </w:pPr>
                        <w:r>
                          <w:rPr>
                            <w:rFonts w:ascii="宋体"/>
                            <w:spacing w:val="-10"/>
                            <w:sz w:val="18"/>
                          </w:rPr>
                          <w:t>408,822,997.08</w:t>
                        </w:r>
                      </w:p>
                    </w:tc>
                    <w:tc>
                      <w:tcPr>
                        <w:tcW w:w="1217" w:type="dxa"/>
                        <w:tcBorders>
                          <w:top w:val="nil" w:sz="6" w:space="0" w:color="auto"/>
                          <w:left w:val="nil" w:sz="6" w:space="0" w:color="auto"/>
                          <w:bottom w:val="nil" w:sz="6" w:space="0" w:color="auto"/>
                          <w:right w:val="nil" w:sz="6" w:space="0" w:color="auto"/>
                        </w:tcBorders>
                      </w:tcPr>
                      <w:p>
                        <w:pPr>
                          <w:pStyle w:val="TableParagraph"/>
                          <w:spacing w:line="201" w:lineRule="exact"/>
                          <w:ind w:right="101"/>
                          <w:jc w:val="right"/>
                          <w:rPr>
                            <w:rFonts w:ascii="宋体" w:hAnsi="宋体" w:cs="宋体" w:eastAsia="宋体" w:hint="default"/>
                            <w:sz w:val="18"/>
                            <w:szCs w:val="18"/>
                          </w:rPr>
                        </w:pPr>
                        <w:r>
                          <w:rPr>
                            <w:rFonts w:ascii="宋体"/>
                            <w:spacing w:val="-10"/>
                            <w:sz w:val="18"/>
                          </w:rPr>
                          <w:t>2,107,047.89</w:t>
                        </w:r>
                      </w:p>
                    </w:tc>
                    <w:tc>
                      <w:tcPr>
                        <w:tcW w:w="1364" w:type="dxa"/>
                        <w:tcBorders>
                          <w:top w:val="nil" w:sz="6" w:space="0" w:color="auto"/>
                          <w:left w:val="nil" w:sz="6" w:space="0" w:color="auto"/>
                          <w:bottom w:val="nil" w:sz="6" w:space="0" w:color="auto"/>
                          <w:right w:val="nil" w:sz="6" w:space="0" w:color="auto"/>
                        </w:tcBorders>
                      </w:tcPr>
                      <w:p>
                        <w:pPr>
                          <w:pStyle w:val="TableParagraph"/>
                          <w:spacing w:line="201" w:lineRule="exact"/>
                          <w:ind w:left="163" w:right="0"/>
                          <w:jc w:val="center"/>
                          <w:rPr>
                            <w:rFonts w:ascii="宋体" w:hAnsi="宋体" w:cs="宋体" w:eastAsia="宋体" w:hint="default"/>
                            <w:sz w:val="18"/>
                            <w:szCs w:val="18"/>
                          </w:rPr>
                        </w:pPr>
                        <w:r>
                          <w:rPr>
                            <w:rFonts w:ascii="宋体"/>
                            <w:spacing w:val="-10"/>
                            <w:sz w:val="18"/>
                          </w:rPr>
                          <w:t>410,930,044.97</w:t>
                        </w:r>
                      </w:p>
                    </w:tc>
                  </w:tr>
                  <w:tr>
                    <w:trPr>
                      <w:trHeight w:val="227" w:hRule="exact"/>
                    </w:trPr>
                    <w:tc>
                      <w:tcPr>
                        <w:tcW w:w="79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z w:val="18"/>
                          </w:rPr>
                          <w:t>396,794.6</w:t>
                        </w:r>
                      </w:p>
                    </w:tc>
                    <w:tc>
                      <w:tcPr>
                        <w:tcW w:w="1509"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250"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01" w:lineRule="exact"/>
                          <w:ind w:right="75"/>
                          <w:jc w:val="center"/>
                          <w:rPr>
                            <w:rFonts w:ascii="宋体" w:hAnsi="宋体" w:cs="宋体" w:eastAsia="宋体" w:hint="default"/>
                            <w:sz w:val="18"/>
                            <w:szCs w:val="18"/>
                          </w:rPr>
                        </w:pPr>
                        <w:r>
                          <w:rPr>
                            <w:rFonts w:ascii="宋体" w:hAnsi="宋体" w:cs="宋体" w:eastAsia="宋体" w:hint="default"/>
                            <w:spacing w:val="-20"/>
                            <w:sz w:val="18"/>
                            <w:szCs w:val="18"/>
                          </w:rPr>
                          <w:t>毛利</w:t>
                        </w:r>
                        <w:r>
                          <w:rPr>
                            <w:rFonts w:ascii="宋体" w:hAnsi="宋体" w:cs="宋体" w:eastAsia="宋体" w:hint="default"/>
                            <w:sz w:val="18"/>
                            <w:szCs w:val="18"/>
                          </w:rPr>
                        </w:r>
                      </w:p>
                    </w:tc>
                    <w:tc>
                      <w:tcPr>
                        <w:tcW w:w="1562" w:type="dxa"/>
                        <w:tcBorders>
                          <w:top w:val="nil" w:sz="6" w:space="0" w:color="auto"/>
                          <w:left w:val="nil" w:sz="6" w:space="0" w:color="auto"/>
                          <w:bottom w:val="nil" w:sz="6" w:space="0" w:color="auto"/>
                          <w:right w:val="nil" w:sz="6" w:space="0" w:color="auto"/>
                        </w:tcBorders>
                      </w:tcPr>
                      <w:p>
                        <w:pPr>
                          <w:pStyle w:val="TableParagraph"/>
                          <w:spacing w:line="213" w:lineRule="exact"/>
                          <w:ind w:right="123"/>
                          <w:jc w:val="right"/>
                          <w:rPr>
                            <w:rFonts w:ascii="宋体" w:hAnsi="宋体" w:cs="宋体" w:eastAsia="宋体" w:hint="default"/>
                            <w:sz w:val="18"/>
                            <w:szCs w:val="18"/>
                          </w:rPr>
                        </w:pPr>
                        <w:r>
                          <w:rPr>
                            <w:rFonts w:ascii="宋体"/>
                            <w:sz w:val="18"/>
                          </w:rPr>
                          <w:t>113,774,082.88</w:t>
                        </w:r>
                      </w:p>
                    </w:tc>
                    <w:tc>
                      <w:tcPr>
                        <w:tcW w:w="1049" w:type="dxa"/>
                        <w:tcBorders>
                          <w:top w:val="nil" w:sz="6" w:space="0" w:color="auto"/>
                          <w:left w:val="nil" w:sz="6" w:space="0" w:color="auto"/>
                          <w:bottom w:val="nil" w:sz="6" w:space="0" w:color="auto"/>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sz w:val="18"/>
                          </w:rPr>
                          <w:t>2</w:t>
                        </w:r>
                      </w:p>
                    </w:tc>
                    <w:tc>
                      <w:tcPr>
                        <w:tcW w:w="1509" w:type="dxa"/>
                        <w:tcBorders>
                          <w:top w:val="nil" w:sz="6" w:space="0" w:color="auto"/>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114,170,877.50</w:t>
                        </w:r>
                      </w:p>
                    </w:tc>
                    <w:tc>
                      <w:tcPr>
                        <w:tcW w:w="1487" w:type="dxa"/>
                        <w:tcBorders>
                          <w:top w:val="nil" w:sz="6" w:space="0" w:color="auto"/>
                          <w:left w:val="nil" w:sz="6" w:space="0" w:color="auto"/>
                          <w:bottom w:val="nil" w:sz="6" w:space="0" w:color="auto"/>
                          <w:right w:val="nil" w:sz="6" w:space="0" w:color="auto"/>
                        </w:tcBorders>
                      </w:tcPr>
                      <w:p>
                        <w:pPr>
                          <w:pStyle w:val="TableParagraph"/>
                          <w:spacing w:line="201" w:lineRule="exact"/>
                          <w:ind w:right="152"/>
                          <w:jc w:val="right"/>
                          <w:rPr>
                            <w:rFonts w:ascii="宋体" w:hAnsi="宋体" w:cs="宋体" w:eastAsia="宋体" w:hint="default"/>
                            <w:sz w:val="18"/>
                            <w:szCs w:val="18"/>
                          </w:rPr>
                        </w:pPr>
                        <w:r>
                          <w:rPr>
                            <w:rFonts w:ascii="宋体"/>
                            <w:spacing w:val="-11"/>
                            <w:sz w:val="18"/>
                          </w:rPr>
                          <w:t>72,197,406.10</w:t>
                        </w:r>
                        <w:r>
                          <w:rPr>
                            <w:rFonts w:ascii="宋体"/>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01" w:lineRule="exact"/>
                          <w:ind w:right="110"/>
                          <w:jc w:val="right"/>
                          <w:rPr>
                            <w:rFonts w:ascii="宋体" w:hAnsi="宋体" w:cs="宋体" w:eastAsia="宋体" w:hint="default"/>
                            <w:sz w:val="18"/>
                            <w:szCs w:val="18"/>
                          </w:rPr>
                        </w:pPr>
                        <w:r>
                          <w:rPr>
                            <w:rFonts w:ascii="宋体"/>
                            <w:spacing w:val="-11"/>
                            <w:sz w:val="18"/>
                          </w:rPr>
                          <w:t>162,678.22</w:t>
                        </w:r>
                        <w:r>
                          <w:rPr>
                            <w:rFonts w:ascii="宋体"/>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01" w:lineRule="exact"/>
                          <w:ind w:left="230" w:right="0"/>
                          <w:jc w:val="center"/>
                          <w:rPr>
                            <w:rFonts w:ascii="宋体" w:hAnsi="宋体" w:cs="宋体" w:eastAsia="宋体" w:hint="default"/>
                            <w:sz w:val="18"/>
                            <w:szCs w:val="18"/>
                          </w:rPr>
                        </w:pPr>
                        <w:r>
                          <w:rPr>
                            <w:rFonts w:ascii="宋体"/>
                            <w:spacing w:val="-11"/>
                            <w:sz w:val="18"/>
                          </w:rPr>
                          <w:t>72,360,084.32</w:t>
                        </w:r>
                        <w:r>
                          <w:rPr>
                            <w:rFonts w:ascii="宋体"/>
                            <w:sz w:val="18"/>
                          </w:rPr>
                        </w: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20"/>
          <w:sz w:val="18"/>
          <w:szCs w:val="18"/>
          <w:u w:val="single" w:color="000000"/>
        </w:rPr>
        <w:t> </w:t>
      </w:r>
      <w:r>
        <w:rPr>
          <w:rFonts w:ascii="宋体" w:hAnsi="宋体" w:cs="宋体" w:eastAsia="宋体" w:hint="default"/>
          <w:sz w:val="18"/>
          <w:szCs w:val="18"/>
          <w:u w:val="single" w:color="000000"/>
        </w:rPr>
        <w:t>项</w:t>
      </w:r>
      <w:r>
        <w:rPr>
          <w:rFonts w:ascii="宋体" w:hAnsi="宋体" w:cs="宋体" w:eastAsia="宋体" w:hint="default"/>
          <w:spacing w:val="-41"/>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694" w:right="0"/>
        <w:jc w:val="left"/>
      </w:pPr>
      <w:r>
        <w:rPr/>
        <w:t>1.按业务类别列示主营业务收入、主营业务成本</w:t>
      </w:r>
    </w:p>
    <w:p>
      <w:pPr>
        <w:tabs>
          <w:tab w:pos="1026" w:val="left" w:leader="none"/>
          <w:tab w:pos="1505" w:val="left" w:leader="none"/>
          <w:tab w:pos="2436" w:val="left" w:leader="none"/>
          <w:tab w:pos="2907" w:val="left" w:leader="none"/>
          <w:tab w:pos="3747" w:val="left" w:leader="none"/>
          <w:tab w:pos="5619" w:val="left" w:leader="none"/>
          <w:tab w:pos="6260" w:val="left" w:leader="none"/>
          <w:tab w:pos="7100" w:val="left" w:leader="none"/>
          <w:tab w:pos="8972" w:val="left" w:leader="none"/>
        </w:tabs>
        <w:spacing w:before="47"/>
        <w:ind w:left="32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8"/>
          <w:sz w:val="18"/>
          <w:szCs w:val="18"/>
          <w:u w:val="single" w:color="000000"/>
        </w:rPr>
        <w:t>主营业务收入</w:t>
        <w:tab/>
      </w:r>
      <w:r>
        <w:rPr>
          <w:rFonts w:ascii="宋体" w:hAnsi="宋体" w:cs="宋体" w:eastAsia="宋体" w:hint="default"/>
          <w:spacing w:val="-18"/>
          <w:sz w:val="18"/>
          <w:szCs w:val="18"/>
        </w:rPr>
        <w:tab/>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pacing w:val="-18"/>
          <w:sz w:val="18"/>
          <w:szCs w:val="18"/>
          <w:u w:val="single" w:color="000000"/>
        </w:rPr>
        <w:t> </w:t>
        <w:tab/>
      </w:r>
      <w:r>
        <w:rPr>
          <w:rFonts w:ascii="宋体" w:hAnsi="宋体" w:cs="宋体" w:eastAsia="宋体" w:hint="default"/>
          <w:spacing w:val="-18"/>
          <w:sz w:val="18"/>
          <w:szCs w:val="18"/>
          <w:u w:val="single" w:color="000000"/>
        </w:rPr>
        <w:t>主营业务成本</w:t>
        <w:tab/>
      </w:r>
      <w:r>
        <w:rPr>
          <w:rFonts w:ascii="宋体" w:hAnsi="宋体" w:cs="宋体" w:eastAsia="宋体" w:hint="default"/>
          <w:spacing w:val="-18"/>
          <w:sz w:val="18"/>
          <w:szCs w:val="18"/>
        </w:rPr>
      </w:r>
    </w:p>
    <w:p>
      <w:pPr>
        <w:spacing w:after="0"/>
        <w:jc w:val="left"/>
        <w:rPr>
          <w:rFonts w:ascii="宋体" w:hAnsi="宋体" w:cs="宋体" w:eastAsia="宋体" w:hint="default"/>
          <w:sz w:val="18"/>
          <w:szCs w:val="18"/>
        </w:rPr>
        <w:sectPr>
          <w:type w:val="continuous"/>
          <w:pgSz w:w="11910" w:h="16840"/>
          <w:pgMar w:top="980" w:bottom="152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tbl>
      <w:tblPr>
        <w:tblW w:w="0" w:type="auto"/>
        <w:jc w:val="left"/>
        <w:tblInd w:w="290" w:type="dxa"/>
        <w:tblLayout w:type="fixed"/>
        <w:tblCellMar>
          <w:top w:w="0" w:type="dxa"/>
          <w:left w:w="0" w:type="dxa"/>
          <w:bottom w:w="0" w:type="dxa"/>
          <w:right w:w="0" w:type="dxa"/>
        </w:tblCellMar>
        <w:tblLook w:val="01E0"/>
      </w:tblPr>
      <w:tblGrid>
        <w:gridCol w:w="605"/>
        <w:gridCol w:w="2012"/>
        <w:gridCol w:w="1979"/>
        <w:gridCol w:w="1168"/>
        <w:gridCol w:w="206"/>
        <w:gridCol w:w="1738"/>
        <w:gridCol w:w="1399"/>
      </w:tblGrid>
      <w:tr>
        <w:trPr>
          <w:trHeight w:val="287" w:hRule="exact"/>
        </w:trPr>
        <w:tc>
          <w:tcPr>
            <w:tcW w:w="2617" w:type="dxa"/>
            <w:gridSpan w:val="2"/>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0" w:right="0"/>
              <w:jc w:val="left"/>
              <w:rPr>
                <w:rFonts w:ascii="宋体" w:hAnsi="宋体" w:cs="宋体" w:eastAsia="宋体" w:hint="default"/>
                <w:sz w:val="18"/>
                <w:szCs w:val="18"/>
              </w:rPr>
            </w:pPr>
            <w:r>
              <w:rPr>
                <w:rFonts w:ascii="宋体" w:hAnsi="宋体" w:cs="宋体" w:eastAsia="宋体" w:hint="default"/>
                <w:spacing w:val="-21"/>
                <w:sz w:val="18"/>
                <w:szCs w:val="18"/>
              </w:rPr>
              <w:t>本年发生数</w:t>
            </w:r>
            <w:r>
              <w:rPr>
                <w:rFonts w:ascii="宋体" w:hAnsi="宋体" w:cs="宋体" w:eastAsia="宋体" w:hint="default"/>
                <w:sz w:val="18"/>
                <w:szCs w:val="18"/>
              </w:rPr>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8"/>
                <w:szCs w:val="18"/>
              </w:rPr>
            </w:pPr>
            <w:r>
              <w:rPr>
                <w:rFonts w:ascii="宋体" w:hAnsi="宋体" w:cs="宋体" w:eastAsia="宋体" w:hint="default"/>
                <w:spacing w:val="-21"/>
                <w:sz w:val="18"/>
                <w:szCs w:val="18"/>
              </w:rPr>
              <w:t>上年发生数</w:t>
            </w:r>
            <w:r>
              <w:rPr>
                <w:rFonts w:ascii="宋体" w:hAnsi="宋体" w:cs="宋体" w:eastAsia="宋体" w:hint="default"/>
                <w:sz w:val="18"/>
                <w:szCs w:val="18"/>
              </w:rPr>
            </w:r>
          </w:p>
        </w:tc>
        <w:tc>
          <w:tcPr>
            <w:tcW w:w="206"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pacing w:val="-17"/>
                <w:sz w:val="18"/>
                <w:szCs w:val="18"/>
              </w:rPr>
              <w:t>本年发生数</w:t>
            </w: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pacing w:val="-17"/>
                <w:sz w:val="18"/>
                <w:szCs w:val="18"/>
              </w:rPr>
              <w:t>上年发生数</w:t>
            </w:r>
          </w:p>
        </w:tc>
      </w:tr>
      <w:tr>
        <w:trPr>
          <w:trHeight w:val="629" w:hRule="exact"/>
        </w:trPr>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8"/>
                <w:sz w:val="18"/>
                <w:szCs w:val="18"/>
              </w:rPr>
              <w:t>(1)工</w:t>
            </w:r>
          </w:p>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pacing w:val="-8"/>
                <w:sz w:val="18"/>
                <w:szCs w:val="18"/>
              </w:rPr>
              <w:t>(2)商</w:t>
            </w:r>
          </w:p>
        </w:tc>
        <w:tc>
          <w:tcPr>
            <w:tcW w:w="2012" w:type="dxa"/>
            <w:tcBorders>
              <w:top w:val="nil" w:sz="6" w:space="0" w:color="auto"/>
              <w:left w:val="nil" w:sz="6" w:space="0" w:color="auto"/>
              <w:bottom w:val="nil" w:sz="6" w:space="0" w:color="auto"/>
              <w:right w:val="nil" w:sz="6" w:space="0" w:color="auto"/>
            </w:tcBorders>
          </w:tcPr>
          <w:p>
            <w:pPr>
              <w:pStyle w:val="TableParagraph"/>
              <w:spacing w:line="290" w:lineRule="auto" w:before="43"/>
              <w:ind w:left="150" w:right="1680"/>
              <w:jc w:val="left"/>
              <w:rPr>
                <w:rFonts w:ascii="宋体" w:hAnsi="宋体" w:cs="宋体" w:eastAsia="宋体" w:hint="default"/>
                <w:sz w:val="18"/>
                <w:szCs w:val="18"/>
              </w:rPr>
            </w:pPr>
            <w:r>
              <w:rPr>
                <w:rFonts w:ascii="宋体" w:hAnsi="宋体" w:cs="宋体" w:eastAsia="宋体" w:hint="default"/>
                <w:sz w:val="18"/>
                <w:szCs w:val="18"/>
              </w:rPr>
              <w:t>业 业</w:t>
            </w: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66" w:right="0"/>
              <w:jc w:val="left"/>
              <w:rPr>
                <w:rFonts w:ascii="宋体" w:hAnsi="宋体" w:cs="宋体" w:eastAsia="宋体" w:hint="default"/>
                <w:sz w:val="18"/>
                <w:szCs w:val="18"/>
              </w:rPr>
            </w:pPr>
            <w:r>
              <w:rPr>
                <w:rFonts w:ascii="宋体"/>
                <w:spacing w:val="-10"/>
                <w:sz w:val="18"/>
              </w:rPr>
              <w:t>1,202,008,991.75</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37" w:right="0"/>
              <w:jc w:val="center"/>
              <w:rPr>
                <w:rFonts w:ascii="宋体" w:hAnsi="宋体" w:cs="宋体" w:eastAsia="宋体" w:hint="default"/>
                <w:sz w:val="18"/>
                <w:szCs w:val="18"/>
              </w:rPr>
            </w:pPr>
            <w:r>
              <w:rPr>
                <w:rFonts w:ascii="宋体"/>
                <w:spacing w:val="-10"/>
                <w:sz w:val="18"/>
              </w:rPr>
              <w:t>481,020,403.18</w:t>
            </w:r>
          </w:p>
        </w:tc>
        <w:tc>
          <w:tcPr>
            <w:tcW w:w="206"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81" w:right="0"/>
              <w:jc w:val="left"/>
              <w:rPr>
                <w:rFonts w:ascii="宋体" w:hAnsi="宋体" w:cs="宋体" w:eastAsia="宋体" w:hint="default"/>
                <w:sz w:val="18"/>
                <w:szCs w:val="18"/>
              </w:rPr>
            </w:pPr>
            <w:r>
              <w:rPr>
                <w:rFonts w:ascii="宋体"/>
                <w:sz w:val="18"/>
              </w:rPr>
              <w:t>1,088,234,908.87</w:t>
            </w: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233" w:right="0"/>
              <w:jc w:val="left"/>
              <w:rPr>
                <w:rFonts w:ascii="宋体" w:hAnsi="宋体" w:cs="宋体" w:eastAsia="宋体" w:hint="default"/>
                <w:sz w:val="18"/>
                <w:szCs w:val="18"/>
              </w:rPr>
            </w:pPr>
            <w:r>
              <w:rPr>
                <w:rFonts w:ascii="宋体"/>
                <w:spacing w:val="-10"/>
                <w:sz w:val="18"/>
              </w:rPr>
              <w:t>408,822,997.08</w:t>
            </w:r>
          </w:p>
        </w:tc>
      </w:tr>
    </w:tbl>
    <w:p>
      <w:pPr>
        <w:spacing w:line="220" w:lineRule="exact" w:before="0"/>
        <w:ind w:left="325" w:right="0" w:firstLine="0"/>
        <w:jc w:val="left"/>
        <w:rPr>
          <w:rFonts w:ascii="宋体" w:hAnsi="宋体" w:cs="宋体" w:eastAsia="宋体" w:hint="default"/>
          <w:sz w:val="18"/>
          <w:szCs w:val="18"/>
        </w:rPr>
      </w:pPr>
      <w:r>
        <w:rPr>
          <w:rFonts w:ascii="宋体" w:hAnsi="宋体" w:cs="宋体" w:eastAsia="宋体" w:hint="default"/>
          <w:spacing w:val="-14"/>
          <w:sz w:val="18"/>
          <w:szCs w:val="18"/>
        </w:rPr>
        <w:t>(3)房地产业</w:t>
      </w:r>
    </w:p>
    <w:p>
      <w:pPr>
        <w:spacing w:before="49"/>
        <w:ind w:left="325" w:right="0" w:firstLine="0"/>
        <w:jc w:val="left"/>
        <w:rPr>
          <w:rFonts w:ascii="宋体" w:hAnsi="宋体" w:cs="宋体" w:eastAsia="宋体" w:hint="default"/>
          <w:sz w:val="18"/>
          <w:szCs w:val="18"/>
        </w:rPr>
      </w:pPr>
      <w:r>
        <w:rPr>
          <w:rFonts w:ascii="宋体" w:hAnsi="宋体" w:cs="宋体" w:eastAsia="宋体" w:hint="default"/>
          <w:spacing w:val="-18"/>
          <w:sz w:val="18"/>
          <w:szCs w:val="18"/>
        </w:rPr>
        <w:t>(4)旅游饮食服务业</w:t>
      </w:r>
      <w:r>
        <w:rPr>
          <w:rFonts w:ascii="宋体" w:hAnsi="宋体" w:cs="宋体" w:eastAsia="宋体" w:hint="default"/>
          <w:sz w:val="18"/>
          <w:szCs w:val="18"/>
        </w:rPr>
      </w:r>
    </w:p>
    <w:p>
      <w:pPr>
        <w:tabs>
          <w:tab w:pos="3174" w:val="left" w:leader="none"/>
          <w:tab w:pos="4923" w:val="left" w:leader="none"/>
          <w:tab w:pos="6342" w:val="left" w:leader="none"/>
          <w:tab w:pos="8232" w:val="left" w:leader="none"/>
        </w:tabs>
        <w:spacing w:before="51"/>
        <w:ind w:left="1242" w:right="0" w:firstLine="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0"/>
          <w:sz w:val="18"/>
          <w:szCs w:val="18"/>
        </w:rPr>
        <w:t> </w:t>
      </w:r>
      <w:r>
        <w:rPr>
          <w:rFonts w:ascii="宋体" w:hAnsi="宋体" w:cs="宋体" w:eastAsia="宋体" w:hint="default"/>
          <w:sz w:val="18"/>
          <w:szCs w:val="18"/>
        </w:rPr>
        <w:t>计</w:t>
        <w:tab/>
      </w:r>
      <w:r>
        <w:rPr>
          <w:rFonts w:ascii="宋体" w:hAnsi="宋体" w:cs="宋体" w:eastAsia="宋体" w:hint="default"/>
          <w:spacing w:val="-10"/>
          <w:sz w:val="18"/>
          <w:szCs w:val="18"/>
        </w:rPr>
        <w:t>1,202,008,991.75</w:t>
        <w:tab/>
        <w:t>481,020,403.18</w:t>
        <w:tab/>
      </w:r>
      <w:r>
        <w:rPr>
          <w:rFonts w:ascii="宋体" w:hAnsi="宋体" w:cs="宋体" w:eastAsia="宋体" w:hint="default"/>
          <w:sz w:val="18"/>
          <w:szCs w:val="18"/>
        </w:rPr>
        <w:t>1,088,234,908.87</w:t>
        <w:tab/>
      </w:r>
      <w:r>
        <w:rPr>
          <w:rFonts w:ascii="宋体" w:hAnsi="宋体" w:cs="宋体" w:eastAsia="宋体" w:hint="default"/>
          <w:spacing w:val="-10"/>
          <w:sz w:val="18"/>
          <w:szCs w:val="18"/>
        </w:rPr>
        <w:t>408,822,997.08</w:t>
      </w:r>
    </w:p>
    <w:p>
      <w:pPr>
        <w:spacing w:before="45"/>
        <w:ind w:left="325" w:right="0" w:firstLine="0"/>
        <w:jc w:val="left"/>
        <w:rPr>
          <w:rFonts w:ascii="宋体" w:hAnsi="宋体" w:cs="宋体" w:eastAsia="宋体" w:hint="default"/>
          <w:sz w:val="18"/>
          <w:szCs w:val="18"/>
        </w:rPr>
      </w:pPr>
      <w:r>
        <w:rPr>
          <w:rFonts w:ascii="宋体" w:hAnsi="宋体" w:cs="宋体" w:eastAsia="宋体" w:hint="default"/>
          <w:spacing w:val="-19"/>
          <w:sz w:val="18"/>
          <w:szCs w:val="18"/>
        </w:rPr>
        <w:t>公司内各业务分部相互抵销</w:t>
      </w:r>
    </w:p>
    <w:p>
      <w:pPr>
        <w:spacing w:line="240" w:lineRule="auto" w:before="11"/>
        <w:rPr>
          <w:rFonts w:ascii="宋体" w:hAnsi="宋体" w:cs="宋体" w:eastAsia="宋体" w:hint="default"/>
          <w:sz w:val="18"/>
          <w:szCs w:val="18"/>
        </w:rPr>
      </w:pPr>
    </w:p>
    <w:p>
      <w:pPr>
        <w:spacing w:before="0"/>
        <w:ind w:left="1242" w:right="0" w:firstLine="0"/>
        <w:jc w:val="left"/>
        <w:rPr>
          <w:rFonts w:ascii="宋体" w:hAnsi="宋体" w:cs="宋体" w:eastAsia="宋体" w:hint="default"/>
          <w:sz w:val="18"/>
          <w:szCs w:val="18"/>
        </w:rPr>
      </w:pPr>
      <w:r>
        <w:rPr/>
        <w:pict>
          <v:shape style="position:absolute;margin-left:205.968994pt;margin-top:-2.222638pt;width:312.95pt;height:26.1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5"/>
                    <w:gridCol w:w="1504"/>
                    <w:gridCol w:w="1809"/>
                    <w:gridCol w:w="1390"/>
                  </w:tblGrid>
                  <w:tr>
                    <w:trPr>
                      <w:trHeight w:val="300"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pacing w:val="-10"/>
                            <w:sz w:val="18"/>
                          </w:rPr>
                          <w:t>1,202,008,991.75</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1"/>
                          <w:jc w:val="right"/>
                          <w:rPr>
                            <w:rFonts w:ascii="宋体" w:hAnsi="宋体" w:cs="宋体" w:eastAsia="宋体" w:hint="default"/>
                            <w:sz w:val="18"/>
                            <w:szCs w:val="18"/>
                          </w:rPr>
                        </w:pPr>
                        <w:r>
                          <w:rPr>
                            <w:rFonts w:ascii="宋体"/>
                            <w:spacing w:val="-10"/>
                            <w:sz w:val="18"/>
                          </w:rPr>
                          <w:t>481,020,403.18</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23"/>
                          <w:jc w:val="right"/>
                          <w:rPr>
                            <w:rFonts w:ascii="宋体" w:hAnsi="宋体" w:cs="宋体" w:eastAsia="宋体" w:hint="default"/>
                            <w:sz w:val="18"/>
                            <w:szCs w:val="18"/>
                          </w:rPr>
                        </w:pPr>
                        <w:r>
                          <w:rPr>
                            <w:rFonts w:ascii="宋体"/>
                            <w:sz w:val="18"/>
                          </w:rPr>
                          <w:t>1,088,234,908.87</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0"/>
                            <w:sz w:val="18"/>
                          </w:rPr>
                          <w:t>408,822,997.08</w:t>
                        </w:r>
                      </w:p>
                    </w:tc>
                  </w:tr>
                  <w:tr>
                    <w:trPr>
                      <w:trHeight w:val="222"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spacing w:val="-10"/>
                            <w:sz w:val="18"/>
                          </w:rPr>
                          <w:t>================</w:t>
                        </w:r>
                      </w:p>
                    </w:tc>
                    <w:tc>
                      <w:tcPr>
                        <w:tcW w:w="1504" w:type="dxa"/>
                        <w:tcBorders>
                          <w:top w:val="nil" w:sz="6" w:space="0" w:color="auto"/>
                          <w:left w:val="nil" w:sz="6" w:space="0" w:color="auto"/>
                          <w:bottom w:val="nil" w:sz="6" w:space="0" w:color="auto"/>
                          <w:right w:val="nil" w:sz="6" w:space="0" w:color="auto"/>
                        </w:tcBorders>
                      </w:tcPr>
                      <w:p>
                        <w:pPr>
                          <w:pStyle w:val="TableParagraph"/>
                          <w:spacing w:line="198" w:lineRule="exact"/>
                          <w:ind w:right="141"/>
                          <w:jc w:val="right"/>
                          <w:rPr>
                            <w:rFonts w:ascii="宋体" w:hAnsi="宋体" w:cs="宋体" w:eastAsia="宋体" w:hint="default"/>
                            <w:sz w:val="18"/>
                            <w:szCs w:val="18"/>
                          </w:rPr>
                        </w:pPr>
                        <w:r>
                          <w:rPr>
                            <w:rFonts w:ascii="宋体"/>
                            <w:spacing w:val="-10"/>
                            <w:sz w:val="18"/>
                          </w:rPr>
                          <w:t>==============</w:t>
                        </w:r>
                      </w:p>
                    </w:tc>
                    <w:tc>
                      <w:tcPr>
                        <w:tcW w:w="1809" w:type="dxa"/>
                        <w:tcBorders>
                          <w:top w:val="nil" w:sz="6" w:space="0" w:color="auto"/>
                          <w:left w:val="nil" w:sz="6" w:space="0" w:color="auto"/>
                          <w:bottom w:val="nil" w:sz="6" w:space="0" w:color="auto"/>
                          <w:right w:val="nil" w:sz="6" w:space="0" w:color="auto"/>
                        </w:tcBorders>
                      </w:tcPr>
                      <w:p>
                        <w:pPr>
                          <w:pStyle w:val="TableParagraph"/>
                          <w:spacing w:line="198" w:lineRule="exact"/>
                          <w:ind w:right="222"/>
                          <w:jc w:val="right"/>
                          <w:rPr>
                            <w:rFonts w:ascii="宋体" w:hAnsi="宋体" w:cs="宋体" w:eastAsia="宋体" w:hint="default"/>
                            <w:sz w:val="18"/>
                            <w:szCs w:val="18"/>
                          </w:rPr>
                        </w:pPr>
                        <w:r>
                          <w:rPr>
                            <w:rFonts w:ascii="宋体"/>
                            <w:spacing w:val="-11"/>
                            <w:sz w:val="18"/>
                          </w:rPr>
                          <w:t>===============</w:t>
                        </w:r>
                        <w:r>
                          <w:rPr>
                            <w:rFonts w:ascii="宋体"/>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198" w:lineRule="exact"/>
                          <w:ind w:right="33"/>
                          <w:jc w:val="right"/>
                          <w:rPr>
                            <w:rFonts w:ascii="宋体" w:hAnsi="宋体" w:cs="宋体" w:eastAsia="宋体" w:hint="default"/>
                            <w:sz w:val="18"/>
                            <w:szCs w:val="18"/>
                          </w:rPr>
                        </w:pPr>
                        <w:r>
                          <w:rPr>
                            <w:rFonts w:ascii="宋体"/>
                            <w:spacing w:val="-10"/>
                            <w:sz w:val="18"/>
                          </w:rPr>
                          <w:t>==============</w:t>
                        </w:r>
                      </w:p>
                    </w:tc>
                  </w:tr>
                </w:tbl>
                <w:p>
                  <w:pPr/>
                </w:p>
              </w:txbxContent>
            </v:textbox>
            <w10:wrap type="none"/>
          </v:shape>
        </w:pict>
      </w:r>
      <w:r>
        <w:rPr>
          <w:rFonts w:ascii="宋体" w:hAnsi="宋体" w:cs="宋体" w:eastAsia="宋体" w:hint="default"/>
          <w:sz w:val="18"/>
          <w:szCs w:val="18"/>
        </w:rPr>
        <w:t>合 </w:t>
      </w:r>
      <w:r>
        <w:rPr>
          <w:rFonts w:ascii="宋体" w:hAnsi="宋体" w:cs="宋体" w:eastAsia="宋体" w:hint="default"/>
          <w:spacing w:val="10"/>
          <w:sz w:val="18"/>
          <w:szCs w:val="18"/>
        </w:rPr>
        <w:t> </w:t>
      </w:r>
      <w:r>
        <w:rPr>
          <w:rFonts w:ascii="宋体" w:hAnsi="宋体" w:cs="宋体" w:eastAsia="宋体" w:hint="default"/>
          <w:sz w:val="18"/>
          <w:szCs w:val="18"/>
        </w:rPr>
        <w:t>计</w:t>
      </w:r>
    </w:p>
    <w:p>
      <w:pPr>
        <w:spacing w:line="240" w:lineRule="auto" w:before="12"/>
        <w:rPr>
          <w:rFonts w:ascii="宋体" w:hAnsi="宋体" w:cs="宋体" w:eastAsia="宋体" w:hint="default"/>
          <w:sz w:val="13"/>
          <w:szCs w:val="13"/>
        </w:rPr>
      </w:pPr>
    </w:p>
    <w:p>
      <w:pPr>
        <w:pStyle w:val="BodyText"/>
        <w:spacing w:line="240" w:lineRule="auto" w:before="26"/>
        <w:ind w:left="694" w:right="0"/>
        <w:jc w:val="left"/>
      </w:pPr>
      <w:r>
        <w:rPr/>
        <w:t>按地区类别列示主营业务收入、主营业务成本</w:t>
      </w:r>
    </w:p>
    <w:p>
      <w:pPr>
        <w:tabs>
          <w:tab w:pos="3715" w:val="left" w:leader="none"/>
          <w:tab w:pos="5676" w:val="left" w:leader="none"/>
          <w:tab w:pos="5917" w:val="left" w:leader="none"/>
          <w:tab w:pos="6878" w:val="left" w:leader="none"/>
          <w:tab w:pos="8996" w:val="left" w:leader="none"/>
        </w:tabs>
        <w:spacing w:line="221" w:lineRule="exact" w:before="53"/>
        <w:ind w:left="2754"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pacing w:val="-18"/>
          <w:sz w:val="20"/>
          <w:szCs w:val="20"/>
          <w:u w:val="single" w:color="000000"/>
        </w:rPr>
        <w:t>主营业务收入</w:t>
        <w:tab/>
      </w:r>
      <w:r>
        <w:rPr>
          <w:rFonts w:ascii="宋体" w:hAnsi="宋体" w:cs="宋体" w:eastAsia="宋体" w:hint="default"/>
          <w:spacing w:val="-18"/>
          <w:sz w:val="20"/>
          <w:szCs w:val="20"/>
        </w:rPr>
        <w:tab/>
      </w:r>
      <w:r>
        <w:rPr>
          <w:rFonts w:ascii="Times New Roman" w:hAnsi="Times New Roman" w:cs="Times New Roman" w:eastAsia="Times New Roman" w:hint="default"/>
          <w:spacing w:val="-18"/>
          <w:sz w:val="20"/>
          <w:szCs w:val="20"/>
        </w:rPr>
      </w:r>
      <w:r>
        <w:rPr>
          <w:rFonts w:ascii="Times New Roman" w:hAnsi="Times New Roman" w:cs="Times New Roman" w:eastAsia="Times New Roman" w:hint="default"/>
          <w:spacing w:val="-18"/>
          <w:sz w:val="20"/>
          <w:szCs w:val="20"/>
          <w:u w:val="single" w:color="000000"/>
        </w:rPr>
        <w:t> </w:t>
        <w:tab/>
      </w:r>
      <w:r>
        <w:rPr>
          <w:rFonts w:ascii="宋体" w:hAnsi="宋体" w:cs="宋体" w:eastAsia="宋体" w:hint="default"/>
          <w:spacing w:val="-18"/>
          <w:sz w:val="20"/>
          <w:szCs w:val="20"/>
          <w:u w:val="single" w:color="000000"/>
        </w:rPr>
        <w:t>主营业务成本</w:t>
        <w:tab/>
      </w:r>
      <w:r>
        <w:rPr>
          <w:rFonts w:ascii="宋体" w:hAnsi="宋体" w:cs="宋体" w:eastAsia="宋体" w:hint="default"/>
          <w:spacing w:val="-18"/>
          <w:sz w:val="20"/>
          <w:szCs w:val="20"/>
        </w:rPr>
      </w:r>
    </w:p>
    <w:p>
      <w:pPr>
        <w:spacing w:after="0" w:line="221" w:lineRule="exact"/>
        <w:jc w:val="left"/>
        <w:rPr>
          <w:rFonts w:ascii="宋体" w:hAnsi="宋体" w:cs="宋体" w:eastAsia="宋体" w:hint="default"/>
          <w:sz w:val="20"/>
          <w:szCs w:val="20"/>
        </w:rPr>
        <w:sectPr>
          <w:pgSz w:w="11910" w:h="16840"/>
          <w:pgMar w:header="747" w:footer="1339" w:top="980" w:bottom="1520" w:left="980" w:right="980"/>
        </w:sectPr>
      </w:pPr>
    </w:p>
    <w:p>
      <w:pPr>
        <w:tabs>
          <w:tab w:pos="887" w:val="left" w:leader="none"/>
          <w:tab w:pos="1427" w:val="left" w:leader="none"/>
          <w:tab w:pos="2408" w:val="left" w:leader="none"/>
        </w:tabs>
        <w:spacing w:line="200" w:lineRule="exact" w:before="0"/>
        <w:ind w:left="247"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项</w:t>
        <w:tab/>
        <w:t>目</w:t>
        <w:tab/>
      </w:r>
      <w:r>
        <w:rPr>
          <w:rFonts w:ascii="宋体" w:hAnsi="宋体" w:cs="宋体" w:eastAsia="宋体" w:hint="default"/>
          <w:sz w:val="20"/>
          <w:szCs w:val="20"/>
        </w:rPr>
      </w:r>
    </w:p>
    <w:p>
      <w:pPr>
        <w:tabs>
          <w:tab w:pos="568" w:val="left" w:leader="none"/>
          <w:tab w:pos="1697" w:val="left" w:leader="none"/>
          <w:tab w:pos="1913" w:val="left" w:leader="none"/>
          <w:tab w:pos="3194" w:val="left" w:leader="none"/>
          <w:tab w:pos="3410" w:val="left" w:leader="none"/>
          <w:tab w:pos="3731" w:val="left" w:leader="none"/>
          <w:tab w:pos="4904" w:val="left" w:leader="none"/>
          <w:tab w:pos="5120" w:val="left" w:leader="none"/>
          <w:tab w:pos="6489" w:val="left" w:leader="none"/>
        </w:tabs>
        <w:spacing w:before="99"/>
        <w:ind w:left="247"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pacing w:val="-21"/>
          <w:w w:val="100"/>
          <w:sz w:val="20"/>
          <w:szCs w:val="20"/>
          <w:u w:val="single" w:color="000000"/>
        </w:rPr>
        <w:t>本年发生</w:t>
      </w:r>
      <w:r>
        <w:rPr>
          <w:rFonts w:ascii="宋体" w:hAnsi="宋体" w:cs="宋体" w:eastAsia="宋体" w:hint="default"/>
          <w:w w:val="100"/>
          <w:sz w:val="20"/>
          <w:szCs w:val="20"/>
          <w:u w:val="single" w:color="000000"/>
        </w:rPr>
        <w:t>数</w:t>
      </w:r>
      <w:r>
        <w:rPr>
          <w:rFonts w:ascii="宋体" w:hAnsi="宋体" w:cs="宋体" w:eastAsia="宋体" w:hint="default"/>
          <w:sz w:val="20"/>
          <w:szCs w:val="20"/>
          <w:u w:val="single" w:color="000000"/>
        </w:rPr>
        <w:tab/>
      </w:r>
      <w:r>
        <w:rPr>
          <w:rFonts w:ascii="宋体" w:hAnsi="宋体" w:cs="宋体" w:eastAsia="宋体" w:hint="default"/>
          <w:sz w:val="20"/>
          <w:szCs w:val="20"/>
        </w:rPr>
        <w:tab/>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9"/>
          <w:sz w:val="20"/>
          <w:szCs w:val="20"/>
          <w:u w:val="single" w:color="000000"/>
        </w:rPr>
        <w:t> </w:t>
      </w:r>
      <w:r>
        <w:rPr>
          <w:rFonts w:ascii="宋体" w:hAnsi="宋体" w:cs="宋体" w:eastAsia="宋体" w:hint="default"/>
          <w:spacing w:val="-21"/>
          <w:w w:val="100"/>
          <w:sz w:val="20"/>
          <w:szCs w:val="20"/>
          <w:u w:val="single" w:color="000000"/>
        </w:rPr>
        <w:t>上年发生</w:t>
      </w:r>
      <w:r>
        <w:rPr>
          <w:rFonts w:ascii="宋体" w:hAnsi="宋体" w:cs="宋体" w:eastAsia="宋体" w:hint="default"/>
          <w:w w:val="100"/>
          <w:sz w:val="20"/>
          <w:szCs w:val="20"/>
          <w:u w:val="single" w:color="000000"/>
        </w:rPr>
        <w:t>数</w:t>
      </w:r>
      <w:r>
        <w:rPr>
          <w:rFonts w:ascii="宋体" w:hAnsi="宋体" w:cs="宋体" w:eastAsia="宋体" w:hint="default"/>
          <w:sz w:val="20"/>
          <w:szCs w:val="20"/>
          <w:u w:val="single" w:color="000000"/>
        </w:rPr>
        <w:tab/>
      </w:r>
      <w:r>
        <w:rPr>
          <w:rFonts w:ascii="宋体" w:hAnsi="宋体" w:cs="宋体" w:eastAsia="宋体" w:hint="default"/>
          <w:sz w:val="20"/>
          <w:szCs w:val="20"/>
        </w:rPr>
        <w:tab/>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pacing w:val="-21"/>
          <w:w w:val="100"/>
          <w:sz w:val="20"/>
          <w:szCs w:val="20"/>
          <w:u w:val="single" w:color="000000"/>
        </w:rPr>
        <w:t>本年发生</w:t>
      </w:r>
      <w:r>
        <w:rPr>
          <w:rFonts w:ascii="宋体" w:hAnsi="宋体" w:cs="宋体" w:eastAsia="宋体" w:hint="default"/>
          <w:w w:val="100"/>
          <w:sz w:val="20"/>
          <w:szCs w:val="20"/>
          <w:u w:val="single" w:color="000000"/>
        </w:rPr>
        <w:t>数</w:t>
      </w:r>
      <w:r>
        <w:rPr>
          <w:rFonts w:ascii="宋体" w:hAnsi="宋体" w:cs="宋体" w:eastAsia="宋体" w:hint="default"/>
          <w:sz w:val="20"/>
          <w:szCs w:val="20"/>
          <w:u w:val="single" w:color="000000"/>
        </w:rPr>
        <w:tab/>
      </w:r>
      <w:r>
        <w:rPr>
          <w:rFonts w:ascii="宋体" w:hAnsi="宋体" w:cs="宋体" w:eastAsia="宋体" w:hint="default"/>
          <w:sz w:val="20"/>
          <w:szCs w:val="20"/>
        </w:rPr>
        <w:tab/>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11"/>
          <w:sz w:val="20"/>
          <w:szCs w:val="20"/>
          <w:u w:val="single" w:color="000000"/>
        </w:rPr>
        <w:t> </w:t>
      </w:r>
      <w:r>
        <w:rPr>
          <w:rFonts w:ascii="宋体" w:hAnsi="宋体" w:cs="宋体" w:eastAsia="宋体" w:hint="default"/>
          <w:spacing w:val="-21"/>
          <w:w w:val="100"/>
          <w:sz w:val="20"/>
          <w:szCs w:val="20"/>
          <w:u w:val="single" w:color="000000"/>
        </w:rPr>
        <w:t>上年发生</w:t>
      </w:r>
      <w:r>
        <w:rPr>
          <w:rFonts w:ascii="宋体" w:hAnsi="宋体" w:cs="宋体" w:eastAsia="宋体" w:hint="default"/>
          <w:w w:val="100"/>
          <w:sz w:val="20"/>
          <w:szCs w:val="20"/>
          <w:u w:val="single" w:color="000000"/>
        </w:rPr>
        <w:t>数</w:t>
      </w:r>
      <w:r>
        <w:rPr>
          <w:rFonts w:ascii="宋体" w:hAnsi="宋体" w:cs="宋体" w:eastAsia="宋体" w:hint="default"/>
          <w:sz w:val="20"/>
          <w:szCs w:val="20"/>
          <w:u w:val="single" w:color="000000"/>
        </w:rPr>
        <w:tab/>
      </w:r>
      <w:r>
        <w:rPr>
          <w:rFonts w:ascii="宋体" w:hAnsi="宋体" w:cs="宋体" w:eastAsia="宋体" w:hint="default"/>
          <w:sz w:val="20"/>
          <w:szCs w:val="20"/>
        </w:rPr>
      </w:r>
    </w:p>
    <w:p>
      <w:pPr>
        <w:spacing w:line="214" w:lineRule="exact" w:before="3"/>
        <w:ind w:left="3484" w:right="2512" w:firstLine="0"/>
        <w:jc w:val="center"/>
        <w:rPr>
          <w:rFonts w:ascii="宋体" w:hAnsi="宋体" w:cs="宋体" w:eastAsia="宋体" w:hint="default"/>
          <w:sz w:val="20"/>
          <w:szCs w:val="20"/>
        </w:rPr>
      </w:pPr>
      <w:r>
        <w:rPr>
          <w:rFonts w:ascii="宋体"/>
          <w:sz w:val="20"/>
        </w:rPr>
        <w:t>1,082,612,848.</w:t>
      </w:r>
    </w:p>
    <w:p>
      <w:pPr>
        <w:spacing w:after="0" w:line="214" w:lineRule="exact"/>
        <w:jc w:val="center"/>
        <w:rPr>
          <w:rFonts w:ascii="宋体" w:hAnsi="宋体" w:cs="宋体" w:eastAsia="宋体" w:hint="default"/>
          <w:sz w:val="20"/>
          <w:szCs w:val="20"/>
        </w:rPr>
        <w:sectPr>
          <w:type w:val="continuous"/>
          <w:pgSz w:w="11910" w:h="16840"/>
          <w:pgMar w:top="980" w:bottom="1520" w:left="980" w:right="980"/>
          <w:cols w:num="2" w:equalWidth="0">
            <w:col w:w="2409" w:space="98"/>
            <w:col w:w="7443"/>
          </w:cols>
        </w:sectPr>
      </w:pPr>
    </w:p>
    <w:p>
      <w:pPr>
        <w:tabs>
          <w:tab w:pos="2762" w:val="left" w:leader="none"/>
          <w:tab w:pos="4440" w:val="left" w:leader="none"/>
        </w:tabs>
        <w:spacing w:line="200" w:lineRule="exact" w:before="0"/>
        <w:ind w:left="247" w:right="-6" w:firstLine="0"/>
        <w:jc w:val="left"/>
        <w:rPr>
          <w:rFonts w:ascii="宋体" w:hAnsi="宋体" w:cs="宋体" w:eastAsia="宋体" w:hint="default"/>
          <w:sz w:val="20"/>
          <w:szCs w:val="20"/>
        </w:rPr>
      </w:pPr>
      <w:r>
        <w:rPr>
          <w:rFonts w:ascii="宋体" w:hAnsi="宋体" w:cs="宋体" w:eastAsia="宋体" w:hint="default"/>
          <w:spacing w:val="-11"/>
          <w:sz w:val="20"/>
          <w:szCs w:val="20"/>
        </w:rPr>
        <w:t>深圳</w:t>
        <w:tab/>
        <w:t>1,197,428,515.25</w:t>
        <w:tab/>
        <w:t>479,203,959.03</w:t>
      </w:r>
      <w:r>
        <w:rPr>
          <w:rFonts w:ascii="宋体" w:hAnsi="宋体" w:cs="宋体" w:eastAsia="宋体" w:hint="default"/>
          <w:sz w:val="20"/>
          <w:szCs w:val="20"/>
        </w:rPr>
      </w:r>
    </w:p>
    <w:p>
      <w:pPr>
        <w:tabs>
          <w:tab w:pos="773" w:val="left" w:leader="none"/>
        </w:tabs>
        <w:spacing w:line="310" w:lineRule="exact" w:before="0"/>
        <w:ind w:left="247" w:right="0" w:firstLine="0"/>
        <w:jc w:val="left"/>
        <w:rPr>
          <w:rFonts w:ascii="宋体" w:hAnsi="宋体" w:cs="宋体" w:eastAsia="宋体" w:hint="default"/>
          <w:sz w:val="20"/>
          <w:szCs w:val="20"/>
        </w:rPr>
      </w:pPr>
      <w:r>
        <w:rPr/>
        <w:br w:type="column"/>
      </w:r>
      <w:r>
        <w:rPr>
          <w:rFonts w:ascii="宋体"/>
          <w:position w:val="-10"/>
          <w:sz w:val="20"/>
        </w:rPr>
        <w:t>33</w:t>
        <w:tab/>
      </w:r>
      <w:r>
        <w:rPr>
          <w:rFonts w:ascii="宋体"/>
          <w:spacing w:val="-11"/>
          <w:sz w:val="20"/>
        </w:rPr>
        <w:t>404,743,748.98</w:t>
      </w:r>
      <w:r>
        <w:rPr>
          <w:rFonts w:ascii="宋体"/>
          <w:sz w:val="20"/>
        </w:rPr>
      </w:r>
    </w:p>
    <w:p>
      <w:pPr>
        <w:spacing w:after="0" w:line="310" w:lineRule="exact"/>
        <w:jc w:val="left"/>
        <w:rPr>
          <w:rFonts w:ascii="宋体" w:hAnsi="宋体" w:cs="宋体" w:eastAsia="宋体" w:hint="default"/>
          <w:sz w:val="20"/>
          <w:szCs w:val="20"/>
        </w:rPr>
        <w:sectPr>
          <w:type w:val="continuous"/>
          <w:pgSz w:w="11910" w:h="16840"/>
          <w:pgMar w:top="980" w:bottom="1520" w:left="980" w:right="980"/>
          <w:cols w:num="2" w:equalWidth="0">
            <w:col w:w="5701" w:space="1262"/>
            <w:col w:w="2987"/>
          </w:cols>
        </w:sectPr>
      </w:pPr>
    </w:p>
    <w:p>
      <w:pPr>
        <w:tabs>
          <w:tab w:pos="3123" w:val="left" w:leader="none"/>
          <w:tab w:pos="4621" w:val="left" w:leader="none"/>
          <w:tab w:pos="6110" w:val="left" w:leader="none"/>
          <w:tab w:pos="7916" w:val="left" w:leader="none"/>
        </w:tabs>
        <w:spacing w:before="45"/>
        <w:ind w:left="247" w:right="0" w:firstLine="0"/>
        <w:jc w:val="left"/>
        <w:rPr>
          <w:rFonts w:ascii="宋体" w:hAnsi="宋体" w:cs="宋体" w:eastAsia="宋体" w:hint="default"/>
          <w:sz w:val="20"/>
          <w:szCs w:val="20"/>
        </w:rPr>
      </w:pPr>
      <w:r>
        <w:rPr>
          <w:rFonts w:ascii="宋体" w:hAnsi="宋体" w:cs="宋体" w:eastAsia="宋体" w:hint="default"/>
          <w:spacing w:val="-11"/>
          <w:position w:val="1"/>
          <w:sz w:val="20"/>
          <w:szCs w:val="20"/>
        </w:rPr>
        <w:t>无锡</w:t>
        <w:tab/>
        <w:t>5,045,708.28</w:t>
        <w:tab/>
        <w:t>1,816,444.15</w:t>
        <w:tab/>
      </w:r>
      <w:r>
        <w:rPr>
          <w:rFonts w:ascii="宋体" w:hAnsi="宋体" w:cs="宋体" w:eastAsia="宋体" w:hint="default"/>
          <w:spacing w:val="-1"/>
          <w:sz w:val="20"/>
          <w:szCs w:val="20"/>
        </w:rPr>
        <w:t>10,488,871.99</w:t>
        <w:tab/>
      </w:r>
      <w:r>
        <w:rPr>
          <w:rFonts w:ascii="宋体" w:hAnsi="宋体" w:cs="宋体" w:eastAsia="宋体" w:hint="default"/>
          <w:spacing w:val="-11"/>
          <w:position w:val="1"/>
          <w:sz w:val="20"/>
          <w:szCs w:val="20"/>
        </w:rPr>
        <w:t>5,120,822.84</w:t>
      </w:r>
      <w:r>
        <w:rPr>
          <w:rFonts w:ascii="宋体" w:hAnsi="宋体" w:cs="宋体" w:eastAsia="宋体" w:hint="default"/>
          <w:sz w:val="20"/>
          <w:szCs w:val="20"/>
        </w:rPr>
      </w:r>
    </w:p>
    <w:p>
      <w:pPr>
        <w:tabs>
          <w:tab w:pos="3123" w:val="left" w:leader="none"/>
          <w:tab w:pos="4800" w:val="left" w:leader="none"/>
        </w:tabs>
        <w:spacing w:before="51"/>
        <w:ind w:left="247" w:right="0" w:firstLine="0"/>
        <w:jc w:val="left"/>
        <w:rPr>
          <w:rFonts w:ascii="宋体" w:hAnsi="宋体" w:cs="宋体" w:eastAsia="宋体" w:hint="default"/>
          <w:sz w:val="20"/>
          <w:szCs w:val="20"/>
        </w:rPr>
      </w:pPr>
      <w:r>
        <w:rPr>
          <w:rFonts w:ascii="宋体" w:hAnsi="宋体" w:cs="宋体" w:eastAsia="宋体" w:hint="default"/>
          <w:spacing w:val="-11"/>
          <w:sz w:val="20"/>
          <w:szCs w:val="20"/>
        </w:rPr>
        <w:t>香港</w:t>
        <w:tab/>
        <w:t>4,299,629.90</w:t>
        <w:tab/>
        <w:t>951,239.44</w:t>
      </w:r>
      <w:r>
        <w:rPr>
          <w:rFonts w:ascii="宋体" w:hAnsi="宋体" w:cs="宋体" w:eastAsia="宋体" w:hint="default"/>
          <w:sz w:val="20"/>
          <w:szCs w:val="20"/>
        </w:rPr>
      </w:r>
    </w:p>
    <w:p>
      <w:pPr>
        <w:spacing w:line="207" w:lineRule="exact" w:before="4"/>
        <w:ind w:left="6011" w:right="0" w:firstLine="0"/>
        <w:jc w:val="left"/>
        <w:rPr>
          <w:rFonts w:ascii="宋体" w:hAnsi="宋体" w:cs="宋体" w:eastAsia="宋体" w:hint="default"/>
          <w:sz w:val="20"/>
          <w:szCs w:val="20"/>
        </w:rPr>
      </w:pPr>
      <w:r>
        <w:rPr/>
        <w:pict>
          <v:shape style="position:absolute;margin-left:59.630001pt;margin-top:5.888963pt;width:276.150pt;height:58.9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3"/>
                    <w:gridCol w:w="1737"/>
                    <w:gridCol w:w="1413"/>
                  </w:tblGrid>
                  <w:tr>
                    <w:trPr>
                      <w:trHeight w:val="426" w:hRule="exact"/>
                    </w:trPr>
                    <w:tc>
                      <w:tcPr>
                        <w:tcW w:w="2373" w:type="dxa"/>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38"/>
                          <w:ind w:left="8" w:right="0"/>
                          <w:jc w:val="center"/>
                          <w:rPr>
                            <w:rFonts w:ascii="宋体" w:hAnsi="宋体" w:cs="宋体" w:eastAsia="宋体" w:hint="default"/>
                            <w:sz w:val="20"/>
                            <w:szCs w:val="20"/>
                          </w:rPr>
                        </w:pPr>
                        <w:r>
                          <w:rPr>
                            <w:rFonts w:ascii="宋体" w:hAnsi="宋体" w:cs="宋体" w:eastAsia="宋体" w:hint="default"/>
                            <w:sz w:val="20"/>
                            <w:szCs w:val="20"/>
                          </w:rPr>
                          <w:t>小</w:t>
                          <w:tab/>
                          <w:t>计</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宋体" w:hAnsi="宋体" w:cs="宋体" w:eastAsia="宋体" w:hint="default"/>
                            <w:sz w:val="20"/>
                            <w:szCs w:val="20"/>
                          </w:rPr>
                        </w:pPr>
                        <w:r>
                          <w:rPr>
                            <w:rFonts w:ascii="宋体"/>
                            <w:spacing w:val="-11"/>
                            <w:sz w:val="20"/>
                          </w:rPr>
                          <w:t>1,206,773,853.43</w:t>
                        </w:r>
                        <w:r>
                          <w:rPr>
                            <w:rFonts w:ascii="宋体"/>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spacing w:val="-11"/>
                            <w:sz w:val="20"/>
                          </w:rPr>
                          <w:t>481,971,642.62</w:t>
                        </w:r>
                        <w:r>
                          <w:rPr>
                            <w:rFonts w:ascii="宋体"/>
                            <w:sz w:val="20"/>
                          </w:rPr>
                        </w:r>
                      </w:p>
                    </w:tc>
                  </w:tr>
                  <w:tr>
                    <w:trPr>
                      <w:trHeight w:val="439"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0"/>
                            <w:szCs w:val="20"/>
                          </w:rPr>
                        </w:pPr>
                        <w:r>
                          <w:rPr>
                            <w:rFonts w:ascii="宋体" w:hAnsi="宋体" w:cs="宋体" w:eastAsia="宋体" w:hint="default"/>
                            <w:spacing w:val="-21"/>
                            <w:sz w:val="20"/>
                            <w:szCs w:val="20"/>
                          </w:rPr>
                          <w:t>公司内各业务分部相互抵销</w:t>
                        </w:r>
                        <w:r>
                          <w:rPr>
                            <w:rFonts w:ascii="宋体" w:hAnsi="宋体" w:cs="宋体" w:eastAsia="宋体" w:hint="default"/>
                            <w:sz w:val="20"/>
                            <w:szCs w:val="20"/>
                          </w:rPr>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6"/>
                          <w:jc w:val="right"/>
                          <w:rPr>
                            <w:rFonts w:ascii="宋体" w:hAnsi="宋体" w:cs="宋体" w:eastAsia="宋体" w:hint="default"/>
                            <w:sz w:val="20"/>
                            <w:szCs w:val="20"/>
                          </w:rPr>
                        </w:pPr>
                        <w:r>
                          <w:rPr>
                            <w:rFonts w:ascii="宋体"/>
                            <w:spacing w:val="-11"/>
                            <w:sz w:val="20"/>
                          </w:rPr>
                          <w:t>4,764,861.68</w:t>
                        </w:r>
                        <w:r>
                          <w:rPr>
                            <w:rFonts w:ascii="宋体"/>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0"/>
                            <w:szCs w:val="20"/>
                          </w:rPr>
                        </w:pPr>
                        <w:r>
                          <w:rPr>
                            <w:rFonts w:ascii="宋体"/>
                            <w:spacing w:val="-11"/>
                            <w:sz w:val="20"/>
                          </w:rPr>
                          <w:t>951,239.44</w:t>
                        </w:r>
                        <w:r>
                          <w:rPr>
                            <w:rFonts w:ascii="宋体"/>
                            <w:sz w:val="20"/>
                          </w:rPr>
                        </w:r>
                      </w:p>
                    </w:tc>
                  </w:tr>
                  <w:tr>
                    <w:trPr>
                      <w:trHeight w:val="313" w:hRule="exact"/>
                    </w:trPr>
                    <w:tc>
                      <w:tcPr>
                        <w:tcW w:w="2373" w:type="dxa"/>
                        <w:tcBorders>
                          <w:top w:val="nil" w:sz="6" w:space="0" w:color="auto"/>
                          <w:left w:val="nil" w:sz="6" w:space="0" w:color="auto"/>
                          <w:bottom w:val="nil" w:sz="6" w:space="0" w:color="auto"/>
                          <w:right w:val="nil" w:sz="6" w:space="0" w:color="auto"/>
                        </w:tcBorders>
                      </w:tcPr>
                      <w:p>
                        <w:pPr>
                          <w:pStyle w:val="TableParagraph"/>
                          <w:tabs>
                            <w:tab w:pos="429" w:val="left" w:leader="none"/>
                          </w:tabs>
                          <w:spacing w:line="240" w:lineRule="auto" w:before="51"/>
                          <w:ind w:left="8"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宋体" w:hAnsi="宋体" w:cs="宋体" w:eastAsia="宋体" w:hint="default"/>
                            <w:sz w:val="20"/>
                            <w:szCs w:val="20"/>
                          </w:rPr>
                        </w:pPr>
                        <w:r>
                          <w:rPr>
                            <w:rFonts w:ascii="宋体"/>
                            <w:spacing w:val="-11"/>
                            <w:sz w:val="20"/>
                          </w:rPr>
                          <w:t>1,202,008,991.75</w:t>
                        </w:r>
                        <w:r>
                          <w:rPr>
                            <w:rFonts w:ascii="宋体"/>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宋体" w:hAnsi="宋体" w:cs="宋体" w:eastAsia="宋体" w:hint="default"/>
                            <w:sz w:val="20"/>
                            <w:szCs w:val="20"/>
                          </w:rPr>
                        </w:pPr>
                        <w:r>
                          <w:rPr>
                            <w:rFonts w:ascii="宋体"/>
                            <w:spacing w:val="-11"/>
                            <w:sz w:val="20"/>
                          </w:rPr>
                          <w:t>481,020,403.18</w:t>
                        </w:r>
                        <w:r>
                          <w:rPr>
                            <w:rFonts w:ascii="宋体"/>
                            <w:sz w:val="20"/>
                          </w:rPr>
                        </w:r>
                      </w:p>
                    </w:tc>
                  </w:tr>
                </w:tbl>
                <w:p>
                  <w:pPr/>
                </w:p>
              </w:txbxContent>
            </v:textbox>
            <w10:wrap type="none"/>
          </v:shape>
        </w:pict>
      </w:r>
      <w:r>
        <w:rPr>
          <w:rFonts w:ascii="宋体"/>
          <w:sz w:val="20"/>
        </w:rPr>
        <w:t>1,093,101,720.</w:t>
      </w:r>
    </w:p>
    <w:p>
      <w:pPr>
        <w:tabs>
          <w:tab w:pos="525" w:val="left" w:leader="none"/>
        </w:tabs>
        <w:spacing w:line="317" w:lineRule="exact" w:before="0"/>
        <w:ind w:left="0" w:right="946" w:firstLine="0"/>
        <w:jc w:val="right"/>
        <w:rPr>
          <w:rFonts w:ascii="宋体" w:hAnsi="宋体" w:cs="宋体" w:eastAsia="宋体" w:hint="default"/>
          <w:sz w:val="20"/>
          <w:szCs w:val="20"/>
        </w:rPr>
      </w:pPr>
      <w:r>
        <w:rPr>
          <w:rFonts w:ascii="宋体"/>
          <w:position w:val="-10"/>
          <w:sz w:val="20"/>
        </w:rPr>
        <w:t>32</w:t>
        <w:tab/>
      </w:r>
      <w:r>
        <w:rPr>
          <w:rFonts w:ascii="宋体"/>
          <w:spacing w:val="-11"/>
          <w:sz w:val="20"/>
        </w:rPr>
        <w:t>409,864,571.82</w:t>
      </w:r>
      <w:r>
        <w:rPr>
          <w:rFonts w:ascii="宋体"/>
          <w:sz w:val="20"/>
        </w:rPr>
      </w:r>
    </w:p>
    <w:p>
      <w:pPr>
        <w:tabs>
          <w:tab w:pos="1705" w:val="left" w:leader="none"/>
        </w:tabs>
        <w:spacing w:line="270" w:lineRule="exact" w:before="85"/>
        <w:ind w:left="0" w:right="945" w:firstLine="0"/>
        <w:jc w:val="right"/>
        <w:rPr>
          <w:rFonts w:ascii="宋体" w:hAnsi="宋体" w:cs="宋体" w:eastAsia="宋体" w:hint="default"/>
          <w:sz w:val="20"/>
          <w:szCs w:val="20"/>
        </w:rPr>
      </w:pPr>
      <w:r>
        <w:rPr>
          <w:rFonts w:ascii="宋体"/>
          <w:spacing w:val="-1"/>
          <w:sz w:val="20"/>
        </w:rPr>
        <w:t>4,866,811.45</w:t>
        <w:tab/>
      </w:r>
      <w:r>
        <w:rPr>
          <w:rFonts w:ascii="宋体"/>
          <w:spacing w:val="-11"/>
          <w:position w:val="1"/>
          <w:sz w:val="20"/>
        </w:rPr>
        <w:t>1,041,574.74</w:t>
      </w:r>
      <w:r>
        <w:rPr>
          <w:rFonts w:ascii="宋体"/>
          <w:sz w:val="20"/>
        </w:rPr>
      </w:r>
    </w:p>
    <w:p>
      <w:pPr>
        <w:spacing w:line="206" w:lineRule="exact" w:before="0"/>
        <w:ind w:left="6011" w:right="0" w:firstLine="0"/>
        <w:jc w:val="left"/>
        <w:rPr>
          <w:rFonts w:ascii="宋体" w:hAnsi="宋体" w:cs="宋体" w:eastAsia="宋体" w:hint="default"/>
          <w:sz w:val="20"/>
          <w:szCs w:val="20"/>
        </w:rPr>
      </w:pPr>
      <w:r>
        <w:rPr>
          <w:rFonts w:ascii="宋体"/>
          <w:sz w:val="20"/>
        </w:rPr>
        <w:t>1,088,234,908.</w:t>
      </w:r>
    </w:p>
    <w:p>
      <w:pPr>
        <w:tabs>
          <w:tab w:pos="525" w:val="left" w:leader="none"/>
        </w:tabs>
        <w:spacing w:line="317" w:lineRule="exact" w:before="0"/>
        <w:ind w:left="0" w:right="946" w:firstLine="0"/>
        <w:jc w:val="right"/>
        <w:rPr>
          <w:rFonts w:ascii="宋体" w:hAnsi="宋体" w:cs="宋体" w:eastAsia="宋体" w:hint="default"/>
          <w:sz w:val="20"/>
          <w:szCs w:val="20"/>
        </w:rPr>
      </w:pPr>
      <w:r>
        <w:rPr>
          <w:rFonts w:ascii="宋体"/>
          <w:position w:val="-10"/>
          <w:sz w:val="20"/>
        </w:rPr>
        <w:t>87</w:t>
        <w:tab/>
      </w:r>
      <w:r>
        <w:rPr>
          <w:rFonts w:ascii="宋体"/>
          <w:spacing w:val="-11"/>
          <w:sz w:val="20"/>
        </w:rPr>
        <w:t>408,822,997.08</w:t>
      </w:r>
      <w:r>
        <w:rPr>
          <w:rFonts w:ascii="宋体"/>
          <w:sz w:val="20"/>
        </w:rPr>
      </w:r>
    </w:p>
    <w:p>
      <w:pPr>
        <w:pStyle w:val="BodyText"/>
        <w:spacing w:line="240" w:lineRule="auto" w:before="97"/>
        <w:ind w:left="694" w:right="0"/>
        <w:jc w:val="left"/>
      </w:pPr>
      <w:r>
        <w:rPr>
          <w:spacing w:val="6"/>
        </w:rPr>
        <w:t>2.公司向前五名客户销售总额为 </w:t>
      </w:r>
      <w:r>
        <w:rPr/>
        <w:t>1,177,254,232.25</w:t>
      </w:r>
      <w:r>
        <w:rPr>
          <w:spacing w:val="27"/>
        </w:rPr>
        <w:t> </w:t>
      </w:r>
      <w:r>
        <w:rPr>
          <w:spacing w:val="6"/>
        </w:rPr>
        <w:t>元，占公司本年全部营业收入的</w:t>
      </w:r>
    </w:p>
    <w:p>
      <w:pPr>
        <w:pStyle w:val="BodyText"/>
        <w:spacing w:line="240" w:lineRule="auto" w:before="126"/>
        <w:ind w:left="154" w:right="0"/>
        <w:jc w:val="left"/>
      </w:pPr>
      <w:r>
        <w:rPr/>
        <w:t>97.88%。</w:t>
      </w:r>
    </w:p>
    <w:p>
      <w:pPr>
        <w:pStyle w:val="BodyText"/>
        <w:spacing w:line="336" w:lineRule="auto" w:before="126"/>
        <w:ind w:left="154" w:right="131" w:firstLine="540"/>
        <w:jc w:val="left"/>
      </w:pPr>
      <w:r>
        <w:rPr/>
        <w:t>3.营业收入本年发生数比上年发生数增加</w:t>
      </w:r>
      <w:r>
        <w:rPr>
          <w:spacing w:val="-47"/>
        </w:rPr>
        <w:t> </w:t>
      </w:r>
      <w:r>
        <w:rPr/>
        <w:t>719,413,740.17</w:t>
      </w:r>
      <w:r>
        <w:rPr>
          <w:spacing w:val="-47"/>
        </w:rPr>
        <w:t> </w:t>
      </w:r>
      <w:r>
        <w:rPr/>
        <w:t>元，增加比例为</w:t>
      </w:r>
      <w:r>
        <w:rPr>
          <w:spacing w:val="-47"/>
        </w:rPr>
        <w:t> </w:t>
      </w:r>
      <w:r>
        <w:rPr/>
        <w:t>148.86％，</w:t>
      </w:r>
      <w:r>
        <w:rPr/>
        <w:t> </w:t>
      </w:r>
      <w:r>
        <w:rPr>
          <w:spacing w:val="-14"/>
        </w:rPr>
        <w:t>变动原因为：公司对</w:t>
      </w:r>
      <w:r>
        <w:rPr>
          <w:spacing w:val="-68"/>
        </w:rPr>
        <w:t> </w:t>
      </w:r>
      <w:r>
        <w:rPr/>
        <w:t>PHILIPS</w:t>
      </w:r>
      <w:r>
        <w:rPr>
          <w:spacing w:val="-60"/>
        </w:rPr>
        <w:t> </w:t>
      </w:r>
      <w:r>
        <w:rPr/>
        <w:t>ELECTRONICS</w:t>
      </w:r>
      <w:r>
        <w:rPr>
          <w:spacing w:val="-60"/>
        </w:rPr>
        <w:t> </w:t>
      </w:r>
      <w:r>
        <w:rPr/>
        <w:t>HONGKONG</w:t>
      </w:r>
      <w:r>
        <w:rPr>
          <w:spacing w:val="-60"/>
        </w:rPr>
        <w:t> </w:t>
      </w:r>
      <w:r>
        <w:rPr/>
        <w:t>LTD</w:t>
      </w:r>
      <w:r>
        <w:rPr>
          <w:spacing w:val="-68"/>
        </w:rPr>
        <w:t> </w:t>
      </w:r>
      <w:r>
        <w:rPr/>
        <w:t>和</w:t>
      </w:r>
      <w:r>
        <w:rPr>
          <w:spacing w:val="-68"/>
        </w:rPr>
        <w:t> </w:t>
      </w:r>
      <w:r>
        <w:rPr/>
        <w:t>PHILIPS</w:t>
      </w:r>
      <w:r>
        <w:rPr>
          <w:spacing w:val="-60"/>
        </w:rPr>
        <w:t> </w:t>
      </w:r>
      <w:r>
        <w:rPr/>
        <w:t>ASSEMBLY</w:t>
      </w:r>
      <w:r>
        <w:rPr>
          <w:spacing w:val="-60"/>
        </w:rPr>
        <w:t> </w:t>
      </w:r>
      <w:r>
        <w:rPr/>
        <w:t>CENTRE</w:t>
      </w:r>
      <w:r>
        <w:rPr>
          <w:spacing w:val="-60"/>
        </w:rPr>
        <w:t> </w:t>
      </w:r>
      <w:r>
        <w:rPr/>
        <w:t>HUNGARY</w:t>
      </w:r>
    </w:p>
    <w:p>
      <w:pPr>
        <w:pStyle w:val="BodyText"/>
        <w:spacing w:line="336" w:lineRule="auto"/>
        <w:ind w:left="694" w:right="6590" w:hanging="540"/>
        <w:jc w:val="left"/>
      </w:pPr>
      <w:r>
        <w:rPr/>
        <w:pict>
          <v:shape style="position:absolute;margin-left:59.630001pt;margin-top:41.96114pt;width:353.7pt;height:83.0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7"/>
                    <w:gridCol w:w="1682"/>
                    <w:gridCol w:w="1983"/>
                    <w:gridCol w:w="1831"/>
                  </w:tblGrid>
                  <w:tr>
                    <w:trPr>
                      <w:trHeight w:val="671" w:hRule="exact"/>
                    </w:trPr>
                    <w:tc>
                      <w:tcPr>
                        <w:tcW w:w="1577" w:type="dxa"/>
                        <w:tcBorders>
                          <w:top w:val="nil" w:sz="6" w:space="0" w:color="auto"/>
                          <w:left w:val="nil" w:sz="6" w:space="0" w:color="auto"/>
                          <w:bottom w:val="nil" w:sz="6" w:space="0" w:color="auto"/>
                          <w:right w:val="nil" w:sz="6" w:space="0" w:color="auto"/>
                        </w:tcBorders>
                      </w:tcPr>
                      <w:p>
                        <w:pPr>
                          <w:pStyle w:val="TableParagraph"/>
                          <w:tabs>
                            <w:tab w:pos="484" w:val="left" w:leader="none"/>
                            <w:tab w:pos="1367" w:val="left" w:leader="none"/>
                          </w:tabs>
                          <w:spacing w:line="326" w:lineRule="auto" w:before="44"/>
                          <w:ind w:left="35" w:right="1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 别</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营业税</w:t>
                        </w:r>
                      </w:p>
                    </w:tc>
                    <w:tc>
                      <w:tcPr>
                        <w:tcW w:w="1682" w:type="dxa"/>
                        <w:tcBorders>
                          <w:top w:val="nil" w:sz="6" w:space="0" w:color="auto"/>
                          <w:left w:val="nil" w:sz="6" w:space="0" w:color="auto"/>
                          <w:bottom w:val="nil" w:sz="6" w:space="0" w:color="auto"/>
                          <w:right w:val="nil" w:sz="6" w:space="0" w:color="auto"/>
                        </w:tcBorders>
                      </w:tcPr>
                      <w:p>
                        <w:pPr>
                          <w:pStyle w:val="TableParagraph"/>
                          <w:tabs>
                            <w:tab w:pos="1344" w:val="left" w:leader="none"/>
                          </w:tabs>
                          <w:spacing w:line="326" w:lineRule="auto" w:before="44"/>
                          <w:ind w:left="747" w:right="318" w:hanging="55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计缴标准</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5%</w:t>
                        </w:r>
                      </w:p>
                    </w:tc>
                    <w:tc>
                      <w:tcPr>
                        <w:tcW w:w="1983" w:type="dxa"/>
                        <w:tcBorders>
                          <w:top w:val="nil" w:sz="6" w:space="0" w:color="auto"/>
                          <w:left w:val="nil" w:sz="6" w:space="0" w:color="auto"/>
                          <w:bottom w:val="nil" w:sz="6" w:space="0" w:color="auto"/>
                          <w:right w:val="nil" w:sz="6" w:space="0" w:color="auto"/>
                        </w:tcBorders>
                      </w:tcPr>
                      <w:p>
                        <w:pPr>
                          <w:pStyle w:val="TableParagraph"/>
                          <w:tabs>
                            <w:tab w:pos="1702" w:val="left" w:leader="none"/>
                          </w:tabs>
                          <w:spacing w:line="240" w:lineRule="auto" w:before="44"/>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本年发生数</w:t>
                          <w:tab/>
                        </w:r>
                        <w:r>
                          <w:rPr>
                            <w:rFonts w:ascii="宋体" w:hAnsi="宋体" w:cs="宋体" w:eastAsia="宋体" w:hint="default"/>
                            <w:sz w:val="18"/>
                            <w:szCs w:val="18"/>
                          </w:rPr>
                        </w:r>
                      </w:p>
                      <w:p>
                        <w:pPr>
                          <w:pStyle w:val="TableParagraph"/>
                          <w:spacing w:line="240" w:lineRule="auto" w:before="85"/>
                          <w:ind w:left="982" w:right="0"/>
                          <w:jc w:val="left"/>
                          <w:rPr>
                            <w:rFonts w:ascii="宋体" w:hAnsi="宋体" w:cs="宋体" w:eastAsia="宋体" w:hint="default"/>
                            <w:sz w:val="18"/>
                            <w:szCs w:val="18"/>
                          </w:rPr>
                        </w:pPr>
                        <w:r>
                          <w:rPr>
                            <w:rFonts w:ascii="宋体"/>
                            <w:sz w:val="18"/>
                          </w:rPr>
                          <w:t>5,096.65</w:t>
                        </w:r>
                      </w:p>
                    </w:tc>
                    <w:tc>
                      <w:tcPr>
                        <w:tcW w:w="1831" w:type="dxa"/>
                        <w:tcBorders>
                          <w:top w:val="nil" w:sz="6" w:space="0" w:color="auto"/>
                          <w:left w:val="nil" w:sz="6" w:space="0" w:color="auto"/>
                          <w:bottom w:val="nil" w:sz="6" w:space="0" w:color="auto"/>
                          <w:right w:val="nil" w:sz="6" w:space="0" w:color="auto"/>
                        </w:tcBorders>
                      </w:tcPr>
                      <w:p>
                        <w:pPr>
                          <w:pStyle w:val="TableParagraph"/>
                          <w:tabs>
                            <w:tab w:pos="269" w:val="left" w:leader="none"/>
                            <w:tab w:pos="1515" w:val="left" w:leader="none"/>
                          </w:tabs>
                          <w:spacing w:line="240" w:lineRule="auto" w:before="44"/>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上年发生数</w:t>
                          <w:tab/>
                        </w:r>
                        <w:r>
                          <w:rPr>
                            <w:rFonts w:ascii="宋体" w:hAnsi="宋体" w:cs="宋体" w:eastAsia="宋体" w:hint="default"/>
                            <w:sz w:val="18"/>
                            <w:szCs w:val="18"/>
                          </w:rPr>
                        </w:r>
                      </w:p>
                      <w:p>
                        <w:pPr>
                          <w:pStyle w:val="TableParagraph"/>
                          <w:spacing w:line="240" w:lineRule="auto" w:before="85"/>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2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47" w:right="0"/>
                          <w:jc w:val="left"/>
                          <w:rPr>
                            <w:rFonts w:ascii="宋体" w:hAnsi="宋体" w:cs="宋体" w:eastAsia="宋体" w:hint="default"/>
                            <w:sz w:val="18"/>
                            <w:szCs w:val="18"/>
                          </w:rPr>
                        </w:pPr>
                        <w:r>
                          <w:rPr>
                            <w:rFonts w:ascii="宋体"/>
                            <w:sz w:val="18"/>
                          </w:rPr>
                          <w:t>1%</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8"/>
                          <w:jc w:val="right"/>
                          <w:rPr>
                            <w:rFonts w:ascii="宋体" w:hAnsi="宋体" w:cs="宋体" w:eastAsia="宋体" w:hint="default"/>
                            <w:sz w:val="18"/>
                            <w:szCs w:val="18"/>
                          </w:rPr>
                        </w:pPr>
                        <w:r>
                          <w:rPr>
                            <w:rFonts w:ascii="宋体"/>
                            <w:sz w:val="18"/>
                          </w:rPr>
                          <w:t>50.97</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68,683.82</w:t>
                        </w:r>
                      </w:p>
                    </w:tc>
                  </w:tr>
                  <w:tr>
                    <w:trPr>
                      <w:trHeight w:val="32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47" w:right="0"/>
                          <w:jc w:val="left"/>
                          <w:rPr>
                            <w:rFonts w:ascii="宋体" w:hAnsi="宋体" w:cs="宋体" w:eastAsia="宋体" w:hint="default"/>
                            <w:sz w:val="18"/>
                            <w:szCs w:val="18"/>
                          </w:rPr>
                        </w:pPr>
                        <w:r>
                          <w:rPr>
                            <w:rFonts w:ascii="宋体"/>
                            <w:sz w:val="18"/>
                          </w:rPr>
                          <w:t>3%</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8"/>
                          <w:jc w:val="right"/>
                          <w:rPr>
                            <w:rFonts w:ascii="宋体" w:hAnsi="宋体" w:cs="宋体" w:eastAsia="宋体" w:hint="default"/>
                            <w:sz w:val="18"/>
                            <w:szCs w:val="18"/>
                          </w:rPr>
                        </w:pPr>
                        <w:r>
                          <w:rPr>
                            <w:rFonts w:ascii="宋体"/>
                            <w:sz w:val="18"/>
                          </w:rPr>
                          <w:t>1,305.12</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207,429.54</w:t>
                        </w:r>
                      </w:p>
                    </w:tc>
                  </w:tr>
                  <w:tr>
                    <w:trPr>
                      <w:trHeight w:val="350"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82"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8"/>
                          <w:jc w:val="right"/>
                          <w:rPr>
                            <w:rFonts w:ascii="宋体" w:hAnsi="宋体" w:cs="宋体" w:eastAsia="宋体" w:hint="default"/>
                            <w:sz w:val="18"/>
                            <w:szCs w:val="18"/>
                          </w:rPr>
                        </w:pPr>
                        <w:r>
                          <w:rPr>
                            <w:rFonts w:ascii="宋体"/>
                            <w:sz w:val="18"/>
                          </w:rPr>
                          <w:t>6,452.74</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276,113.36</w:t>
                        </w:r>
                      </w:p>
                    </w:tc>
                  </w:tr>
                </w:tbl>
                <w:p>
                  <w:pPr/>
                </w:p>
              </w:txbxContent>
            </v:textbox>
            <w10:wrap type="none"/>
          </v:shape>
        </w:pict>
      </w:r>
      <w:r>
        <w:rPr/>
        <w:t>的销售量增长较大。 (二十七)营业税金及附加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336" w:lineRule="auto" w:before="26"/>
        <w:ind w:left="154" w:right="131" w:firstLine="540"/>
        <w:jc w:val="left"/>
      </w:pPr>
      <w:r>
        <w:rPr/>
        <w:t>1.营业税金及附加较上年减少</w:t>
      </w:r>
      <w:r>
        <w:rPr>
          <w:spacing w:val="-47"/>
        </w:rPr>
        <w:t> </w:t>
      </w:r>
      <w:r>
        <w:rPr/>
        <w:t>269,660.62</w:t>
      </w:r>
      <w:r>
        <w:rPr>
          <w:spacing w:val="-47"/>
        </w:rPr>
        <w:t> </w:t>
      </w:r>
      <w:r>
        <w:rPr/>
        <w:t>元，减少比例为</w:t>
      </w:r>
      <w:r>
        <w:rPr>
          <w:spacing w:val="-47"/>
        </w:rPr>
        <w:t> </w:t>
      </w:r>
      <w:r>
        <w:rPr/>
        <w:t>97.66%，主要原因：本期出</w:t>
      </w:r>
      <w:r>
        <w:rPr/>
        <w:t> 口增长较大无需缴纳增值税所致。</w:t>
      </w:r>
    </w:p>
    <w:p>
      <w:pPr>
        <w:pStyle w:val="BodyText"/>
        <w:spacing w:line="336" w:lineRule="auto"/>
        <w:ind w:left="694" w:right="4910"/>
        <w:jc w:val="left"/>
      </w:pPr>
      <w:r>
        <w:rPr/>
        <w:pict>
          <v:shape style="position:absolute;margin-left:59.630001pt;margin-top:41.223129pt;width:319.650pt;height:72.4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0"/>
                    <w:gridCol w:w="2671"/>
                    <w:gridCol w:w="1882"/>
                  </w:tblGrid>
                  <w:tr>
                    <w:trPr>
                      <w:trHeight w:val="717" w:hRule="exact"/>
                    </w:trPr>
                    <w:tc>
                      <w:tcPr>
                        <w:tcW w:w="1840" w:type="dxa"/>
                        <w:tcBorders>
                          <w:top w:val="nil" w:sz="6" w:space="0" w:color="auto"/>
                          <w:left w:val="nil" w:sz="6" w:space="0" w:color="auto"/>
                          <w:bottom w:val="nil" w:sz="6" w:space="0" w:color="auto"/>
                          <w:right w:val="nil" w:sz="6" w:space="0" w:color="auto"/>
                        </w:tcBorders>
                      </w:tcPr>
                      <w:p>
                        <w:pPr>
                          <w:pStyle w:val="TableParagraph"/>
                          <w:tabs>
                            <w:tab w:pos="394" w:val="left" w:leader="none"/>
                            <w:tab w:pos="1114" w:val="left" w:leader="none"/>
                          </w:tabs>
                          <w:spacing w:line="240" w:lineRule="auto" w:before="4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 别</w:t>
                          <w:tab/>
                        </w:r>
                        <w:r>
                          <w:rPr>
                            <w:rFonts w:ascii="宋体" w:hAnsi="宋体" w:cs="宋体" w:eastAsia="宋体" w:hint="default"/>
                            <w:sz w:val="18"/>
                            <w:szCs w:val="18"/>
                          </w:rPr>
                        </w:r>
                      </w:p>
                    </w:tc>
                    <w:tc>
                      <w:tcPr>
                        <w:tcW w:w="2671" w:type="dxa"/>
                        <w:tcBorders>
                          <w:top w:val="nil" w:sz="6" w:space="0" w:color="auto"/>
                          <w:left w:val="nil" w:sz="6" w:space="0" w:color="auto"/>
                          <w:bottom w:val="nil" w:sz="6" w:space="0" w:color="auto"/>
                          <w:right w:val="nil" w:sz="6" w:space="0" w:color="auto"/>
                        </w:tcBorders>
                      </w:tcPr>
                      <w:p>
                        <w:pPr>
                          <w:pStyle w:val="TableParagraph"/>
                          <w:tabs>
                            <w:tab w:pos="995" w:val="left" w:leader="none"/>
                            <w:tab w:pos="2238" w:val="left" w:leader="none"/>
                          </w:tabs>
                          <w:spacing w:line="355" w:lineRule="auto" w:before="43"/>
                          <w:ind w:left="1445" w:right="413" w:hanging="72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RMB</w:t>
                        </w:r>
                      </w:p>
                    </w:tc>
                    <w:tc>
                      <w:tcPr>
                        <w:tcW w:w="1882" w:type="dxa"/>
                        <w:tcBorders>
                          <w:top w:val="nil" w:sz="6" w:space="0" w:color="auto"/>
                          <w:left w:val="nil" w:sz="6" w:space="0" w:color="auto"/>
                          <w:bottom w:val="nil" w:sz="6" w:space="0" w:color="auto"/>
                          <w:right w:val="nil" w:sz="6" w:space="0" w:color="auto"/>
                        </w:tcBorders>
                      </w:tcPr>
                      <w:p>
                        <w:pPr>
                          <w:pStyle w:val="TableParagraph"/>
                          <w:tabs>
                            <w:tab w:pos="627" w:val="left" w:leader="none"/>
                            <w:tab w:pos="1797" w:val="left" w:leader="none"/>
                          </w:tabs>
                          <w:spacing w:line="240" w:lineRule="auto" w:before="43"/>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上年发生数</w:t>
                          <w:tab/>
                        </w:r>
                        <w:r>
                          <w:rPr>
                            <w:rFonts w:ascii="宋体" w:hAnsi="宋体" w:cs="宋体" w:eastAsia="宋体" w:hint="default"/>
                            <w:sz w:val="18"/>
                            <w:szCs w:val="18"/>
                          </w:rPr>
                        </w:r>
                      </w:p>
                      <w:p>
                        <w:pPr>
                          <w:pStyle w:val="TableParagraph"/>
                          <w:spacing w:line="240" w:lineRule="auto" w:before="112"/>
                          <w:ind w:left="1122" w:right="0"/>
                          <w:jc w:val="left"/>
                          <w:rPr>
                            <w:rFonts w:ascii="宋体" w:hAnsi="宋体" w:cs="宋体" w:eastAsia="宋体" w:hint="default"/>
                            <w:sz w:val="18"/>
                            <w:szCs w:val="18"/>
                          </w:rPr>
                        </w:pPr>
                        <w:r>
                          <w:rPr>
                            <w:rFonts w:ascii="宋体"/>
                            <w:sz w:val="18"/>
                          </w:rPr>
                          <w:t>RMB</w:t>
                        </w:r>
                      </w:p>
                    </w:tc>
                  </w:tr>
                  <w:tr>
                    <w:trPr>
                      <w:trHeight w:val="360" w:hRule="exact"/>
                    </w:trPr>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5"/>
                          <w:jc w:val="right"/>
                          <w:rPr>
                            <w:rFonts w:ascii="宋体" w:hAnsi="宋体" w:cs="宋体" w:eastAsia="宋体" w:hint="default"/>
                            <w:sz w:val="18"/>
                            <w:szCs w:val="18"/>
                          </w:rPr>
                        </w:pPr>
                        <w:r>
                          <w:rPr>
                            <w:rFonts w:ascii="宋体"/>
                            <w:sz w:val="18"/>
                          </w:rPr>
                          <w:t>775,356.75</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46" w:right="0"/>
                          <w:jc w:val="left"/>
                          <w:rPr>
                            <w:rFonts w:ascii="宋体" w:hAnsi="宋体" w:cs="宋体" w:eastAsia="宋体" w:hint="default"/>
                            <w:sz w:val="18"/>
                            <w:szCs w:val="18"/>
                          </w:rPr>
                        </w:pPr>
                        <w:r>
                          <w:rPr>
                            <w:rFonts w:ascii="宋体"/>
                            <w:sz w:val="18"/>
                          </w:rPr>
                          <w:t>650,581.58</w:t>
                        </w:r>
                      </w:p>
                    </w:tc>
                  </w:tr>
                  <w:tr>
                    <w:trPr>
                      <w:trHeight w:val="370" w:hRule="exact"/>
                    </w:trPr>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5"/>
                          <w:jc w:val="right"/>
                          <w:rPr>
                            <w:rFonts w:ascii="宋体" w:hAnsi="宋体" w:cs="宋体" w:eastAsia="宋体" w:hint="default"/>
                            <w:sz w:val="18"/>
                            <w:szCs w:val="18"/>
                          </w:rPr>
                        </w:pPr>
                        <w:r>
                          <w:rPr>
                            <w:rFonts w:ascii="宋体"/>
                            <w:sz w:val="18"/>
                          </w:rPr>
                          <w:t>772,613.24</w:t>
                        </w:r>
                      </w:p>
                    </w:tc>
                    <w:tc>
                      <w:tcPr>
                        <w:tcW w:w="188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(二十八)销售费用、管理费用、财务费用 1.销售费用</w:t>
      </w:r>
    </w:p>
    <w:p>
      <w:pPr>
        <w:spacing w:after="0" w:line="336" w:lineRule="auto"/>
        <w:jc w:val="left"/>
        <w:sectPr>
          <w:type w:val="continuous"/>
          <w:pgSz w:w="11910" w:h="16840"/>
          <w:pgMar w:top="980" w:bottom="15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212" w:type="dxa"/>
        <w:tblLayout w:type="fixed"/>
        <w:tblCellMar>
          <w:top w:w="0" w:type="dxa"/>
          <w:left w:w="0" w:type="dxa"/>
          <w:bottom w:w="0" w:type="dxa"/>
          <w:right w:w="0" w:type="dxa"/>
        </w:tblCellMar>
        <w:tblLook w:val="01E0"/>
      </w:tblPr>
      <w:tblGrid>
        <w:gridCol w:w="1959"/>
        <w:gridCol w:w="2846"/>
        <w:gridCol w:w="1587"/>
      </w:tblGrid>
      <w:tr>
        <w:trPr>
          <w:trHeight w:val="370"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0"/>
              <w:jc w:val="right"/>
              <w:rPr>
                <w:rFonts w:ascii="宋体" w:hAnsi="宋体" w:cs="宋体" w:eastAsia="宋体" w:hint="default"/>
                <w:sz w:val="18"/>
                <w:szCs w:val="18"/>
              </w:rPr>
            </w:pPr>
            <w:r>
              <w:rPr>
                <w:rFonts w:ascii="宋体"/>
                <w:sz w:val="18"/>
              </w:rPr>
              <w:t>101,409.24</w:t>
            </w:r>
          </w:p>
        </w:tc>
        <w:tc>
          <w:tcPr>
            <w:tcW w:w="1587" w:type="dxa"/>
            <w:vMerge w:val="restart"/>
            <w:tcBorders>
              <w:top w:val="nil" w:sz="6" w:space="0" w:color="auto"/>
              <w:left w:val="nil" w:sz="6" w:space="0" w:color="auto"/>
              <w:right w:val="nil" w:sz="6" w:space="0" w:color="auto"/>
            </w:tcBorders>
          </w:tcPr>
          <w:p>
            <w:pPr/>
          </w:p>
        </w:tc>
      </w:tr>
      <w:tr>
        <w:trPr>
          <w:trHeight w:val="360"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样品</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0"/>
              <w:jc w:val="right"/>
              <w:rPr>
                <w:rFonts w:ascii="宋体" w:hAnsi="宋体" w:cs="宋体" w:eastAsia="宋体" w:hint="default"/>
                <w:sz w:val="18"/>
                <w:szCs w:val="18"/>
              </w:rPr>
            </w:pPr>
            <w:r>
              <w:rPr>
                <w:rFonts w:ascii="宋体"/>
                <w:sz w:val="18"/>
              </w:rPr>
              <w:t>22,645.39</w:t>
            </w:r>
          </w:p>
        </w:tc>
        <w:tc>
          <w:tcPr>
            <w:tcW w:w="1587" w:type="dxa"/>
            <w:vMerge/>
            <w:tcBorders>
              <w:left w:val="nil" w:sz="6" w:space="0" w:color="auto"/>
              <w:bottom w:val="nil" w:sz="6" w:space="0" w:color="auto"/>
              <w:right w:val="nil" w:sz="6" w:space="0" w:color="auto"/>
            </w:tcBorders>
          </w:tcPr>
          <w:p>
            <w:pPr/>
          </w:p>
        </w:tc>
      </w:tr>
      <w:tr>
        <w:trPr>
          <w:trHeight w:val="360"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0"/>
              <w:jc w:val="right"/>
              <w:rPr>
                <w:rFonts w:ascii="宋体" w:hAnsi="宋体" w:cs="宋体" w:eastAsia="宋体" w:hint="default"/>
                <w:sz w:val="18"/>
                <w:szCs w:val="18"/>
              </w:rPr>
            </w:pPr>
            <w:r>
              <w:rPr>
                <w:rFonts w:ascii="宋体"/>
                <w:sz w:val="18"/>
              </w:rPr>
              <w:t>30,217.97</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1,676.64</w:t>
            </w:r>
          </w:p>
        </w:tc>
      </w:tr>
      <w:tr>
        <w:trPr>
          <w:trHeight w:val="360"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0"/>
              <w:jc w:val="right"/>
              <w:rPr>
                <w:rFonts w:ascii="宋体" w:hAnsi="宋体" w:cs="宋体" w:eastAsia="宋体" w:hint="default"/>
                <w:sz w:val="18"/>
                <w:szCs w:val="18"/>
              </w:rPr>
            </w:pPr>
            <w:r>
              <w:rPr>
                <w:rFonts w:ascii="宋体"/>
                <w:sz w:val="18"/>
              </w:rPr>
              <w:t>19,300.00</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48,500.00</w:t>
            </w:r>
          </w:p>
        </w:tc>
      </w:tr>
      <w:tr>
        <w:trPr>
          <w:trHeight w:val="360"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0"/>
              <w:jc w:val="right"/>
              <w:rPr>
                <w:rFonts w:ascii="宋体" w:hAnsi="宋体" w:cs="宋体" w:eastAsia="宋体" w:hint="default"/>
                <w:sz w:val="18"/>
                <w:szCs w:val="18"/>
              </w:rPr>
            </w:pPr>
            <w:r>
              <w:rPr>
                <w:rFonts w:ascii="宋体"/>
                <w:sz w:val="18"/>
              </w:rPr>
              <w:t>1,000.00</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8,000.00</w:t>
            </w:r>
          </w:p>
        </w:tc>
      </w:tr>
      <w:tr>
        <w:trPr>
          <w:trHeight w:val="360"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0"/>
              <w:jc w:val="right"/>
              <w:rPr>
                <w:rFonts w:ascii="宋体" w:hAnsi="宋体" w:cs="宋体" w:eastAsia="宋体" w:hint="default"/>
                <w:sz w:val="18"/>
                <w:szCs w:val="18"/>
              </w:rPr>
            </w:pPr>
            <w:r>
              <w:rPr>
                <w:rFonts w:ascii="宋体"/>
                <w:sz w:val="18"/>
              </w:rPr>
              <w:t>5,128.21</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14,438.00</w:t>
            </w:r>
          </w:p>
        </w:tc>
      </w:tr>
      <w:tr>
        <w:trPr>
          <w:trHeight w:val="336"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0"/>
              <w:jc w:val="right"/>
              <w:rPr>
                <w:rFonts w:ascii="宋体" w:hAnsi="宋体" w:cs="宋体" w:eastAsia="宋体" w:hint="default"/>
                <w:sz w:val="18"/>
                <w:szCs w:val="18"/>
              </w:rPr>
            </w:pPr>
            <w:r>
              <w:rPr>
                <w:rFonts w:ascii="宋体"/>
                <w:sz w:val="18"/>
              </w:rPr>
              <w:t>219,531.25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190,740.68</w:t>
            </w:r>
          </w:p>
        </w:tc>
      </w:tr>
      <w:tr>
        <w:trPr>
          <w:trHeight w:val="322" w:hRule="exact"/>
        </w:trPr>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0"/>
              <w:jc w:val="right"/>
              <w:rPr>
                <w:rFonts w:ascii="宋体" w:hAnsi="宋体" w:cs="宋体" w:eastAsia="宋体" w:hint="default"/>
                <w:sz w:val="18"/>
                <w:szCs w:val="18"/>
              </w:rPr>
            </w:pPr>
            <w:r>
              <w:rPr>
                <w:rFonts w:ascii="宋体"/>
                <w:sz w:val="18"/>
              </w:rPr>
              <w:t>1,947,202.05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913,936.90</w:t>
            </w:r>
          </w:p>
        </w:tc>
      </w:tr>
    </w:tbl>
    <w:p>
      <w:pPr>
        <w:pStyle w:val="BodyText"/>
        <w:spacing w:line="280" w:lineRule="exact" w:before="0"/>
        <w:ind w:left="694" w:right="0"/>
        <w:jc w:val="left"/>
      </w:pPr>
      <w:r>
        <w:rPr/>
        <w:t>销售费用本年数比上年数增加</w:t>
      </w:r>
      <w:r>
        <w:rPr>
          <w:spacing w:val="-59"/>
        </w:rPr>
        <w:t> </w:t>
      </w:r>
      <w:r>
        <w:rPr/>
        <w:t>1,033,265.15</w:t>
      </w:r>
      <w:r>
        <w:rPr>
          <w:spacing w:val="-59"/>
        </w:rPr>
        <w:t> </w:t>
      </w:r>
      <w:r>
        <w:rPr>
          <w:spacing w:val="-4"/>
        </w:rPr>
        <w:t>元，增加比例为</w:t>
      </w:r>
      <w:r>
        <w:rPr>
          <w:spacing w:val="-59"/>
        </w:rPr>
        <w:t> </w:t>
      </w:r>
      <w:r>
        <w:rPr>
          <w:spacing w:val="-4"/>
        </w:rPr>
        <w:t>113.06%，变动原因为：本</w:t>
      </w:r>
    </w:p>
    <w:p>
      <w:pPr>
        <w:pStyle w:val="BodyText"/>
        <w:spacing w:line="276" w:lineRule="auto" w:before="46"/>
        <w:ind w:left="694" w:right="6890" w:hanging="540"/>
        <w:jc w:val="left"/>
      </w:pPr>
      <w:r>
        <w:rPr/>
        <w:t>期销售增长相应费用增加。 2.管理费用</w:t>
      </w:r>
    </w:p>
    <w:tbl>
      <w:tblPr>
        <w:tblW w:w="0" w:type="auto"/>
        <w:jc w:val="left"/>
        <w:tblInd w:w="572" w:type="dxa"/>
        <w:tblLayout w:type="fixed"/>
        <w:tblCellMar>
          <w:top w:w="0" w:type="dxa"/>
          <w:left w:w="0" w:type="dxa"/>
          <w:bottom w:w="0" w:type="dxa"/>
          <w:right w:w="0" w:type="dxa"/>
        </w:tblCellMar>
        <w:tblLook w:val="01E0"/>
      </w:tblPr>
      <w:tblGrid>
        <w:gridCol w:w="1733"/>
        <w:gridCol w:w="2565"/>
        <w:gridCol w:w="2050"/>
      </w:tblGrid>
      <w:tr>
        <w:trPr>
          <w:trHeight w:val="669" w:hRule="exact"/>
        </w:trPr>
        <w:tc>
          <w:tcPr>
            <w:tcW w:w="1733" w:type="dxa"/>
            <w:tcBorders>
              <w:top w:val="nil" w:sz="6" w:space="0" w:color="auto"/>
              <w:left w:val="nil" w:sz="6" w:space="0" w:color="auto"/>
              <w:bottom w:val="nil" w:sz="6" w:space="0" w:color="auto"/>
              <w:right w:val="nil" w:sz="6" w:space="0" w:color="auto"/>
            </w:tcBorders>
          </w:tcPr>
          <w:p>
            <w:pPr>
              <w:pStyle w:val="TableParagraph"/>
              <w:tabs>
                <w:tab w:pos="484" w:val="left" w:leader="none"/>
                <w:tab w:pos="1273" w:val="left" w:leader="none"/>
              </w:tabs>
              <w:spacing w:line="240" w:lineRule="auto" w:before="4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r>
          </w:p>
        </w:tc>
        <w:tc>
          <w:tcPr>
            <w:tcW w:w="2565" w:type="dxa"/>
            <w:tcBorders>
              <w:top w:val="nil" w:sz="6" w:space="0" w:color="auto"/>
              <w:left w:val="nil" w:sz="6" w:space="0" w:color="auto"/>
              <w:bottom w:val="nil" w:sz="6" w:space="0" w:color="auto"/>
              <w:right w:val="nil" w:sz="6" w:space="0" w:color="auto"/>
            </w:tcBorders>
          </w:tcPr>
          <w:p>
            <w:pPr>
              <w:pStyle w:val="TableParagraph"/>
              <w:tabs>
                <w:tab w:pos="909" w:val="left" w:leader="none"/>
                <w:tab w:pos="2060" w:val="left" w:leader="none"/>
              </w:tabs>
              <w:spacing w:line="240" w:lineRule="auto" w:before="43"/>
              <w:ind w:left="4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本年发生数</w:t>
              <w:tab/>
            </w:r>
            <w:r>
              <w:rPr>
                <w:rFonts w:ascii="宋体" w:hAnsi="宋体" w:cs="宋体" w:eastAsia="宋体" w:hint="default"/>
                <w:sz w:val="18"/>
                <w:szCs w:val="18"/>
              </w:rPr>
            </w:r>
          </w:p>
          <w:p>
            <w:pPr>
              <w:pStyle w:val="TableParagraph"/>
              <w:spacing w:line="240" w:lineRule="auto" w:before="85"/>
              <w:ind w:left="285" w:right="0"/>
              <w:jc w:val="center"/>
              <w:rPr>
                <w:rFonts w:ascii="宋体" w:hAnsi="宋体" w:cs="宋体" w:eastAsia="宋体" w:hint="default"/>
                <w:sz w:val="18"/>
                <w:szCs w:val="18"/>
              </w:rPr>
            </w:pPr>
            <w:r>
              <w:rPr>
                <w:rFonts w:ascii="宋体"/>
                <w:sz w:val="18"/>
              </w:rPr>
              <w:t>RMB</w:t>
            </w:r>
          </w:p>
        </w:tc>
        <w:tc>
          <w:tcPr>
            <w:tcW w:w="2050" w:type="dxa"/>
            <w:tcBorders>
              <w:top w:val="nil" w:sz="6" w:space="0" w:color="auto"/>
              <w:left w:val="nil" w:sz="6" w:space="0" w:color="auto"/>
              <w:bottom w:val="nil" w:sz="6" w:space="0" w:color="auto"/>
              <w:right w:val="nil" w:sz="6" w:space="0" w:color="auto"/>
            </w:tcBorders>
          </w:tcPr>
          <w:p>
            <w:pPr>
              <w:pStyle w:val="TableParagraph"/>
              <w:tabs>
                <w:tab w:pos="954" w:val="left" w:leader="none"/>
                <w:tab w:pos="2015" w:val="left" w:leader="none"/>
              </w:tabs>
              <w:spacing w:line="240" w:lineRule="auto" w:before="43"/>
              <w:ind w:left="5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上年发生数</w:t>
              <w:tab/>
            </w:r>
            <w:r>
              <w:rPr>
                <w:rFonts w:ascii="宋体" w:hAnsi="宋体" w:cs="宋体" w:eastAsia="宋体" w:hint="default"/>
                <w:sz w:val="18"/>
                <w:szCs w:val="18"/>
              </w:rPr>
            </w:r>
          </w:p>
          <w:p>
            <w:pPr>
              <w:pStyle w:val="TableParagraph"/>
              <w:spacing w:line="240" w:lineRule="auto" w:before="85"/>
              <w:ind w:left="1335" w:right="0"/>
              <w:jc w:val="left"/>
              <w:rPr>
                <w:rFonts w:ascii="宋体" w:hAnsi="宋体" w:cs="宋体" w:eastAsia="宋体" w:hint="default"/>
                <w:sz w:val="18"/>
                <w:szCs w:val="18"/>
              </w:rPr>
            </w:pPr>
            <w:r>
              <w:rPr>
                <w:rFonts w:ascii="宋体"/>
                <w:sz w:val="18"/>
              </w:rPr>
              <w:t>RMB</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9,967,240.59</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9,944,599.14</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1,299,144.81</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46,549.72</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1,008,815.26</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621,486.03</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613,462.88</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1,014,359.72</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40,232.32</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457,885.47</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451,036.93</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407,007.81</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474,888.00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261,022.66</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3,119,204.08</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814,110.86</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607,570.60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316,973.05</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388,455.80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504,924.06</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330,961.75</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178,515.72</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交际费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2,395,886.25</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695,025.78</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易耗品摊销</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849,861.42</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439,405.77</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2,094,694.02</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826,499.97</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142,500.00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-18,047.00</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证券费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376,444.86</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50,000.00</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5,000.00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-150,000.00</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906,136.10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744,182.76</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549,780.80</w:t>
            </w:r>
          </w:p>
        </w:tc>
        <w:tc>
          <w:tcPr>
            <w:tcW w:w="2050" w:type="dxa"/>
            <w:tcBorders>
              <w:top w:val="nil" w:sz="6" w:space="0" w:color="auto"/>
              <w:left w:val="nil" w:sz="6" w:space="0" w:color="auto"/>
              <w:bottom w:val="nil" w:sz="6" w:space="0" w:color="auto"/>
              <w:right w:val="nil" w:sz="6" w:space="0" w:color="auto"/>
            </w:tcBorders>
          </w:tcPr>
          <w:p>
            <w:pP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顾问咨询费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392,393.60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20,000.00</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废品损失</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656,823.45</w:t>
            </w:r>
          </w:p>
        </w:tc>
        <w:tc>
          <w:tcPr>
            <w:tcW w:w="2050" w:type="dxa"/>
            <w:tcBorders>
              <w:top w:val="nil" w:sz="6" w:space="0" w:color="auto"/>
              <w:left w:val="nil" w:sz="6" w:space="0" w:color="auto"/>
              <w:bottom w:val="nil" w:sz="6" w:space="0" w:color="auto"/>
              <w:right w:val="nil" w:sz="6" w:space="0" w:color="auto"/>
            </w:tcBorders>
          </w:tcPr>
          <w:p>
            <w:pP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存货盈亏</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-3,072.71</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153,676.45</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4,166,017.97</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2,787,839.77</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代办费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1,557,266.41</w:t>
            </w:r>
          </w:p>
        </w:tc>
        <w:tc>
          <w:tcPr>
            <w:tcW w:w="2050" w:type="dxa"/>
            <w:tcBorders>
              <w:top w:val="nil" w:sz="6" w:space="0" w:color="auto"/>
              <w:left w:val="nil" w:sz="6" w:space="0" w:color="auto"/>
              <w:bottom w:val="nil" w:sz="6" w:space="0" w:color="auto"/>
              <w:right w:val="nil" w:sz="6" w:space="0" w:color="auto"/>
            </w:tcBorders>
          </w:tcPr>
          <w:p>
            <w:pP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462,622.87</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474,139.52</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141,960.77</w:t>
            </w:r>
          </w:p>
        </w:tc>
        <w:tc>
          <w:tcPr>
            <w:tcW w:w="2050" w:type="dxa"/>
            <w:tcBorders>
              <w:top w:val="nil" w:sz="6" w:space="0" w:color="auto"/>
              <w:left w:val="nil" w:sz="6" w:space="0" w:color="auto"/>
              <w:bottom w:val="nil" w:sz="6" w:space="0" w:color="auto"/>
              <w:right w:val="nil" w:sz="6" w:space="0" w:color="auto"/>
            </w:tcBorders>
          </w:tcPr>
          <w:p>
            <w:pP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注册登记费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2,533.18</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2,612.22</w:t>
            </w:r>
          </w:p>
        </w:tc>
      </w:tr>
      <w:tr>
        <w:trPr>
          <w:trHeight w:val="32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快递费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3,320.50</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2,092.80</w:t>
            </w:r>
          </w:p>
        </w:tc>
      </w:tr>
      <w:tr>
        <w:trPr>
          <w:trHeight w:val="290"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燃油费</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2"/>
              <w:jc w:val="right"/>
              <w:rPr>
                <w:rFonts w:ascii="宋体" w:hAnsi="宋体" w:cs="宋体" w:eastAsia="宋体" w:hint="default"/>
                <w:sz w:val="18"/>
                <w:szCs w:val="18"/>
              </w:rPr>
            </w:pPr>
            <w:r>
              <w:rPr>
                <w:rFonts w:ascii="宋体"/>
                <w:sz w:val="18"/>
              </w:rPr>
              <w:t>62,359.39</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617,317.05</w:t>
            </w:r>
          </w:p>
        </w:tc>
      </w:tr>
    </w:tbl>
    <w:p>
      <w:pPr>
        <w:spacing w:after="0" w:line="240" w:lineRule="auto"/>
        <w:jc w:val="right"/>
        <w:rPr>
          <w:rFonts w:ascii="宋体" w:hAnsi="宋体" w:cs="宋体" w:eastAsia="宋体" w:hint="default"/>
          <w:sz w:val="18"/>
          <w:szCs w:val="18"/>
        </w:rPr>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321"/>
        <w:gridCol w:w="2601"/>
        <w:gridCol w:w="1880"/>
      </w:tblGrid>
      <w:tr>
        <w:trPr>
          <w:trHeight w:val="35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8" w:right="0"/>
              <w:jc w:val="left"/>
              <w:rPr>
                <w:rFonts w:ascii="宋体" w:hAnsi="宋体" w:cs="宋体" w:eastAsia="宋体" w:hint="default"/>
                <w:sz w:val="18"/>
                <w:szCs w:val="18"/>
              </w:rPr>
            </w:pPr>
            <w:r>
              <w:rPr>
                <w:rFonts w:ascii="宋体" w:hAnsi="宋体" w:cs="宋体" w:eastAsia="宋体" w:hint="default"/>
                <w:sz w:val="18"/>
                <w:szCs w:val="18"/>
              </w:rPr>
              <w:t>养路费</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74"/>
              <w:jc w:val="right"/>
              <w:rPr>
                <w:rFonts w:ascii="宋体" w:hAnsi="宋体" w:cs="宋体" w:eastAsia="宋体" w:hint="default"/>
                <w:sz w:val="18"/>
                <w:szCs w:val="18"/>
              </w:rPr>
            </w:pPr>
            <w:r>
              <w:rPr>
                <w:rFonts w:ascii="宋体"/>
                <w:sz w:val="18"/>
              </w:rPr>
              <w:t>3,600.00</w:t>
            </w:r>
          </w:p>
        </w:tc>
        <w:tc>
          <w:tcPr>
            <w:tcW w:w="1880" w:type="dxa"/>
            <w:tcBorders>
              <w:top w:val="nil" w:sz="6" w:space="0" w:color="auto"/>
              <w:left w:val="nil" w:sz="6" w:space="0" w:color="auto"/>
              <w:bottom w:val="nil" w:sz="6" w:space="0" w:color="auto"/>
              <w:right w:val="nil" w:sz="6" w:space="0" w:color="auto"/>
            </w:tcBorders>
          </w:tcPr>
          <w:p>
            <w:pP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8" w:right="0"/>
              <w:jc w:val="left"/>
              <w:rPr>
                <w:rFonts w:ascii="宋体" w:hAnsi="宋体" w:cs="宋体" w:eastAsia="宋体" w:hint="default"/>
                <w:sz w:val="18"/>
                <w:szCs w:val="18"/>
              </w:rPr>
            </w:pPr>
            <w:r>
              <w:rPr>
                <w:rFonts w:ascii="宋体" w:hAnsi="宋体" w:cs="宋体" w:eastAsia="宋体" w:hint="default"/>
                <w:sz w:val="18"/>
                <w:szCs w:val="18"/>
              </w:rPr>
              <w:t>规费</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4"/>
              <w:jc w:val="right"/>
              <w:rPr>
                <w:rFonts w:ascii="宋体" w:hAnsi="宋体" w:cs="宋体" w:eastAsia="宋体" w:hint="default"/>
                <w:sz w:val="18"/>
                <w:szCs w:val="18"/>
              </w:rPr>
            </w:pPr>
            <w:r>
              <w:rPr>
                <w:rFonts w:ascii="宋体"/>
                <w:sz w:val="18"/>
              </w:rPr>
              <w:t>8,200.00</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18,055.00</w:t>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8" w:right="0"/>
              <w:jc w:val="left"/>
              <w:rPr>
                <w:rFonts w:ascii="宋体" w:hAnsi="宋体" w:cs="宋体" w:eastAsia="宋体" w:hint="default"/>
                <w:sz w:val="18"/>
                <w:szCs w:val="18"/>
              </w:rPr>
            </w:pPr>
            <w:r>
              <w:rPr>
                <w:rFonts w:ascii="宋体" w:hAnsi="宋体" w:cs="宋体" w:eastAsia="宋体" w:hint="default"/>
                <w:sz w:val="18"/>
                <w:szCs w:val="18"/>
              </w:rPr>
              <w:t>物料损耗</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4"/>
              <w:jc w:val="right"/>
              <w:rPr>
                <w:rFonts w:ascii="宋体" w:hAnsi="宋体" w:cs="宋体" w:eastAsia="宋体" w:hint="default"/>
                <w:sz w:val="18"/>
                <w:szCs w:val="18"/>
              </w:rPr>
            </w:pPr>
            <w:r>
              <w:rPr>
                <w:rFonts w:ascii="宋体"/>
                <w:sz w:val="18"/>
              </w:rPr>
              <w:t>123.96</w:t>
            </w:r>
          </w:p>
        </w:tc>
        <w:tc>
          <w:tcPr>
            <w:tcW w:w="1880" w:type="dxa"/>
            <w:tcBorders>
              <w:top w:val="nil" w:sz="6" w:space="0" w:color="auto"/>
              <w:left w:val="nil" w:sz="6" w:space="0" w:color="auto"/>
              <w:bottom w:val="nil" w:sz="6" w:space="0" w:color="auto"/>
              <w:right w:val="nil" w:sz="6" w:space="0" w:color="auto"/>
            </w:tcBorders>
          </w:tcPr>
          <w:p>
            <w:pP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8" w:right="0"/>
              <w:jc w:val="left"/>
              <w:rPr>
                <w:rFonts w:ascii="宋体" w:hAnsi="宋体" w:cs="宋体" w:eastAsia="宋体" w:hint="default"/>
                <w:sz w:val="18"/>
                <w:szCs w:val="18"/>
              </w:rPr>
            </w:pPr>
            <w:r>
              <w:rPr>
                <w:rFonts w:ascii="宋体" w:hAnsi="宋体" w:cs="宋体" w:eastAsia="宋体" w:hint="default"/>
                <w:sz w:val="18"/>
                <w:szCs w:val="18"/>
              </w:rPr>
              <w:t>制服费</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4"/>
              <w:jc w:val="right"/>
              <w:rPr>
                <w:rFonts w:ascii="宋体" w:hAnsi="宋体" w:cs="宋体" w:eastAsia="宋体" w:hint="default"/>
                <w:sz w:val="18"/>
                <w:szCs w:val="18"/>
              </w:rPr>
            </w:pPr>
            <w:r>
              <w:rPr>
                <w:rFonts w:ascii="宋体"/>
                <w:sz w:val="18"/>
              </w:rPr>
              <w:t>1,079.00</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461.54</w:t>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88"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4"/>
              <w:jc w:val="right"/>
              <w:rPr>
                <w:rFonts w:ascii="宋体" w:hAnsi="宋体" w:cs="宋体" w:eastAsia="宋体" w:hint="default"/>
                <w:sz w:val="18"/>
                <w:szCs w:val="18"/>
              </w:rPr>
            </w:pPr>
            <w:r>
              <w:rPr>
                <w:rFonts w:ascii="宋体"/>
                <w:sz w:val="18"/>
              </w:rPr>
              <w:t>2,280.00</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7,405.00</w:t>
            </w:r>
          </w:p>
        </w:tc>
      </w:tr>
      <w:tr>
        <w:trPr>
          <w:trHeight w:val="320"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工会费及教育费</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4"/>
              <w:jc w:val="right"/>
              <w:rPr>
                <w:rFonts w:ascii="宋体" w:hAnsi="宋体" w:cs="宋体" w:eastAsia="宋体" w:hint="default"/>
                <w:sz w:val="18"/>
                <w:szCs w:val="18"/>
              </w:rPr>
            </w:pPr>
            <w:r>
              <w:rPr>
                <w:rFonts w:ascii="宋体"/>
                <w:sz w:val="18"/>
              </w:rPr>
              <w:t>896,685.82</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209,175.24</w:t>
            </w:r>
          </w:p>
        </w:tc>
      </w:tr>
      <w:tr>
        <w:trPr>
          <w:trHeight w:val="647"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326" w:lineRule="auto" w:before="14"/>
              <w:ind w:left="488" w:right="1290"/>
              <w:jc w:val="left"/>
              <w:rPr>
                <w:rFonts w:ascii="宋体" w:hAnsi="宋体" w:cs="宋体" w:eastAsia="宋体" w:hint="default"/>
                <w:sz w:val="18"/>
                <w:szCs w:val="18"/>
              </w:rPr>
            </w:pPr>
            <w:r>
              <w:rPr>
                <w:rFonts w:ascii="宋体" w:hAnsi="宋体" w:cs="宋体" w:eastAsia="宋体" w:hint="default"/>
                <w:sz w:val="18"/>
                <w:szCs w:val="18"/>
              </w:rPr>
              <w:t>监测费 评估费</w:t>
            </w: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4"/>
              <w:jc w:val="right"/>
              <w:rPr>
                <w:rFonts w:ascii="宋体" w:hAnsi="宋体" w:cs="宋体" w:eastAsia="宋体" w:hint="default"/>
                <w:sz w:val="18"/>
                <w:szCs w:val="18"/>
              </w:rPr>
            </w:pPr>
            <w:r>
              <w:rPr>
                <w:rFonts w:ascii="宋体"/>
                <w:sz w:val="18"/>
              </w:rPr>
              <w:t>20,000.00</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33"/>
              <w:jc w:val="right"/>
              <w:rPr>
                <w:rFonts w:ascii="宋体" w:hAnsi="宋体" w:cs="宋体" w:eastAsia="宋体" w:hint="default"/>
                <w:sz w:val="18"/>
                <w:szCs w:val="18"/>
              </w:rPr>
            </w:pPr>
            <w:r>
              <w:rPr>
                <w:rFonts w:ascii="宋体"/>
                <w:sz w:val="18"/>
              </w:rPr>
              <w:t>115,800.00</w:t>
            </w:r>
          </w:p>
        </w:tc>
      </w:tr>
      <w:tr>
        <w:trPr>
          <w:trHeight w:val="357" w:hRule="exact"/>
        </w:trPr>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8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1" w:type="dxa"/>
            <w:tcBorders>
              <w:top w:val="nil" w:sz="6" w:space="0" w:color="auto"/>
              <w:left w:val="nil" w:sz="6" w:space="0" w:color="auto"/>
              <w:bottom w:val="nil" w:sz="6" w:space="0" w:color="auto"/>
              <w:right w:val="nil" w:sz="6" w:space="0" w:color="auto"/>
            </w:tcBorders>
          </w:tcPr>
          <w:p>
            <w:pPr>
              <w:pStyle w:val="TableParagraph"/>
              <w:spacing w:line="167" w:lineRule="exact"/>
              <w:ind w:right="674"/>
              <w:jc w:val="right"/>
              <w:rPr>
                <w:rFonts w:ascii="宋体" w:hAnsi="宋体" w:cs="宋体" w:eastAsia="宋体" w:hint="default"/>
                <w:sz w:val="18"/>
                <w:szCs w:val="18"/>
              </w:rPr>
            </w:pPr>
            <w:r>
              <w:rPr>
                <w:rFonts w:ascii="宋体"/>
                <w:sz w:val="18"/>
              </w:rPr>
              <w:t>33,995,510.68</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宋体" w:hAnsi="宋体" w:cs="宋体" w:eastAsia="宋体" w:hint="default"/>
                <w:sz w:val="18"/>
                <w:szCs w:val="18"/>
              </w:rPr>
            </w:pPr>
            <w:r>
              <w:rPr>
                <w:rFonts w:ascii="宋体"/>
                <w:sz w:val="18"/>
              </w:rPr>
              <w:t>21,563,076.11</w:t>
            </w:r>
          </w:p>
        </w:tc>
      </w:tr>
    </w:tbl>
    <w:p>
      <w:pPr>
        <w:pStyle w:val="BodyText"/>
        <w:spacing w:line="319" w:lineRule="auto" w:before="26"/>
        <w:ind w:right="212" w:firstLine="540"/>
        <w:jc w:val="left"/>
      </w:pPr>
      <w:r>
        <w:rPr/>
        <w:t>管理费用本年数比上年数增加 </w:t>
      </w:r>
      <w:r>
        <w:rPr>
          <w:rFonts w:ascii="Times New Roman" w:hAnsi="Times New Roman" w:cs="Times New Roman" w:eastAsia="Times New Roman" w:hint="default"/>
        </w:rPr>
        <w:t>12,432,434.57 </w:t>
      </w:r>
      <w:r>
        <w:rPr/>
        <w:t>元，增加比例为</w:t>
      </w:r>
      <w:r>
        <w:rPr>
          <w:spacing w:val="-81"/>
        </w:rPr>
        <w:t> </w:t>
      </w:r>
      <w:r>
        <w:rPr>
          <w:rFonts w:ascii="Times New Roman" w:hAnsi="Times New Roman" w:cs="Times New Roman" w:eastAsia="Times New Roman" w:hint="default"/>
        </w:rPr>
        <w:t>57.66</w:t>
      </w:r>
      <w:r>
        <w:rPr/>
        <w:t>％，变动原因为：本 期销售增长相应费用增加。</w:t>
      </w:r>
    </w:p>
    <w:p>
      <w:pPr>
        <w:pStyle w:val="BodyText"/>
        <w:spacing w:line="240" w:lineRule="auto" w:before="46"/>
        <w:ind w:left="693" w:right="212"/>
        <w:jc w:val="left"/>
      </w:pPr>
      <w:r>
        <w:rPr>
          <w:rFonts w:ascii="Times New Roman" w:hAnsi="Times New Roman" w:cs="Times New Roman" w:eastAsia="Times New Roman" w:hint="default"/>
        </w:rPr>
        <w:t>3.</w:t>
      </w:r>
      <w:r>
        <w:rPr/>
        <w:t>财务费用</w:t>
      </w:r>
    </w:p>
    <w:p>
      <w:pPr>
        <w:spacing w:line="240" w:lineRule="auto" w:before="9"/>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769"/>
        <w:gridCol w:w="3274"/>
        <w:gridCol w:w="1925"/>
      </w:tblGrid>
      <w:tr>
        <w:trPr>
          <w:trHeight w:val="700" w:hRule="exact"/>
        </w:trPr>
        <w:tc>
          <w:tcPr>
            <w:tcW w:w="2769" w:type="dxa"/>
            <w:tcBorders>
              <w:top w:val="nil" w:sz="6" w:space="0" w:color="auto"/>
              <w:left w:val="nil" w:sz="6" w:space="0" w:color="auto"/>
              <w:bottom w:val="nil" w:sz="6" w:space="0" w:color="auto"/>
              <w:right w:val="nil" w:sz="6" w:space="0" w:color="auto"/>
            </w:tcBorders>
          </w:tcPr>
          <w:p>
            <w:pPr>
              <w:pStyle w:val="TableParagraph"/>
              <w:tabs>
                <w:tab w:pos="394" w:val="left" w:leader="none"/>
                <w:tab w:pos="1384" w:val="left" w:leader="none"/>
              </w:tabs>
              <w:spacing w:line="207"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  别</w:t>
              <w:tab/>
            </w:r>
            <w:r>
              <w:rPr>
                <w:rFonts w:ascii="宋体" w:hAnsi="宋体" w:cs="宋体" w:eastAsia="宋体" w:hint="default"/>
                <w:sz w:val="18"/>
                <w:szCs w:val="18"/>
              </w:rPr>
            </w:r>
          </w:p>
          <w:p>
            <w:pPr>
              <w:pStyle w:val="TableParagraph"/>
              <w:spacing w:line="240" w:lineRule="auto" w:before="158"/>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74" w:type="dxa"/>
            <w:tcBorders>
              <w:top w:val="nil" w:sz="6" w:space="0" w:color="auto"/>
              <w:left w:val="nil" w:sz="6" w:space="0" w:color="auto"/>
              <w:bottom w:val="nil" w:sz="6" w:space="0" w:color="auto"/>
              <w:right w:val="nil" w:sz="6" w:space="0" w:color="auto"/>
            </w:tcBorders>
          </w:tcPr>
          <w:p>
            <w:pPr>
              <w:pStyle w:val="TableParagraph"/>
              <w:tabs>
                <w:tab w:pos="1744" w:val="left" w:leader="none"/>
              </w:tabs>
              <w:spacing w:line="207" w:lineRule="exact"/>
              <w:ind w:left="1564" w:right="0"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本年发生数</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564" w:right="0"/>
              <w:jc w:val="left"/>
              <w:rPr>
                <w:rFonts w:ascii="宋体" w:hAnsi="宋体" w:cs="宋体" w:eastAsia="宋体" w:hint="default"/>
                <w:sz w:val="18"/>
                <w:szCs w:val="18"/>
              </w:rPr>
            </w:pPr>
            <w:r>
              <w:rPr>
                <w:rFonts w:ascii="宋体"/>
                <w:sz w:val="18"/>
              </w:rPr>
              <w:t>6,965,155.60</w:t>
            </w:r>
          </w:p>
        </w:tc>
        <w:tc>
          <w:tcPr>
            <w:tcW w:w="1925"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207" w:lineRule="exact"/>
              <w:ind w:left="809" w:right="0"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上年发生数</w:t>
            </w:r>
            <w:r>
              <w:rPr>
                <w:rFonts w:ascii="宋体" w:hAnsi="宋体" w:cs="宋体" w:eastAsia="宋体" w:hint="default"/>
                <w:sz w:val="18"/>
                <w:szCs w:val="18"/>
              </w:rPr>
            </w:r>
          </w:p>
          <w:p>
            <w:pPr>
              <w:pStyle w:val="TableParagraph"/>
              <w:spacing w:line="240" w:lineRule="auto" w:before="158"/>
              <w:ind w:left="809" w:right="0"/>
              <w:jc w:val="left"/>
              <w:rPr>
                <w:rFonts w:ascii="宋体" w:hAnsi="宋体" w:cs="宋体" w:eastAsia="宋体" w:hint="default"/>
                <w:sz w:val="18"/>
                <w:szCs w:val="18"/>
              </w:rPr>
            </w:pPr>
            <w:r>
              <w:rPr>
                <w:rFonts w:ascii="宋体"/>
                <w:sz w:val="18"/>
              </w:rPr>
              <w:t>2,538,504.97</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29"/>
              <w:jc w:val="right"/>
              <w:rPr>
                <w:rFonts w:ascii="宋体" w:hAnsi="宋体" w:cs="宋体" w:eastAsia="宋体" w:hint="default"/>
                <w:sz w:val="18"/>
                <w:szCs w:val="18"/>
              </w:rPr>
            </w:pPr>
            <w:r>
              <w:rPr>
                <w:rFonts w:ascii="宋体"/>
                <w:sz w:val="18"/>
              </w:rPr>
              <w:t>1,727,347.01</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608,957.19</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29"/>
              <w:jc w:val="right"/>
              <w:rPr>
                <w:rFonts w:ascii="宋体" w:hAnsi="宋体" w:cs="宋体" w:eastAsia="宋体" w:hint="default"/>
                <w:sz w:val="18"/>
                <w:szCs w:val="18"/>
              </w:rPr>
            </w:pPr>
            <w:r>
              <w:rPr>
                <w:rFonts w:ascii="宋体"/>
                <w:sz w:val="18"/>
              </w:rPr>
              <w:t>988,372.72</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481,408.77</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29"/>
              <w:jc w:val="right"/>
              <w:rPr>
                <w:rFonts w:ascii="宋体" w:hAnsi="宋体" w:cs="宋体" w:eastAsia="宋体" w:hint="default"/>
                <w:sz w:val="18"/>
                <w:szCs w:val="18"/>
              </w:rPr>
            </w:pPr>
            <w:r>
              <w:rPr>
                <w:rFonts w:ascii="宋体"/>
                <w:sz w:val="18"/>
              </w:rPr>
              <w:t>250,057.67</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104,869.56</w:t>
            </w:r>
          </w:p>
        </w:tc>
      </w:tr>
      <w:tr>
        <w:trPr>
          <w:trHeight w:val="379"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29"/>
              <w:jc w:val="right"/>
              <w:rPr>
                <w:rFonts w:ascii="宋体" w:hAnsi="宋体" w:cs="宋体" w:eastAsia="宋体" w:hint="default"/>
                <w:sz w:val="18"/>
                <w:szCs w:val="18"/>
              </w:rPr>
            </w:pPr>
            <w:r>
              <w:rPr>
                <w:rFonts w:ascii="宋体"/>
                <w:sz w:val="18"/>
              </w:rPr>
              <w:t>6,476,238.98</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8"/>
                <w:szCs w:val="18"/>
              </w:rPr>
            </w:pPr>
            <w:r>
              <w:rPr>
                <w:rFonts w:ascii="宋体"/>
                <w:sz w:val="18"/>
              </w:rPr>
              <w:t>2,515,826.11</w:t>
            </w:r>
          </w:p>
        </w:tc>
      </w:tr>
    </w:tbl>
    <w:p>
      <w:pPr>
        <w:pStyle w:val="BodyText"/>
        <w:spacing w:line="316" w:lineRule="auto" w:before="0"/>
        <w:ind w:right="95" w:firstLine="540"/>
        <w:jc w:val="left"/>
        <w:rPr>
          <w:rFonts w:ascii="Times New Roman" w:hAnsi="Times New Roman" w:cs="Times New Roman" w:eastAsia="Times New Roman" w:hint="default"/>
        </w:rPr>
      </w:pPr>
      <w:r>
        <w:rPr/>
        <w:t>财务费用本年数比上年同期数增加</w:t>
      </w:r>
      <w:r>
        <w:rPr>
          <w:spacing w:val="-60"/>
        </w:rPr>
        <w:t> </w:t>
      </w:r>
      <w:r>
        <w:rPr>
          <w:rFonts w:ascii="Times New Roman" w:hAnsi="Times New Roman" w:cs="Times New Roman" w:eastAsia="Times New Roman" w:hint="default"/>
        </w:rPr>
        <w:t>3,960,412.87 </w:t>
      </w:r>
      <w:r>
        <w:rPr>
          <w:spacing w:val="-6"/>
        </w:rPr>
        <w:t>元，增加比例为</w:t>
      </w:r>
      <w:r>
        <w:rPr>
          <w:spacing w:val="-60"/>
        </w:rPr>
        <w:t> </w:t>
      </w:r>
      <w:r>
        <w:rPr>
          <w:rFonts w:ascii="Times New Roman" w:hAnsi="Times New Roman" w:cs="Times New Roman" w:eastAsia="Times New Roman" w:hint="default"/>
          <w:spacing w:val="-3"/>
        </w:rPr>
        <w:t>157.42</w:t>
      </w:r>
      <w:r>
        <w:rPr>
          <w:spacing w:val="-3"/>
        </w:rPr>
        <w:t>％，变动原因为：</w:t>
      </w:r>
      <w:r>
        <w:rPr/>
        <w:t> 因增加流动资金贷款而产生的利息支出增加所致</w:t>
      </w:r>
      <w:r>
        <w:rPr>
          <w:rFonts w:ascii="Times New Roman" w:hAnsi="Times New Roman" w:cs="Times New Roman" w:eastAsia="Times New Roman" w:hint="default"/>
        </w:rPr>
        <w:t>.</w:t>
      </w:r>
    </w:p>
    <w:p>
      <w:pPr>
        <w:pStyle w:val="BodyText"/>
        <w:spacing w:line="240" w:lineRule="auto" w:before="23"/>
        <w:ind w:left="693" w:right="212"/>
        <w:jc w:val="left"/>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t>资产减值损失</w:t>
      </w:r>
    </w:p>
    <w:p>
      <w:pPr>
        <w:spacing w:line="240" w:lineRule="auto" w:before="9"/>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2694"/>
        <w:gridCol w:w="2171"/>
        <w:gridCol w:w="1617"/>
      </w:tblGrid>
      <w:tr>
        <w:trPr>
          <w:trHeight w:val="627" w:hRule="exact"/>
        </w:trPr>
        <w:tc>
          <w:tcPr>
            <w:tcW w:w="2694" w:type="dxa"/>
            <w:tcBorders>
              <w:top w:val="nil" w:sz="6" w:space="0" w:color="auto"/>
              <w:left w:val="nil" w:sz="6" w:space="0" w:color="auto"/>
              <w:bottom w:val="nil" w:sz="6" w:space="0" w:color="auto"/>
              <w:right w:val="nil" w:sz="6" w:space="0" w:color="auto"/>
            </w:tcBorders>
          </w:tcPr>
          <w:p>
            <w:pPr>
              <w:pStyle w:val="TableParagraph"/>
              <w:tabs>
                <w:tab w:pos="754" w:val="left" w:leader="none"/>
                <w:tab w:pos="2104" w:val="left" w:leader="none"/>
              </w:tabs>
              <w:spacing w:line="240" w:lineRule="auto" w:before="3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类  别</w:t>
              <w:tab/>
            </w:r>
            <w:r>
              <w:rPr>
                <w:rFonts w:ascii="宋体" w:hAnsi="宋体" w:cs="宋体" w:eastAsia="宋体" w:hint="default"/>
                <w:sz w:val="18"/>
                <w:szCs w:val="18"/>
              </w:rPr>
            </w:r>
          </w:p>
        </w:tc>
        <w:tc>
          <w:tcPr>
            <w:tcW w:w="2171" w:type="dxa"/>
            <w:tcBorders>
              <w:top w:val="nil" w:sz="6" w:space="0" w:color="auto"/>
              <w:left w:val="nil" w:sz="6" w:space="0" w:color="auto"/>
              <w:bottom w:val="nil" w:sz="6" w:space="0" w:color="auto"/>
              <w:right w:val="nil" w:sz="6" w:space="0" w:color="auto"/>
            </w:tcBorders>
          </w:tcPr>
          <w:p>
            <w:pPr>
              <w:pStyle w:val="TableParagraph"/>
              <w:spacing w:line="304" w:lineRule="auto" w:before="31"/>
              <w:ind w:left="951" w:right="410" w:hanging="27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本年发生额</w:t>
            </w:r>
            <w:r>
              <w:rPr>
                <w:rFonts w:ascii="宋体" w:hAnsi="宋体" w:cs="宋体" w:eastAsia="宋体" w:hint="default"/>
                <w:sz w:val="18"/>
                <w:szCs w:val="18"/>
              </w:rPr>
            </w:r>
            <w:r>
              <w:rPr>
                <w:rFonts w:ascii="宋体" w:hAnsi="宋体" w:cs="宋体" w:eastAsia="宋体" w:hint="default"/>
                <w:sz w:val="18"/>
                <w:szCs w:val="18"/>
              </w:rPr>
              <w:t> RMB</w:t>
            </w:r>
          </w:p>
        </w:tc>
        <w:tc>
          <w:tcPr>
            <w:tcW w:w="1617" w:type="dxa"/>
            <w:tcBorders>
              <w:top w:val="nil" w:sz="6" w:space="0" w:color="auto"/>
              <w:left w:val="nil" w:sz="6" w:space="0" w:color="auto"/>
              <w:bottom w:val="nil" w:sz="6" w:space="0" w:color="auto"/>
              <w:right w:val="nil" w:sz="6" w:space="0" w:color="auto"/>
            </w:tcBorders>
          </w:tcPr>
          <w:p>
            <w:pPr>
              <w:pStyle w:val="TableParagraph"/>
              <w:tabs>
                <w:tab w:pos="682" w:val="left" w:leader="none"/>
              </w:tabs>
              <w:spacing w:line="304" w:lineRule="auto" w:before="31"/>
              <w:ind w:left="827" w:right="33" w:hanging="41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上年发生额</w:t>
            </w:r>
            <w:r>
              <w:rPr>
                <w:rFonts w:ascii="宋体" w:hAnsi="宋体" w:cs="宋体" w:eastAsia="宋体" w:hint="default"/>
                <w:sz w:val="18"/>
                <w:szCs w:val="18"/>
              </w:rPr>
            </w:r>
            <w:r>
              <w:rPr>
                <w:rFonts w:ascii="宋体" w:hAnsi="宋体" w:cs="宋体" w:eastAsia="宋体" w:hint="default"/>
                <w:sz w:val="18"/>
                <w:szCs w:val="18"/>
              </w:rPr>
              <w:t> RMB</w:t>
            </w:r>
          </w:p>
        </w:tc>
      </w:tr>
      <w:tr>
        <w:trPr>
          <w:trHeight w:val="300"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10"/>
              <w:jc w:val="right"/>
              <w:rPr>
                <w:rFonts w:ascii="宋体" w:hAnsi="宋体" w:cs="宋体" w:eastAsia="宋体" w:hint="default"/>
                <w:sz w:val="18"/>
                <w:szCs w:val="18"/>
              </w:rPr>
            </w:pPr>
            <w:r>
              <w:rPr>
                <w:rFonts w:ascii="宋体"/>
                <w:sz w:val="18"/>
              </w:rPr>
              <w:t>10,864,609.07</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1,335,321.74</w:t>
            </w:r>
          </w:p>
        </w:tc>
      </w:tr>
      <w:tr>
        <w:trPr>
          <w:trHeight w:val="300"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10"/>
              <w:jc w:val="right"/>
              <w:rPr>
                <w:rFonts w:ascii="宋体" w:hAnsi="宋体" w:cs="宋体" w:eastAsia="宋体" w:hint="default"/>
                <w:sz w:val="18"/>
                <w:szCs w:val="18"/>
              </w:rPr>
            </w:pPr>
            <w:r>
              <w:rPr>
                <w:rFonts w:ascii="宋体"/>
                <w:sz w:val="18"/>
              </w:rPr>
              <w:t>708,393.85</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-6,694.73</w:t>
            </w:r>
          </w:p>
        </w:tc>
      </w:tr>
      <w:tr>
        <w:trPr>
          <w:trHeight w:val="300"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171"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1,527,914.30</w:t>
            </w:r>
          </w:p>
        </w:tc>
      </w:tr>
      <w:tr>
        <w:trPr>
          <w:trHeight w:val="308"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171"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12,192.77</w:t>
            </w:r>
          </w:p>
        </w:tc>
      </w:tr>
      <w:tr>
        <w:trPr>
          <w:trHeight w:val="348"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0"/>
              <w:jc w:val="right"/>
              <w:rPr>
                <w:rFonts w:ascii="宋体" w:hAnsi="宋体" w:cs="宋体" w:eastAsia="宋体" w:hint="default"/>
                <w:sz w:val="18"/>
                <w:szCs w:val="18"/>
              </w:rPr>
            </w:pPr>
            <w:r>
              <w:rPr>
                <w:rFonts w:ascii="宋体"/>
                <w:sz w:val="18"/>
              </w:rPr>
              <w:t>11,573,002.92</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8"/>
                <w:szCs w:val="18"/>
              </w:rPr>
            </w:pPr>
            <w:r>
              <w:rPr>
                <w:rFonts w:ascii="宋体"/>
                <w:spacing w:val="-1"/>
                <w:sz w:val="18"/>
              </w:rPr>
              <w:t>2,868,734.08</w:t>
            </w:r>
          </w:p>
        </w:tc>
      </w:tr>
    </w:tbl>
    <w:p>
      <w:pPr>
        <w:pStyle w:val="BodyText"/>
        <w:spacing w:line="319" w:lineRule="auto" w:before="9"/>
        <w:ind w:right="221" w:firstLine="540"/>
        <w:jc w:val="left"/>
      </w:pPr>
      <w:r>
        <w:rPr>
          <w:rFonts w:ascii="Times New Roman" w:hAnsi="Times New Roman" w:cs="Times New Roman" w:eastAsia="Times New Roman" w:hint="default"/>
        </w:rPr>
        <w:t>1.</w:t>
      </w:r>
      <w:r>
        <w:rPr/>
        <w:t>资产减值损失较上年增加 </w:t>
      </w:r>
      <w:r>
        <w:rPr>
          <w:rFonts w:ascii="Times New Roman" w:hAnsi="Times New Roman" w:cs="Times New Roman" w:eastAsia="Times New Roman" w:hint="default"/>
        </w:rPr>
        <w:t>8,704,268.84 </w:t>
      </w:r>
      <w:r>
        <w:rPr/>
        <w:t>元，增加比例为</w:t>
      </w:r>
      <w:r>
        <w:rPr>
          <w:spacing w:val="-50"/>
        </w:rPr>
        <w:t> </w:t>
      </w:r>
      <w:r>
        <w:rPr>
          <w:rFonts w:ascii="Times New Roman" w:hAnsi="Times New Roman" w:cs="Times New Roman" w:eastAsia="Times New Roman" w:hint="default"/>
        </w:rPr>
        <w:t>303.42%,</w:t>
      </w:r>
      <w:r>
        <w:rPr/>
        <w:t>主要因为本年应收款 项坏账准备及存货跌价准备增加所致。</w:t>
      </w:r>
    </w:p>
    <w:p>
      <w:pPr>
        <w:pStyle w:val="BodyText"/>
        <w:spacing w:line="240" w:lineRule="auto" w:before="47"/>
        <w:ind w:left="693" w:right="212"/>
        <w:jc w:val="left"/>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t>营业外收入</w:t>
      </w:r>
    </w:p>
    <w:p>
      <w:pPr>
        <w:tabs>
          <w:tab w:pos="1251" w:val="left" w:leader="none"/>
          <w:tab w:pos="1791" w:val="left" w:leader="none"/>
          <w:tab w:pos="2961" w:val="left" w:leader="none"/>
          <w:tab w:pos="4254" w:val="left" w:leader="none"/>
          <w:tab w:pos="4524" w:val="left" w:leader="none"/>
          <w:tab w:pos="5784" w:val="left" w:leader="none"/>
          <w:tab w:pos="6260" w:val="left" w:leader="none"/>
          <w:tab w:pos="6530" w:val="left" w:leader="none"/>
          <w:tab w:pos="7669" w:val="left" w:leader="none"/>
        </w:tabs>
        <w:spacing w:before="65"/>
        <w:ind w:left="262"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上年发生额</w:t>
        <w:tab/>
      </w:r>
      <w:r>
        <w:rPr>
          <w:rFonts w:ascii="宋体" w:hAnsi="宋体" w:cs="宋体" w:eastAsia="宋体" w:hint="default"/>
          <w:sz w:val="18"/>
          <w:szCs w:val="18"/>
        </w:rPr>
      </w:r>
    </w:p>
    <w:p>
      <w:pPr>
        <w:spacing w:line="288" w:lineRule="auto" w:before="64"/>
        <w:ind w:left="261" w:right="76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 其中：固定资产处置利得</w:t>
      </w:r>
    </w:p>
    <w:p>
      <w:pPr>
        <w:spacing w:before="28"/>
        <w:ind w:left="135" w:right="7113" w:firstLine="0"/>
        <w:jc w:val="center"/>
        <w:rPr>
          <w:rFonts w:ascii="宋体" w:hAnsi="宋体" w:cs="宋体" w:eastAsia="宋体" w:hint="default"/>
          <w:sz w:val="18"/>
          <w:szCs w:val="18"/>
        </w:rPr>
      </w:pPr>
      <w:r>
        <w:rPr>
          <w:rFonts w:ascii="宋体" w:hAnsi="宋体" w:cs="宋体" w:eastAsia="宋体" w:hint="default"/>
          <w:sz w:val="18"/>
          <w:szCs w:val="18"/>
        </w:rPr>
        <w:t>无形资产处置利得</w:t>
      </w:r>
    </w:p>
    <w:p>
      <w:pPr>
        <w:spacing w:before="64"/>
        <w:ind w:left="261"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非货币性资产交换利得</w:t>
      </w:r>
    </w:p>
    <w:p>
      <w:pPr>
        <w:spacing w:before="51"/>
        <w:ind w:left="261"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债务重组利得</w:t>
      </w:r>
    </w:p>
    <w:p>
      <w:pPr>
        <w:tabs>
          <w:tab w:pos="4725" w:val="left" w:leader="none"/>
          <w:tab w:pos="6589" w:val="left" w:leader="none"/>
        </w:tabs>
        <w:spacing w:before="51"/>
        <w:ind w:left="261"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政府补助</w:t>
        <w:tab/>
        <w:t>2,400,000.00</w:t>
        <w:tab/>
        <w:t>1,150,000.00</w:t>
      </w:r>
    </w:p>
    <w:p>
      <w:pPr>
        <w:spacing w:before="51"/>
        <w:ind w:left="261"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盘盈利得</w:t>
      </w:r>
    </w:p>
    <w:p>
      <w:pPr>
        <w:spacing w:before="51"/>
        <w:ind w:left="261"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捐赠利得</w:t>
      </w:r>
    </w:p>
    <w:p>
      <w:pPr>
        <w:spacing w:line="240" w:lineRule="auto" w:before="9"/>
        <w:rPr>
          <w:rFonts w:ascii="宋体" w:hAnsi="宋体" w:cs="宋体" w:eastAsia="宋体" w:hint="default"/>
          <w:sz w:val="6"/>
          <w:szCs w:val="6"/>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footerReference w:type="default" r:id="rId24"/>
          <w:pgSz w:w="11910" w:h="16840"/>
          <w:pgMar w:footer="711" w:header="747" w:top="980" w:bottom="900" w:left="980" w:right="900"/>
          <w:pgNumType w:start="8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227" w:type="dxa"/>
        <w:tblLayout w:type="fixed"/>
        <w:tblCellMar>
          <w:top w:w="0" w:type="dxa"/>
          <w:left w:w="0" w:type="dxa"/>
          <w:bottom w:w="0" w:type="dxa"/>
          <w:right w:w="0" w:type="dxa"/>
        </w:tblCellMar>
        <w:tblLook w:val="01E0"/>
      </w:tblPr>
      <w:tblGrid>
        <w:gridCol w:w="2537"/>
        <w:gridCol w:w="3434"/>
        <w:gridCol w:w="1507"/>
      </w:tblGrid>
      <w:tr>
        <w:trPr>
          <w:trHeight w:val="353"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9"/>
              <w:jc w:val="right"/>
              <w:rPr>
                <w:rFonts w:ascii="宋体" w:hAnsi="宋体" w:cs="宋体" w:eastAsia="宋体" w:hint="default"/>
                <w:sz w:val="18"/>
                <w:szCs w:val="18"/>
              </w:rPr>
            </w:pPr>
            <w:r>
              <w:rPr>
                <w:rFonts w:ascii="宋体"/>
                <w:sz w:val="18"/>
              </w:rPr>
              <w:t>33,050.00</w:t>
            </w:r>
          </w:p>
        </w:tc>
        <w:tc>
          <w:tcPr>
            <w:tcW w:w="1507" w:type="dxa"/>
            <w:tcBorders>
              <w:top w:val="nil" w:sz="6" w:space="0" w:color="auto"/>
              <w:left w:val="nil" w:sz="6" w:space="0" w:color="auto"/>
              <w:bottom w:val="nil" w:sz="6" w:space="0" w:color="auto"/>
              <w:right w:val="nil" w:sz="6" w:space="0" w:color="auto"/>
            </w:tcBorders>
          </w:tcPr>
          <w:p>
            <w:pPr/>
          </w:p>
        </w:tc>
      </w:tr>
      <w:tr>
        <w:trPr>
          <w:trHeight w:val="343"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9"/>
              <w:jc w:val="right"/>
              <w:rPr>
                <w:rFonts w:ascii="宋体" w:hAnsi="宋体" w:cs="宋体" w:eastAsia="宋体" w:hint="default"/>
                <w:sz w:val="18"/>
                <w:szCs w:val="18"/>
              </w:rPr>
            </w:pPr>
            <w:r>
              <w:rPr>
                <w:rFonts w:ascii="宋体"/>
                <w:sz w:val="18"/>
              </w:rPr>
              <w:t>2,433,050.00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1" w:right="0"/>
              <w:jc w:val="left"/>
              <w:rPr>
                <w:rFonts w:ascii="宋体" w:hAnsi="宋体" w:cs="宋体" w:eastAsia="宋体" w:hint="default"/>
                <w:sz w:val="18"/>
                <w:szCs w:val="18"/>
              </w:rPr>
            </w:pPr>
            <w:r>
              <w:rPr>
                <w:rFonts w:ascii="宋体"/>
                <w:sz w:val="18"/>
              </w:rPr>
              <w:t>1,150,000.00</w:t>
            </w:r>
          </w:p>
        </w:tc>
      </w:tr>
    </w:tbl>
    <w:p>
      <w:pPr>
        <w:pStyle w:val="BodyText"/>
        <w:spacing w:line="316" w:lineRule="auto" w:before="10"/>
        <w:ind w:right="0" w:firstLine="540"/>
        <w:jc w:val="left"/>
      </w:pPr>
      <w:r>
        <w:rPr/>
        <w:t>营业外收入本年发生数比上年发生数增加</w:t>
      </w:r>
      <w:r>
        <w:rPr>
          <w:spacing w:val="-59"/>
        </w:rPr>
        <w:t> </w:t>
      </w:r>
      <w:r>
        <w:rPr>
          <w:rFonts w:ascii="Times New Roman" w:hAnsi="Times New Roman" w:cs="Times New Roman" w:eastAsia="Times New Roman" w:hint="default"/>
        </w:rPr>
        <w:t>1,283,050.00</w:t>
      </w:r>
      <w:r>
        <w:rPr>
          <w:rFonts w:ascii="Times New Roman" w:hAnsi="Times New Roman" w:cs="Times New Roman" w:eastAsia="Times New Roman" w:hint="default"/>
          <w:spacing w:val="2"/>
        </w:rPr>
        <w:t> </w:t>
      </w:r>
      <w:r>
        <w:rPr/>
        <w:t>元，增加比例为</w:t>
      </w:r>
      <w:r>
        <w:rPr>
          <w:spacing w:val="-59"/>
        </w:rPr>
        <w:t> </w:t>
      </w:r>
      <w:r>
        <w:rPr>
          <w:rFonts w:ascii="Times New Roman" w:hAnsi="Times New Roman" w:cs="Times New Roman" w:eastAsia="Times New Roman" w:hint="default"/>
          <w:spacing w:val="-3"/>
        </w:rPr>
        <w:t>111.57</w:t>
      </w:r>
      <w:r>
        <w:rPr>
          <w:spacing w:val="-3"/>
        </w:rPr>
        <w:t>％，主要</w:t>
      </w:r>
      <w:r>
        <w:rPr>
          <w:spacing w:val="-1"/>
        </w:rPr>
        <w:t> </w:t>
      </w:r>
      <w:r>
        <w:rPr/>
        <w:t>原因为：政府补助增加所致。</w:t>
      </w:r>
    </w:p>
    <w:p>
      <w:pPr>
        <w:pStyle w:val="BodyText"/>
        <w:spacing w:line="240" w:lineRule="auto" w:before="49"/>
        <w:ind w:left="693" w:right="0"/>
        <w:jc w:val="left"/>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t>营业外支出</w:t>
      </w:r>
    </w:p>
    <w:p>
      <w:pPr>
        <w:spacing w:line="240" w:lineRule="auto" w:before="9"/>
        <w:rPr>
          <w:rFonts w:ascii="宋体" w:hAnsi="宋体" w:cs="宋体" w:eastAsia="宋体" w:hint="default"/>
          <w:sz w:val="2"/>
          <w:szCs w:val="2"/>
        </w:rPr>
      </w:pPr>
    </w:p>
    <w:tbl>
      <w:tblPr>
        <w:tblW w:w="0" w:type="auto"/>
        <w:jc w:val="left"/>
        <w:tblInd w:w="871" w:type="dxa"/>
        <w:tblLayout w:type="fixed"/>
        <w:tblCellMar>
          <w:top w:w="0" w:type="dxa"/>
          <w:left w:w="0" w:type="dxa"/>
          <w:bottom w:w="0" w:type="dxa"/>
          <w:right w:w="0" w:type="dxa"/>
        </w:tblCellMar>
        <w:tblLook w:val="01E0"/>
      </w:tblPr>
      <w:tblGrid>
        <w:gridCol w:w="2940"/>
        <w:gridCol w:w="2251"/>
        <w:gridCol w:w="1759"/>
      </w:tblGrid>
      <w:tr>
        <w:trPr>
          <w:trHeight w:val="595" w:hRule="exact"/>
        </w:trPr>
        <w:tc>
          <w:tcPr>
            <w:tcW w:w="2940" w:type="dxa"/>
            <w:tcBorders>
              <w:top w:val="nil" w:sz="6" w:space="0" w:color="auto"/>
              <w:left w:val="nil" w:sz="6" w:space="0" w:color="auto"/>
              <w:bottom w:val="nil" w:sz="6" w:space="0" w:color="auto"/>
              <w:right w:val="nil" w:sz="6" w:space="0" w:color="auto"/>
            </w:tcBorders>
          </w:tcPr>
          <w:p>
            <w:pPr>
              <w:pStyle w:val="TableParagraph"/>
              <w:tabs>
                <w:tab w:pos="844" w:val="left" w:leader="none"/>
                <w:tab w:pos="1384" w:val="left" w:leader="none"/>
                <w:tab w:pos="2464" w:val="left" w:leader="none"/>
              </w:tabs>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非流动资产处置损失合计</w:t>
            </w:r>
          </w:p>
        </w:tc>
        <w:tc>
          <w:tcPr>
            <w:tcW w:w="2251" w:type="dxa"/>
            <w:tcBorders>
              <w:top w:val="nil" w:sz="6" w:space="0" w:color="auto"/>
              <w:left w:val="nil" w:sz="6" w:space="0" w:color="auto"/>
              <w:bottom w:val="nil" w:sz="6" w:space="0" w:color="auto"/>
              <w:right w:val="nil" w:sz="6" w:space="0" w:color="auto"/>
            </w:tcBorders>
          </w:tcPr>
          <w:p>
            <w:pPr>
              <w:pStyle w:val="TableParagraph"/>
              <w:tabs>
                <w:tab w:pos="1914" w:val="left" w:leader="none"/>
              </w:tabs>
              <w:spacing w:line="240" w:lineRule="auto" w:before="18"/>
              <w:ind w:left="4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本年发生额</w:t>
              <w:tab/>
            </w:r>
            <w:r>
              <w:rPr>
                <w:rFonts w:ascii="宋体" w:hAnsi="宋体" w:cs="宋体" w:eastAsia="宋体" w:hint="default"/>
                <w:sz w:val="18"/>
                <w:szCs w:val="18"/>
              </w:rPr>
            </w:r>
          </w:p>
          <w:p>
            <w:pPr>
              <w:pStyle w:val="TableParagraph"/>
              <w:spacing w:line="240" w:lineRule="auto" w:before="46"/>
              <w:ind w:left="1184" w:right="0"/>
              <w:jc w:val="left"/>
              <w:rPr>
                <w:rFonts w:ascii="宋体" w:hAnsi="宋体" w:cs="宋体" w:eastAsia="宋体" w:hint="default"/>
                <w:sz w:val="18"/>
                <w:szCs w:val="18"/>
              </w:rPr>
            </w:pPr>
            <w:r>
              <w:rPr>
                <w:rFonts w:ascii="宋体"/>
                <w:sz w:val="18"/>
              </w:rPr>
              <w:t>50,364.58</w:t>
            </w:r>
          </w:p>
        </w:tc>
        <w:tc>
          <w:tcPr>
            <w:tcW w:w="1759" w:type="dxa"/>
            <w:tcBorders>
              <w:top w:val="nil" w:sz="6" w:space="0" w:color="auto"/>
              <w:left w:val="nil" w:sz="6" w:space="0" w:color="auto"/>
              <w:bottom w:val="nil" w:sz="6" w:space="0" w:color="auto"/>
              <w:right w:val="nil" w:sz="6" w:space="0" w:color="auto"/>
            </w:tcBorders>
          </w:tcPr>
          <w:p>
            <w:pPr>
              <w:pStyle w:val="TableParagraph"/>
              <w:tabs>
                <w:tab w:pos="526" w:val="left" w:leader="none"/>
                <w:tab w:pos="1696" w:val="left" w:leader="none"/>
              </w:tabs>
              <w:spacing w:line="240" w:lineRule="auto" w:before="18"/>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上年发生额</w:t>
              <w:tab/>
            </w:r>
            <w:r>
              <w:rPr>
                <w:rFonts w:ascii="宋体" w:hAnsi="宋体" w:cs="宋体" w:eastAsia="宋体" w:hint="default"/>
                <w:sz w:val="18"/>
                <w:szCs w:val="18"/>
              </w:rPr>
            </w:r>
          </w:p>
          <w:p>
            <w:pPr>
              <w:pStyle w:val="TableParagraph"/>
              <w:spacing w:line="240" w:lineRule="auto" w:before="46"/>
              <w:ind w:left="823" w:right="0"/>
              <w:jc w:val="left"/>
              <w:rPr>
                <w:rFonts w:ascii="宋体" w:hAnsi="宋体" w:cs="宋体" w:eastAsia="宋体" w:hint="default"/>
                <w:sz w:val="18"/>
                <w:szCs w:val="18"/>
              </w:rPr>
            </w:pPr>
            <w:r>
              <w:rPr>
                <w:rFonts w:ascii="宋体"/>
                <w:sz w:val="18"/>
              </w:rPr>
              <w:t>582,588.69</w:t>
            </w:r>
          </w:p>
        </w:tc>
      </w:tr>
      <w:tr>
        <w:trPr>
          <w:trHeight w:val="229"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251" w:type="dxa"/>
            <w:tcBorders>
              <w:top w:val="nil" w:sz="6" w:space="0" w:color="auto"/>
              <w:left w:val="nil" w:sz="6" w:space="0" w:color="auto"/>
              <w:bottom w:val="nil" w:sz="6" w:space="0" w:color="auto"/>
              <w:right w:val="nil" w:sz="6" w:space="0" w:color="auto"/>
            </w:tcBorders>
          </w:tcPr>
          <w:p>
            <w:pPr>
              <w:pStyle w:val="TableParagraph"/>
              <w:spacing w:line="227" w:lineRule="exact"/>
              <w:ind w:right="254"/>
              <w:jc w:val="right"/>
              <w:rPr>
                <w:rFonts w:ascii="宋体" w:hAnsi="宋体" w:cs="宋体" w:eastAsia="宋体" w:hint="default"/>
                <w:sz w:val="18"/>
                <w:szCs w:val="18"/>
              </w:rPr>
            </w:pPr>
            <w:r>
              <w:rPr>
                <w:rFonts w:ascii="宋体"/>
                <w:sz w:val="18"/>
              </w:rPr>
              <w:t>50,364.58</w:t>
            </w:r>
          </w:p>
        </w:tc>
        <w:tc>
          <w:tcPr>
            <w:tcW w:w="1759"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宋体" w:hAnsi="宋体" w:cs="宋体" w:eastAsia="宋体" w:hint="default"/>
                <w:sz w:val="18"/>
                <w:szCs w:val="18"/>
              </w:rPr>
            </w:pPr>
            <w:r>
              <w:rPr>
                <w:rFonts w:ascii="宋体"/>
                <w:sz w:val="18"/>
              </w:rPr>
              <w:t>582,588.69</w:t>
            </w:r>
          </w:p>
        </w:tc>
      </w:tr>
      <w:tr>
        <w:trPr>
          <w:trHeight w:val="336"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25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r>
      <w:tr>
        <w:trPr>
          <w:trHeight w:val="291"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非货币性资产交换损失</w:t>
            </w:r>
          </w:p>
        </w:tc>
        <w:tc>
          <w:tcPr>
            <w:tcW w:w="2251" w:type="dxa"/>
            <w:tcBorders>
              <w:top w:val="nil" w:sz="6" w:space="0" w:color="auto"/>
              <w:left w:val="nil" w:sz="6" w:space="0" w:color="auto"/>
              <w:bottom w:val="nil" w:sz="6" w:space="0" w:color="auto"/>
              <w:right w:val="nil" w:sz="6" w:space="0" w:color="auto"/>
            </w:tcBorders>
          </w:tcPr>
          <w:p>
            <w:pPr>
              <w:pStyle w:val="TableParagraph"/>
              <w:spacing w:line="232" w:lineRule="exact"/>
              <w:ind w:right="254"/>
              <w:jc w:val="right"/>
              <w:rPr>
                <w:rFonts w:ascii="宋体" w:hAnsi="宋体" w:cs="宋体" w:eastAsia="宋体" w:hint="default"/>
                <w:sz w:val="18"/>
                <w:szCs w:val="18"/>
              </w:rPr>
            </w:pPr>
            <w:r>
              <w:rPr>
                <w:rFonts w:ascii="宋体"/>
                <w:sz w:val="18"/>
              </w:rPr>
              <w:t>156,258.06</w:t>
            </w:r>
          </w:p>
        </w:tc>
        <w:tc>
          <w:tcPr>
            <w:tcW w:w="1759" w:type="dxa"/>
            <w:tcBorders>
              <w:top w:val="nil" w:sz="6" w:space="0" w:color="auto"/>
              <w:left w:val="nil" w:sz="6" w:space="0" w:color="auto"/>
              <w:bottom w:val="nil" w:sz="6" w:space="0" w:color="auto"/>
              <w:right w:val="nil" w:sz="6" w:space="0" w:color="auto"/>
            </w:tcBorders>
          </w:tcPr>
          <w:p>
            <w:pPr/>
          </w:p>
        </w:tc>
      </w:tr>
      <w:tr>
        <w:trPr>
          <w:trHeight w:val="285"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债务重组损失</w:t>
            </w:r>
          </w:p>
        </w:tc>
        <w:tc>
          <w:tcPr>
            <w:tcW w:w="225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r>
      <w:tr>
        <w:trPr>
          <w:trHeight w:val="285"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公益性捐赠支出</w:t>
            </w:r>
          </w:p>
        </w:tc>
        <w:tc>
          <w:tcPr>
            <w:tcW w:w="225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r>
      <w:tr>
        <w:trPr>
          <w:trHeight w:val="284"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非常损失</w:t>
            </w:r>
          </w:p>
        </w:tc>
        <w:tc>
          <w:tcPr>
            <w:tcW w:w="2251"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r>
      <w:tr>
        <w:trPr>
          <w:trHeight w:val="285"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罚款其他</w:t>
            </w:r>
          </w:p>
        </w:tc>
        <w:tc>
          <w:tcPr>
            <w:tcW w:w="2251" w:type="dxa"/>
            <w:tcBorders>
              <w:top w:val="nil" w:sz="6" w:space="0" w:color="auto"/>
              <w:left w:val="nil" w:sz="6" w:space="0" w:color="auto"/>
              <w:bottom w:val="nil" w:sz="6" w:space="0" w:color="auto"/>
              <w:right w:val="nil" w:sz="6" w:space="0" w:color="auto"/>
            </w:tcBorders>
          </w:tcPr>
          <w:p>
            <w:pPr>
              <w:pStyle w:val="TableParagraph"/>
              <w:spacing w:line="227" w:lineRule="exact"/>
              <w:ind w:right="254"/>
              <w:jc w:val="right"/>
              <w:rPr>
                <w:rFonts w:ascii="宋体" w:hAnsi="宋体" w:cs="宋体" w:eastAsia="宋体" w:hint="default"/>
                <w:sz w:val="18"/>
                <w:szCs w:val="18"/>
              </w:rPr>
            </w:pPr>
            <w:r>
              <w:rPr>
                <w:rFonts w:ascii="宋体"/>
                <w:sz w:val="18"/>
              </w:rPr>
              <w:t>13,062.00</w:t>
            </w:r>
          </w:p>
        </w:tc>
        <w:tc>
          <w:tcPr>
            <w:tcW w:w="1759"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宋体" w:hAnsi="宋体" w:cs="宋体" w:eastAsia="宋体" w:hint="default"/>
                <w:sz w:val="18"/>
                <w:szCs w:val="18"/>
              </w:rPr>
            </w:pPr>
            <w:r>
              <w:rPr>
                <w:rFonts w:ascii="宋体"/>
                <w:sz w:val="18"/>
              </w:rPr>
              <w:t>3,116.26</w:t>
            </w:r>
          </w:p>
        </w:tc>
      </w:tr>
      <w:tr>
        <w:trPr>
          <w:trHeight w:val="331" w:hRule="exact"/>
        </w:trPr>
        <w:tc>
          <w:tcPr>
            <w:tcW w:w="294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51" w:type="dxa"/>
            <w:tcBorders>
              <w:top w:val="nil" w:sz="6" w:space="0" w:color="auto"/>
              <w:left w:val="nil" w:sz="6" w:space="0" w:color="auto"/>
              <w:bottom w:val="nil" w:sz="6" w:space="0" w:color="auto"/>
              <w:right w:val="nil" w:sz="6" w:space="0" w:color="auto"/>
            </w:tcBorders>
          </w:tcPr>
          <w:p>
            <w:pPr>
              <w:pStyle w:val="TableParagraph"/>
              <w:spacing w:line="231" w:lineRule="exact"/>
              <w:ind w:right="254"/>
              <w:jc w:val="right"/>
              <w:rPr>
                <w:rFonts w:ascii="宋体" w:hAnsi="宋体" w:cs="宋体" w:eastAsia="宋体" w:hint="default"/>
                <w:sz w:val="18"/>
                <w:szCs w:val="18"/>
              </w:rPr>
            </w:pPr>
            <w:r>
              <w:rPr>
                <w:rFonts w:ascii="宋体"/>
                <w:sz w:val="18"/>
              </w:rPr>
              <w:t>219,684.64</w:t>
            </w:r>
          </w:p>
        </w:tc>
        <w:tc>
          <w:tcPr>
            <w:tcW w:w="1759" w:type="dxa"/>
            <w:tcBorders>
              <w:top w:val="nil" w:sz="6" w:space="0" w:color="auto"/>
              <w:left w:val="nil" w:sz="6" w:space="0" w:color="auto"/>
              <w:bottom w:val="nil" w:sz="6" w:space="0" w:color="auto"/>
              <w:right w:val="nil" w:sz="6" w:space="0" w:color="auto"/>
            </w:tcBorders>
          </w:tcPr>
          <w:p>
            <w:pPr>
              <w:pStyle w:val="TableParagraph"/>
              <w:spacing w:line="226" w:lineRule="exact"/>
              <w:ind w:right="33"/>
              <w:jc w:val="right"/>
              <w:rPr>
                <w:rFonts w:ascii="宋体" w:hAnsi="宋体" w:cs="宋体" w:eastAsia="宋体" w:hint="default"/>
                <w:sz w:val="18"/>
                <w:szCs w:val="18"/>
              </w:rPr>
            </w:pPr>
            <w:r>
              <w:rPr>
                <w:rFonts w:ascii="宋体"/>
                <w:sz w:val="18"/>
              </w:rPr>
              <w:t>585,704.95</w:t>
            </w:r>
          </w:p>
        </w:tc>
      </w:tr>
    </w:tbl>
    <w:p>
      <w:pPr>
        <w:pStyle w:val="BodyText"/>
        <w:spacing w:line="316" w:lineRule="auto" w:before="2"/>
        <w:ind w:right="0" w:firstLine="540"/>
        <w:jc w:val="left"/>
      </w:pPr>
      <w:r>
        <w:rPr/>
        <w:t>营业外支出本年数比上年数减少 </w:t>
      </w:r>
      <w:r>
        <w:rPr>
          <w:rFonts w:ascii="Times New Roman" w:hAnsi="Times New Roman" w:cs="Times New Roman" w:eastAsia="Times New Roman" w:hint="default"/>
        </w:rPr>
        <w:t>366,020.31 </w:t>
      </w:r>
      <w:r>
        <w:rPr/>
        <w:t>元，减少比例为</w:t>
      </w:r>
      <w:r>
        <w:rPr>
          <w:spacing w:val="-84"/>
        </w:rPr>
        <w:t> </w:t>
      </w:r>
      <w:r>
        <w:rPr>
          <w:rFonts w:ascii="Times New Roman" w:hAnsi="Times New Roman" w:cs="Times New Roman" w:eastAsia="Times New Roman" w:hint="default"/>
        </w:rPr>
        <w:t>62.49</w:t>
      </w:r>
      <w:r>
        <w:rPr/>
        <w:t>％，变动原因为：固 定资产处置损失减少。</w:t>
      </w:r>
    </w:p>
    <w:p>
      <w:pPr>
        <w:pStyle w:val="BodyText"/>
        <w:spacing w:line="240" w:lineRule="auto" w:before="49"/>
        <w:ind w:left="693" w:right="0"/>
        <w:jc w:val="left"/>
      </w:pP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t>所得税费用</w:t>
      </w:r>
    </w:p>
    <w:p>
      <w:pPr>
        <w:spacing w:line="240" w:lineRule="auto" w:before="9"/>
        <w:rPr>
          <w:rFonts w:ascii="宋体" w:hAnsi="宋体" w:cs="宋体" w:eastAsia="宋体" w:hint="default"/>
          <w:sz w:val="2"/>
          <w:szCs w:val="2"/>
        </w:rPr>
      </w:pPr>
    </w:p>
    <w:tbl>
      <w:tblPr>
        <w:tblW w:w="0" w:type="auto"/>
        <w:jc w:val="left"/>
        <w:tblInd w:w="766" w:type="dxa"/>
        <w:tblLayout w:type="fixed"/>
        <w:tblCellMar>
          <w:top w:w="0" w:type="dxa"/>
          <w:left w:w="0" w:type="dxa"/>
          <w:bottom w:w="0" w:type="dxa"/>
          <w:right w:w="0" w:type="dxa"/>
        </w:tblCellMar>
        <w:tblLook w:val="01E0"/>
      </w:tblPr>
      <w:tblGrid>
        <w:gridCol w:w="2152"/>
        <w:gridCol w:w="2318"/>
        <w:gridCol w:w="1669"/>
      </w:tblGrid>
      <w:tr>
        <w:trPr>
          <w:trHeight w:val="544" w:hRule="exact"/>
        </w:trPr>
        <w:tc>
          <w:tcPr>
            <w:tcW w:w="2152" w:type="dxa"/>
            <w:tcBorders>
              <w:top w:val="nil" w:sz="6" w:space="0" w:color="auto"/>
              <w:left w:val="nil" w:sz="6" w:space="0" w:color="auto"/>
              <w:bottom w:val="nil" w:sz="6" w:space="0" w:color="auto"/>
              <w:right w:val="nil" w:sz="6" w:space="0" w:color="auto"/>
            </w:tcBorders>
          </w:tcPr>
          <w:p>
            <w:pPr>
              <w:pStyle w:val="TableParagraph"/>
              <w:tabs>
                <w:tab w:pos="484" w:val="left" w:leader="none"/>
                <w:tab w:pos="1474" w:val="left" w:leader="none"/>
              </w:tabs>
              <w:spacing w:line="207"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r>
          </w:p>
        </w:tc>
        <w:tc>
          <w:tcPr>
            <w:tcW w:w="2318" w:type="dxa"/>
            <w:tcBorders>
              <w:top w:val="nil" w:sz="6" w:space="0" w:color="auto"/>
              <w:left w:val="nil" w:sz="6" w:space="0" w:color="auto"/>
              <w:bottom w:val="nil" w:sz="6" w:space="0" w:color="auto"/>
              <w:right w:val="nil" w:sz="6" w:space="0" w:color="auto"/>
            </w:tcBorders>
          </w:tcPr>
          <w:p>
            <w:pPr>
              <w:pStyle w:val="TableParagraph"/>
              <w:tabs>
                <w:tab w:pos="1804" w:val="left" w:leader="none"/>
              </w:tabs>
              <w:spacing w:line="207" w:lineRule="exact"/>
              <w:ind w:left="4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本年发生额</w:t>
              <w:tab/>
            </w:r>
            <w:r>
              <w:rPr>
                <w:rFonts w:ascii="宋体" w:hAnsi="宋体" w:cs="宋体" w:eastAsia="宋体" w:hint="default"/>
                <w:sz w:val="18"/>
                <w:szCs w:val="18"/>
              </w:rPr>
            </w:r>
          </w:p>
          <w:p>
            <w:pPr>
              <w:pStyle w:val="TableParagraph"/>
              <w:spacing w:line="240" w:lineRule="auto" w:before="49"/>
              <w:ind w:left="476" w:right="0"/>
              <w:jc w:val="center"/>
              <w:rPr>
                <w:rFonts w:ascii="宋体" w:hAnsi="宋体" w:cs="宋体" w:eastAsia="宋体" w:hint="default"/>
                <w:sz w:val="18"/>
                <w:szCs w:val="18"/>
              </w:rPr>
            </w:pPr>
            <w:r>
              <w:rPr>
                <w:rFonts w:ascii="宋体"/>
                <w:sz w:val="18"/>
              </w:rPr>
              <w:t>RMB</w:t>
            </w:r>
          </w:p>
        </w:tc>
        <w:tc>
          <w:tcPr>
            <w:tcW w:w="1669" w:type="dxa"/>
            <w:tcBorders>
              <w:top w:val="nil" w:sz="6" w:space="0" w:color="auto"/>
              <w:left w:val="nil" w:sz="6" w:space="0" w:color="auto"/>
              <w:bottom w:val="nil" w:sz="6" w:space="0" w:color="auto"/>
              <w:right w:val="nil" w:sz="6" w:space="0" w:color="auto"/>
            </w:tcBorders>
          </w:tcPr>
          <w:p>
            <w:pPr>
              <w:pStyle w:val="TableParagraph"/>
              <w:tabs>
                <w:tab w:pos="526" w:val="left" w:leader="none"/>
                <w:tab w:pos="1634" w:val="left" w:leader="none"/>
              </w:tabs>
              <w:spacing w:line="207" w:lineRule="exact"/>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上年发生额</w:t>
              <w:tab/>
            </w:r>
            <w:r>
              <w:rPr>
                <w:rFonts w:ascii="宋体" w:hAnsi="宋体" w:cs="宋体" w:eastAsia="宋体" w:hint="default"/>
                <w:sz w:val="18"/>
                <w:szCs w:val="18"/>
              </w:rPr>
            </w:r>
          </w:p>
          <w:p>
            <w:pPr>
              <w:pStyle w:val="TableParagraph"/>
              <w:spacing w:line="240" w:lineRule="auto" w:before="49"/>
              <w:ind w:left="932" w:right="0"/>
              <w:jc w:val="left"/>
              <w:rPr>
                <w:rFonts w:ascii="宋体" w:hAnsi="宋体" w:cs="宋体" w:eastAsia="宋体" w:hint="default"/>
                <w:sz w:val="18"/>
                <w:szCs w:val="18"/>
              </w:rPr>
            </w:pPr>
            <w:r>
              <w:rPr>
                <w:rFonts w:ascii="宋体"/>
                <w:sz w:val="18"/>
              </w:rPr>
              <w:t>RMB</w:t>
            </w:r>
          </w:p>
        </w:tc>
      </w:tr>
      <w:tr>
        <w:trPr>
          <w:trHeight w:val="311"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4"/>
              <w:jc w:val="right"/>
              <w:rPr>
                <w:rFonts w:ascii="宋体" w:hAnsi="宋体" w:cs="宋体" w:eastAsia="宋体" w:hint="default"/>
                <w:sz w:val="18"/>
                <w:szCs w:val="18"/>
              </w:rPr>
            </w:pPr>
            <w:r>
              <w:rPr>
                <w:rFonts w:ascii="宋体"/>
                <w:sz w:val="18"/>
              </w:rPr>
              <w:t>6,129,514.85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3,968,095.83</w:t>
            </w:r>
          </w:p>
        </w:tc>
      </w:tr>
      <w:tr>
        <w:trPr>
          <w:trHeight w:val="285"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4"/>
              <w:jc w:val="right"/>
              <w:rPr>
                <w:rFonts w:ascii="宋体" w:hAnsi="宋体" w:cs="宋体" w:eastAsia="宋体" w:hint="default"/>
                <w:sz w:val="18"/>
                <w:szCs w:val="18"/>
              </w:rPr>
            </w:pPr>
            <w:r>
              <w:rPr>
                <w:rFonts w:ascii="宋体"/>
                <w:sz w:val="18"/>
              </w:rPr>
              <w:t>-1,132,664.70</w:t>
            </w:r>
          </w:p>
        </w:tc>
        <w:tc>
          <w:tcPr>
            <w:tcW w:w="1669"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sz w:val="18"/>
              </w:rPr>
              <w:t>-200,311.53</w:t>
            </w:r>
          </w:p>
        </w:tc>
      </w:tr>
      <w:tr>
        <w:trPr>
          <w:trHeight w:val="359"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07" w:lineRule="exact"/>
              <w:ind w:left="10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4"/>
              <w:jc w:val="right"/>
              <w:rPr>
                <w:rFonts w:ascii="宋体" w:hAnsi="宋体" w:cs="宋体" w:eastAsia="宋体" w:hint="default"/>
                <w:sz w:val="18"/>
                <w:szCs w:val="18"/>
              </w:rPr>
            </w:pPr>
            <w:r>
              <w:rPr>
                <w:rFonts w:ascii="宋体"/>
                <w:sz w:val="18"/>
              </w:rPr>
              <w:t>4,996,850.15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宋体"/>
                <w:sz w:val="18"/>
              </w:rPr>
              <w:t>3,767,784.30</w:t>
            </w:r>
          </w:p>
        </w:tc>
      </w:tr>
    </w:tbl>
    <w:p>
      <w:pPr>
        <w:pStyle w:val="BodyText"/>
        <w:spacing w:line="319" w:lineRule="auto" w:before="0"/>
        <w:ind w:right="133" w:firstLine="540"/>
        <w:jc w:val="left"/>
      </w:pPr>
      <w:r>
        <w:rPr>
          <w:rFonts w:ascii="Times New Roman" w:hAnsi="Times New Roman" w:cs="Times New Roman" w:eastAsia="Times New Roman" w:hint="default"/>
        </w:rPr>
        <w:t>1.</w:t>
      </w:r>
      <w:r>
        <w:rPr/>
        <w:t>所得税费用较上年增加</w:t>
      </w:r>
      <w:r>
        <w:rPr>
          <w:spacing w:val="-54"/>
        </w:rPr>
        <w:t> </w:t>
      </w:r>
      <w:r>
        <w:rPr>
          <w:rFonts w:ascii="Times New Roman" w:hAnsi="Times New Roman" w:cs="Times New Roman" w:eastAsia="Times New Roman" w:hint="default"/>
        </w:rPr>
        <w:t>1,229,065.85</w:t>
      </w:r>
      <w:r>
        <w:rPr>
          <w:rFonts w:ascii="Times New Roman" w:hAnsi="Times New Roman" w:cs="Times New Roman" w:eastAsia="Times New Roman" w:hint="default"/>
          <w:spacing w:val="6"/>
        </w:rPr>
        <w:t> </w:t>
      </w:r>
      <w:r>
        <w:rPr/>
        <w:t>元，增加比例为</w:t>
      </w:r>
      <w:r>
        <w:rPr>
          <w:spacing w:val="-54"/>
        </w:rPr>
        <w:t> </w:t>
      </w:r>
      <w:r>
        <w:rPr>
          <w:rFonts w:ascii="Times New Roman" w:hAnsi="Times New Roman" w:cs="Times New Roman" w:eastAsia="Times New Roman" w:hint="default"/>
        </w:rPr>
        <w:t>32.62%</w:t>
      </w:r>
      <w:r>
        <w:rPr/>
        <w:t>，主要因为本年应纳税所 得额有较大增长。</w:t>
      </w:r>
    </w:p>
    <w:p>
      <w:pPr>
        <w:pStyle w:val="BodyText"/>
        <w:spacing w:line="316" w:lineRule="auto" w:before="47"/>
        <w:ind w:left="693" w:right="6651"/>
        <w:jc w:val="left"/>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t>政府补助</w:t>
      </w:r>
      <w:r>
        <w:rPr>
          <w:spacing w:val="-1"/>
          <w:w w:val="99"/>
        </w:rPr>
        <w:t> </w:t>
      </w:r>
      <w:r>
        <w:rPr>
          <w:rFonts w:ascii="Times New Roman" w:hAnsi="Times New Roman" w:cs="Times New Roman" w:eastAsia="Times New Roman" w:hint="default"/>
        </w:rPr>
        <w:t>1.</w:t>
      </w:r>
      <w:r>
        <w:rPr/>
        <w:t>政府补助的种类和金额</w:t>
      </w:r>
    </w:p>
    <w:p>
      <w:pPr>
        <w:tabs>
          <w:tab w:pos="3273" w:val="left" w:leader="none"/>
          <w:tab w:pos="5013" w:val="left" w:leader="none"/>
          <w:tab w:pos="6993" w:val="left" w:leader="none"/>
          <w:tab w:pos="7353" w:val="left" w:leader="none"/>
          <w:tab w:pos="8253" w:val="left" w:leader="none"/>
        </w:tabs>
        <w:spacing w:before="62"/>
        <w:ind w:left="89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政府补助的种类</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本年发生额</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上年发生额</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备  注</w:t>
        <w:tab/>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p>
      <w:pPr>
        <w:tabs>
          <w:tab w:pos="3645" w:val="left" w:leader="none"/>
          <w:tab w:pos="5265" w:val="left" w:leader="none"/>
        </w:tabs>
        <w:spacing w:before="44"/>
        <w:ind w:left="8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科研经费补助</w:t>
        <w:tab/>
        <w:t>400,000.00</w:t>
        <w:tab/>
        <w:t>1,150,000.00</w:t>
      </w:r>
    </w:p>
    <w:p>
      <w:pPr>
        <w:tabs>
          <w:tab w:pos="3465" w:val="left" w:leader="none"/>
        </w:tabs>
        <w:spacing w:before="151"/>
        <w:ind w:left="89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创新型企业资助</w:t>
        <w:tab/>
      </w:r>
      <w:r>
        <w:rPr>
          <w:rFonts w:ascii="宋体" w:hAnsi="宋体" w:cs="宋体" w:eastAsia="宋体" w:hint="default"/>
          <w:sz w:val="18"/>
          <w:szCs w:val="18"/>
        </w:rPr>
        <w:t>2,000,000.00</w:t>
      </w:r>
    </w:p>
    <w:p>
      <w:pPr>
        <w:tabs>
          <w:tab w:pos="3465" w:val="left" w:leader="none"/>
          <w:tab w:pos="5265" w:val="left" w:leader="none"/>
        </w:tabs>
        <w:spacing w:before="150"/>
        <w:ind w:left="1563" w:right="0" w:firstLine="0"/>
        <w:jc w:val="left"/>
        <w:rPr>
          <w:rFonts w:ascii="宋体" w:hAnsi="宋体" w:cs="宋体" w:eastAsia="宋体" w:hint="default"/>
          <w:sz w:val="18"/>
          <w:szCs w:val="18"/>
        </w:rPr>
      </w:pPr>
      <w:r>
        <w:rPr>
          <w:rFonts w:ascii="宋体" w:hAnsi="宋体" w:cs="宋体" w:eastAsia="宋体" w:hint="default"/>
          <w:sz w:val="18"/>
          <w:szCs w:val="18"/>
        </w:rPr>
        <w:t>合  计</w:t>
        <w:tab/>
        <w:t>2,400,000.00</w:t>
        <w:tab/>
        <w:t>1,150,000.00</w:t>
      </w:r>
    </w:p>
    <w:p>
      <w:pPr>
        <w:pStyle w:val="BodyText"/>
        <w:spacing w:line="319" w:lineRule="auto" w:before="125"/>
        <w:ind w:left="154" w:right="151" w:firstLine="540"/>
        <w:jc w:val="both"/>
      </w:pPr>
      <w:r>
        <w:rPr/>
        <w:t>科研经费补助是根据深科信</w:t>
      </w:r>
      <w:r>
        <w:rPr>
          <w:rFonts w:ascii="Times New Roman" w:hAnsi="Times New Roman" w:cs="Times New Roman" w:eastAsia="Times New Roman" w:hint="default"/>
        </w:rPr>
        <w:t>[2007]364</w:t>
      </w:r>
      <w:r>
        <w:rPr>
          <w:rFonts w:ascii="Times New Roman" w:hAnsi="Times New Roman" w:cs="Times New Roman" w:eastAsia="Times New Roman" w:hint="default"/>
          <w:spacing w:val="-5"/>
        </w:rPr>
        <w:t> </w:t>
      </w:r>
      <w:r>
        <w:rPr/>
        <w:t>号科技研发资金科技贷款贴息文件获得</w:t>
      </w:r>
      <w:r>
        <w:rPr>
          <w:spacing w:val="-65"/>
        </w:rPr>
        <w:t>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t>万元补 助，创新型企业资助是根据深府办</w:t>
      </w:r>
      <w:r>
        <w:rPr>
          <w:rFonts w:ascii="Times New Roman" w:hAnsi="Times New Roman" w:cs="Times New Roman" w:eastAsia="Times New Roman" w:hint="default"/>
        </w:rPr>
        <w:t>[2006]128 </w:t>
      </w:r>
      <w:r>
        <w:rPr/>
        <w:t>号文《</w:t>
      </w:r>
      <w:r>
        <w:rPr>
          <w:spacing w:val="-10"/>
        </w:rPr>
        <w:t> </w:t>
      </w:r>
      <w:r>
        <w:rPr/>
        <w:t>深圳市创新型企业成长路线图资助计划 操作规程 》文件获得</w:t>
      </w:r>
      <w:r>
        <w:rPr>
          <w:spacing w:val="-60"/>
        </w:rPr>
        <w:t> </w:t>
      </w:r>
      <w:r>
        <w:rPr>
          <w:rFonts w:ascii="Times New Roman" w:hAnsi="Times New Roman" w:cs="Times New Roman" w:eastAsia="Times New Roman" w:hint="default"/>
        </w:rPr>
        <w:t>200 </w:t>
      </w:r>
      <w:r>
        <w:rPr/>
        <w:t>万元资助。</w:t>
      </w:r>
    </w:p>
    <w:p>
      <w:pPr>
        <w:pStyle w:val="BodyText"/>
        <w:spacing w:line="319" w:lineRule="auto" w:before="19"/>
        <w:ind w:left="694" w:right="5450"/>
        <w:jc w:val="left"/>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t>现金流量表附注</w:t>
      </w:r>
      <w:r>
        <w:rPr>
          <w:spacing w:val="-1"/>
          <w:w w:val="99"/>
        </w:rPr>
        <w:t> </w:t>
      </w:r>
      <w:r>
        <w:rPr>
          <w:rFonts w:ascii="Times New Roman" w:hAnsi="Times New Roman" w:cs="Times New Roman" w:eastAsia="Times New Roman" w:hint="default"/>
        </w:rPr>
        <w:t>1.</w:t>
      </w:r>
      <w:r>
        <w:rPr/>
        <w:t>收到的其他与经营活动有关的现金</w:t>
      </w:r>
    </w:p>
    <w:p>
      <w:pPr>
        <w:tabs>
          <w:tab w:pos="2329" w:val="left" w:leader="none"/>
          <w:tab w:pos="3319" w:val="left" w:leader="none"/>
          <w:tab w:pos="5778" w:val="left" w:leader="none"/>
          <w:tab w:pos="6138" w:val="left" w:leader="none"/>
          <w:tab w:pos="7488" w:val="left" w:leader="none"/>
        </w:tabs>
        <w:spacing w:before="85"/>
        <w:ind w:left="178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本年发生额</w:t>
        <w:tab/>
      </w:r>
      <w:r>
        <w:rPr>
          <w:rFonts w:ascii="宋体" w:hAnsi="宋体" w:cs="宋体" w:eastAsia="宋体" w:hint="default"/>
          <w:sz w:val="18"/>
          <w:szCs w:val="18"/>
        </w:rPr>
      </w:r>
    </w:p>
    <w:p>
      <w:pPr>
        <w:spacing w:line="240" w:lineRule="auto" w:before="7"/>
        <w:rPr>
          <w:rFonts w:ascii="宋体" w:hAnsi="宋体" w:cs="宋体" w:eastAsia="宋体" w:hint="default"/>
          <w:sz w:val="28"/>
          <w:szCs w:val="28"/>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659" w:type="dxa"/>
        <w:tblLayout w:type="fixed"/>
        <w:tblCellMar>
          <w:top w:w="0" w:type="dxa"/>
          <w:left w:w="0" w:type="dxa"/>
          <w:bottom w:w="0" w:type="dxa"/>
          <w:right w:w="0" w:type="dxa"/>
        </w:tblCellMar>
        <w:tblLook w:val="01E0"/>
      </w:tblPr>
      <w:tblGrid>
        <w:gridCol w:w="4422"/>
        <w:gridCol w:w="2560"/>
      </w:tblGrid>
      <w:tr>
        <w:trPr>
          <w:trHeight w:val="390"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4,236,739.47</w:t>
            </w:r>
          </w:p>
        </w:tc>
      </w:tr>
      <w:tr>
        <w:trPr>
          <w:trHeight w:val="400"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1,727,347.01</w:t>
            </w:r>
          </w:p>
        </w:tc>
      </w:tr>
      <w:tr>
        <w:trPr>
          <w:trHeight w:val="725"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6" w:right="0"/>
              <w:jc w:val="center"/>
              <w:rPr>
                <w:rFonts w:ascii="宋体" w:hAnsi="宋体" w:cs="宋体" w:eastAsia="宋体" w:hint="default"/>
                <w:sz w:val="18"/>
                <w:szCs w:val="18"/>
              </w:rPr>
            </w:pPr>
            <w:r>
              <w:rPr>
                <w:rFonts w:ascii="宋体" w:hAnsi="宋体" w:cs="宋体" w:eastAsia="宋体" w:hint="default"/>
                <w:sz w:val="18"/>
                <w:szCs w:val="18"/>
              </w:rPr>
              <w:t>合  计</w:t>
            </w:r>
          </w:p>
          <w:p>
            <w:pPr>
              <w:pStyle w:val="TableParagraph"/>
              <w:spacing w:line="240" w:lineRule="auto" w:before="2"/>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支付的其他与经营活动有关的现金</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5,964,086.48</w:t>
            </w:r>
          </w:p>
        </w:tc>
      </w:tr>
      <w:tr>
        <w:trPr>
          <w:trHeight w:val="400" w:hRule="exact"/>
        </w:trPr>
        <w:tc>
          <w:tcPr>
            <w:tcW w:w="4422" w:type="dxa"/>
            <w:tcBorders>
              <w:top w:val="nil" w:sz="6" w:space="0" w:color="auto"/>
              <w:left w:val="nil" w:sz="6" w:space="0" w:color="auto"/>
              <w:bottom w:val="nil" w:sz="6" w:space="0" w:color="auto"/>
              <w:right w:val="nil" w:sz="6" w:space="0" w:color="auto"/>
            </w:tcBorders>
          </w:tcPr>
          <w:p>
            <w:pPr>
              <w:pStyle w:val="TableParagraph"/>
              <w:tabs>
                <w:tab w:pos="1681" w:val="left" w:leader="none"/>
                <w:tab w:pos="2761" w:val="left" w:leader="none"/>
              </w:tabs>
              <w:spacing w:line="240" w:lineRule="auto" w:before="49"/>
              <w:ind w:left="1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r>
          </w:p>
        </w:tc>
        <w:tc>
          <w:tcPr>
            <w:tcW w:w="2560" w:type="dxa"/>
            <w:tcBorders>
              <w:top w:val="nil" w:sz="6" w:space="0" w:color="auto"/>
              <w:left w:val="nil" w:sz="6" w:space="0" w:color="auto"/>
              <w:bottom w:val="nil" w:sz="6" w:space="0" w:color="auto"/>
              <w:right w:val="nil" w:sz="6" w:space="0" w:color="auto"/>
            </w:tcBorders>
          </w:tcPr>
          <w:p>
            <w:pPr>
              <w:pStyle w:val="TableParagraph"/>
              <w:tabs>
                <w:tab w:pos="449" w:val="left" w:leader="none"/>
                <w:tab w:pos="1799" w:val="left" w:leader="none"/>
              </w:tabs>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本年发生额</w:t>
              <w:tab/>
            </w:r>
            <w:r>
              <w:rPr>
                <w:rFonts w:ascii="宋体" w:hAnsi="宋体" w:cs="宋体" w:eastAsia="宋体" w:hint="default"/>
                <w:sz w:val="18"/>
                <w:szCs w:val="18"/>
              </w:rPr>
            </w:r>
          </w:p>
        </w:tc>
      </w:tr>
      <w:tr>
        <w:trPr>
          <w:trHeight w:val="395"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6" w:right="0"/>
              <w:jc w:val="center"/>
              <w:rPr>
                <w:rFonts w:ascii="宋体" w:hAnsi="宋体" w:cs="宋体" w:eastAsia="宋体" w:hint="default"/>
                <w:sz w:val="18"/>
                <w:szCs w:val="18"/>
              </w:rPr>
            </w:pPr>
            <w:r>
              <w:rPr>
                <w:rFonts w:ascii="宋体" w:hAnsi="宋体" w:cs="宋体" w:eastAsia="宋体" w:hint="default"/>
                <w:sz w:val="18"/>
                <w:szCs w:val="18"/>
              </w:rPr>
              <w:t>付现费用</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30,595,614.87</w:t>
            </w:r>
          </w:p>
        </w:tc>
      </w:tr>
      <w:tr>
        <w:trPr>
          <w:trHeight w:val="400"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 w:right="0"/>
              <w:jc w:val="center"/>
              <w:rPr>
                <w:rFonts w:ascii="宋体" w:hAnsi="宋体" w:cs="宋体" w:eastAsia="宋体" w:hint="default"/>
                <w:sz w:val="18"/>
                <w:szCs w:val="18"/>
              </w:rPr>
            </w:pPr>
            <w:r>
              <w:rPr>
                <w:rFonts w:ascii="宋体" w:hAnsi="宋体" w:cs="宋体" w:eastAsia="宋体" w:hint="default"/>
                <w:sz w:val="18"/>
                <w:szCs w:val="18"/>
              </w:rPr>
              <w:t>支付存款质押金</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4,503,243.51</w:t>
            </w:r>
          </w:p>
        </w:tc>
      </w:tr>
      <w:tr>
        <w:trPr>
          <w:trHeight w:val="400"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6"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2,243,361.94</w:t>
            </w:r>
          </w:p>
        </w:tc>
      </w:tr>
      <w:tr>
        <w:trPr>
          <w:trHeight w:val="327"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37,342,220.32</w:t>
            </w:r>
          </w:p>
        </w:tc>
      </w:tr>
    </w:tbl>
    <w:p>
      <w:pPr>
        <w:pStyle w:val="BodyText"/>
        <w:spacing w:line="298" w:lineRule="exact" w:before="0"/>
        <w:ind w:left="694" w:right="0"/>
        <w:jc w:val="left"/>
      </w:pPr>
      <w:r>
        <w:rPr>
          <w:rFonts w:ascii="Times New Roman" w:hAnsi="Times New Roman" w:cs="Times New Roman" w:eastAsia="Times New Roman" w:hint="default"/>
        </w:rPr>
        <w:t>3.</w:t>
      </w:r>
      <w:r>
        <w:rPr/>
        <w:t>支付的其他与筹资活动有关的现金</w:t>
      </w:r>
    </w:p>
    <w:p>
      <w:pPr>
        <w:tabs>
          <w:tab w:pos="2239" w:val="left" w:leader="none"/>
          <w:tab w:pos="3499" w:val="left" w:leader="none"/>
          <w:tab w:pos="5823" w:val="left" w:leader="none"/>
          <w:tab w:pos="6183" w:val="left" w:leader="none"/>
          <w:tab w:pos="7443" w:val="left" w:leader="none"/>
        </w:tabs>
        <w:spacing w:before="149"/>
        <w:ind w:left="142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本年发生额</w:t>
        <w:tab/>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p>
      <w:pPr>
        <w:tabs>
          <w:tab w:pos="6525" w:val="left" w:leader="none"/>
        </w:tabs>
        <w:spacing w:before="44"/>
        <w:ind w:left="1952" w:right="0" w:firstLine="0"/>
        <w:jc w:val="left"/>
        <w:rPr>
          <w:rFonts w:ascii="宋体" w:hAnsi="宋体" w:cs="宋体" w:eastAsia="宋体" w:hint="default"/>
          <w:sz w:val="18"/>
          <w:szCs w:val="18"/>
        </w:rPr>
      </w:pPr>
      <w:r>
        <w:rPr>
          <w:rFonts w:ascii="宋体" w:hAnsi="宋体" w:cs="宋体" w:eastAsia="宋体" w:hint="default"/>
          <w:sz w:val="18"/>
          <w:szCs w:val="18"/>
        </w:rPr>
        <w:t>上市融资募集资金费用</w:t>
        <w:tab/>
        <w:t>5,017,976.70</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5"/>
          <w:pgSz w:w="11910" w:h="16840"/>
          <w:pgMar w:footer="1339" w:header="747" w:top="980" w:bottom="1520" w:left="980" w:right="980"/>
          <w:pgNumType w:start="89"/>
        </w:sectPr>
      </w:pPr>
    </w:p>
    <w:p>
      <w:pPr>
        <w:spacing w:line="240" w:lineRule="auto" w:before="8"/>
        <w:rPr>
          <w:rFonts w:ascii="宋体" w:hAnsi="宋体" w:cs="宋体" w:eastAsia="宋体" w:hint="default"/>
          <w:sz w:val="21"/>
          <w:szCs w:val="21"/>
        </w:rPr>
      </w:pPr>
    </w:p>
    <w:p>
      <w:pPr>
        <w:pStyle w:val="BodyText"/>
        <w:spacing w:line="240" w:lineRule="auto" w:before="0"/>
        <w:ind w:left="694" w:right="-20"/>
        <w:jc w:val="left"/>
      </w:pPr>
      <w:r>
        <w:rPr>
          <w:rFonts w:ascii="Times New Roman" w:hAnsi="Times New Roman" w:cs="Times New Roman" w:eastAsia="Times New Roman" w:hint="default"/>
        </w:rPr>
        <w:t>4.</w:t>
      </w:r>
      <w:r>
        <w:rPr/>
        <w:t>现金年末余额</w:t>
      </w:r>
    </w:p>
    <w:p>
      <w:pPr>
        <w:tabs>
          <w:tab w:pos="4171" w:val="left" w:leader="none"/>
        </w:tabs>
        <w:spacing w:before="44"/>
        <w:ind w:left="27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合  计</w:t>
        <w:tab/>
        <w:t>5,017,976.70</w:t>
      </w:r>
    </w:p>
    <w:p>
      <w:pPr>
        <w:spacing w:after="0"/>
        <w:jc w:val="left"/>
        <w:rPr>
          <w:rFonts w:ascii="宋体" w:hAnsi="宋体" w:cs="宋体" w:eastAsia="宋体" w:hint="default"/>
          <w:sz w:val="18"/>
          <w:szCs w:val="18"/>
        </w:rPr>
        <w:sectPr>
          <w:type w:val="continuous"/>
          <w:pgSz w:w="11910" w:h="16840"/>
          <w:pgMar w:top="980" w:bottom="1520" w:left="980" w:right="980"/>
          <w:cols w:num="2" w:equalWidth="0">
            <w:col w:w="2315" w:space="40"/>
            <w:col w:w="7595"/>
          </w:cols>
        </w:sectPr>
      </w:pPr>
    </w:p>
    <w:p>
      <w:pPr>
        <w:spacing w:line="240" w:lineRule="auto" w:before="0"/>
        <w:rPr>
          <w:rFonts w:ascii="宋体" w:hAnsi="宋体" w:cs="宋体" w:eastAsia="宋体" w:hint="default"/>
          <w:sz w:val="8"/>
          <w:szCs w:val="8"/>
        </w:rPr>
      </w:pPr>
    </w:p>
    <w:tbl>
      <w:tblPr>
        <w:tblW w:w="0" w:type="auto"/>
        <w:jc w:val="left"/>
        <w:tblInd w:w="764" w:type="dxa"/>
        <w:tblLayout w:type="fixed"/>
        <w:tblCellMar>
          <w:top w:w="0" w:type="dxa"/>
          <w:left w:w="0" w:type="dxa"/>
          <w:bottom w:w="0" w:type="dxa"/>
          <w:right w:w="0" w:type="dxa"/>
        </w:tblCellMar>
        <w:tblLook w:val="01E0"/>
      </w:tblPr>
      <w:tblGrid>
        <w:gridCol w:w="4054"/>
        <w:gridCol w:w="2822"/>
      </w:tblGrid>
      <w:tr>
        <w:trPr>
          <w:trHeight w:val="659" w:hRule="exact"/>
        </w:trPr>
        <w:tc>
          <w:tcPr>
            <w:tcW w:w="4054" w:type="dxa"/>
            <w:tcBorders>
              <w:top w:val="nil" w:sz="6" w:space="0" w:color="auto"/>
              <w:left w:val="nil" w:sz="6" w:space="0" w:color="auto"/>
              <w:bottom w:val="nil" w:sz="6" w:space="0" w:color="auto"/>
              <w:right w:val="nil" w:sz="6" w:space="0" w:color="auto"/>
            </w:tcBorders>
          </w:tcPr>
          <w:p>
            <w:pPr>
              <w:pStyle w:val="TableParagraph"/>
              <w:tabs>
                <w:tab w:pos="1204" w:val="left" w:leader="none"/>
                <w:tab w:pos="2987" w:val="left" w:leader="none"/>
              </w:tabs>
              <w:spacing w:line="314" w:lineRule="auto" w:before="44"/>
              <w:ind w:left="127" w:right="1047" w:hanging="9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项  目</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资产负债表“货币资金”期末数</w:t>
            </w:r>
          </w:p>
        </w:tc>
        <w:tc>
          <w:tcPr>
            <w:tcW w:w="2822" w:type="dxa"/>
            <w:tcBorders>
              <w:top w:val="nil" w:sz="6" w:space="0" w:color="auto"/>
              <w:left w:val="nil" w:sz="6" w:space="0" w:color="auto"/>
              <w:bottom w:val="nil" w:sz="6" w:space="0" w:color="auto"/>
              <w:right w:val="nil" w:sz="6" w:space="0" w:color="auto"/>
            </w:tcBorders>
          </w:tcPr>
          <w:p>
            <w:pPr>
              <w:pStyle w:val="TableParagraph"/>
              <w:tabs>
                <w:tab w:pos="1679" w:val="left" w:leader="none"/>
                <w:tab w:pos="2669" w:val="left" w:leader="none"/>
              </w:tabs>
              <w:spacing w:line="314" w:lineRule="auto" w:before="44"/>
              <w:ind w:left="1526" w:right="33" w:hanging="47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金额</w:t>
              <w:tab/>
            </w:r>
            <w:r>
              <w:rPr>
                <w:rFonts w:ascii="宋体" w:hAnsi="宋体" w:cs="宋体" w:eastAsia="宋体" w:hint="default"/>
                <w:sz w:val="18"/>
                <w:szCs w:val="18"/>
              </w:rPr>
            </w:r>
            <w:r>
              <w:rPr>
                <w:rFonts w:ascii="宋体" w:hAnsi="宋体" w:cs="宋体" w:eastAsia="宋体" w:hint="default"/>
                <w:sz w:val="18"/>
                <w:szCs w:val="18"/>
              </w:rPr>
              <w:t> 219,892,797.75</w:t>
            </w:r>
          </w:p>
        </w:tc>
      </w:tr>
      <w:tr>
        <w:trPr>
          <w:trHeight w:val="320"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7" w:right="0"/>
              <w:jc w:val="left"/>
              <w:rPr>
                <w:rFonts w:ascii="宋体" w:hAnsi="宋体" w:cs="宋体" w:eastAsia="宋体" w:hint="default"/>
                <w:sz w:val="18"/>
                <w:szCs w:val="18"/>
              </w:rPr>
            </w:pPr>
            <w:r>
              <w:rPr>
                <w:rFonts w:ascii="宋体" w:hAnsi="宋体" w:cs="宋体" w:eastAsia="宋体" w:hint="default"/>
                <w:sz w:val="18"/>
                <w:szCs w:val="18"/>
              </w:rPr>
              <w:t>减：不能随时用于支付的货币资金</w:t>
            </w:r>
          </w:p>
        </w:tc>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4,503,243.51</w:t>
            </w:r>
          </w:p>
        </w:tc>
      </w:tr>
      <w:tr>
        <w:trPr>
          <w:trHeight w:val="298" w:hRule="exact"/>
        </w:trPr>
        <w:tc>
          <w:tcPr>
            <w:tcW w:w="405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7" w:right="0"/>
              <w:jc w:val="left"/>
              <w:rPr>
                <w:rFonts w:ascii="宋体" w:hAnsi="宋体" w:cs="宋体" w:eastAsia="宋体" w:hint="default"/>
                <w:sz w:val="18"/>
                <w:szCs w:val="18"/>
              </w:rPr>
            </w:pPr>
            <w:r>
              <w:rPr>
                <w:rFonts w:ascii="宋体" w:hAnsi="宋体" w:cs="宋体" w:eastAsia="宋体" w:hint="default"/>
                <w:sz w:val="18"/>
                <w:szCs w:val="18"/>
              </w:rPr>
              <w:t>现金流量表“现金的期末金额”</w:t>
            </w:r>
          </w:p>
        </w:tc>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215,389,554.24</w:t>
            </w:r>
          </w:p>
        </w:tc>
      </w:tr>
    </w:tbl>
    <w:p>
      <w:pPr>
        <w:pStyle w:val="BodyText"/>
        <w:spacing w:line="298" w:lineRule="exact" w:before="0"/>
        <w:ind w:left="694" w:right="0"/>
        <w:jc w:val="left"/>
      </w:pPr>
      <w:r>
        <w:rPr>
          <w:rFonts w:ascii="Times New Roman" w:hAnsi="Times New Roman" w:cs="Times New Roman" w:eastAsia="Times New Roman" w:hint="default"/>
        </w:rPr>
        <w:t>5.</w:t>
      </w:r>
      <w:r>
        <w:rPr/>
        <w:t>现金年初余额</w:t>
      </w:r>
    </w:p>
    <w:p>
      <w:pPr>
        <w:spacing w:line="240" w:lineRule="auto" w:before="0"/>
        <w:rPr>
          <w:rFonts w:ascii="宋体" w:hAnsi="宋体" w:cs="宋体" w:eastAsia="宋体" w:hint="default"/>
          <w:sz w:val="8"/>
          <w:szCs w:val="8"/>
        </w:rPr>
      </w:pPr>
    </w:p>
    <w:tbl>
      <w:tblPr>
        <w:tblW w:w="0" w:type="auto"/>
        <w:jc w:val="left"/>
        <w:tblInd w:w="265" w:type="dxa"/>
        <w:tblLayout w:type="fixed"/>
        <w:tblCellMar>
          <w:top w:w="0" w:type="dxa"/>
          <w:left w:w="0" w:type="dxa"/>
          <w:bottom w:w="0" w:type="dxa"/>
          <w:right w:w="0" w:type="dxa"/>
        </w:tblCellMar>
        <w:tblLook w:val="01E0"/>
      </w:tblPr>
      <w:tblGrid>
        <w:gridCol w:w="4555"/>
        <w:gridCol w:w="2802"/>
        <w:gridCol w:w="1459"/>
      </w:tblGrid>
      <w:tr>
        <w:trPr>
          <w:trHeight w:val="790" w:hRule="exact"/>
        </w:trPr>
        <w:tc>
          <w:tcPr>
            <w:tcW w:w="4555" w:type="dxa"/>
            <w:tcBorders>
              <w:top w:val="nil" w:sz="6" w:space="0" w:color="auto"/>
              <w:left w:val="nil" w:sz="6" w:space="0" w:color="auto"/>
              <w:bottom w:val="nil" w:sz="6" w:space="0" w:color="auto"/>
              <w:right w:val="nil" w:sz="6" w:space="0" w:color="auto"/>
            </w:tcBorders>
          </w:tcPr>
          <w:p>
            <w:pPr>
              <w:pStyle w:val="TableParagraph"/>
              <w:tabs>
                <w:tab w:pos="1706" w:val="left" w:leader="none"/>
                <w:tab w:pos="3399" w:val="left" w:leader="none"/>
              </w:tabs>
              <w:spacing w:line="408" w:lineRule="auto" w:before="44"/>
              <w:ind w:left="626" w:right="113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  目</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资产负债表“货币资金”期初数</w:t>
            </w:r>
          </w:p>
        </w:tc>
        <w:tc>
          <w:tcPr>
            <w:tcW w:w="4261" w:type="dxa"/>
            <w:gridSpan w:val="2"/>
            <w:tcBorders>
              <w:top w:val="nil" w:sz="6" w:space="0" w:color="auto"/>
              <w:left w:val="nil" w:sz="6" w:space="0" w:color="auto"/>
              <w:bottom w:val="nil" w:sz="6" w:space="0" w:color="auto"/>
              <w:right w:val="nil" w:sz="6" w:space="0" w:color="auto"/>
            </w:tcBorders>
          </w:tcPr>
          <w:p>
            <w:pPr>
              <w:pStyle w:val="TableParagraph"/>
              <w:tabs>
                <w:tab w:pos="1768" w:val="left" w:leader="none"/>
                <w:tab w:pos="2668" w:val="left" w:leader="none"/>
              </w:tabs>
              <w:spacing w:line="240" w:lineRule="auto" w:before="44"/>
              <w:ind w:left="11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金额</w:t>
              <w:tab/>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center"/>
              <w:rPr>
                <w:rFonts w:ascii="宋体" w:hAnsi="宋体" w:cs="宋体" w:eastAsia="宋体" w:hint="default"/>
                <w:sz w:val="18"/>
                <w:szCs w:val="18"/>
              </w:rPr>
            </w:pPr>
            <w:r>
              <w:rPr>
                <w:rFonts w:ascii="宋体"/>
                <w:sz w:val="18"/>
              </w:rPr>
              <w:t>76,380,379.74</w:t>
            </w:r>
          </w:p>
        </w:tc>
      </w:tr>
      <w:tr>
        <w:trPr>
          <w:trHeight w:val="400"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26" w:right="0"/>
              <w:jc w:val="left"/>
              <w:rPr>
                <w:rFonts w:ascii="宋体" w:hAnsi="宋体" w:cs="宋体" w:eastAsia="宋体" w:hint="default"/>
                <w:sz w:val="18"/>
                <w:szCs w:val="18"/>
              </w:rPr>
            </w:pPr>
            <w:r>
              <w:rPr>
                <w:rFonts w:ascii="宋体" w:hAnsi="宋体" w:cs="宋体" w:eastAsia="宋体" w:hint="default"/>
                <w:sz w:val="18"/>
                <w:szCs w:val="18"/>
              </w:rPr>
              <w:t>减：不能随时用于支付的货币资金</w:t>
            </w:r>
          </w:p>
        </w:tc>
        <w:tc>
          <w:tcPr>
            <w:tcW w:w="42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230" w:right="0"/>
              <w:jc w:val="center"/>
              <w:rPr>
                <w:rFonts w:ascii="宋体" w:hAnsi="宋体" w:cs="宋体" w:eastAsia="宋体" w:hint="default"/>
                <w:sz w:val="18"/>
                <w:szCs w:val="18"/>
              </w:rPr>
            </w:pPr>
            <w:r>
              <w:rPr>
                <w:rFonts w:ascii="宋体"/>
                <w:sz w:val="18"/>
              </w:rPr>
              <w:t>3,917,726.28</w:t>
            </w:r>
          </w:p>
        </w:tc>
      </w:tr>
      <w:tr>
        <w:trPr>
          <w:trHeight w:val="290"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26" w:right="0"/>
              <w:jc w:val="left"/>
              <w:rPr>
                <w:rFonts w:ascii="宋体" w:hAnsi="宋体" w:cs="宋体" w:eastAsia="宋体" w:hint="default"/>
                <w:sz w:val="18"/>
                <w:szCs w:val="18"/>
              </w:rPr>
            </w:pPr>
            <w:r>
              <w:rPr>
                <w:rFonts w:ascii="宋体" w:hAnsi="宋体" w:cs="宋体" w:eastAsia="宋体" w:hint="default"/>
                <w:sz w:val="18"/>
                <w:szCs w:val="18"/>
              </w:rPr>
              <w:t>现金流量表“现金的期初金额”</w:t>
            </w:r>
          </w:p>
        </w:tc>
        <w:tc>
          <w:tcPr>
            <w:tcW w:w="42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40" w:right="0"/>
              <w:jc w:val="center"/>
              <w:rPr>
                <w:rFonts w:ascii="宋体" w:hAnsi="宋体" w:cs="宋体" w:eastAsia="宋体" w:hint="default"/>
                <w:sz w:val="18"/>
                <w:szCs w:val="18"/>
              </w:rPr>
            </w:pPr>
            <w:r>
              <w:rPr>
                <w:rFonts w:ascii="宋体"/>
                <w:sz w:val="18"/>
              </w:rPr>
              <w:t>72,462,653.46</w:t>
            </w:r>
          </w:p>
        </w:tc>
      </w:tr>
      <w:tr>
        <w:trPr>
          <w:trHeight w:val="382"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2"/>
              <w:ind w:left="42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现金流量表补充资料</w:t>
            </w:r>
          </w:p>
        </w:tc>
        <w:tc>
          <w:tcPr>
            <w:tcW w:w="4261" w:type="dxa"/>
            <w:gridSpan w:val="2"/>
            <w:tcBorders>
              <w:top w:val="nil" w:sz="6" w:space="0" w:color="auto"/>
              <w:left w:val="nil" w:sz="6" w:space="0" w:color="auto"/>
              <w:bottom w:val="nil" w:sz="6" w:space="0" w:color="auto"/>
              <w:right w:val="nil" w:sz="6" w:space="0" w:color="auto"/>
            </w:tcBorders>
          </w:tcPr>
          <w:p>
            <w:pPr/>
          </w:p>
        </w:tc>
      </w:tr>
      <w:tr>
        <w:trPr>
          <w:trHeight w:val="304"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tabs>
                <w:tab w:pos="2464" w:val="left" w:leader="none"/>
                <w:tab w:pos="3004" w:val="left" w:leader="none"/>
                <w:tab w:pos="5704" w:val="left" w:leader="none"/>
              </w:tabs>
              <w:spacing w:line="232"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32" w:lineRule="exact"/>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r>
      <w:tr>
        <w:trPr>
          <w:trHeight w:val="297"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59" w:type="dxa"/>
            <w:tcBorders>
              <w:top w:val="nil" w:sz="6" w:space="0" w:color="auto"/>
              <w:left w:val="nil" w:sz="6" w:space="0" w:color="auto"/>
              <w:bottom w:val="nil" w:sz="6" w:space="0" w:color="auto"/>
              <w:right w:val="nil" w:sz="6" w:space="0" w:color="auto"/>
            </w:tcBorders>
          </w:tcPr>
          <w:p>
            <w:pPr>
              <w:pStyle w:val="TableParagraph"/>
              <w:spacing w:line="167" w:lineRule="exact"/>
              <w:ind w:right="33"/>
              <w:jc w:val="right"/>
              <w:rPr>
                <w:rFonts w:ascii="宋体" w:hAnsi="宋体" w:cs="宋体" w:eastAsia="宋体" w:hint="default"/>
                <w:sz w:val="18"/>
                <w:szCs w:val="18"/>
              </w:rPr>
            </w:pPr>
            <w:r>
              <w:rPr>
                <w:rFonts w:ascii="宋体"/>
                <w:sz w:val="18"/>
              </w:rPr>
              <w:t>57,388,985.34</w:t>
            </w:r>
          </w:p>
        </w:tc>
      </w:tr>
      <w:tr>
        <w:trPr>
          <w:trHeight w:val="320"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59" w:type="dxa"/>
            <w:tcBorders>
              <w:top w:val="nil" w:sz="6" w:space="0" w:color="auto"/>
              <w:left w:val="nil" w:sz="6" w:space="0" w:color="auto"/>
              <w:bottom w:val="nil" w:sz="6" w:space="0" w:color="auto"/>
              <w:right w:val="nil" w:sz="6" w:space="0" w:color="auto"/>
            </w:tcBorders>
          </w:tcPr>
          <w:p>
            <w:pPr>
              <w:pStyle w:val="TableParagraph"/>
              <w:spacing w:line="234" w:lineRule="exact"/>
              <w:ind w:left="16" w:right="0"/>
              <w:jc w:val="left"/>
              <w:rPr>
                <w:rFonts w:ascii="宋体" w:hAnsi="宋体" w:cs="宋体" w:eastAsia="宋体" w:hint="default"/>
                <w:sz w:val="18"/>
                <w:szCs w:val="18"/>
              </w:rPr>
            </w:pPr>
            <w:r>
              <w:rPr>
                <w:rFonts w:ascii="宋体"/>
                <w:sz w:val="18"/>
              </w:rPr>
              <w:t>11,573,002.92</w:t>
            </w:r>
          </w:p>
        </w:tc>
      </w:tr>
      <w:tr>
        <w:trPr>
          <w:trHeight w:val="409"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sz w:val="18"/>
              </w:rPr>
              <w:t>15,741,844.75</w:t>
            </w:r>
          </w:p>
        </w:tc>
      </w:tr>
      <w:tr>
        <w:trPr>
          <w:trHeight w:val="473"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8"/>
                <w:szCs w:val="18"/>
              </w:rPr>
            </w:pPr>
            <w:r>
              <w:rPr>
                <w:rFonts w:ascii="宋体"/>
                <w:sz w:val="18"/>
              </w:rPr>
              <w:t>1,181,255.23</w:t>
            </w:r>
          </w:p>
        </w:tc>
      </w:tr>
      <w:tr>
        <w:trPr>
          <w:trHeight w:val="467"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848,877.84</w:t>
            </w:r>
          </w:p>
        </w:tc>
      </w:tr>
      <w:tr>
        <w:trPr>
          <w:trHeight w:val="394"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206,622.64</w:t>
            </w:r>
          </w:p>
        </w:tc>
      </w:tr>
      <w:tr>
        <w:trPr>
          <w:trHeight w:val="314"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459" w:type="dxa"/>
            <w:tcBorders>
              <w:top w:val="nil" w:sz="6" w:space="0" w:color="auto"/>
              <w:left w:val="nil" w:sz="6" w:space="0" w:color="auto"/>
              <w:bottom w:val="nil" w:sz="6" w:space="0" w:color="auto"/>
              <w:right w:val="nil" w:sz="6" w:space="0" w:color="auto"/>
            </w:tcBorders>
          </w:tcPr>
          <w:p>
            <w:pPr/>
          </w:p>
        </w:tc>
      </w:tr>
      <w:tr>
        <w:trPr>
          <w:trHeight w:val="394"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459" w:type="dxa"/>
            <w:tcBorders>
              <w:top w:val="nil" w:sz="6" w:space="0" w:color="auto"/>
              <w:left w:val="nil" w:sz="6" w:space="0" w:color="auto"/>
              <w:bottom w:val="nil" w:sz="6" w:space="0" w:color="auto"/>
              <w:right w:val="nil" w:sz="6" w:space="0" w:color="auto"/>
            </w:tcBorders>
          </w:tcPr>
          <w:p>
            <w:pPr/>
          </w:p>
        </w:tc>
      </w:tr>
      <w:tr>
        <w:trPr>
          <w:trHeight w:val="399"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18"/>
                <w:szCs w:val="18"/>
              </w:rPr>
            </w:pPr>
            <w:r>
              <w:rPr>
                <w:rFonts w:ascii="宋体"/>
                <w:sz w:val="18"/>
              </w:rPr>
              <w:t>6,965,155.60</w:t>
            </w:r>
          </w:p>
        </w:tc>
      </w:tr>
      <w:tr>
        <w:trPr>
          <w:trHeight w:val="314"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459" w:type="dxa"/>
            <w:tcBorders>
              <w:top w:val="nil" w:sz="6" w:space="0" w:color="auto"/>
              <w:left w:val="nil" w:sz="6" w:space="0" w:color="auto"/>
              <w:bottom w:val="nil" w:sz="6" w:space="0" w:color="auto"/>
              <w:right w:val="nil" w:sz="6" w:space="0" w:color="auto"/>
            </w:tcBorders>
          </w:tcPr>
          <w:p>
            <w:pPr/>
          </w:p>
        </w:tc>
      </w:tr>
      <w:tr>
        <w:trPr>
          <w:trHeight w:val="342" w:hRule="exact"/>
        </w:trPr>
        <w:tc>
          <w:tcPr>
            <w:tcW w:w="73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45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980" w:bottom="1520" w:left="980" w:right="980"/>
        </w:sectPr>
      </w:pPr>
    </w:p>
    <w:p>
      <w:pPr>
        <w:spacing w:line="240" w:lineRule="auto" w:before="10"/>
        <w:rPr>
          <w:rFonts w:ascii="宋体" w:hAnsi="宋体" w:cs="宋体" w:eastAsia="宋体" w:hint="default"/>
          <w:sz w:val="28"/>
          <w:szCs w:val="28"/>
        </w:rPr>
      </w:pPr>
    </w:p>
    <w:p>
      <w:pPr>
        <w:spacing w:before="44"/>
        <w:ind w:left="0" w:right="896" w:firstLine="0"/>
        <w:jc w:val="right"/>
        <w:rPr>
          <w:rFonts w:ascii="宋体" w:hAnsi="宋体" w:cs="宋体" w:eastAsia="宋体" w:hint="default"/>
          <w:sz w:val="18"/>
          <w:szCs w:val="18"/>
        </w:rPr>
      </w:pPr>
      <w:r>
        <w:rPr>
          <w:rFonts w:ascii="宋体"/>
          <w:sz w:val="18"/>
        </w:rPr>
        <w:t>-1,132,664.70</w:t>
      </w:r>
    </w:p>
    <w:p>
      <w:pPr>
        <w:spacing w:before="125"/>
        <w:ind w:left="300" w:right="0" w:firstLine="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p>
      <w:pPr>
        <w:tabs>
          <w:tab w:pos="7785" w:val="left" w:leader="none"/>
        </w:tabs>
        <w:spacing w:before="3"/>
        <w:ind w:left="300" w:right="0" w:firstLine="0"/>
        <w:jc w:val="left"/>
        <w:rPr>
          <w:rFonts w:ascii="宋体" w:hAnsi="宋体" w:cs="宋体" w:eastAsia="宋体" w:hint="default"/>
          <w:sz w:val="18"/>
          <w:szCs w:val="18"/>
        </w:rPr>
      </w:pPr>
      <w:r>
        <w:rPr>
          <w:rFonts w:ascii="宋体" w:hAnsi="宋体" w:cs="宋体" w:eastAsia="宋体" w:hint="default"/>
          <w:sz w:val="18"/>
          <w:szCs w:val="18"/>
        </w:rPr>
        <w:t>存货的减少（增加以“－”号填列）</w:t>
        <w:tab/>
      </w:r>
      <w:r>
        <w:rPr>
          <w:rFonts w:ascii="宋体" w:hAnsi="宋体" w:cs="宋体" w:eastAsia="宋体" w:hint="default"/>
          <w:position w:val="8"/>
          <w:sz w:val="18"/>
          <w:szCs w:val="18"/>
        </w:rPr>
        <w:t>-34,498,337.98</w:t>
      </w:r>
      <w:r>
        <w:rPr>
          <w:rFonts w:ascii="宋体" w:hAnsi="宋体" w:cs="宋体" w:eastAsia="宋体" w:hint="default"/>
          <w:sz w:val="18"/>
          <w:szCs w:val="18"/>
        </w:rPr>
      </w:r>
    </w:p>
    <w:p>
      <w:pPr>
        <w:tabs>
          <w:tab w:pos="7695" w:val="left" w:leader="none"/>
        </w:tabs>
        <w:spacing w:before="5"/>
        <w:ind w:left="300" w:right="0" w:firstLine="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tab/>
      </w:r>
      <w:r>
        <w:rPr>
          <w:rFonts w:ascii="宋体" w:hAnsi="宋体" w:cs="宋体" w:eastAsia="宋体" w:hint="default"/>
          <w:position w:val="8"/>
          <w:sz w:val="18"/>
          <w:szCs w:val="18"/>
        </w:rPr>
        <w:t>-251,437,017.90</w:t>
      </w:r>
      <w:r>
        <w:rPr>
          <w:rFonts w:ascii="宋体" w:hAnsi="宋体" w:cs="宋体" w:eastAsia="宋体" w:hint="default"/>
          <w:sz w:val="18"/>
          <w:szCs w:val="18"/>
        </w:rPr>
      </w:r>
    </w:p>
    <w:p>
      <w:pPr>
        <w:tabs>
          <w:tab w:pos="7875" w:val="left" w:leader="none"/>
        </w:tabs>
        <w:spacing w:before="5"/>
        <w:ind w:left="300" w:right="0" w:firstLine="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tab/>
      </w:r>
      <w:r>
        <w:rPr>
          <w:rFonts w:ascii="宋体" w:hAnsi="宋体" w:cs="宋体" w:eastAsia="宋体" w:hint="default"/>
          <w:position w:val="8"/>
          <w:sz w:val="18"/>
          <w:szCs w:val="18"/>
        </w:rPr>
        <w:t>34,129,646.17</w:t>
      </w:r>
      <w:r>
        <w:rPr>
          <w:rFonts w:ascii="宋体" w:hAnsi="宋体" w:cs="宋体" w:eastAsia="宋体" w:hint="default"/>
          <w:sz w:val="18"/>
          <w:szCs w:val="18"/>
        </w:rPr>
      </w:r>
    </w:p>
    <w:p>
      <w:pPr>
        <w:tabs>
          <w:tab w:pos="7695" w:val="left" w:leader="none"/>
        </w:tabs>
        <w:spacing w:before="83"/>
        <w:ind w:left="300" w:right="0"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tab/>
        <w:t>-159,032,630.09</w:t>
      </w:r>
    </w:p>
    <w:p>
      <w:pPr>
        <w:pStyle w:val="BodyText"/>
        <w:spacing w:line="240" w:lineRule="auto" w:before="110"/>
        <w:ind w:left="694" w:right="0"/>
        <w:jc w:val="left"/>
      </w:pPr>
      <w:r>
        <w:rPr/>
        <w:t>六、母公司财务报表主要项目注释</w:t>
      </w:r>
    </w:p>
    <w:p>
      <w:pPr>
        <w:pStyle w:val="BodyText"/>
        <w:spacing w:line="240" w:lineRule="auto" w:before="126"/>
        <w:ind w:left="694" w:right="0"/>
        <w:jc w:val="left"/>
      </w:pPr>
      <w:r>
        <w:rPr/>
        <w:t>（以下金额单位若未特别注明者均为人民币元，凡未注明年初数的均为年末数）</w:t>
      </w:r>
    </w:p>
    <w:p>
      <w:pPr>
        <w:pStyle w:val="BodyText"/>
        <w:spacing w:line="319" w:lineRule="auto" w:before="125"/>
        <w:ind w:left="693" w:right="761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应收账款</w:t>
      </w:r>
      <w:r>
        <w:rPr>
          <w:spacing w:val="-1"/>
          <w:w w:val="99"/>
        </w:rPr>
        <w:t> </w:t>
      </w:r>
      <w:r>
        <w:rPr>
          <w:rFonts w:ascii="Times New Roman" w:hAnsi="Times New Roman" w:cs="Times New Roman" w:eastAsia="Times New Roman" w:hint="default"/>
        </w:rPr>
        <w:t>1.</w:t>
      </w:r>
      <w:r>
        <w:rPr/>
        <w:t>应收账款构成</w:t>
      </w:r>
    </w:p>
    <w:p>
      <w:pPr>
        <w:tabs>
          <w:tab w:pos="3431" w:val="left" w:leader="none"/>
          <w:tab w:pos="5498" w:val="left" w:leader="none"/>
          <w:tab w:pos="5763" w:val="left" w:leader="none"/>
          <w:tab w:pos="7438" w:val="left" w:leader="none"/>
          <w:tab w:pos="9509" w:val="left" w:leader="none"/>
        </w:tabs>
        <w:spacing w:line="230" w:lineRule="exact" w:before="0"/>
        <w:ind w:left="1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9"/>
          <w:sz w:val="18"/>
          <w:szCs w:val="18"/>
          <w:u w:val="single" w:color="000000"/>
        </w:rPr>
        <w:t>年末数</w:t>
        <w:tab/>
      </w:r>
      <w:r>
        <w:rPr>
          <w:rFonts w:ascii="宋体" w:hAnsi="宋体" w:cs="宋体" w:eastAsia="宋体" w:hint="default"/>
          <w:spacing w:val="-19"/>
          <w:sz w:val="18"/>
          <w:szCs w:val="18"/>
        </w:rPr>
        <w:tab/>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pacing w:val="-19"/>
          <w:sz w:val="18"/>
          <w:szCs w:val="18"/>
          <w:u w:val="single" w:color="000000"/>
        </w:rPr>
        <w:t> </w:t>
        <w:tab/>
      </w:r>
      <w:r>
        <w:rPr>
          <w:rFonts w:ascii="宋体" w:hAnsi="宋体" w:cs="宋体" w:eastAsia="宋体" w:hint="default"/>
          <w:spacing w:val="-19"/>
          <w:sz w:val="18"/>
          <w:szCs w:val="18"/>
          <w:u w:val="single" w:color="000000"/>
        </w:rPr>
        <w:t>年初数</w:t>
        <w:tab/>
      </w:r>
      <w:r>
        <w:rPr>
          <w:rFonts w:ascii="宋体" w:hAnsi="宋体" w:cs="宋体" w:eastAsia="宋体" w:hint="default"/>
          <w:spacing w:val="-19"/>
          <w:sz w:val="18"/>
          <w:szCs w:val="18"/>
        </w:rPr>
      </w:r>
    </w:p>
    <w:p>
      <w:pPr>
        <w:spacing w:after="0" w:line="230" w:lineRule="exact"/>
        <w:jc w:val="left"/>
        <w:rPr>
          <w:rFonts w:ascii="宋体" w:hAnsi="宋体" w:cs="宋体" w:eastAsia="宋体" w:hint="default"/>
          <w:sz w:val="18"/>
          <w:szCs w:val="18"/>
        </w:rPr>
        <w:sectPr>
          <w:pgSz w:w="11910" w:h="16840"/>
          <w:pgMar w:header="747" w:footer="1339" w:top="980" w:bottom="1520" w:left="980" w:right="980"/>
        </w:sectPr>
      </w:pPr>
    </w:p>
    <w:p>
      <w:pPr>
        <w:spacing w:before="82"/>
        <w:ind w:left="598" w:right="351"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r>
      <w:r>
        <w:rPr>
          <w:rFonts w:ascii="宋体" w:hAnsi="宋体" w:cs="宋体" w:eastAsia="宋体" w:hint="default"/>
          <w:spacing w:val="6"/>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line="316" w:lineRule="auto" w:before="0"/>
        <w:ind w:left="247"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单项金额重大 </w:t>
      </w:r>
      <w:r>
        <w:rPr>
          <w:rFonts w:ascii="宋体" w:hAnsi="宋体" w:cs="宋体" w:eastAsia="宋体" w:hint="default"/>
          <w:spacing w:val="-10"/>
          <w:sz w:val="18"/>
          <w:szCs w:val="18"/>
        </w:rPr>
        <w:t>并已单独计提坏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9"/>
          <w:sz w:val="18"/>
          <w:szCs w:val="18"/>
        </w:rPr>
        <w:t>账准备的款项</w:t>
      </w:r>
      <w:r>
        <w:rPr>
          <w:rFonts w:ascii="宋体" w:hAnsi="宋体" w:cs="宋体" w:eastAsia="宋体" w:hint="default"/>
          <w:sz w:val="18"/>
          <w:szCs w:val="18"/>
        </w:rPr>
      </w:r>
    </w:p>
    <w:p>
      <w:pPr>
        <w:spacing w:line="316" w:lineRule="auto" w:before="27"/>
        <w:ind w:left="247"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单项金额非重 </w:t>
      </w:r>
      <w:r>
        <w:rPr>
          <w:rFonts w:ascii="宋体" w:hAnsi="宋体" w:cs="宋体" w:eastAsia="宋体" w:hint="default"/>
          <w:spacing w:val="-10"/>
          <w:sz w:val="18"/>
          <w:szCs w:val="18"/>
        </w:rPr>
        <w:t>大并已单独计提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9"/>
          <w:sz w:val="18"/>
          <w:szCs w:val="18"/>
        </w:rPr>
        <w:t>坏账准备的款项</w:t>
      </w:r>
      <w:r>
        <w:rPr>
          <w:rFonts w:ascii="宋体" w:hAnsi="宋体" w:cs="宋体" w:eastAsia="宋体" w:hint="default"/>
          <w:sz w:val="18"/>
          <w:szCs w:val="18"/>
        </w:rPr>
      </w:r>
    </w:p>
    <w:p>
      <w:pPr>
        <w:spacing w:before="27"/>
        <w:ind w:left="247" w:right="0"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其他按账龄段</w:t>
      </w:r>
      <w:r>
        <w:rPr>
          <w:rFonts w:ascii="宋体" w:hAnsi="宋体" w:cs="宋体" w:eastAsia="宋体" w:hint="default"/>
          <w:sz w:val="18"/>
          <w:szCs w:val="18"/>
        </w:rPr>
      </w:r>
    </w:p>
    <w:p>
      <w:pPr>
        <w:spacing w:line="240" w:lineRule="auto" w:before="8"/>
        <w:rPr>
          <w:rFonts w:ascii="宋体" w:hAnsi="宋体" w:cs="宋体" w:eastAsia="宋体" w:hint="default"/>
          <w:sz w:val="18"/>
          <w:szCs w:val="18"/>
        </w:rPr>
      </w:pPr>
      <w:r>
        <w:rPr/>
        <w:br w:type="column"/>
      </w:r>
      <w:r>
        <w:rPr>
          <w:rFonts w:ascii="宋体"/>
          <w:sz w:val="18"/>
        </w:rPr>
      </w:r>
    </w:p>
    <w:p>
      <w:pPr>
        <w:spacing w:before="0"/>
        <w:ind w:left="247" w:right="-15"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9"/>
          <w:sz w:val="18"/>
          <w:szCs w:val="18"/>
          <w:u w:val="single" w:color="000000"/>
        </w:rPr>
        <w:t>账面余额</w:t>
      </w:r>
      <w:r>
        <w:rPr>
          <w:rFonts w:ascii="宋体" w:hAnsi="宋体" w:cs="宋体" w:eastAsia="宋体" w:hint="default"/>
          <w:spacing w:val="-29"/>
          <w:sz w:val="18"/>
          <w:szCs w:val="18"/>
        </w:rPr>
      </w:r>
      <w:r>
        <w:rPr>
          <w:rFonts w:ascii="宋体" w:hAnsi="宋体" w:cs="宋体" w:eastAsia="宋体" w:hint="default"/>
          <w:sz w:val="18"/>
          <w:szCs w:val="18"/>
        </w:rPr>
      </w:r>
    </w:p>
    <w:p>
      <w:pPr>
        <w:spacing w:line="326" w:lineRule="auto" w:before="83"/>
        <w:ind w:left="324" w:right="-19" w:hanging="77"/>
        <w:jc w:val="left"/>
        <w:rPr>
          <w:rFonts w:ascii="宋体" w:hAnsi="宋体" w:cs="宋体" w:eastAsia="宋体" w:hint="default"/>
          <w:sz w:val="18"/>
          <w:szCs w:val="18"/>
        </w:rPr>
      </w:pPr>
      <w:r>
        <w:rPr>
          <w:spacing w:val="-19"/>
        </w:rPr>
        <w:br w:type="column"/>
      </w:r>
      <w:r>
        <w:rPr>
          <w:rFonts w:ascii="宋体" w:hAnsi="宋体" w:cs="宋体" w:eastAsia="宋体" w:hint="default"/>
          <w:spacing w:val="-19"/>
          <w:sz w:val="18"/>
          <w:szCs w:val="18"/>
        </w:rPr>
        <w:t>占总额</w:t>
      </w:r>
      <w:r>
        <w:rPr>
          <w:rFonts w:ascii="宋体" w:hAnsi="宋体" w:cs="宋体" w:eastAsia="宋体" w:hint="default"/>
          <w:sz w:val="18"/>
          <w:szCs w:val="18"/>
        </w:rPr>
        <w:t> </w:t>
      </w:r>
      <w:r>
        <w:rPr>
          <w:rFonts w:ascii="宋体" w:hAnsi="宋体" w:cs="宋体" w:eastAsia="宋体" w:hint="default"/>
          <w:spacing w:val="-29"/>
          <w:sz w:val="18"/>
          <w:szCs w:val="18"/>
          <w:u w:val="single" w:color="000000"/>
        </w:rPr>
        <w:t>比例</w:t>
      </w:r>
      <w:r>
        <w:rPr>
          <w:rFonts w:ascii="宋体" w:hAnsi="宋体" w:cs="宋体" w:eastAsia="宋体" w:hint="default"/>
          <w:spacing w:val="-29"/>
          <w:sz w:val="18"/>
          <w:szCs w:val="18"/>
        </w:rPr>
      </w:r>
      <w:r>
        <w:rPr>
          <w:rFonts w:ascii="宋体" w:hAnsi="宋体" w:cs="宋体" w:eastAsia="宋体" w:hint="default"/>
          <w:sz w:val="18"/>
          <w:szCs w:val="18"/>
        </w:rPr>
      </w:r>
    </w:p>
    <w:p>
      <w:pPr>
        <w:spacing w:line="326" w:lineRule="auto" w:before="83"/>
        <w:ind w:left="200" w:right="-16" w:hanging="2"/>
        <w:jc w:val="left"/>
        <w:rPr>
          <w:rFonts w:ascii="宋体" w:hAnsi="宋体" w:cs="宋体" w:eastAsia="宋体" w:hint="default"/>
          <w:sz w:val="18"/>
          <w:szCs w:val="18"/>
        </w:rPr>
      </w:pPr>
      <w:r>
        <w:rPr>
          <w:spacing w:val="-29"/>
        </w:rPr>
        <w:br w:type="column"/>
      </w:r>
      <w:r>
        <w:rPr>
          <w:rFonts w:ascii="宋体" w:hAnsi="宋体" w:cs="宋体" w:eastAsia="宋体" w:hint="default"/>
          <w:spacing w:val="-29"/>
          <w:sz w:val="18"/>
          <w:szCs w:val="18"/>
        </w:rPr>
        <w:t>坏账准备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9"/>
          <w:sz w:val="18"/>
          <w:szCs w:val="18"/>
          <w:u w:val="single" w:color="000000"/>
        </w:rPr>
        <w:t>计提比例</w:t>
      </w:r>
      <w:r>
        <w:rPr>
          <w:rFonts w:ascii="宋体" w:hAnsi="宋体" w:cs="宋体" w:eastAsia="宋体" w:hint="default"/>
          <w:spacing w:val="-29"/>
          <w:sz w:val="18"/>
          <w:szCs w:val="18"/>
        </w:rPr>
      </w:r>
      <w:r>
        <w:rPr>
          <w:rFonts w:ascii="宋体" w:hAnsi="宋体" w:cs="宋体" w:eastAsia="宋体" w:hint="default"/>
          <w:sz w:val="18"/>
          <w:szCs w:val="18"/>
        </w:rPr>
      </w:r>
    </w:p>
    <w:p>
      <w:pPr>
        <w:spacing w:line="240" w:lineRule="auto" w:before="8"/>
        <w:rPr>
          <w:rFonts w:ascii="宋体" w:hAnsi="宋体" w:cs="宋体" w:eastAsia="宋体" w:hint="default"/>
          <w:sz w:val="18"/>
          <w:szCs w:val="18"/>
        </w:rPr>
      </w:pPr>
      <w:r>
        <w:rPr/>
        <w:br w:type="column"/>
      </w:r>
      <w:r>
        <w:rPr>
          <w:rFonts w:ascii="宋体"/>
          <w:sz w:val="18"/>
        </w:rPr>
      </w:r>
    </w:p>
    <w:p>
      <w:pPr>
        <w:tabs>
          <w:tab w:pos="1514" w:val="left" w:leader="none"/>
        </w:tabs>
        <w:spacing w:before="0"/>
        <w:ind w:left="247" w:right="-15"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2"/>
          <w:sz w:val="18"/>
          <w:szCs w:val="18"/>
          <w:u w:val="single" w:color="000000"/>
        </w:rPr>
        <w:t>坏账准备</w:t>
      </w:r>
      <w:r>
        <w:rPr>
          <w:rFonts w:ascii="宋体" w:hAnsi="宋体" w:cs="宋体" w:eastAsia="宋体" w:hint="default"/>
          <w:spacing w:val="-22"/>
          <w:sz w:val="18"/>
          <w:szCs w:val="18"/>
        </w:rPr>
        <w:tab/>
      </w:r>
      <w:r>
        <w:rPr>
          <w:rFonts w:ascii="宋体" w:hAnsi="宋体" w:cs="宋体" w:eastAsia="宋体" w:hint="default"/>
          <w:spacing w:val="-29"/>
          <w:sz w:val="18"/>
          <w:szCs w:val="18"/>
          <w:u w:val="single" w:color="000000"/>
        </w:rPr>
        <w:t>账面余额</w:t>
      </w:r>
      <w:r>
        <w:rPr>
          <w:rFonts w:ascii="宋体" w:hAnsi="宋体" w:cs="宋体" w:eastAsia="宋体" w:hint="default"/>
          <w:spacing w:val="-29"/>
          <w:sz w:val="18"/>
          <w:szCs w:val="18"/>
        </w:rPr>
      </w:r>
      <w:r>
        <w:rPr>
          <w:rFonts w:ascii="宋体" w:hAnsi="宋体" w:cs="宋体" w:eastAsia="宋体" w:hint="default"/>
          <w:sz w:val="18"/>
          <w:szCs w:val="18"/>
        </w:rPr>
      </w:r>
    </w:p>
    <w:p>
      <w:pPr>
        <w:spacing w:line="326" w:lineRule="auto" w:before="83"/>
        <w:ind w:left="324" w:right="-19" w:hanging="77"/>
        <w:jc w:val="left"/>
        <w:rPr>
          <w:rFonts w:ascii="宋体" w:hAnsi="宋体" w:cs="宋体" w:eastAsia="宋体" w:hint="default"/>
          <w:sz w:val="18"/>
          <w:szCs w:val="18"/>
        </w:rPr>
      </w:pPr>
      <w:r>
        <w:rPr>
          <w:spacing w:val="-19"/>
        </w:rPr>
        <w:br w:type="column"/>
      </w:r>
      <w:r>
        <w:rPr>
          <w:rFonts w:ascii="宋体" w:hAnsi="宋体" w:cs="宋体" w:eastAsia="宋体" w:hint="default"/>
          <w:spacing w:val="-19"/>
          <w:sz w:val="18"/>
          <w:szCs w:val="18"/>
        </w:rPr>
        <w:t>占总额</w:t>
      </w:r>
      <w:r>
        <w:rPr>
          <w:rFonts w:ascii="宋体" w:hAnsi="宋体" w:cs="宋体" w:eastAsia="宋体" w:hint="default"/>
          <w:sz w:val="18"/>
          <w:szCs w:val="18"/>
        </w:rPr>
        <w:t> </w:t>
      </w:r>
      <w:r>
        <w:rPr>
          <w:rFonts w:ascii="宋体" w:hAnsi="宋体" w:cs="宋体" w:eastAsia="宋体" w:hint="default"/>
          <w:spacing w:val="-29"/>
          <w:sz w:val="18"/>
          <w:szCs w:val="18"/>
          <w:u w:val="single" w:color="000000"/>
        </w:rPr>
        <w:t>比例</w:t>
      </w:r>
      <w:r>
        <w:rPr>
          <w:rFonts w:ascii="宋体" w:hAnsi="宋体" w:cs="宋体" w:eastAsia="宋体" w:hint="default"/>
          <w:spacing w:val="-29"/>
          <w:sz w:val="18"/>
          <w:szCs w:val="18"/>
        </w:rPr>
      </w:r>
      <w:r>
        <w:rPr>
          <w:rFonts w:ascii="宋体" w:hAnsi="宋体" w:cs="宋体" w:eastAsia="宋体" w:hint="default"/>
          <w:sz w:val="18"/>
          <w:szCs w:val="18"/>
        </w:rPr>
      </w:r>
    </w:p>
    <w:p>
      <w:pPr>
        <w:spacing w:line="326" w:lineRule="auto" w:before="83"/>
        <w:ind w:left="165" w:right="-16" w:hanging="2"/>
        <w:jc w:val="left"/>
        <w:rPr>
          <w:rFonts w:ascii="宋体" w:hAnsi="宋体" w:cs="宋体" w:eastAsia="宋体" w:hint="default"/>
          <w:sz w:val="18"/>
          <w:szCs w:val="18"/>
        </w:rPr>
      </w:pPr>
      <w:r>
        <w:rPr>
          <w:spacing w:val="-29"/>
        </w:rPr>
        <w:br w:type="column"/>
      </w:r>
      <w:r>
        <w:rPr>
          <w:rFonts w:ascii="宋体" w:hAnsi="宋体" w:cs="宋体" w:eastAsia="宋体" w:hint="default"/>
          <w:spacing w:val="-29"/>
          <w:sz w:val="18"/>
          <w:szCs w:val="18"/>
        </w:rPr>
        <w:t>坏账准备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9"/>
          <w:sz w:val="18"/>
          <w:szCs w:val="18"/>
          <w:u w:val="single" w:color="000000"/>
        </w:rPr>
        <w:t>计提比例</w:t>
      </w:r>
      <w:r>
        <w:rPr>
          <w:rFonts w:ascii="宋体" w:hAnsi="宋体" w:cs="宋体" w:eastAsia="宋体" w:hint="default"/>
          <w:spacing w:val="-29"/>
          <w:sz w:val="18"/>
          <w:szCs w:val="18"/>
        </w:rPr>
      </w:r>
      <w:r>
        <w:rPr>
          <w:rFonts w:ascii="宋体" w:hAnsi="宋体" w:cs="宋体" w:eastAsia="宋体" w:hint="default"/>
          <w:sz w:val="18"/>
          <w:szCs w:val="18"/>
        </w:rPr>
      </w:r>
    </w:p>
    <w:p>
      <w:pPr>
        <w:spacing w:line="240" w:lineRule="auto" w:before="8"/>
        <w:rPr>
          <w:rFonts w:ascii="宋体" w:hAnsi="宋体" w:cs="宋体" w:eastAsia="宋体" w:hint="default"/>
          <w:sz w:val="18"/>
          <w:szCs w:val="18"/>
        </w:rPr>
      </w:pPr>
      <w:r>
        <w:rPr/>
        <w:br w:type="column"/>
      </w:r>
      <w:r>
        <w:rPr>
          <w:rFonts w:ascii="宋体"/>
          <w:sz w:val="18"/>
        </w:rPr>
      </w:r>
    </w:p>
    <w:p>
      <w:pPr>
        <w:spacing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9"/>
          <w:sz w:val="18"/>
          <w:szCs w:val="18"/>
          <w:u w:val="single" w:color="000000"/>
        </w:rPr>
        <w:t>坏账准备</w:t>
      </w:r>
      <w:r>
        <w:rPr>
          <w:rFonts w:ascii="宋体" w:hAnsi="宋体" w:cs="宋体" w:eastAsia="宋体" w:hint="default"/>
          <w:spacing w:val="-29"/>
          <w:sz w:val="18"/>
          <w:szCs w:val="18"/>
        </w:rPr>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cols w:num="8" w:equalWidth="0">
            <w:col w:w="1446" w:space="179"/>
            <w:col w:w="857" w:space="232"/>
            <w:col w:w="732" w:space="40"/>
            <w:col w:w="809" w:space="195"/>
            <w:col w:w="2124" w:space="219"/>
            <w:col w:w="732" w:space="40"/>
            <w:col w:w="774" w:space="123"/>
            <w:col w:w="1448"/>
          </w:cols>
        </w:sectPr>
      </w:pPr>
    </w:p>
    <w:p>
      <w:pPr>
        <w:spacing w:line="326" w:lineRule="auto" w:before="70"/>
        <w:ind w:left="247" w:right="-17" w:firstLine="0"/>
        <w:jc w:val="left"/>
        <w:rPr>
          <w:rFonts w:ascii="宋体" w:hAnsi="宋体" w:cs="宋体" w:eastAsia="宋体" w:hint="default"/>
          <w:sz w:val="18"/>
          <w:szCs w:val="18"/>
        </w:rPr>
      </w:pPr>
      <w:r>
        <w:rPr/>
        <w:pict>
          <v:shape style="position:absolute;margin-left:61.3797pt;margin-top:33.317348pt;width:464.85pt;height:264.4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3"/>
                    <w:gridCol w:w="1326"/>
                    <w:gridCol w:w="1518"/>
                    <w:gridCol w:w="1337"/>
                    <w:gridCol w:w="1499"/>
                    <w:gridCol w:w="1003"/>
                  </w:tblGrid>
                  <w:tr>
                    <w:trPr>
                      <w:trHeight w:val="930" w:hRule="exact"/>
                    </w:trPr>
                    <w:tc>
                      <w:tcPr>
                        <w:tcW w:w="2613" w:type="dxa"/>
                        <w:tcBorders>
                          <w:top w:val="nil" w:sz="6" w:space="0" w:color="auto"/>
                          <w:left w:val="nil" w:sz="6" w:space="0" w:color="auto"/>
                          <w:bottom w:val="nil" w:sz="6" w:space="0" w:color="auto"/>
                          <w:right w:val="nil" w:sz="6" w:space="0" w:color="auto"/>
                        </w:tcBorders>
                      </w:tcPr>
                      <w:p>
                        <w:pPr>
                          <w:pStyle w:val="TableParagraph"/>
                          <w:tabs>
                            <w:tab w:pos="1407" w:val="left" w:leader="none"/>
                          </w:tabs>
                          <w:spacing w:line="240" w:lineRule="auto" w:before="44"/>
                          <w:ind w:right="0"/>
                          <w:jc w:val="left"/>
                          <w:rPr>
                            <w:rFonts w:ascii="宋体" w:hAnsi="宋体" w:cs="宋体" w:eastAsia="宋体" w:hint="default"/>
                            <w:sz w:val="18"/>
                            <w:szCs w:val="18"/>
                          </w:rPr>
                        </w:pPr>
                        <w:r>
                          <w:rPr>
                            <w:rFonts w:ascii="宋体" w:hAnsi="宋体" w:cs="宋体" w:eastAsia="宋体" w:hint="default"/>
                            <w:spacing w:val="-22"/>
                            <w:sz w:val="18"/>
                            <w:szCs w:val="18"/>
                          </w:rPr>
                          <w:t>其中：</w:t>
                        </w:r>
                        <w:r>
                          <w:rPr>
                            <w:rFonts w:ascii="Times New Roman" w:hAnsi="Times New Roman" w:cs="Times New Roman" w:eastAsia="Times New Roman" w:hint="default"/>
                            <w:spacing w:val="-22"/>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pacing w:val="-19"/>
                            <w:sz w:val="18"/>
                            <w:szCs w:val="18"/>
                          </w:rPr>
                          <w:t>年以内</w:t>
                          <w:tab/>
                        </w:r>
                        <w:r>
                          <w:rPr>
                            <w:rFonts w:ascii="宋体" w:hAnsi="宋体" w:cs="宋体" w:eastAsia="宋体" w:hint="default"/>
                            <w:spacing w:val="-14"/>
                            <w:sz w:val="18"/>
                            <w:szCs w:val="18"/>
                          </w:rPr>
                          <w:t>325,678,538.74</w:t>
                        </w:r>
                      </w:p>
                      <w:p>
                        <w:pPr>
                          <w:pStyle w:val="TableParagraph"/>
                          <w:spacing w:line="240" w:lineRule="auto" w:before="70"/>
                          <w:ind w:left="455"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71"/>
                          <w:ind w:left="455"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41"/>
                          <w:jc w:val="right"/>
                          <w:rPr>
                            <w:rFonts w:ascii="宋体" w:hAnsi="宋体" w:cs="宋体" w:eastAsia="宋体" w:hint="default"/>
                            <w:sz w:val="18"/>
                            <w:szCs w:val="18"/>
                          </w:rPr>
                        </w:pPr>
                        <w:r>
                          <w:rPr>
                            <w:rFonts w:ascii="宋体"/>
                            <w:spacing w:val="-15"/>
                            <w:sz w:val="18"/>
                          </w:rPr>
                          <w:t>100%</w:t>
                        </w:r>
                        <w:r>
                          <w:rPr>
                            <w:rFonts w:ascii="宋体"/>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4" w:right="0"/>
                          <w:jc w:val="left"/>
                          <w:rPr>
                            <w:rFonts w:ascii="宋体" w:hAnsi="宋体" w:cs="宋体" w:eastAsia="宋体" w:hint="default"/>
                            <w:sz w:val="18"/>
                            <w:szCs w:val="18"/>
                          </w:rPr>
                        </w:pPr>
                        <w:r>
                          <w:rPr>
                            <w:rFonts w:ascii="宋体"/>
                            <w:spacing w:val="-15"/>
                            <w:sz w:val="18"/>
                          </w:rPr>
                          <w:t>16,283,926.94</w:t>
                        </w:r>
                        <w:r>
                          <w:rPr>
                            <w:rFonts w:ascii="宋体"/>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 w:right="0"/>
                          <w:jc w:val="left"/>
                          <w:rPr>
                            <w:rFonts w:ascii="宋体" w:hAnsi="宋体" w:cs="宋体" w:eastAsia="宋体" w:hint="default"/>
                            <w:sz w:val="18"/>
                            <w:szCs w:val="18"/>
                          </w:rPr>
                        </w:pPr>
                        <w:r>
                          <w:rPr>
                            <w:rFonts w:ascii="宋体"/>
                            <w:spacing w:val="-14"/>
                            <w:sz w:val="18"/>
                          </w:rPr>
                          <w:t>109,546,489.88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0"/>
                          <w:jc w:val="right"/>
                          <w:rPr>
                            <w:rFonts w:ascii="宋体" w:hAnsi="宋体" w:cs="宋体" w:eastAsia="宋体" w:hint="default"/>
                            <w:sz w:val="18"/>
                            <w:szCs w:val="18"/>
                          </w:rPr>
                        </w:pPr>
                        <w:r>
                          <w:rPr>
                            <w:rFonts w:ascii="宋体"/>
                            <w:spacing w:val="-15"/>
                            <w:sz w:val="18"/>
                          </w:rPr>
                          <w:t>100%</w:t>
                        </w:r>
                        <w:r>
                          <w:rPr>
                            <w:rFonts w:ascii="宋体"/>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宋体" w:hAnsi="宋体" w:cs="宋体" w:eastAsia="宋体" w:hint="default"/>
                            <w:sz w:val="18"/>
                            <w:szCs w:val="18"/>
                          </w:rPr>
                        </w:pPr>
                        <w:r>
                          <w:rPr>
                            <w:rFonts w:ascii="宋体"/>
                            <w:spacing w:val="-15"/>
                            <w:sz w:val="18"/>
                          </w:rPr>
                          <w:t>5,477,324.49</w:t>
                        </w:r>
                        <w:r>
                          <w:rPr>
                            <w:rFonts w:ascii="宋体"/>
                            <w:sz w:val="18"/>
                          </w:rPr>
                        </w:r>
                      </w:p>
                    </w:tc>
                  </w:tr>
                  <w:tr>
                    <w:trPr>
                      <w:trHeight w:val="852"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pacing w:val="-19"/>
                            <w:sz w:val="18"/>
                            <w:szCs w:val="18"/>
                          </w:rPr>
                          <w:t>年以上</w:t>
                        </w:r>
                      </w:p>
                      <w:p>
                        <w:pPr>
                          <w:pStyle w:val="TableParagraph"/>
                          <w:spacing w:line="240" w:lineRule="auto" w:before="9"/>
                          <w:ind w:right="0"/>
                          <w:jc w:val="left"/>
                          <w:rPr>
                            <w:rFonts w:ascii="宋体" w:hAnsi="宋体" w:cs="宋体" w:eastAsia="宋体" w:hint="default"/>
                            <w:sz w:val="20"/>
                            <w:szCs w:val="20"/>
                          </w:rPr>
                        </w:pPr>
                      </w:p>
                      <w:p>
                        <w:pPr>
                          <w:pStyle w:val="TableParagraph"/>
                          <w:tabs>
                            <w:tab w:pos="1407" w:val="left" w:leader="none"/>
                          </w:tabs>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
                            <w:sz w:val="18"/>
                            <w:szCs w:val="18"/>
                          </w:rPr>
                          <w:t> </w:t>
                        </w:r>
                        <w:r>
                          <w:rPr>
                            <w:rFonts w:ascii="宋体" w:hAnsi="宋体" w:cs="宋体" w:eastAsia="宋体" w:hint="default"/>
                            <w:sz w:val="18"/>
                            <w:szCs w:val="18"/>
                          </w:rPr>
                          <w:t>计</w:t>
                          <w:tab/>
                        </w:r>
                        <w:r>
                          <w:rPr>
                            <w:rFonts w:ascii="宋体" w:hAnsi="宋体" w:cs="宋体" w:eastAsia="宋体" w:hint="default"/>
                            <w:spacing w:val="-14"/>
                            <w:sz w:val="18"/>
                            <w:szCs w:val="18"/>
                          </w:rPr>
                          <w:t>325,678,538.74</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741"/>
                          <w:jc w:val="right"/>
                          <w:rPr>
                            <w:rFonts w:ascii="宋体" w:hAnsi="宋体" w:cs="宋体" w:eastAsia="宋体" w:hint="default"/>
                            <w:sz w:val="18"/>
                            <w:szCs w:val="18"/>
                          </w:rPr>
                        </w:pPr>
                        <w:r>
                          <w:rPr>
                            <w:rFonts w:ascii="宋体"/>
                            <w:spacing w:val="-15"/>
                            <w:sz w:val="18"/>
                          </w:rPr>
                          <w:t>100%</w:t>
                        </w:r>
                        <w:r>
                          <w:rPr>
                            <w:rFonts w:ascii="宋体"/>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74" w:right="0"/>
                          <w:jc w:val="left"/>
                          <w:rPr>
                            <w:rFonts w:ascii="宋体" w:hAnsi="宋体" w:cs="宋体" w:eastAsia="宋体" w:hint="default"/>
                            <w:sz w:val="18"/>
                            <w:szCs w:val="18"/>
                          </w:rPr>
                        </w:pPr>
                        <w:r>
                          <w:rPr>
                            <w:rFonts w:ascii="宋体"/>
                            <w:spacing w:val="-15"/>
                            <w:sz w:val="18"/>
                          </w:rPr>
                          <w:t>16,283,926.94</w:t>
                        </w:r>
                        <w:r>
                          <w:rPr>
                            <w:rFonts w:ascii="宋体"/>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9" w:right="0"/>
                          <w:jc w:val="left"/>
                          <w:rPr>
                            <w:rFonts w:ascii="宋体" w:hAnsi="宋体" w:cs="宋体" w:eastAsia="宋体" w:hint="default"/>
                            <w:sz w:val="18"/>
                            <w:szCs w:val="18"/>
                          </w:rPr>
                        </w:pPr>
                        <w:r>
                          <w:rPr>
                            <w:rFonts w:ascii="宋体"/>
                            <w:spacing w:val="-14"/>
                            <w:sz w:val="18"/>
                          </w:rPr>
                          <w:t>109,546,489.88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0"/>
                          <w:jc w:val="right"/>
                          <w:rPr>
                            <w:rFonts w:ascii="宋体" w:hAnsi="宋体" w:cs="宋体" w:eastAsia="宋体" w:hint="default"/>
                            <w:sz w:val="18"/>
                            <w:szCs w:val="18"/>
                          </w:rPr>
                        </w:pPr>
                        <w:r>
                          <w:rPr>
                            <w:rFonts w:ascii="宋体"/>
                            <w:spacing w:val="-15"/>
                            <w:sz w:val="18"/>
                          </w:rPr>
                          <w:t>100%</w:t>
                        </w:r>
                        <w:r>
                          <w:rPr>
                            <w:rFonts w:ascii="宋体"/>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center"/>
                          <w:rPr>
                            <w:rFonts w:ascii="宋体" w:hAnsi="宋体" w:cs="宋体" w:eastAsia="宋体" w:hint="default"/>
                            <w:sz w:val="18"/>
                            <w:szCs w:val="18"/>
                          </w:rPr>
                        </w:pPr>
                        <w:r>
                          <w:rPr>
                            <w:rFonts w:ascii="宋体"/>
                            <w:spacing w:val="-15"/>
                            <w:sz w:val="18"/>
                          </w:rPr>
                          <w:t>5,477,324.49</w:t>
                        </w:r>
                        <w:r>
                          <w:rPr>
                            <w:rFonts w:ascii="宋体"/>
                            <w:sz w:val="18"/>
                          </w:rPr>
                        </w:r>
                      </w:p>
                    </w:tc>
                  </w:tr>
                  <w:tr>
                    <w:trPr>
                      <w:trHeight w:val="202"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02" w:lineRule="exact"/>
                          <w:ind w:left="1407" w:right="0"/>
                          <w:jc w:val="left"/>
                          <w:rPr>
                            <w:rFonts w:ascii="宋体" w:hAnsi="宋体" w:cs="宋体" w:eastAsia="宋体" w:hint="default"/>
                            <w:sz w:val="18"/>
                            <w:szCs w:val="18"/>
                          </w:rPr>
                        </w:pPr>
                        <w:r>
                          <w:rPr>
                            <w:rFonts w:ascii="宋体"/>
                            <w:spacing w:val="-14"/>
                            <w:sz w:val="18"/>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02" w:lineRule="exact"/>
                          <w:ind w:right="741"/>
                          <w:jc w:val="right"/>
                          <w:rPr>
                            <w:rFonts w:ascii="宋体" w:hAnsi="宋体" w:cs="宋体" w:eastAsia="宋体" w:hint="default"/>
                            <w:sz w:val="18"/>
                            <w:szCs w:val="18"/>
                          </w:rPr>
                        </w:pPr>
                        <w:r>
                          <w:rPr>
                            <w:rFonts w:ascii="宋体"/>
                            <w:spacing w:val="-15"/>
                            <w:sz w:val="18"/>
                          </w:rPr>
                          <w:t>======</w:t>
                        </w:r>
                        <w:r>
                          <w:rPr>
                            <w:rFonts w:ascii="宋体"/>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02" w:lineRule="exact"/>
                          <w:ind w:left="374" w:right="0"/>
                          <w:jc w:val="left"/>
                          <w:rPr>
                            <w:rFonts w:ascii="宋体" w:hAnsi="宋体" w:cs="宋体" w:eastAsia="宋体" w:hint="default"/>
                            <w:sz w:val="18"/>
                            <w:szCs w:val="18"/>
                          </w:rPr>
                        </w:pPr>
                        <w:r>
                          <w:rPr>
                            <w:rFonts w:ascii="宋体"/>
                            <w:spacing w:val="-15"/>
                            <w:sz w:val="18"/>
                          </w:rPr>
                          <w:t>=============</w:t>
                        </w:r>
                        <w:r>
                          <w:rPr>
                            <w:rFonts w:ascii="宋体"/>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02" w:lineRule="exact"/>
                          <w:ind w:left="79" w:right="0"/>
                          <w:jc w:val="left"/>
                          <w:rPr>
                            <w:rFonts w:ascii="宋体" w:hAnsi="宋体" w:cs="宋体" w:eastAsia="宋体" w:hint="default"/>
                            <w:sz w:val="18"/>
                            <w:szCs w:val="18"/>
                          </w:rPr>
                        </w:pPr>
                        <w:r>
                          <w:rPr>
                            <w:rFonts w:ascii="宋体"/>
                            <w:spacing w:val="-14"/>
                            <w:sz w:val="18"/>
                          </w:rPr>
                          <w:t>==============</w:t>
                        </w:r>
                      </w:p>
                    </w:tc>
                    <w:tc>
                      <w:tcPr>
                        <w:tcW w:w="1499" w:type="dxa"/>
                        <w:tcBorders>
                          <w:top w:val="nil" w:sz="6" w:space="0" w:color="auto"/>
                          <w:left w:val="nil" w:sz="6" w:space="0" w:color="auto"/>
                          <w:bottom w:val="nil" w:sz="6" w:space="0" w:color="auto"/>
                          <w:right w:val="nil" w:sz="6" w:space="0" w:color="auto"/>
                        </w:tcBorders>
                      </w:tcPr>
                      <w:p>
                        <w:pPr>
                          <w:pStyle w:val="TableParagraph"/>
                          <w:spacing w:line="202" w:lineRule="exact"/>
                          <w:ind w:right="990"/>
                          <w:jc w:val="right"/>
                          <w:rPr>
                            <w:rFonts w:ascii="宋体" w:hAnsi="宋体" w:cs="宋体" w:eastAsia="宋体" w:hint="default"/>
                            <w:sz w:val="18"/>
                            <w:szCs w:val="18"/>
                          </w:rPr>
                        </w:pPr>
                        <w:r>
                          <w:rPr>
                            <w:rFonts w:ascii="宋体"/>
                            <w:spacing w:val="-15"/>
                            <w:sz w:val="18"/>
                          </w:rPr>
                          <w:t>======</w:t>
                        </w:r>
                        <w:r>
                          <w:rPr>
                            <w:rFonts w:ascii="宋体"/>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02" w:lineRule="exact"/>
                          <w:ind w:left="22" w:right="0"/>
                          <w:jc w:val="center"/>
                          <w:rPr>
                            <w:rFonts w:ascii="宋体" w:hAnsi="宋体" w:cs="宋体" w:eastAsia="宋体" w:hint="default"/>
                            <w:sz w:val="18"/>
                            <w:szCs w:val="18"/>
                          </w:rPr>
                        </w:pPr>
                        <w:r>
                          <w:rPr>
                            <w:rFonts w:ascii="宋体"/>
                            <w:spacing w:val="-15"/>
                            <w:sz w:val="18"/>
                          </w:rPr>
                          <w:t>============</w:t>
                        </w:r>
                        <w:r>
                          <w:rPr>
                            <w:rFonts w:ascii="宋体"/>
                            <w:sz w:val="18"/>
                          </w:rPr>
                        </w:r>
                      </w:p>
                    </w:tc>
                  </w:tr>
                  <w:tr>
                    <w:trPr>
                      <w:trHeight w:val="422" w:hRule="exact"/>
                    </w:trPr>
                    <w:tc>
                      <w:tcPr>
                        <w:tcW w:w="9297" w:type="dxa"/>
                        <w:gridSpan w:val="6"/>
                        <w:tcBorders>
                          <w:top w:val="nil" w:sz="6" w:space="0" w:color="auto"/>
                          <w:left w:val="nil" w:sz="6" w:space="0" w:color="auto"/>
                          <w:bottom w:val="nil" w:sz="6" w:space="0" w:color="auto"/>
                          <w:right w:val="nil" w:sz="6" w:space="0" w:color="auto"/>
                        </w:tcBorders>
                      </w:tcPr>
                      <w:p>
                        <w:pPr>
                          <w:pStyle w:val="TableParagraph"/>
                          <w:spacing w:line="322" w:lineRule="exact"/>
                          <w:ind w:left="44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单项金额重大的应收账款</w:t>
                        </w:r>
                      </w:p>
                    </w:tc>
                  </w:tr>
                  <w:tr>
                    <w:trPr>
                      <w:trHeight w:val="354"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tabs>
                            <w:tab w:pos="1289" w:val="left" w:leader="none"/>
                            <w:tab w:pos="3758" w:val="left" w:leader="none"/>
                          </w:tabs>
                          <w:spacing w:line="240" w:lineRule="auto" w:before="49"/>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单项重大排名</w:t>
                          <w:tab/>
                        </w:r>
                        <w:r>
                          <w:rPr>
                            <w:rFonts w:ascii="宋体" w:hAnsi="宋体" w:cs="宋体" w:eastAsia="宋体" w:hint="default"/>
                            <w:sz w:val="18"/>
                            <w:szCs w:val="18"/>
                          </w:rPr>
                        </w:r>
                      </w:p>
                    </w:tc>
                    <w:tc>
                      <w:tcPr>
                        <w:tcW w:w="1518"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49"/>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计提比例</w:t>
                        </w:r>
                        <w:r>
                          <w:rPr>
                            <w:rFonts w:ascii="宋体" w:hAnsi="宋体" w:cs="宋体" w:eastAsia="宋体" w:hint="default"/>
                            <w:sz w:val="18"/>
                            <w:szCs w:val="18"/>
                          </w:rPr>
                        </w:r>
                      </w:p>
                    </w:tc>
                    <w:tc>
                      <w:tcPr>
                        <w:tcW w:w="2502" w:type="dxa"/>
                        <w:gridSpan w:val="2"/>
                        <w:tcBorders>
                          <w:top w:val="nil" w:sz="6" w:space="0" w:color="auto"/>
                          <w:left w:val="nil" w:sz="6" w:space="0" w:color="auto"/>
                          <w:bottom w:val="nil" w:sz="6" w:space="0" w:color="auto"/>
                          <w:right w:val="nil" w:sz="6" w:space="0" w:color="auto"/>
                        </w:tcBorders>
                      </w:tcPr>
                      <w:p>
                        <w:pPr>
                          <w:pStyle w:val="TableParagraph"/>
                          <w:tabs>
                            <w:tab w:pos="615" w:val="left" w:leader="none"/>
                            <w:tab w:pos="1463" w:val="left" w:leader="none"/>
                          </w:tabs>
                          <w:spacing w:line="240" w:lineRule="auto" w:before="49"/>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理  由</w:t>
                          <w:tab/>
                        </w:r>
                        <w:r>
                          <w:rPr>
                            <w:rFonts w:ascii="宋体" w:hAnsi="宋体" w:cs="宋体" w:eastAsia="宋体" w:hint="default"/>
                            <w:sz w:val="18"/>
                            <w:szCs w:val="18"/>
                          </w:rPr>
                        </w:r>
                      </w:p>
                    </w:tc>
                  </w:tr>
                  <w:tr>
                    <w:trPr>
                      <w:trHeight w:val="319"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tabs>
                            <w:tab w:pos="1591" w:val="left" w:leader="none"/>
                            <w:tab w:pos="2538" w:val="left" w:leader="none"/>
                          </w:tabs>
                          <w:spacing w:line="240" w:lineRule="auto" w:before="3"/>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  一  名 </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PHILIPS</w:t>
                          <w:tab/>
                          <w:t>ELECTRONICS</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7"/>
                          <w:jc w:val="right"/>
                          <w:rPr>
                            <w:rFonts w:ascii="宋体" w:hAnsi="宋体" w:cs="宋体" w:eastAsia="宋体" w:hint="default"/>
                            <w:sz w:val="18"/>
                            <w:szCs w:val="18"/>
                          </w:rPr>
                        </w:pPr>
                        <w:r>
                          <w:rPr>
                            <w:rFonts w:ascii="宋体"/>
                            <w:sz w:val="18"/>
                          </w:rPr>
                          <w:t>192,600,771.47</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18"/>
                            <w:szCs w:val="18"/>
                          </w:rPr>
                        </w:pPr>
                        <w:r>
                          <w:rPr>
                            <w:rFonts w:ascii="宋体"/>
                            <w:sz w:val="18"/>
                          </w:rPr>
                          <w:t>5%</w:t>
                        </w:r>
                      </w:p>
                    </w:tc>
                    <w:tc>
                      <w:tcPr>
                        <w:tcW w:w="25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454"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315"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120" w:right="0"/>
                          <w:jc w:val="left"/>
                          <w:rPr>
                            <w:rFonts w:ascii="Times New Roman" w:hAnsi="Times New Roman" w:cs="Times New Roman" w:eastAsia="Times New Roman" w:hint="default"/>
                            <w:sz w:val="18"/>
                            <w:szCs w:val="18"/>
                          </w:rPr>
                        </w:pPr>
                        <w:r>
                          <w:rPr>
                            <w:rFonts w:ascii="Times New Roman"/>
                            <w:sz w:val="18"/>
                          </w:rPr>
                          <w:t>HONGKONG</w:t>
                        </w:r>
                        <w:r>
                          <w:rPr>
                            <w:rFonts w:ascii="Times New Roman"/>
                            <w:spacing w:val="-5"/>
                            <w:sz w:val="18"/>
                          </w:rPr>
                          <w:t> </w:t>
                        </w:r>
                        <w:r>
                          <w:rPr>
                            <w:rFonts w:ascii="Times New Roman"/>
                            <w:spacing w:val="-6"/>
                            <w:sz w:val="18"/>
                          </w:rPr>
                          <w:t>LTD</w:t>
                        </w:r>
                      </w:p>
                    </w:tc>
                    <w:tc>
                      <w:tcPr>
                        <w:tcW w:w="15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502" w:type="dxa"/>
                        <w:gridSpan w:val="2"/>
                        <w:tcBorders>
                          <w:top w:val="nil" w:sz="6" w:space="0" w:color="auto"/>
                          <w:left w:val="nil" w:sz="6" w:space="0" w:color="auto"/>
                          <w:bottom w:val="nil" w:sz="6" w:space="0" w:color="auto"/>
                          <w:right w:val="nil" w:sz="6" w:space="0" w:color="auto"/>
                        </w:tcBorders>
                      </w:tcPr>
                      <w:p>
                        <w:pPr/>
                      </w:p>
                    </w:tc>
                  </w:tr>
                  <w:tr>
                    <w:trPr>
                      <w:trHeight w:val="320"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20" w:right="0"/>
                          <w:jc w:val="left"/>
                          <w:rPr>
                            <w:rFonts w:ascii="Times New Roman" w:hAnsi="Times New Roman" w:cs="Times New Roman" w:eastAsia="Times New Roman" w:hint="default"/>
                            <w:sz w:val="18"/>
                            <w:szCs w:val="18"/>
                          </w:rPr>
                        </w:pPr>
                        <w:r>
                          <w:rPr>
                            <w:rFonts w:ascii="宋体" w:hAnsi="宋体" w:cs="宋体" w:eastAsia="宋体" w:hint="default"/>
                            <w:spacing w:val="80"/>
                            <w:sz w:val="18"/>
                            <w:szCs w:val="18"/>
                          </w:rPr>
                          <w:t>第二</w:t>
                        </w:r>
                        <w:r>
                          <w:rPr>
                            <w:rFonts w:ascii="宋体" w:hAnsi="宋体" w:cs="宋体" w:eastAsia="宋体" w:hint="default"/>
                            <w:sz w:val="18"/>
                            <w:szCs w:val="18"/>
                          </w:rPr>
                          <w:t>名</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1"/>
                            <w:w w:val="99"/>
                            <w:sz w:val="18"/>
                            <w:szCs w:val="18"/>
                          </w:rPr>
                          <w:t>PHI</w:t>
                        </w:r>
                        <w:r>
                          <w:rPr>
                            <w:rFonts w:ascii="Times New Roman" w:hAnsi="Times New Roman" w:cs="Times New Roman" w:eastAsia="Times New Roman" w:hint="default"/>
                            <w:w w:val="99"/>
                            <w:sz w:val="18"/>
                            <w:szCs w:val="18"/>
                          </w:rPr>
                          <w:t>L</w:t>
                        </w:r>
                        <w:r>
                          <w:rPr>
                            <w:rFonts w:ascii="Times New Roman" w:hAnsi="Times New Roman" w:cs="Times New Roman" w:eastAsia="Times New Roman" w:hint="default"/>
                            <w:spacing w:val="-1"/>
                            <w:w w:val="99"/>
                            <w:sz w:val="18"/>
                            <w:szCs w:val="18"/>
                          </w:rPr>
                          <w:t>IP</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1"/>
                            <w:w w:val="99"/>
                            <w:sz w:val="18"/>
                            <w:szCs w:val="18"/>
                          </w:rPr>
                          <w:t>ASS</w:t>
                        </w:r>
                        <w:r>
                          <w:rPr>
                            <w:rFonts w:ascii="Times New Roman" w:hAnsi="Times New Roman" w:cs="Times New Roman" w:eastAsia="Times New Roman" w:hint="default"/>
                            <w:spacing w:val="1"/>
                            <w:w w:val="99"/>
                            <w:sz w:val="18"/>
                            <w:szCs w:val="18"/>
                          </w:rPr>
                          <w:t>E</w:t>
                        </w:r>
                        <w:r>
                          <w:rPr>
                            <w:rFonts w:ascii="Times New Roman" w:hAnsi="Times New Roman" w:cs="Times New Roman" w:eastAsia="Times New Roman" w:hint="default"/>
                            <w:spacing w:val="-1"/>
                            <w:w w:val="99"/>
                            <w:sz w:val="18"/>
                            <w:szCs w:val="18"/>
                          </w:rPr>
                          <w:t>MB</w:t>
                        </w:r>
                        <w:r>
                          <w:rPr>
                            <w:rFonts w:ascii="Times New Roman" w:hAnsi="Times New Roman" w:cs="Times New Roman" w:eastAsia="Times New Roman" w:hint="default"/>
                            <w:spacing w:val="-18"/>
                            <w:w w:val="99"/>
                            <w:sz w:val="18"/>
                            <w:szCs w:val="18"/>
                          </w:rPr>
                          <w:t>L</w:t>
                        </w:r>
                        <w:r>
                          <w:rPr>
                            <w:rFonts w:ascii="Times New Roman" w:hAnsi="Times New Roman" w:cs="Times New Roman" w:eastAsia="Times New Roman" w:hint="default"/>
                            <w:w w:val="99"/>
                            <w:sz w:val="18"/>
                            <w:szCs w:val="18"/>
                          </w:rPr>
                          <w:t>Y</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1"/>
                            <w:sz w:val="18"/>
                            <w:szCs w:val="18"/>
                          </w:rPr>
                          <w:t>RE</w:t>
                        </w:r>
                        <w:r>
                          <w:rPr>
                            <w:rFonts w:ascii="Times New Roman" w:hAnsi="Times New Roman" w:cs="Times New Roman" w:eastAsia="Times New Roman" w:hint="default"/>
                            <w:sz w:val="18"/>
                            <w:szCs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宋体" w:hAnsi="宋体" w:cs="宋体" w:eastAsia="宋体" w:hint="default"/>
                            <w:sz w:val="18"/>
                            <w:szCs w:val="18"/>
                          </w:rPr>
                        </w:pPr>
                        <w:r>
                          <w:rPr>
                            <w:rFonts w:ascii="宋体"/>
                            <w:sz w:val="18"/>
                          </w:rPr>
                          <w:t>122,072,481.56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83" w:right="0"/>
                          <w:jc w:val="center"/>
                          <w:rPr>
                            <w:rFonts w:ascii="宋体" w:hAnsi="宋体" w:cs="宋体" w:eastAsia="宋体" w:hint="default"/>
                            <w:sz w:val="18"/>
                            <w:szCs w:val="18"/>
                          </w:rPr>
                        </w:pPr>
                        <w:r>
                          <w:rPr>
                            <w:rFonts w:ascii="宋体"/>
                            <w:sz w:val="18"/>
                          </w:rPr>
                          <w:t>5%</w:t>
                        </w:r>
                      </w:p>
                    </w:tc>
                    <w:tc>
                      <w:tcPr>
                        <w:tcW w:w="25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54"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320"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20" w:right="0"/>
                          <w:jc w:val="left"/>
                          <w:rPr>
                            <w:rFonts w:ascii="Times New Roman" w:hAnsi="Times New Roman" w:cs="Times New Roman" w:eastAsia="Times New Roman" w:hint="default"/>
                            <w:sz w:val="18"/>
                            <w:szCs w:val="18"/>
                          </w:rPr>
                        </w:pPr>
                        <w:r>
                          <w:rPr>
                            <w:rFonts w:ascii="Times New Roman"/>
                            <w:sz w:val="18"/>
                          </w:rPr>
                          <w:t>HUNGARY</w:t>
                        </w:r>
                      </w:p>
                    </w:tc>
                    <w:tc>
                      <w:tcPr>
                        <w:tcW w:w="15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502" w:type="dxa"/>
                        <w:gridSpan w:val="2"/>
                        <w:tcBorders>
                          <w:top w:val="nil" w:sz="6" w:space="0" w:color="auto"/>
                          <w:left w:val="nil" w:sz="6" w:space="0" w:color="auto"/>
                          <w:bottom w:val="nil" w:sz="6" w:space="0" w:color="auto"/>
                          <w:right w:val="nil" w:sz="6" w:space="0" w:color="auto"/>
                        </w:tcBorders>
                      </w:tcPr>
                      <w:p>
                        <w:pPr/>
                      </w:p>
                    </w:tc>
                  </w:tr>
                  <w:tr>
                    <w:trPr>
                      <w:trHeight w:val="325"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tabs>
                            <w:tab w:pos="1335" w:val="left" w:leader="none"/>
                            <w:tab w:pos="2539" w:val="left" w:leader="none"/>
                          </w:tabs>
                          <w:spacing w:line="240" w:lineRule="auto" w:before="9"/>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 三 名 </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FYRNETICS</w:t>
                          <w:tab/>
                        </w:r>
                        <w:r>
                          <w:rPr>
                            <w:rFonts w:ascii="Times New Roman" w:hAnsi="Times New Roman" w:cs="Times New Roman" w:eastAsia="Times New Roman" w:hint="default"/>
                            <w:sz w:val="18"/>
                            <w:szCs w:val="18"/>
                          </w:rPr>
                          <w:t>ELECTRONICS</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宋体" w:hAnsi="宋体" w:cs="宋体" w:eastAsia="宋体" w:hint="default"/>
                            <w:sz w:val="18"/>
                            <w:szCs w:val="18"/>
                          </w:rPr>
                        </w:pPr>
                        <w:r>
                          <w:rPr>
                            <w:rFonts w:ascii="宋体"/>
                            <w:sz w:val="18"/>
                          </w:rPr>
                          <w:t>3,995,386.25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83" w:right="0"/>
                          <w:jc w:val="center"/>
                          <w:rPr>
                            <w:rFonts w:ascii="宋体" w:hAnsi="宋体" w:cs="宋体" w:eastAsia="宋体" w:hint="default"/>
                            <w:sz w:val="18"/>
                            <w:szCs w:val="18"/>
                          </w:rPr>
                        </w:pPr>
                        <w:r>
                          <w:rPr>
                            <w:rFonts w:ascii="宋体"/>
                            <w:sz w:val="18"/>
                          </w:rPr>
                          <w:t>5%</w:t>
                        </w:r>
                      </w:p>
                    </w:tc>
                    <w:tc>
                      <w:tcPr>
                        <w:tcW w:w="25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54"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315"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120" w:right="0"/>
                          <w:jc w:val="left"/>
                          <w:rPr>
                            <w:rFonts w:ascii="Times New Roman" w:hAnsi="Times New Roman" w:cs="Times New Roman" w:eastAsia="Times New Roman" w:hint="default"/>
                            <w:sz w:val="18"/>
                            <w:szCs w:val="18"/>
                          </w:rPr>
                        </w:pPr>
                        <w:r>
                          <w:rPr>
                            <w:rFonts w:ascii="Times New Roman"/>
                            <w:spacing w:val="-5"/>
                            <w:sz w:val="18"/>
                          </w:rPr>
                          <w:t>FACTORY</w:t>
                        </w:r>
                      </w:p>
                    </w:tc>
                    <w:tc>
                      <w:tcPr>
                        <w:tcW w:w="15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502" w:type="dxa"/>
                        <w:gridSpan w:val="2"/>
                        <w:tcBorders>
                          <w:top w:val="nil" w:sz="6" w:space="0" w:color="auto"/>
                          <w:left w:val="nil" w:sz="6" w:space="0" w:color="auto"/>
                          <w:bottom w:val="nil" w:sz="6" w:space="0" w:color="auto"/>
                          <w:right w:val="nil" w:sz="6" w:space="0" w:color="auto"/>
                        </w:tcBorders>
                      </w:tcPr>
                      <w:p>
                        <w:pPr/>
                      </w:p>
                    </w:tc>
                  </w:tr>
                  <w:tr>
                    <w:trPr>
                      <w:trHeight w:val="320"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20"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Times New Roman" w:hAnsi="Times New Roman" w:cs="Times New Roman" w:eastAsia="Times New Roman" w:hint="default"/>
                            <w:sz w:val="18"/>
                            <w:szCs w:val="18"/>
                          </w:rPr>
                          <w:t>:  </w:t>
                        </w:r>
                        <w:r>
                          <w:rPr>
                            <w:rFonts w:ascii="宋体" w:hAnsi="宋体" w:cs="宋体" w:eastAsia="宋体" w:hint="default"/>
                            <w:sz w:val="18"/>
                            <w:szCs w:val="18"/>
                          </w:rPr>
                          <w:t>华忆科技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宋体" w:hAnsi="宋体" w:cs="宋体" w:eastAsia="宋体" w:hint="default"/>
                            <w:sz w:val="18"/>
                            <w:szCs w:val="18"/>
                          </w:rPr>
                        </w:pPr>
                        <w:r>
                          <w:rPr>
                            <w:rFonts w:ascii="宋体"/>
                            <w:sz w:val="18"/>
                          </w:rPr>
                          <w:t>2,985,970.52</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83" w:right="0"/>
                          <w:jc w:val="center"/>
                          <w:rPr>
                            <w:rFonts w:ascii="宋体" w:hAnsi="宋体" w:cs="宋体" w:eastAsia="宋体" w:hint="default"/>
                            <w:sz w:val="18"/>
                            <w:szCs w:val="18"/>
                          </w:rPr>
                        </w:pPr>
                        <w:r>
                          <w:rPr>
                            <w:rFonts w:ascii="宋体"/>
                            <w:sz w:val="18"/>
                          </w:rPr>
                          <w:t>5%</w:t>
                        </w:r>
                      </w:p>
                    </w:tc>
                    <w:tc>
                      <w:tcPr>
                        <w:tcW w:w="25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54" w:right="0"/>
                          <w:jc w:val="left"/>
                          <w:rPr>
                            <w:rFonts w:ascii="宋体" w:hAnsi="宋体" w:cs="宋体" w:eastAsia="宋体" w:hint="default"/>
                            <w:sz w:val="18"/>
                            <w:szCs w:val="18"/>
                          </w:rPr>
                        </w:pPr>
                        <w:r>
                          <w:rPr>
                            <w:rFonts w:ascii="宋体" w:hAnsi="宋体" w:cs="宋体" w:eastAsia="宋体" w:hint="default"/>
                            <w:sz w:val="18"/>
                            <w:szCs w:val="18"/>
                          </w:rPr>
                          <w:t>余额较大</w:t>
                        </w:r>
                      </w:p>
                    </w:tc>
                  </w:tr>
                  <w:tr>
                    <w:trPr>
                      <w:trHeight w:val="294" w:hRule="exact"/>
                    </w:trPr>
                    <w:tc>
                      <w:tcPr>
                        <w:tcW w:w="39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第五名</w:t>
                        </w:r>
                        <w:r>
                          <w:rPr>
                            <w:rFonts w:ascii="Times New Roman" w:hAnsi="Times New Roman" w:cs="Times New Roman" w:eastAsia="Times New Roman" w:hint="default"/>
                            <w:sz w:val="18"/>
                            <w:szCs w:val="18"/>
                          </w:rPr>
                          <w:t>: COMPESS </w:t>
                        </w:r>
                        <w:r>
                          <w:rPr>
                            <w:rFonts w:ascii="Times New Roman" w:hAnsi="Times New Roman" w:cs="Times New Roman" w:eastAsia="Times New Roman" w:hint="default"/>
                            <w:spacing w:val="-3"/>
                            <w:sz w:val="18"/>
                            <w:szCs w:val="18"/>
                          </w:rPr>
                          <w:t>DIGITAL</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TECHNOLOGY</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7"/>
                          <w:jc w:val="right"/>
                          <w:rPr>
                            <w:rFonts w:ascii="宋体" w:hAnsi="宋体" w:cs="宋体" w:eastAsia="宋体" w:hint="default"/>
                            <w:sz w:val="18"/>
                            <w:szCs w:val="18"/>
                          </w:rPr>
                        </w:pPr>
                        <w:r>
                          <w:rPr>
                            <w:rFonts w:ascii="宋体"/>
                            <w:sz w:val="18"/>
                          </w:rPr>
                          <w:t>1,033,758.31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83" w:right="0"/>
                          <w:jc w:val="center"/>
                          <w:rPr>
                            <w:rFonts w:ascii="宋体" w:hAnsi="宋体" w:cs="宋体" w:eastAsia="宋体" w:hint="default"/>
                            <w:sz w:val="18"/>
                            <w:szCs w:val="18"/>
                          </w:rPr>
                        </w:pPr>
                        <w:r>
                          <w:rPr>
                            <w:rFonts w:ascii="宋体"/>
                            <w:sz w:val="18"/>
                          </w:rPr>
                          <w:t>5%</w:t>
                        </w:r>
                      </w:p>
                    </w:tc>
                    <w:tc>
                      <w:tcPr>
                        <w:tcW w:w="25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435" w:right="0"/>
                          <w:jc w:val="left"/>
                          <w:rPr>
                            <w:rFonts w:ascii="宋体" w:hAnsi="宋体" w:cs="宋体" w:eastAsia="宋体" w:hint="default"/>
                            <w:sz w:val="18"/>
                            <w:szCs w:val="18"/>
                          </w:rPr>
                        </w:pPr>
                        <w:r>
                          <w:rPr>
                            <w:rFonts w:ascii="宋体" w:hAnsi="宋体" w:cs="宋体" w:eastAsia="宋体" w:hint="default"/>
                            <w:sz w:val="18"/>
                            <w:szCs w:val="18"/>
                          </w:rPr>
                          <w:t>余额较大</w:t>
                        </w:r>
                      </w:p>
                    </w:tc>
                  </w:tr>
                </w:tbl>
                <w:p>
                  <w:pPr/>
                </w:p>
              </w:txbxContent>
            </v:textbox>
            <w10:wrap type="none"/>
          </v:shape>
        </w:pict>
      </w:r>
      <w:r>
        <w:rPr>
          <w:rFonts w:ascii="宋体" w:hAnsi="宋体" w:cs="宋体" w:eastAsia="宋体" w:hint="default"/>
          <w:spacing w:val="-10"/>
          <w:sz w:val="18"/>
          <w:szCs w:val="18"/>
        </w:rPr>
        <w:t>划分为类似信用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5"/>
          <w:sz w:val="18"/>
          <w:szCs w:val="18"/>
        </w:rPr>
        <w:t>风险特征的款项，</w:t>
      </w:r>
    </w:p>
    <w:p>
      <w:pPr>
        <w:tabs>
          <w:tab w:pos="1609" w:val="left" w:leader="none"/>
          <w:tab w:pos="3030" w:val="left" w:leader="none"/>
          <w:tab w:pos="4253" w:val="left" w:leader="none"/>
          <w:tab w:pos="5715" w:val="left" w:leader="none"/>
          <w:tab w:pos="7067" w:val="left" w:leader="none"/>
        </w:tabs>
        <w:spacing w:before="69"/>
        <w:ind w:left="124" w:right="0" w:firstLine="0"/>
        <w:jc w:val="left"/>
        <w:rPr>
          <w:rFonts w:ascii="宋体" w:hAnsi="宋体" w:cs="宋体" w:eastAsia="宋体" w:hint="default"/>
          <w:sz w:val="18"/>
          <w:szCs w:val="18"/>
        </w:rPr>
      </w:pPr>
      <w:r>
        <w:rPr>
          <w:spacing w:val="-14"/>
        </w:rPr>
        <w:br w:type="column"/>
      </w:r>
      <w:r>
        <w:rPr>
          <w:rFonts w:ascii="宋体"/>
          <w:spacing w:val="-14"/>
          <w:sz w:val="18"/>
        </w:rPr>
        <w:t>325,678,538.74</w:t>
        <w:tab/>
      </w:r>
      <w:r>
        <w:rPr>
          <w:rFonts w:ascii="宋体"/>
          <w:spacing w:val="-12"/>
          <w:sz w:val="18"/>
        </w:rPr>
        <w:t>100%</w:t>
        <w:tab/>
      </w:r>
      <w:r>
        <w:rPr>
          <w:rFonts w:ascii="宋体"/>
          <w:spacing w:val="-14"/>
          <w:sz w:val="18"/>
        </w:rPr>
        <w:t>16,283,926.94</w:t>
        <w:tab/>
        <w:t>109,546,489.88</w:t>
        <w:tab/>
      </w:r>
      <w:r>
        <w:rPr>
          <w:rFonts w:ascii="宋体"/>
          <w:spacing w:val="-12"/>
          <w:sz w:val="18"/>
        </w:rPr>
        <w:t>100%</w:t>
        <w:tab/>
      </w:r>
      <w:r>
        <w:rPr>
          <w:rFonts w:ascii="宋体"/>
          <w:spacing w:val="-15"/>
          <w:sz w:val="18"/>
        </w:rPr>
        <w:t>5,477,324.49</w:t>
      </w:r>
      <w:r>
        <w:rPr>
          <w:rFonts w:ascii="宋体"/>
          <w:sz w:val="18"/>
        </w:rPr>
      </w:r>
    </w:p>
    <w:p>
      <w:pPr>
        <w:spacing w:after="0"/>
        <w:jc w:val="left"/>
        <w:rPr>
          <w:rFonts w:ascii="宋体" w:hAnsi="宋体" w:cs="宋体" w:eastAsia="宋体" w:hint="default"/>
          <w:sz w:val="18"/>
          <w:szCs w:val="18"/>
        </w:rPr>
        <w:sectPr>
          <w:type w:val="continuous"/>
          <w:pgSz w:w="11910" w:h="16840"/>
          <w:pgMar w:top="980" w:bottom="1520" w:left="980" w:right="980"/>
          <w:cols w:num="2" w:equalWidth="0">
            <w:col w:w="1491" w:space="40"/>
            <w:col w:w="841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326" w:lineRule="exact" w:before="26"/>
        <w:ind w:left="694" w:right="0"/>
        <w:jc w:val="left"/>
      </w:pPr>
      <w:r>
        <w:rPr>
          <w:rFonts w:ascii="Times New Roman" w:hAnsi="Times New Roman" w:cs="Times New Roman" w:eastAsia="Times New Roman" w:hint="default"/>
        </w:rPr>
        <w:t>3.</w:t>
      </w:r>
      <w:r>
        <w:rPr/>
        <w:t>年末应收账款中无持本公司</w:t>
      </w:r>
      <w:r>
        <w:rPr>
          <w:spacing w:val="-60"/>
        </w:rPr>
        <w:t> </w:t>
      </w:r>
      <w:r>
        <w:rPr>
          <w:rFonts w:ascii="Times New Roman" w:hAnsi="Times New Roman" w:cs="Times New Roman" w:eastAsia="Times New Roman" w:hint="default"/>
        </w:rPr>
        <w:t>5%</w:t>
      </w:r>
      <w:r>
        <w:rPr/>
        <w:t>以上（含</w:t>
      </w:r>
      <w:r>
        <w:rPr>
          <w:spacing w:val="-60"/>
        </w:rPr>
        <w:t> </w:t>
      </w:r>
      <w:r>
        <w:rPr>
          <w:rFonts w:ascii="Times New Roman" w:hAnsi="Times New Roman" w:cs="Times New Roman" w:eastAsia="Times New Roman" w:hint="default"/>
        </w:rPr>
        <w:t>5%</w:t>
      </w:r>
      <w:r>
        <w:rPr/>
        <w:t>）表决权股份的股东单位款项。</w:t>
      </w:r>
    </w:p>
    <w:p>
      <w:pPr>
        <w:pStyle w:val="BodyText"/>
        <w:spacing w:line="326" w:lineRule="exact" w:before="0"/>
        <w:ind w:left="693" w:right="0"/>
        <w:jc w:val="left"/>
      </w:pPr>
      <w:r>
        <w:rPr>
          <w:rFonts w:ascii="Times New Roman" w:hAnsi="Times New Roman" w:cs="Times New Roman" w:eastAsia="Times New Roman" w:hint="default"/>
        </w:rPr>
        <w:t>4.</w:t>
      </w:r>
      <w:r>
        <w:rPr/>
        <w:t>年末应收账款中欠款金额前五名</w:t>
      </w:r>
    </w:p>
    <w:p>
      <w:pPr>
        <w:tabs>
          <w:tab w:pos="1884" w:val="left" w:leader="none"/>
          <w:tab w:pos="4185" w:val="left" w:leader="none"/>
          <w:tab w:pos="4401" w:val="left" w:leader="none"/>
          <w:tab w:pos="6201" w:val="left" w:leader="none"/>
          <w:tab w:pos="8684" w:val="left" w:leader="none"/>
        </w:tabs>
        <w:spacing w:before="149"/>
        <w:ind w:left="44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债务人排名</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26"/>
          <w:pgSz w:w="11910" w:h="16840"/>
          <w:pgMar w:footer="711" w:header="747" w:top="980" w:bottom="900" w:left="980" w:right="900"/>
          <w:pgNumType w:start="91"/>
        </w:sectPr>
      </w:pPr>
    </w:p>
    <w:p>
      <w:pPr>
        <w:spacing w:line="240" w:lineRule="auto" w:before="9"/>
        <w:rPr>
          <w:rFonts w:ascii="宋体" w:hAnsi="宋体" w:cs="宋体" w:eastAsia="宋体" w:hint="default"/>
          <w:sz w:val="18"/>
          <w:szCs w:val="18"/>
        </w:rPr>
      </w:pPr>
    </w:p>
    <w:p>
      <w:pPr>
        <w:tabs>
          <w:tab w:pos="269" w:val="left" w:leader="none"/>
          <w:tab w:pos="899" w:val="left" w:leader="none"/>
          <w:tab w:pos="1413" w:val="left" w:leader="none"/>
          <w:tab w:pos="1683" w:val="left" w:leader="none"/>
          <w:tab w:pos="2313" w:val="left" w:leader="none"/>
        </w:tabs>
        <w:spacing w:before="0"/>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金额</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账龄</w:t>
        <w:tab/>
      </w:r>
      <w:r>
        <w:rPr>
          <w:rFonts w:ascii="宋体" w:hAnsi="宋体" w:cs="宋体" w:eastAsia="宋体" w:hint="default"/>
          <w:sz w:val="18"/>
          <w:szCs w:val="18"/>
        </w:rPr>
      </w:r>
    </w:p>
    <w:p>
      <w:pPr>
        <w:spacing w:line="408" w:lineRule="auto" w:before="44"/>
        <w:ind w:left="390" w:right="1392"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占应收账款 </w:t>
      </w:r>
      <w:r>
        <w:rPr>
          <w:rFonts w:ascii="宋体" w:hAnsi="宋体" w:cs="宋体" w:eastAsia="宋体" w:hint="default"/>
          <w:sz w:val="18"/>
          <w:szCs w:val="18"/>
          <w:u w:val="single" w:color="000000"/>
        </w:rPr>
        <w:t>总额的比例</w:t>
      </w:r>
      <w:r>
        <w:rPr>
          <w:rFonts w:ascii="宋体" w:hAnsi="宋体" w:cs="宋体" w:eastAsia="宋体" w:hint="default"/>
          <w:sz w:val="18"/>
          <w:szCs w:val="18"/>
        </w:rPr>
      </w:r>
    </w:p>
    <w:p>
      <w:pPr>
        <w:spacing w:after="0" w:line="408" w:lineRule="auto"/>
        <w:jc w:val="left"/>
        <w:rPr>
          <w:rFonts w:ascii="宋体" w:hAnsi="宋体" w:cs="宋体" w:eastAsia="宋体" w:hint="default"/>
          <w:sz w:val="18"/>
          <w:szCs w:val="18"/>
        </w:rPr>
        <w:sectPr>
          <w:type w:val="continuous"/>
          <w:pgSz w:w="11910" w:h="16840"/>
          <w:pgMar w:top="980" w:bottom="1520" w:left="980" w:right="900"/>
          <w:cols w:num="2" w:equalWidth="0">
            <w:col w:w="7282" w:space="40"/>
            <w:col w:w="2708"/>
          </w:cols>
        </w:sectPr>
      </w:pPr>
    </w:p>
    <w:p>
      <w:pPr>
        <w:tabs>
          <w:tab w:pos="4905" w:val="left" w:leader="none"/>
          <w:tab w:pos="6705" w:val="left" w:leader="none"/>
        </w:tabs>
        <w:spacing w:before="39"/>
        <w:ind w:left="444" w:right="212" w:firstLine="0"/>
        <w:jc w:val="left"/>
        <w:rPr>
          <w:rFonts w:ascii="宋体" w:hAnsi="宋体" w:cs="宋体" w:eastAsia="宋体" w:hint="default"/>
          <w:sz w:val="18"/>
          <w:szCs w:val="18"/>
        </w:rPr>
      </w:pPr>
      <w:r>
        <w:rPr>
          <w:rFonts w:ascii="宋体" w:hAnsi="宋体" w:cs="宋体" w:eastAsia="宋体" w:hint="default"/>
          <w:sz w:val="18"/>
          <w:szCs w:val="18"/>
        </w:rPr>
        <w:t>第一名</w:t>
      </w:r>
      <w:r>
        <w:rPr>
          <w:rFonts w:ascii="Times New Roman" w:hAnsi="Times New Roman" w:cs="Times New Roman" w:eastAsia="Times New Roman" w:hint="default"/>
          <w:sz w:val="18"/>
          <w:szCs w:val="18"/>
        </w:rPr>
        <w:t>:  PHILIPS  ELECTRONICS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HONGKONG</w:t>
        <w:tab/>
      </w:r>
      <w:r>
        <w:rPr>
          <w:rFonts w:ascii="宋体" w:hAnsi="宋体" w:cs="宋体" w:eastAsia="宋体" w:hint="default"/>
          <w:sz w:val="18"/>
          <w:szCs w:val="18"/>
        </w:rPr>
        <w:t>192,600,771.47</w:t>
        <w:tab/>
        <w:t>一年以内</w:t>
      </w: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980" w:bottom="1520" w:left="980" w:right="900"/>
        </w:sectPr>
      </w:pPr>
    </w:p>
    <w:p>
      <w:pPr>
        <w:spacing w:before="96"/>
        <w:ind w:left="444" w:right="-5" w:firstLine="0"/>
        <w:jc w:val="left"/>
        <w:rPr>
          <w:rFonts w:ascii="Times New Roman" w:hAnsi="Times New Roman" w:cs="Times New Roman" w:eastAsia="Times New Roman" w:hint="default"/>
          <w:sz w:val="18"/>
          <w:szCs w:val="18"/>
        </w:rPr>
      </w:pPr>
      <w:r>
        <w:rPr>
          <w:rFonts w:ascii="Times New Roman"/>
          <w:spacing w:val="-6"/>
          <w:sz w:val="18"/>
        </w:rPr>
        <w:t>LTD</w:t>
      </w:r>
    </w:p>
    <w:p>
      <w:pPr>
        <w:spacing w:before="141"/>
        <w:ind w:left="444" w:right="-5" w:firstLine="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第 二 </w:t>
      </w:r>
      <w:r>
        <w:rPr>
          <w:rFonts w:ascii="宋体" w:hAnsi="宋体" w:cs="宋体" w:eastAsia="宋体" w:hint="default"/>
          <w:sz w:val="18"/>
          <w:szCs w:val="18"/>
        </w:rPr>
        <w:t>名 </w:t>
      </w:r>
      <w:r>
        <w:rPr>
          <w:rFonts w:ascii="Times New Roman" w:hAnsi="Times New Roman" w:cs="Times New Roman" w:eastAsia="Times New Roman" w:hint="default"/>
          <w:sz w:val="18"/>
          <w:szCs w:val="18"/>
        </w:rPr>
        <w:t>:    PHILIPS    </w:t>
      </w:r>
      <w:r>
        <w:rPr>
          <w:rFonts w:ascii="Times New Roman" w:hAnsi="Times New Roman" w:cs="Times New Roman" w:eastAsia="Times New Roman" w:hint="default"/>
          <w:spacing w:val="-3"/>
          <w:sz w:val="18"/>
          <w:szCs w:val="18"/>
        </w:rPr>
        <w:t>ASSEMBLY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CENTRE</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7"/>
        <w:rPr>
          <w:rFonts w:ascii="Times New Roman" w:hAnsi="Times New Roman" w:cs="Times New Roman" w:eastAsia="Times New Roman" w:hint="default"/>
          <w:sz w:val="20"/>
          <w:szCs w:val="20"/>
        </w:rPr>
      </w:pPr>
    </w:p>
    <w:p>
      <w:pPr>
        <w:spacing w:before="0"/>
        <w:ind w:left="444" w:right="-20" w:firstLine="0"/>
        <w:jc w:val="left"/>
        <w:rPr>
          <w:rFonts w:ascii="宋体" w:hAnsi="宋体" w:cs="宋体" w:eastAsia="宋体" w:hint="default"/>
          <w:sz w:val="18"/>
          <w:szCs w:val="18"/>
        </w:rPr>
      </w:pPr>
      <w:r>
        <w:rPr>
          <w:rFonts w:ascii="宋体"/>
          <w:sz w:val="18"/>
        </w:rPr>
        <w:t>122,072,481.56</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444" w:right="-20" w:firstLine="0"/>
        <w:jc w:val="left"/>
        <w:rPr>
          <w:rFonts w:ascii="宋体" w:hAnsi="宋体" w:cs="宋体" w:eastAsia="宋体" w:hint="default"/>
          <w:sz w:val="18"/>
          <w:szCs w:val="18"/>
        </w:rPr>
      </w:pPr>
      <w:r>
        <w:rPr>
          <w:rFonts w:ascii="宋体" w:hAnsi="宋体" w:cs="宋体" w:eastAsia="宋体" w:hint="default"/>
          <w:sz w:val="18"/>
          <w:szCs w:val="18"/>
        </w:rPr>
        <w:t>一年以内</w:t>
      </w:r>
    </w:p>
    <w:p>
      <w:pPr>
        <w:spacing w:before="44"/>
        <w:ind w:left="444" w:right="0" w:firstLine="0"/>
        <w:jc w:val="left"/>
        <w:rPr>
          <w:rFonts w:ascii="宋体" w:hAnsi="宋体" w:cs="宋体" w:eastAsia="宋体" w:hint="default"/>
          <w:sz w:val="18"/>
          <w:szCs w:val="18"/>
        </w:rPr>
      </w:pPr>
      <w:r>
        <w:rPr/>
        <w:br w:type="column"/>
      </w:r>
      <w:r>
        <w:rPr>
          <w:rFonts w:ascii="宋体"/>
          <w:sz w:val="18"/>
        </w:rPr>
        <w:t>59.14%</w:t>
      </w:r>
    </w:p>
    <w:p>
      <w:pPr>
        <w:spacing w:after="0"/>
        <w:jc w:val="left"/>
        <w:rPr>
          <w:rFonts w:ascii="宋体" w:hAnsi="宋体" w:cs="宋体" w:eastAsia="宋体" w:hint="default"/>
          <w:sz w:val="18"/>
          <w:szCs w:val="18"/>
        </w:rPr>
        <w:sectPr>
          <w:type w:val="continuous"/>
          <w:pgSz w:w="11910" w:h="16840"/>
          <w:pgMar w:top="980" w:bottom="1520" w:left="980" w:right="900"/>
          <w:cols w:num="4" w:equalWidth="0">
            <w:col w:w="4187" w:space="275"/>
            <w:col w:w="1705" w:space="95"/>
            <w:col w:w="1165" w:space="274"/>
            <w:col w:w="2329"/>
          </w:cols>
        </w:sectPr>
      </w:pP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980" w:bottom="1520" w:left="980" w:right="900"/>
        </w:sectPr>
      </w:pPr>
    </w:p>
    <w:p>
      <w:pPr>
        <w:spacing w:before="97"/>
        <w:ind w:left="444" w:right="-19" w:firstLine="0"/>
        <w:jc w:val="left"/>
        <w:rPr>
          <w:rFonts w:ascii="Times New Roman" w:hAnsi="Times New Roman" w:cs="Times New Roman" w:eastAsia="Times New Roman" w:hint="default"/>
          <w:sz w:val="18"/>
          <w:szCs w:val="18"/>
        </w:rPr>
      </w:pPr>
      <w:r>
        <w:rPr>
          <w:rFonts w:ascii="Times New Roman"/>
          <w:sz w:val="18"/>
        </w:rPr>
        <w:t>HUNGARY</w:t>
      </w:r>
    </w:p>
    <w:p>
      <w:pPr>
        <w:tabs>
          <w:tab w:pos="5085" w:val="left" w:leader="none"/>
        </w:tabs>
        <w:spacing w:before="141"/>
        <w:ind w:left="444" w:right="-19" w:firstLine="0"/>
        <w:jc w:val="left"/>
        <w:rPr>
          <w:rFonts w:ascii="宋体" w:hAnsi="宋体" w:cs="宋体" w:eastAsia="宋体" w:hint="default"/>
          <w:sz w:val="18"/>
          <w:szCs w:val="18"/>
        </w:rPr>
      </w:pPr>
      <w:r>
        <w:rPr>
          <w:rFonts w:ascii="宋体" w:hAnsi="宋体" w:cs="宋体" w:eastAsia="宋体" w:hint="default"/>
          <w:sz w:val="18"/>
          <w:szCs w:val="18"/>
        </w:rPr>
        <w:t>第三名</w:t>
      </w:r>
      <w:r>
        <w:rPr>
          <w:rFonts w:ascii="Times New Roman" w:hAnsi="Times New Roman" w:cs="Times New Roman" w:eastAsia="Times New Roman" w:hint="default"/>
          <w:sz w:val="18"/>
          <w:szCs w:val="18"/>
        </w:rPr>
        <w:t>: FYRNETICS ELECTRONICS </w:t>
      </w:r>
      <w:r>
        <w:rPr>
          <w:rFonts w:ascii="Times New Roman" w:hAnsi="Times New Roman" w:cs="Times New Roman" w:eastAsia="Times New Roman" w:hint="default"/>
          <w:spacing w:val="-5"/>
          <w:sz w:val="18"/>
          <w:szCs w:val="18"/>
        </w:rPr>
        <w:t>FACTORY</w:t>
        <w:tab/>
      </w:r>
      <w:r>
        <w:rPr>
          <w:rFonts w:ascii="宋体" w:hAnsi="宋体" w:cs="宋体" w:eastAsia="宋体" w:hint="default"/>
          <w:sz w:val="18"/>
          <w:szCs w:val="18"/>
        </w:rPr>
        <w:t>3,995,386.25</w:t>
      </w:r>
    </w:p>
    <w:p>
      <w:pPr>
        <w:tabs>
          <w:tab w:pos="5085" w:val="left" w:leader="none"/>
        </w:tabs>
        <w:spacing w:before="150"/>
        <w:ind w:left="444" w:right="-19" w:firstLine="0"/>
        <w:jc w:val="left"/>
        <w:rPr>
          <w:rFonts w:ascii="宋体" w:hAnsi="宋体" w:cs="宋体" w:eastAsia="宋体" w:hint="default"/>
          <w:sz w:val="18"/>
          <w:szCs w:val="18"/>
        </w:rPr>
      </w:pPr>
      <w:r>
        <w:rPr>
          <w:rFonts w:ascii="宋体" w:hAnsi="宋体" w:cs="宋体" w:eastAsia="宋体" w:hint="default"/>
          <w:sz w:val="18"/>
          <w:szCs w:val="18"/>
        </w:rPr>
        <w:t>第四名</w:t>
      </w:r>
      <w:r>
        <w:rPr>
          <w:rFonts w:ascii="Times New Roman" w:hAnsi="Times New Roman" w:cs="Times New Roman" w:eastAsia="Times New Roman" w:hint="default"/>
          <w:sz w:val="18"/>
          <w:szCs w:val="18"/>
        </w:rPr>
        <w:t>:  </w:t>
      </w:r>
      <w:r>
        <w:rPr>
          <w:rFonts w:ascii="宋体" w:hAnsi="宋体" w:cs="宋体" w:eastAsia="宋体" w:hint="default"/>
          <w:sz w:val="18"/>
          <w:szCs w:val="18"/>
        </w:rPr>
        <w:t>华忆科技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tab/>
        <w:t>2,985,970.52</w:t>
      </w:r>
    </w:p>
    <w:p>
      <w:pPr>
        <w:tabs>
          <w:tab w:pos="5085" w:val="left" w:leader="none"/>
        </w:tabs>
        <w:spacing w:before="151"/>
        <w:ind w:left="444" w:right="-19" w:firstLine="0"/>
        <w:jc w:val="left"/>
        <w:rPr>
          <w:rFonts w:ascii="宋体" w:hAnsi="宋体" w:cs="宋体" w:eastAsia="宋体" w:hint="default"/>
          <w:sz w:val="18"/>
          <w:szCs w:val="18"/>
        </w:rPr>
      </w:pPr>
      <w:r>
        <w:rPr>
          <w:rFonts w:ascii="宋体" w:hAnsi="宋体" w:cs="宋体" w:eastAsia="宋体" w:hint="default"/>
          <w:sz w:val="18"/>
          <w:szCs w:val="18"/>
        </w:rPr>
        <w:t>第五名</w:t>
      </w:r>
      <w:r>
        <w:rPr>
          <w:rFonts w:ascii="Times New Roman" w:hAnsi="Times New Roman" w:cs="Times New Roman" w:eastAsia="Times New Roman" w:hint="default"/>
          <w:sz w:val="18"/>
          <w:szCs w:val="18"/>
        </w:rPr>
        <w:t>: COMPESS </w:t>
      </w:r>
      <w:r>
        <w:rPr>
          <w:rFonts w:ascii="Times New Roman" w:hAnsi="Times New Roman" w:cs="Times New Roman" w:eastAsia="Times New Roman" w:hint="default"/>
          <w:spacing w:val="-3"/>
          <w:sz w:val="18"/>
          <w:szCs w:val="18"/>
        </w:rPr>
        <w:t>DIGITAL</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TECHNOLOGY</w:t>
        <w:tab/>
      </w:r>
      <w:r>
        <w:rPr>
          <w:rFonts w:ascii="宋体" w:hAnsi="宋体" w:cs="宋体" w:eastAsia="宋体" w:hint="default"/>
          <w:sz w:val="18"/>
          <w:szCs w:val="18"/>
        </w:rPr>
        <w:t>1,033,758.31</w:t>
      </w:r>
    </w:p>
    <w:p>
      <w:pPr>
        <w:pStyle w:val="BodyText"/>
        <w:spacing w:line="240" w:lineRule="auto" w:before="85"/>
        <w:ind w:left="674" w:right="32"/>
        <w:jc w:val="center"/>
      </w:pPr>
      <w:r>
        <w:rPr>
          <w:rFonts w:ascii="Times New Roman" w:hAnsi="Times New Roman" w:cs="Times New Roman" w:eastAsia="Times New Roman" w:hint="default"/>
        </w:rPr>
        <w:t>5.</w:t>
      </w:r>
      <w:r>
        <w:rPr/>
        <w:t>年末关联方应收账款占应收账款总金额的</w:t>
      </w:r>
      <w:r>
        <w:rPr>
          <w:spacing w:val="-60"/>
        </w:rPr>
        <w:t> </w:t>
      </w:r>
      <w:r>
        <w:rPr>
          <w:rFonts w:ascii="Times New Roman" w:hAnsi="Times New Roman" w:cs="Times New Roman" w:eastAsia="Times New Roman" w:hint="default"/>
        </w:rPr>
        <w:t>0.17%</w:t>
      </w:r>
      <w:r>
        <w:rPr/>
        <w:t>。</w:t>
      </w:r>
    </w:p>
    <w:p>
      <w:pPr>
        <w:spacing w:line="240" w:lineRule="auto" w:before="4"/>
        <w:rPr>
          <w:rFonts w:ascii="宋体" w:hAnsi="宋体" w:cs="宋体" w:eastAsia="宋体" w:hint="default"/>
          <w:sz w:val="21"/>
          <w:szCs w:val="21"/>
        </w:rPr>
      </w:pPr>
      <w:r>
        <w:rPr/>
        <w:br w:type="column"/>
      </w:r>
      <w:r>
        <w:rPr>
          <w:rFonts w:ascii="宋体"/>
          <w:sz w:val="21"/>
        </w:rPr>
      </w:r>
    </w:p>
    <w:p>
      <w:pPr>
        <w:spacing w:line="408" w:lineRule="auto" w:before="0"/>
        <w:ind w:left="444" w:right="0" w:firstLine="0"/>
        <w:jc w:val="both"/>
        <w:rPr>
          <w:rFonts w:ascii="宋体" w:hAnsi="宋体" w:cs="宋体" w:eastAsia="宋体" w:hint="default"/>
          <w:sz w:val="18"/>
          <w:szCs w:val="18"/>
        </w:rPr>
      </w:pPr>
      <w:r>
        <w:rPr>
          <w:rFonts w:ascii="宋体" w:hAnsi="宋体" w:cs="宋体" w:eastAsia="宋体" w:hint="default"/>
          <w:sz w:val="18"/>
          <w:szCs w:val="18"/>
        </w:rPr>
        <w:t>一年以内 一年以内 一年以内</w:t>
      </w:r>
    </w:p>
    <w:p>
      <w:pPr>
        <w:spacing w:before="44"/>
        <w:ind w:left="444" w:right="0" w:firstLine="0"/>
        <w:jc w:val="left"/>
        <w:rPr>
          <w:rFonts w:ascii="宋体" w:hAnsi="宋体" w:cs="宋体" w:eastAsia="宋体" w:hint="default"/>
          <w:sz w:val="18"/>
          <w:szCs w:val="18"/>
        </w:rPr>
      </w:pPr>
      <w:r>
        <w:rPr/>
        <w:br w:type="column"/>
      </w:r>
      <w:r>
        <w:rPr>
          <w:rFonts w:ascii="宋体"/>
          <w:sz w:val="18"/>
        </w:rPr>
        <w:t>37.48%</w:t>
      </w:r>
    </w:p>
    <w:p>
      <w:pPr>
        <w:spacing w:line="240" w:lineRule="auto" w:before="8"/>
        <w:rPr>
          <w:rFonts w:ascii="宋体" w:hAnsi="宋体" w:cs="宋体" w:eastAsia="宋体" w:hint="default"/>
          <w:sz w:val="12"/>
          <w:szCs w:val="12"/>
        </w:rPr>
      </w:pPr>
    </w:p>
    <w:p>
      <w:pPr>
        <w:spacing w:before="0"/>
        <w:ind w:left="534" w:right="0" w:firstLine="0"/>
        <w:jc w:val="left"/>
        <w:rPr>
          <w:rFonts w:ascii="宋体" w:hAnsi="宋体" w:cs="宋体" w:eastAsia="宋体" w:hint="default"/>
          <w:sz w:val="18"/>
          <w:szCs w:val="18"/>
        </w:rPr>
      </w:pPr>
      <w:r>
        <w:rPr>
          <w:rFonts w:ascii="宋体"/>
          <w:sz w:val="18"/>
        </w:rPr>
        <w:t>1.23%</w:t>
      </w:r>
    </w:p>
    <w:p>
      <w:pPr>
        <w:spacing w:line="240" w:lineRule="auto" w:before="7"/>
        <w:rPr>
          <w:rFonts w:ascii="宋体" w:hAnsi="宋体" w:cs="宋体" w:eastAsia="宋体" w:hint="default"/>
          <w:sz w:val="12"/>
          <w:szCs w:val="12"/>
        </w:rPr>
      </w:pPr>
    </w:p>
    <w:p>
      <w:pPr>
        <w:spacing w:before="0"/>
        <w:ind w:left="534" w:right="0" w:firstLine="0"/>
        <w:jc w:val="left"/>
        <w:rPr>
          <w:rFonts w:ascii="宋体" w:hAnsi="宋体" w:cs="宋体" w:eastAsia="宋体" w:hint="default"/>
          <w:sz w:val="18"/>
          <w:szCs w:val="18"/>
        </w:rPr>
      </w:pPr>
      <w:r>
        <w:rPr>
          <w:rFonts w:ascii="宋体"/>
          <w:sz w:val="18"/>
        </w:rPr>
        <w:t>0.92%</w:t>
      </w:r>
    </w:p>
    <w:p>
      <w:pPr>
        <w:spacing w:line="240" w:lineRule="auto" w:before="8"/>
        <w:rPr>
          <w:rFonts w:ascii="宋体" w:hAnsi="宋体" w:cs="宋体" w:eastAsia="宋体" w:hint="default"/>
          <w:sz w:val="12"/>
          <w:szCs w:val="12"/>
        </w:rPr>
      </w:pPr>
    </w:p>
    <w:p>
      <w:pPr>
        <w:spacing w:before="0"/>
        <w:ind w:left="534" w:right="0" w:firstLine="0"/>
        <w:jc w:val="left"/>
        <w:rPr>
          <w:rFonts w:ascii="宋体" w:hAnsi="宋体" w:cs="宋体" w:eastAsia="宋体" w:hint="default"/>
          <w:sz w:val="18"/>
          <w:szCs w:val="18"/>
        </w:rPr>
      </w:pPr>
      <w:r>
        <w:rPr>
          <w:rFonts w:ascii="宋体"/>
          <w:sz w:val="18"/>
        </w:rPr>
        <w:t>0.32%</w:t>
      </w:r>
    </w:p>
    <w:p>
      <w:pPr>
        <w:spacing w:after="0"/>
        <w:jc w:val="left"/>
        <w:rPr>
          <w:rFonts w:ascii="宋体" w:hAnsi="宋体" w:cs="宋体" w:eastAsia="宋体" w:hint="default"/>
          <w:sz w:val="18"/>
          <w:szCs w:val="18"/>
        </w:rPr>
        <w:sectPr>
          <w:type w:val="continuous"/>
          <w:pgSz w:w="11910" w:h="16840"/>
          <w:pgMar w:top="980" w:bottom="1520" w:left="980" w:right="900"/>
          <w:cols w:num="3" w:equalWidth="0">
            <w:col w:w="6166" w:space="95"/>
            <w:col w:w="1165" w:space="274"/>
            <w:col w:w="2330"/>
          </w:cols>
        </w:sectPr>
      </w:pPr>
    </w:p>
    <w:p>
      <w:pPr>
        <w:pStyle w:val="BodyText"/>
        <w:spacing w:line="316" w:lineRule="auto" w:before="108"/>
        <w:ind w:left="154" w:right="99" w:firstLine="540"/>
        <w:jc w:val="left"/>
      </w:pPr>
      <w:r>
        <w:rPr>
          <w:rFonts w:ascii="Times New Roman" w:hAnsi="Times New Roman" w:cs="Times New Roman" w:eastAsia="Times New Roman" w:hint="default"/>
        </w:rPr>
        <w:t>6.</w:t>
      </w:r>
      <w:r>
        <w:rPr/>
        <w:t>应收账款年末数比年初数增加 </w:t>
      </w:r>
      <w:r>
        <w:rPr>
          <w:rFonts w:ascii="Times New Roman" w:hAnsi="Times New Roman" w:cs="Times New Roman" w:eastAsia="Times New Roman" w:hint="default"/>
        </w:rPr>
        <w:t>216,132,048.86 </w:t>
      </w:r>
      <w:r>
        <w:rPr>
          <w:spacing w:val="-4"/>
        </w:rPr>
        <w:t>元，增加比例为</w:t>
      </w:r>
      <w:r>
        <w:rPr>
          <w:spacing w:val="-81"/>
        </w:rPr>
        <w:t> </w:t>
      </w:r>
      <w:r>
        <w:rPr>
          <w:rFonts w:ascii="Times New Roman" w:hAnsi="Times New Roman" w:cs="Times New Roman" w:eastAsia="Times New Roman" w:hint="default"/>
        </w:rPr>
        <w:t>197.30%</w:t>
      </w:r>
      <w:r>
        <w:rPr/>
        <w:t>，变动原因为： 本期对主要客户匈牙利飞利浦和香港飞利浦的销售增加。</w:t>
      </w:r>
    </w:p>
    <w:p>
      <w:pPr>
        <w:pStyle w:val="BodyText"/>
        <w:spacing w:line="319" w:lineRule="auto" w:before="49"/>
        <w:ind w:left="694" w:right="745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其他应收款</w:t>
      </w:r>
      <w:r>
        <w:rPr>
          <w:spacing w:val="-1"/>
          <w:w w:val="99"/>
        </w:rPr>
        <w:t> </w:t>
      </w:r>
      <w:r>
        <w:rPr>
          <w:rFonts w:ascii="Times New Roman" w:hAnsi="Times New Roman" w:cs="Times New Roman" w:eastAsia="Times New Roman" w:hint="default"/>
        </w:rPr>
        <w:t>1.</w:t>
      </w:r>
      <w:r>
        <w:rPr/>
        <w:t>其他应收款构成</w:t>
      </w:r>
    </w:p>
    <w:p>
      <w:pPr>
        <w:tabs>
          <w:tab w:pos="3726" w:val="left" w:leader="none"/>
          <w:tab w:pos="5647" w:val="left" w:leader="none"/>
          <w:tab w:pos="5863" w:val="left" w:leader="none"/>
          <w:tab w:pos="7473" w:val="left" w:leader="none"/>
          <w:tab w:pos="9441" w:val="left" w:leader="none"/>
        </w:tabs>
        <w:spacing w:line="207" w:lineRule="exact" w:before="0"/>
        <w:ind w:left="1906"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4"/>
          <w:sz w:val="18"/>
          <w:szCs w:val="18"/>
          <w:u w:val="single" w:color="000000"/>
        </w:rPr>
        <w:t>年末数</w:t>
        <w:tab/>
      </w:r>
      <w:r>
        <w:rPr>
          <w:rFonts w:ascii="宋体" w:hAnsi="宋体" w:cs="宋体" w:eastAsia="宋体" w:hint="default"/>
          <w:spacing w:val="-14"/>
          <w:sz w:val="18"/>
          <w:szCs w:val="18"/>
        </w:rPr>
        <w:tab/>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pacing w:val="-14"/>
          <w:sz w:val="18"/>
          <w:szCs w:val="18"/>
          <w:u w:val="single" w:color="000000"/>
        </w:rPr>
        <w:t> </w:t>
        <w:tab/>
      </w:r>
      <w:r>
        <w:rPr>
          <w:rFonts w:ascii="宋体" w:hAnsi="宋体" w:cs="宋体" w:eastAsia="宋体" w:hint="default"/>
          <w:spacing w:val="-14"/>
          <w:sz w:val="18"/>
          <w:szCs w:val="18"/>
          <w:u w:val="single" w:color="000000"/>
        </w:rPr>
        <w:t>年初数</w:t>
        <w:tab/>
      </w:r>
      <w:r>
        <w:rPr>
          <w:rFonts w:ascii="宋体" w:hAnsi="宋体" w:cs="宋体" w:eastAsia="宋体" w:hint="default"/>
          <w:spacing w:val="-14"/>
          <w:sz w:val="18"/>
          <w:szCs w:val="18"/>
        </w:rPr>
      </w:r>
    </w:p>
    <w:p>
      <w:pPr>
        <w:spacing w:after="0" w:line="207" w:lineRule="exact"/>
        <w:jc w:val="left"/>
        <w:rPr>
          <w:rFonts w:ascii="宋体" w:hAnsi="宋体" w:cs="宋体" w:eastAsia="宋体" w:hint="default"/>
          <w:sz w:val="18"/>
          <w:szCs w:val="18"/>
        </w:rPr>
        <w:sectPr>
          <w:type w:val="continuous"/>
          <w:pgSz w:w="11910" w:h="16840"/>
          <w:pgMar w:top="980" w:bottom="1520" w:left="980" w:right="900"/>
        </w:sectPr>
      </w:pPr>
    </w:p>
    <w:p>
      <w:pPr>
        <w:tabs>
          <w:tab w:pos="738" w:val="left" w:leader="none"/>
          <w:tab w:pos="1689" w:val="left" w:leader="none"/>
        </w:tabs>
        <w:spacing w:before="109"/>
        <w:ind w:left="247"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r>
      <w:r>
        <w:rPr>
          <w:rFonts w:ascii="宋体" w:hAnsi="宋体" w:cs="宋体" w:eastAsia="宋体" w:hint="default"/>
          <w:spacing w:val="30"/>
          <w:sz w:val="18"/>
          <w:szCs w:val="18"/>
          <w:u w:val="single" w:color="000000"/>
        </w:rPr>
        <w:t> </w:t>
      </w:r>
      <w:r>
        <w:rPr>
          <w:rFonts w:ascii="宋体" w:hAnsi="宋体" w:cs="宋体" w:eastAsia="宋体" w:hint="default"/>
          <w:sz w:val="18"/>
          <w:szCs w:val="18"/>
          <w:u w:val="single" w:color="000000"/>
        </w:rPr>
        <w:t>目</w:t>
        <w:tab/>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247" w:right="-12" w:firstLine="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单项金额重大并已</w:t>
      </w:r>
    </w:p>
    <w:p>
      <w:pPr>
        <w:spacing w:line="240" w:lineRule="auto" w:before="10"/>
        <w:rPr>
          <w:rFonts w:ascii="宋体" w:hAnsi="宋体" w:cs="宋体" w:eastAsia="宋体" w:hint="default"/>
          <w:sz w:val="19"/>
          <w:szCs w:val="19"/>
        </w:rPr>
      </w:pPr>
      <w:r>
        <w:rPr/>
        <w:br w:type="column"/>
      </w:r>
      <w:r>
        <w:rPr>
          <w:rFonts w:ascii="宋体"/>
          <w:sz w:val="19"/>
        </w:rPr>
      </w:r>
    </w:p>
    <w:p>
      <w:pPr>
        <w:tabs>
          <w:tab w:pos="1145" w:val="left" w:leader="none"/>
        </w:tabs>
        <w:spacing w:before="0"/>
        <w:ind w:left="24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p>
      <w:pPr>
        <w:spacing w:line="285" w:lineRule="auto" w:before="118"/>
        <w:ind w:left="294" w:right="-16" w:hanging="8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占总额</w:t>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285" w:lineRule="auto" w:before="118"/>
        <w:ind w:left="247" w:right="-16" w:firstLine="1"/>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坏账准备 </w:t>
      </w:r>
      <w:r>
        <w:rPr>
          <w:rFonts w:ascii="宋体" w:hAnsi="宋体" w:cs="宋体" w:eastAsia="宋体" w:hint="default"/>
          <w:spacing w:val="-21"/>
          <w:sz w:val="18"/>
          <w:szCs w:val="18"/>
          <w:u w:val="single" w:color="000000"/>
        </w:rPr>
        <w:t>计提比例</w:t>
      </w:r>
      <w:r>
        <w:rPr>
          <w:rFonts w:ascii="宋体" w:hAnsi="宋体" w:cs="宋体" w:eastAsia="宋体" w:hint="default"/>
          <w:spacing w:val="-21"/>
          <w:sz w:val="18"/>
          <w:szCs w:val="18"/>
        </w:rPr>
      </w:r>
      <w:r>
        <w:rPr>
          <w:rFonts w:ascii="宋体" w:hAnsi="宋体" w:cs="宋体" w:eastAsia="宋体" w:hint="default"/>
          <w:sz w:val="18"/>
          <w:szCs w:val="18"/>
        </w:rPr>
      </w:r>
    </w:p>
    <w:p>
      <w:pPr>
        <w:spacing w:line="240" w:lineRule="auto" w:before="10"/>
        <w:rPr>
          <w:rFonts w:ascii="宋体" w:hAnsi="宋体" w:cs="宋体" w:eastAsia="宋体" w:hint="default"/>
          <w:sz w:val="19"/>
          <w:szCs w:val="19"/>
        </w:rPr>
      </w:pPr>
      <w:r>
        <w:rPr/>
        <w:br w:type="column"/>
      </w:r>
      <w:r>
        <w:rPr>
          <w:rFonts w:ascii="宋体"/>
          <w:sz w:val="19"/>
        </w:rPr>
      </w:r>
    </w:p>
    <w:p>
      <w:pPr>
        <w:tabs>
          <w:tab w:pos="1233" w:val="left" w:leader="none"/>
          <w:tab w:pos="2103" w:val="left" w:leader="none"/>
        </w:tabs>
        <w:spacing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6"/>
          <w:sz w:val="18"/>
          <w:szCs w:val="18"/>
          <w:u w:val="single" w:color="000000"/>
        </w:rPr>
        <w:t>坏账准备</w:t>
      </w:r>
      <w:r>
        <w:rPr>
          <w:rFonts w:ascii="宋体" w:hAnsi="宋体" w:cs="宋体" w:eastAsia="宋体" w:hint="default"/>
          <w:spacing w:val="-16"/>
          <w:sz w:val="18"/>
          <w:szCs w:val="18"/>
        </w:rPr>
        <w:tab/>
      </w:r>
      <w:r>
        <w:rPr>
          <w:rFonts w:ascii="Times New Roman" w:hAnsi="Times New Roman" w:cs="Times New Roman" w:eastAsia="Times New Roman" w:hint="default"/>
          <w:spacing w:val="-16"/>
          <w:sz w:val="18"/>
          <w:szCs w:val="18"/>
        </w:rPr>
      </w:r>
      <w:r>
        <w:rPr>
          <w:rFonts w:ascii="Times New Roman" w:hAnsi="Times New Roman" w:cs="Times New Roman" w:eastAsia="Times New Roman" w:hint="default"/>
          <w:spacing w:val="-16"/>
          <w:sz w:val="18"/>
          <w:szCs w:val="18"/>
          <w:u w:val="single" w:color="000000"/>
        </w:rPr>
        <w:t> </w:t>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p>
      <w:pPr>
        <w:spacing w:line="285" w:lineRule="auto" w:before="118"/>
        <w:ind w:left="279" w:right="-17" w:hanging="8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占总额</w:t>
      </w:r>
      <w:r>
        <w:rPr>
          <w:rFonts w:ascii="宋体" w:hAnsi="宋体" w:cs="宋体" w:eastAsia="宋体" w:hint="default"/>
          <w:sz w:val="18"/>
          <w:szCs w:val="18"/>
        </w:rPr>
        <w:t> </w:t>
      </w:r>
      <w:r>
        <w:rPr>
          <w:rFonts w:ascii="宋体" w:hAnsi="宋体" w:cs="宋体" w:eastAsia="宋体" w:hint="default"/>
          <w:spacing w:val="-20"/>
          <w:sz w:val="18"/>
          <w:szCs w:val="18"/>
          <w:u w:val="single" w:color="000000"/>
        </w:rPr>
        <w:t>比例</w:t>
      </w:r>
      <w:r>
        <w:rPr>
          <w:rFonts w:ascii="宋体" w:hAnsi="宋体" w:cs="宋体" w:eastAsia="宋体" w:hint="default"/>
          <w:spacing w:val="-20"/>
          <w:sz w:val="18"/>
          <w:szCs w:val="18"/>
        </w:rPr>
      </w:r>
      <w:r>
        <w:rPr>
          <w:rFonts w:ascii="宋体" w:hAnsi="宋体" w:cs="宋体" w:eastAsia="宋体" w:hint="default"/>
          <w:sz w:val="18"/>
          <w:szCs w:val="18"/>
        </w:rPr>
      </w:r>
    </w:p>
    <w:p>
      <w:pPr>
        <w:spacing w:line="285" w:lineRule="auto" w:before="118"/>
        <w:ind w:left="220" w:right="-16" w:firstLine="0"/>
        <w:jc w:val="left"/>
        <w:rPr>
          <w:rFonts w:ascii="宋体" w:hAnsi="宋体" w:cs="宋体" w:eastAsia="宋体" w:hint="default"/>
          <w:sz w:val="18"/>
          <w:szCs w:val="18"/>
        </w:rPr>
      </w:pPr>
      <w:r>
        <w:rPr>
          <w:spacing w:val="-21"/>
        </w:rPr>
        <w:br w:type="column"/>
      </w:r>
      <w:r>
        <w:rPr>
          <w:rFonts w:ascii="宋体" w:hAnsi="宋体" w:cs="宋体" w:eastAsia="宋体" w:hint="default"/>
          <w:spacing w:val="-21"/>
          <w:sz w:val="18"/>
          <w:szCs w:val="18"/>
        </w:rPr>
        <w:t>坏账准备 </w:t>
      </w:r>
      <w:r>
        <w:rPr>
          <w:rFonts w:ascii="宋体" w:hAnsi="宋体" w:cs="宋体" w:eastAsia="宋体" w:hint="default"/>
          <w:spacing w:val="-21"/>
          <w:sz w:val="18"/>
          <w:szCs w:val="18"/>
          <w:u w:val="single" w:color="000000"/>
        </w:rPr>
        <w:t>计提比例</w:t>
      </w:r>
      <w:r>
        <w:rPr>
          <w:rFonts w:ascii="宋体" w:hAnsi="宋体" w:cs="宋体" w:eastAsia="宋体" w:hint="default"/>
          <w:spacing w:val="-21"/>
          <w:sz w:val="18"/>
          <w:szCs w:val="18"/>
        </w:rPr>
      </w:r>
      <w:r>
        <w:rPr>
          <w:rFonts w:ascii="宋体" w:hAnsi="宋体" w:cs="宋体" w:eastAsia="宋体" w:hint="default"/>
          <w:sz w:val="18"/>
          <w:szCs w:val="18"/>
        </w:rPr>
      </w:r>
    </w:p>
    <w:p>
      <w:pPr>
        <w:spacing w:line="240" w:lineRule="auto" w:before="10"/>
        <w:rPr>
          <w:rFonts w:ascii="宋体" w:hAnsi="宋体" w:cs="宋体" w:eastAsia="宋体" w:hint="default"/>
          <w:sz w:val="19"/>
          <w:szCs w:val="19"/>
        </w:rPr>
      </w:pPr>
      <w:r>
        <w:rPr/>
        <w:br w:type="column"/>
      </w:r>
      <w:r>
        <w:rPr>
          <w:rFonts w:ascii="宋体"/>
          <w:sz w:val="19"/>
        </w:rPr>
      </w:r>
    </w:p>
    <w:p>
      <w:pPr>
        <w:spacing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1"/>
          <w:sz w:val="18"/>
          <w:szCs w:val="18"/>
          <w:u w:val="single" w:color="000000"/>
        </w:rPr>
        <w:t>坏账准备</w:t>
      </w:r>
      <w:r>
        <w:rPr>
          <w:rFonts w:ascii="宋体" w:hAnsi="宋体" w:cs="宋体" w:eastAsia="宋体" w:hint="default"/>
          <w:spacing w:val="-21"/>
          <w:sz w:val="18"/>
          <w:szCs w:val="18"/>
        </w:rPr>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00"/>
          <w:cols w:num="8" w:equalWidth="0">
            <w:col w:w="1711" w:space="65"/>
            <w:col w:w="1146" w:space="40"/>
            <w:col w:w="717" w:space="66"/>
            <w:col w:w="889" w:space="87"/>
            <w:col w:w="2104" w:space="40"/>
            <w:col w:w="701" w:space="40"/>
            <w:col w:w="861" w:space="49"/>
            <w:col w:w="1514"/>
          </w:cols>
        </w:sectPr>
      </w:pPr>
    </w:p>
    <w:p>
      <w:pPr>
        <w:spacing w:line="280" w:lineRule="auto" w:before="31"/>
        <w:ind w:left="247" w:right="-12" w:firstLine="0"/>
        <w:jc w:val="left"/>
        <w:rPr>
          <w:rFonts w:ascii="宋体" w:hAnsi="宋体" w:cs="宋体" w:eastAsia="宋体" w:hint="default"/>
          <w:sz w:val="18"/>
          <w:szCs w:val="18"/>
        </w:rPr>
      </w:pPr>
      <w:r>
        <w:rPr/>
        <w:pict>
          <v:shape style="position:absolute;margin-left:153.229996pt;margin-top:85.778465pt;width:370.2pt;height:60.7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4"/>
                    <w:gridCol w:w="900"/>
                    <w:gridCol w:w="851"/>
                    <w:gridCol w:w="937"/>
                    <w:gridCol w:w="1200"/>
                    <w:gridCol w:w="1001"/>
                    <w:gridCol w:w="657"/>
                    <w:gridCol w:w="874"/>
                  </w:tblGrid>
                  <w:tr>
                    <w:trPr>
                      <w:trHeight w:val="452" w:hRule="exact"/>
                    </w:trPr>
                    <w:tc>
                      <w:tcPr>
                        <w:tcW w:w="98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spacing w:val="-11"/>
                            <w:sz w:val="18"/>
                          </w:rPr>
                          <w:t>672,955.04</w:t>
                        </w:r>
                        <w:r>
                          <w:rPr>
                            <w:rFonts w:ascii="宋体"/>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30" w:lineRule="exact"/>
                          <w:ind w:right="269"/>
                          <w:jc w:val="right"/>
                          <w:rPr>
                            <w:rFonts w:ascii="宋体" w:hAnsi="宋体" w:cs="宋体" w:eastAsia="宋体" w:hint="default"/>
                            <w:sz w:val="18"/>
                            <w:szCs w:val="18"/>
                          </w:rPr>
                        </w:pPr>
                        <w:r>
                          <w:rPr>
                            <w:rFonts w:ascii="宋体"/>
                            <w:spacing w:val="-11"/>
                            <w:sz w:val="18"/>
                          </w:rPr>
                          <w:t>18.74%</w:t>
                        </w:r>
                        <w:r>
                          <w:rPr>
                            <w:rFonts w:ascii="宋体"/>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pacing w:val="-11"/>
                            <w:sz w:val="18"/>
                          </w:rPr>
                          <w:t>11.28%</w:t>
                        </w:r>
                        <w:r>
                          <w:rPr>
                            <w:rFonts w:ascii="宋体"/>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1"/>
                            <w:sz w:val="18"/>
                          </w:rPr>
                          <w:t>75,887.18</w:t>
                        </w:r>
                        <w:r>
                          <w:rPr>
                            <w:rFonts w:ascii="宋体"/>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30" w:lineRule="exact"/>
                          <w:ind w:right="129"/>
                          <w:jc w:val="right"/>
                          <w:rPr>
                            <w:rFonts w:ascii="宋体" w:hAnsi="宋体" w:cs="宋体" w:eastAsia="宋体" w:hint="default"/>
                            <w:sz w:val="18"/>
                            <w:szCs w:val="18"/>
                          </w:rPr>
                        </w:pPr>
                        <w:r>
                          <w:rPr>
                            <w:rFonts w:ascii="宋体"/>
                            <w:spacing w:val="-11"/>
                            <w:sz w:val="18"/>
                          </w:rPr>
                          <w:t>1,313,789.44</w:t>
                        </w:r>
                        <w:r>
                          <w:rPr>
                            <w:rFonts w:ascii="宋体"/>
                            <w:sz w:val="18"/>
                          </w:rPr>
                        </w:r>
                      </w:p>
                    </w:tc>
                    <w:tc>
                      <w:tcPr>
                        <w:tcW w:w="1001" w:type="dxa"/>
                        <w:tcBorders>
                          <w:top w:val="nil" w:sz="6" w:space="0" w:color="auto"/>
                          <w:left w:val="nil" w:sz="6" w:space="0" w:color="auto"/>
                          <w:bottom w:val="nil" w:sz="6" w:space="0" w:color="auto"/>
                          <w:right w:val="nil" w:sz="6" w:space="0" w:color="auto"/>
                        </w:tcBorders>
                      </w:tcPr>
                      <w:p>
                        <w:pPr>
                          <w:pStyle w:val="TableParagraph"/>
                          <w:spacing w:line="230" w:lineRule="exact"/>
                          <w:ind w:left="131" w:right="0"/>
                          <w:jc w:val="left"/>
                          <w:rPr>
                            <w:rFonts w:ascii="宋体" w:hAnsi="宋体" w:cs="宋体" w:eastAsia="宋体" w:hint="default"/>
                            <w:sz w:val="18"/>
                            <w:szCs w:val="18"/>
                          </w:rPr>
                        </w:pPr>
                        <w:r>
                          <w:rPr>
                            <w:rFonts w:ascii="宋体"/>
                            <w:spacing w:val="-11"/>
                            <w:sz w:val="18"/>
                          </w:rPr>
                          <w:t>69.37%</w:t>
                        </w:r>
                        <w:r>
                          <w:rPr>
                            <w:rFonts w:ascii="宋体"/>
                            <w:sz w:val="18"/>
                          </w:rPr>
                        </w:r>
                      </w:p>
                    </w:tc>
                    <w:tc>
                      <w:tcPr>
                        <w:tcW w:w="65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pacing w:val="-10"/>
                            <w:sz w:val="18"/>
                          </w:rPr>
                          <w:t>5%</w:t>
                        </w:r>
                        <w:r>
                          <w:rPr>
                            <w:rFonts w:ascii="宋体"/>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30" w:lineRule="exact"/>
                          <w:ind w:left="73" w:right="0"/>
                          <w:jc w:val="center"/>
                          <w:rPr>
                            <w:rFonts w:ascii="宋体" w:hAnsi="宋体" w:cs="宋体" w:eastAsia="宋体" w:hint="default"/>
                            <w:sz w:val="18"/>
                            <w:szCs w:val="18"/>
                          </w:rPr>
                        </w:pPr>
                        <w:r>
                          <w:rPr>
                            <w:rFonts w:ascii="宋体"/>
                            <w:spacing w:val="-10"/>
                            <w:sz w:val="18"/>
                          </w:rPr>
                          <w:t>69,851.01</w:t>
                        </w:r>
                      </w:p>
                    </w:tc>
                  </w:tr>
                  <w:tr>
                    <w:trPr>
                      <w:trHeight w:val="492" w:hRule="exact"/>
                    </w:trPr>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spacing w:val="-11"/>
                            <w:sz w:val="18"/>
                          </w:rPr>
                          <w:t>391,358.82</w:t>
                        </w:r>
                        <w:r>
                          <w:rPr>
                            <w:rFonts w:ascii="宋体"/>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69"/>
                          <w:jc w:val="right"/>
                          <w:rPr>
                            <w:rFonts w:ascii="宋体" w:hAnsi="宋体" w:cs="宋体" w:eastAsia="宋体" w:hint="default"/>
                            <w:sz w:val="18"/>
                            <w:szCs w:val="18"/>
                          </w:rPr>
                        </w:pPr>
                        <w:r>
                          <w:rPr>
                            <w:rFonts w:ascii="宋体"/>
                            <w:spacing w:val="-11"/>
                            <w:sz w:val="18"/>
                          </w:rPr>
                          <w:t>10.90%</w:t>
                        </w:r>
                        <w:r>
                          <w:rPr>
                            <w:rFonts w:ascii="宋体"/>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0"/>
                            <w:sz w:val="18"/>
                          </w:rPr>
                          <w:t>5%</w:t>
                        </w:r>
                        <w:r>
                          <w:rPr>
                            <w:rFonts w:ascii="宋体"/>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1"/>
                            <w:sz w:val="18"/>
                          </w:rPr>
                          <w:t>19,567.94</w:t>
                        </w:r>
                        <w:r>
                          <w:rPr>
                            <w:rFonts w:ascii="宋体"/>
                            <w:sz w:val="18"/>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pacing w:val="-11"/>
                            <w:sz w:val="18"/>
                          </w:rPr>
                          <w:t>1,313,789.44</w:t>
                        </w:r>
                        <w:r>
                          <w:rPr>
                            <w:rFonts w:ascii="宋体"/>
                            <w:sz w:val="18"/>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spacing w:val="-11"/>
                            <w:sz w:val="18"/>
                          </w:rPr>
                          <w:t>69.37%</w:t>
                        </w:r>
                        <w:r>
                          <w:rPr>
                            <w:rFonts w:ascii="宋体"/>
                            <w:sz w:val="18"/>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pacing w:val="-10"/>
                            <w:sz w:val="18"/>
                          </w:rPr>
                          <w:t>5%</w:t>
                        </w:r>
                        <w:r>
                          <w:rPr>
                            <w:rFonts w:ascii="宋体"/>
                            <w:sz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2" w:right="0"/>
                          <w:jc w:val="center"/>
                          <w:rPr>
                            <w:rFonts w:ascii="宋体" w:hAnsi="宋体" w:cs="宋体" w:eastAsia="宋体" w:hint="default"/>
                            <w:sz w:val="18"/>
                            <w:szCs w:val="18"/>
                          </w:rPr>
                        </w:pPr>
                        <w:r>
                          <w:rPr>
                            <w:rFonts w:ascii="宋体"/>
                            <w:spacing w:val="-10"/>
                            <w:sz w:val="18"/>
                          </w:rPr>
                          <w:t>69,851.01</w:t>
                        </w:r>
                      </w:p>
                    </w:tc>
                  </w:tr>
                  <w:tr>
                    <w:trPr>
                      <w:trHeight w:val="270" w:hRule="exact"/>
                    </w:trPr>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spacing w:val="-11"/>
                            <w:sz w:val="18"/>
                          </w:rPr>
                          <w:t>281,596.22</w:t>
                        </w:r>
                        <w:r>
                          <w:rPr>
                            <w:rFonts w:ascii="宋体"/>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9"/>
                          <w:jc w:val="right"/>
                          <w:rPr>
                            <w:rFonts w:ascii="宋体" w:hAnsi="宋体" w:cs="宋体" w:eastAsia="宋体" w:hint="default"/>
                            <w:sz w:val="18"/>
                            <w:szCs w:val="18"/>
                          </w:rPr>
                        </w:pPr>
                        <w:r>
                          <w:rPr>
                            <w:rFonts w:ascii="宋体"/>
                            <w:spacing w:val="-9"/>
                            <w:sz w:val="18"/>
                          </w:rPr>
                          <w:t>7.84%</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18"/>
                            <w:szCs w:val="18"/>
                          </w:rPr>
                        </w:pPr>
                        <w:r>
                          <w:rPr>
                            <w:rFonts w:ascii="宋体"/>
                            <w:spacing w:val="-10"/>
                            <w:sz w:val="18"/>
                          </w:rPr>
                          <w:t>20%</w:t>
                        </w:r>
                        <w:r>
                          <w:rPr>
                            <w:rFonts w:ascii="宋体"/>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spacing w:val="-11"/>
                            <w:sz w:val="18"/>
                          </w:rPr>
                          <w:t>56,319.24</w:t>
                        </w:r>
                        <w:r>
                          <w:rPr>
                            <w:rFonts w:ascii="宋体"/>
                            <w:sz w:val="18"/>
                          </w:rPr>
                        </w:r>
                      </w:p>
                    </w:tc>
                    <w:tc>
                      <w:tcPr>
                        <w:tcW w:w="1200"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657"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1"/>
          <w:sz w:val="18"/>
          <w:szCs w:val="18"/>
        </w:rPr>
        <w:t>单独计提坏账准备的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0"/>
          <w:sz w:val="18"/>
          <w:szCs w:val="18"/>
        </w:rPr>
        <w:t>款项 </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单项金额非重大并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已单独计提坏账准备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的款项</w:t>
      </w:r>
      <w:r>
        <w:rPr>
          <w:rFonts w:ascii="宋体" w:hAnsi="宋体" w:cs="宋体" w:eastAsia="宋体" w:hint="default"/>
          <w:sz w:val="18"/>
          <w:szCs w:val="18"/>
        </w:rPr>
        <w:t>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其他按账龄段划分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为类似信用风险特征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1"/>
          <w:sz w:val="18"/>
          <w:szCs w:val="18"/>
        </w:rPr>
        <w:t>的款项，</w:t>
      </w:r>
      <w:r>
        <w:rPr>
          <w:rFonts w:ascii="宋体" w:hAnsi="宋体" w:cs="宋体" w:eastAsia="宋体" w:hint="default"/>
          <w:sz w:val="18"/>
          <w:szCs w:val="18"/>
        </w:rPr>
      </w:r>
    </w:p>
    <w:p>
      <w:pPr>
        <w:spacing w:before="77"/>
        <w:ind w:left="247" w:right="-12" w:firstLine="0"/>
        <w:jc w:val="left"/>
        <w:rPr>
          <w:rFonts w:ascii="宋体" w:hAnsi="宋体" w:cs="宋体" w:eastAsia="宋体" w:hint="default"/>
          <w:sz w:val="18"/>
          <w:szCs w:val="18"/>
        </w:rPr>
      </w:pPr>
      <w:r>
        <w:rPr>
          <w:rFonts w:ascii="宋体" w:hAnsi="宋体" w:cs="宋体" w:eastAsia="宋体" w:hint="default"/>
          <w:spacing w:val="-16"/>
          <w:sz w:val="18"/>
          <w:szCs w:val="18"/>
        </w:rPr>
        <w:t>其中：</w:t>
      </w:r>
      <w:r>
        <w:rPr>
          <w:rFonts w:ascii="Times New Roman" w:hAnsi="Times New Roman" w:cs="Times New Roman" w:eastAsia="Times New Roman" w:hint="default"/>
          <w:spacing w:val="-16"/>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pacing w:val="-14"/>
          <w:sz w:val="18"/>
          <w:szCs w:val="18"/>
        </w:rPr>
        <w:t>年以内</w:t>
      </w:r>
    </w:p>
    <w:p>
      <w:pPr>
        <w:spacing w:before="111"/>
        <w:ind w:left="727" w:right="-12" w:firstLine="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spacing w:before="111"/>
        <w:ind w:left="727" w:right="-12" w:firstLine="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spacing w:before="111"/>
        <w:ind w:left="727" w:right="-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年以上</w:t>
      </w:r>
    </w:p>
    <w:p>
      <w:pPr>
        <w:tabs>
          <w:tab w:pos="1390" w:val="left" w:leader="none"/>
          <w:tab w:pos="2800" w:val="left" w:leader="none"/>
          <w:tab w:pos="4271" w:val="left" w:leader="none"/>
          <w:tab w:pos="5337" w:val="left" w:leader="none"/>
          <w:tab w:pos="6314" w:val="left" w:leader="none"/>
        </w:tabs>
        <w:spacing w:before="30"/>
        <w:ind w:left="209" w:right="0" w:firstLine="0"/>
        <w:jc w:val="left"/>
        <w:rPr>
          <w:rFonts w:ascii="宋体" w:hAnsi="宋体" w:cs="宋体" w:eastAsia="宋体" w:hint="default"/>
          <w:sz w:val="18"/>
          <w:szCs w:val="18"/>
        </w:rPr>
      </w:pPr>
      <w:r>
        <w:rPr>
          <w:spacing w:val="-10"/>
        </w:rPr>
        <w:br w:type="column"/>
      </w:r>
      <w:r>
        <w:rPr>
          <w:rFonts w:ascii="宋体"/>
          <w:spacing w:val="-10"/>
          <w:sz w:val="18"/>
        </w:rPr>
        <w:t>2,917,411.43</w:t>
        <w:tab/>
      </w:r>
      <w:r>
        <w:rPr>
          <w:rFonts w:ascii="宋体"/>
          <w:spacing w:val="-9"/>
          <w:sz w:val="18"/>
        </w:rPr>
        <w:t>81.26%</w:t>
        <w:tab/>
      </w:r>
      <w:r>
        <w:rPr>
          <w:rFonts w:ascii="宋体"/>
          <w:spacing w:val="-5"/>
          <w:sz w:val="18"/>
        </w:rPr>
        <w:t>0%</w:t>
        <w:tab/>
      </w:r>
      <w:r>
        <w:rPr>
          <w:rFonts w:ascii="宋体"/>
          <w:spacing w:val="-10"/>
          <w:sz w:val="18"/>
        </w:rPr>
        <w:t>580,000.00</w:t>
        <w:tab/>
      </w:r>
      <w:r>
        <w:rPr>
          <w:rFonts w:ascii="宋体"/>
          <w:spacing w:val="-9"/>
          <w:sz w:val="18"/>
        </w:rPr>
        <w:t>30.63%</w:t>
        <w:tab/>
      </w:r>
      <w:r>
        <w:rPr>
          <w:rFonts w:ascii="宋体"/>
          <w:spacing w:val="-10"/>
          <w:sz w:val="18"/>
        </w:rPr>
        <w:t>0%</w:t>
      </w:r>
      <w:r>
        <w:rPr>
          <w:rFonts w:ascii="宋体"/>
          <w:sz w:val="18"/>
        </w:rPr>
      </w:r>
    </w:p>
    <w:p>
      <w:pPr>
        <w:spacing w:after="0"/>
        <w:jc w:val="left"/>
        <w:rPr>
          <w:rFonts w:ascii="宋体" w:hAnsi="宋体" w:cs="宋体" w:eastAsia="宋体" w:hint="default"/>
          <w:sz w:val="18"/>
          <w:szCs w:val="18"/>
        </w:rPr>
        <w:sectPr>
          <w:type w:val="continuous"/>
          <w:pgSz w:w="11910" w:h="16840"/>
          <w:pgMar w:top="980" w:bottom="1520" w:left="980" w:right="900"/>
          <w:cols w:num="2" w:equalWidth="0">
            <w:col w:w="1711" w:space="40"/>
            <w:col w:w="8279"/>
          </w:cols>
        </w:sectPr>
      </w:pPr>
    </w:p>
    <w:p>
      <w:pPr>
        <w:tabs>
          <w:tab w:pos="1959" w:val="left" w:leader="none"/>
          <w:tab w:pos="3375" w:val="left" w:leader="none"/>
          <w:tab w:pos="4310" w:val="left" w:leader="none"/>
          <w:tab w:pos="4927" w:val="left" w:leader="none"/>
          <w:tab w:pos="5863" w:val="left" w:leader="none"/>
          <w:tab w:pos="7247" w:val="left" w:leader="none"/>
          <w:tab w:pos="8105" w:val="left" w:leader="none"/>
          <w:tab w:pos="8722" w:val="left" w:leader="none"/>
        </w:tabs>
        <w:spacing w:before="111"/>
        <w:ind w:left="727" w:right="212" w:firstLine="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30"/>
          <w:sz w:val="18"/>
          <w:szCs w:val="18"/>
        </w:rPr>
        <w:t> </w:t>
      </w:r>
      <w:r>
        <w:rPr>
          <w:rFonts w:ascii="宋体" w:hAnsi="宋体" w:cs="宋体" w:eastAsia="宋体" w:hint="default"/>
          <w:sz w:val="18"/>
          <w:szCs w:val="18"/>
        </w:rPr>
        <w:t>计</w:t>
        <w:tab/>
      </w:r>
      <w:r>
        <w:rPr>
          <w:rFonts w:ascii="宋体" w:hAnsi="宋体" w:cs="宋体" w:eastAsia="宋体" w:hint="default"/>
          <w:spacing w:val="-10"/>
          <w:sz w:val="18"/>
          <w:szCs w:val="18"/>
        </w:rPr>
        <w:t>3,590,366.47</w:t>
        <w:tab/>
      </w:r>
      <w:r>
        <w:rPr>
          <w:rFonts w:ascii="宋体" w:hAnsi="宋体" w:cs="宋体" w:eastAsia="宋体" w:hint="default"/>
          <w:spacing w:val="-8"/>
          <w:sz w:val="18"/>
          <w:szCs w:val="18"/>
        </w:rPr>
        <w:t>100%</w:t>
        <w:tab/>
      </w:r>
      <w:r>
        <w:rPr>
          <w:rFonts w:ascii="宋体" w:hAnsi="宋体" w:cs="宋体" w:eastAsia="宋体" w:hint="default"/>
          <w:spacing w:val="-9"/>
          <w:sz w:val="18"/>
          <w:szCs w:val="18"/>
        </w:rPr>
        <w:t>2.11%</w:t>
        <w:tab/>
      </w:r>
      <w:r>
        <w:rPr>
          <w:rFonts w:ascii="宋体" w:hAnsi="宋体" w:cs="宋体" w:eastAsia="宋体" w:hint="default"/>
          <w:spacing w:val="-10"/>
          <w:sz w:val="18"/>
          <w:szCs w:val="18"/>
        </w:rPr>
        <w:t>75,887.18</w:t>
        <w:tab/>
        <w:t>1,893,789.44</w:t>
        <w:tab/>
      </w:r>
      <w:r>
        <w:rPr>
          <w:rFonts w:ascii="宋体" w:hAnsi="宋体" w:cs="宋体" w:eastAsia="宋体" w:hint="default"/>
          <w:spacing w:val="-8"/>
          <w:sz w:val="18"/>
          <w:szCs w:val="18"/>
        </w:rPr>
        <w:t>100%</w:t>
        <w:tab/>
      </w:r>
      <w:r>
        <w:rPr>
          <w:rFonts w:ascii="宋体" w:hAnsi="宋体" w:cs="宋体" w:eastAsia="宋体" w:hint="default"/>
          <w:spacing w:val="-9"/>
          <w:sz w:val="18"/>
          <w:szCs w:val="18"/>
        </w:rPr>
        <w:t>3.69%</w:t>
        <w:tab/>
      </w:r>
      <w:r>
        <w:rPr>
          <w:rFonts w:ascii="宋体" w:hAnsi="宋体" w:cs="宋体" w:eastAsia="宋体" w:hint="default"/>
          <w:spacing w:val="-10"/>
          <w:sz w:val="18"/>
          <w:szCs w:val="18"/>
        </w:rPr>
        <w:t>69,851.01</w:t>
      </w:r>
    </w:p>
    <w:p>
      <w:pPr>
        <w:pStyle w:val="BodyText"/>
        <w:spacing w:line="240" w:lineRule="auto" w:before="22"/>
        <w:ind w:left="694" w:right="212"/>
        <w:jc w:val="left"/>
      </w:pPr>
      <w:r>
        <w:rPr>
          <w:rFonts w:ascii="Times New Roman" w:hAnsi="Times New Roman" w:cs="Times New Roman" w:eastAsia="Times New Roman" w:hint="default"/>
        </w:rPr>
        <w:t>2.</w:t>
      </w:r>
      <w:r>
        <w:rPr/>
        <w:t>单项金额重大的其他应收款</w:t>
      </w:r>
    </w:p>
    <w:p>
      <w:pPr>
        <w:spacing w:line="240" w:lineRule="auto" w:before="7"/>
        <w:rPr>
          <w:rFonts w:ascii="宋体" w:hAnsi="宋体" w:cs="宋体" w:eastAsia="宋体" w:hint="default"/>
          <w:sz w:val="3"/>
          <w:szCs w:val="3"/>
        </w:rPr>
      </w:pPr>
    </w:p>
    <w:tbl>
      <w:tblPr>
        <w:tblW w:w="0" w:type="auto"/>
        <w:jc w:val="left"/>
        <w:tblInd w:w="332" w:type="dxa"/>
        <w:tblLayout w:type="fixed"/>
        <w:tblCellMar>
          <w:top w:w="0" w:type="dxa"/>
          <w:left w:w="0" w:type="dxa"/>
          <w:bottom w:w="0" w:type="dxa"/>
          <w:right w:w="0" w:type="dxa"/>
        </w:tblCellMar>
        <w:tblLook w:val="01E0"/>
      </w:tblPr>
      <w:tblGrid>
        <w:gridCol w:w="3358"/>
        <w:gridCol w:w="1807"/>
        <w:gridCol w:w="1241"/>
        <w:gridCol w:w="1818"/>
      </w:tblGrid>
      <w:tr>
        <w:trPr>
          <w:trHeight w:val="730" w:hRule="exact"/>
        </w:trPr>
        <w:tc>
          <w:tcPr>
            <w:tcW w:w="3358" w:type="dxa"/>
            <w:tcBorders>
              <w:top w:val="nil" w:sz="6" w:space="0" w:color="auto"/>
              <w:left w:val="nil" w:sz="6" w:space="0" w:color="auto"/>
              <w:bottom w:val="nil" w:sz="6" w:space="0" w:color="auto"/>
              <w:right w:val="nil" w:sz="6" w:space="0" w:color="auto"/>
            </w:tcBorders>
          </w:tcPr>
          <w:p>
            <w:pPr>
              <w:pStyle w:val="TableParagraph"/>
              <w:tabs>
                <w:tab w:pos="1024" w:val="left" w:leader="none"/>
                <w:tab w:pos="2844" w:val="left" w:leader="none"/>
              </w:tabs>
              <w:spacing w:line="367" w:lineRule="auto" w:before="44"/>
              <w:ind w:left="35" w:right="49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单项重大排名</w:t>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第一名 深圳市国家税务局南山分局</w:t>
            </w:r>
          </w:p>
        </w:tc>
        <w:tc>
          <w:tcPr>
            <w:tcW w:w="1807" w:type="dxa"/>
            <w:tcBorders>
              <w:top w:val="nil" w:sz="6" w:space="0" w:color="auto"/>
              <w:left w:val="nil" w:sz="6" w:space="0" w:color="auto"/>
              <w:bottom w:val="nil" w:sz="6" w:space="0" w:color="auto"/>
              <w:right w:val="nil" w:sz="6" w:space="0" w:color="auto"/>
            </w:tcBorders>
          </w:tcPr>
          <w:p>
            <w:pPr>
              <w:pStyle w:val="TableParagraph"/>
              <w:tabs>
                <w:tab w:pos="1034" w:val="left" w:leader="none"/>
              </w:tabs>
              <w:spacing w:line="367" w:lineRule="auto" w:before="44"/>
              <w:ind w:left="494" w:right="23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  额</w:t>
            </w:r>
            <w:r>
              <w:rPr>
                <w:rFonts w:ascii="宋体" w:hAnsi="宋体" w:cs="宋体" w:eastAsia="宋体" w:hint="default"/>
                <w:sz w:val="18"/>
                <w:szCs w:val="18"/>
              </w:rPr>
            </w:r>
            <w:r>
              <w:rPr>
                <w:rFonts w:ascii="宋体" w:hAnsi="宋体" w:cs="宋体" w:eastAsia="宋体" w:hint="default"/>
                <w:sz w:val="18"/>
                <w:szCs w:val="18"/>
              </w:rPr>
              <w:t> 1,992,136.43</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计提比例</w:t>
            </w:r>
            <w:r>
              <w:rPr>
                <w:rFonts w:ascii="宋体" w:hAnsi="宋体" w:cs="宋体" w:eastAsia="宋体" w:hint="default"/>
                <w:sz w:val="18"/>
                <w:szCs w:val="18"/>
              </w:rPr>
            </w:r>
          </w:p>
          <w:p>
            <w:pPr>
              <w:pStyle w:val="TableParagraph"/>
              <w:spacing w:line="240" w:lineRule="auto" w:before="124"/>
              <w:ind w:right="211"/>
              <w:jc w:val="right"/>
              <w:rPr>
                <w:rFonts w:ascii="宋体" w:hAnsi="宋体" w:cs="宋体" w:eastAsia="宋体" w:hint="default"/>
                <w:sz w:val="18"/>
                <w:szCs w:val="18"/>
              </w:rPr>
            </w:pPr>
            <w:r>
              <w:rPr>
                <w:rFonts w:ascii="宋体"/>
                <w:sz w:val="18"/>
              </w:rPr>
              <w:t>0%</w:t>
            </w:r>
          </w:p>
        </w:tc>
        <w:tc>
          <w:tcPr>
            <w:tcW w:w="1818" w:type="dxa"/>
            <w:tcBorders>
              <w:top w:val="nil" w:sz="6" w:space="0" w:color="auto"/>
              <w:left w:val="nil" w:sz="6" w:space="0" w:color="auto"/>
              <w:bottom w:val="nil" w:sz="6" w:space="0" w:color="auto"/>
              <w:right w:val="nil" w:sz="6" w:space="0" w:color="auto"/>
            </w:tcBorders>
          </w:tcPr>
          <w:p>
            <w:pPr>
              <w:pStyle w:val="TableParagraph"/>
              <w:tabs>
                <w:tab w:pos="738" w:val="left" w:leader="none"/>
                <w:tab w:pos="1765" w:val="left" w:leader="none"/>
              </w:tabs>
              <w:spacing w:line="367" w:lineRule="auto" w:before="44"/>
              <w:ind w:left="558" w:right="33" w:hanging="45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理  由</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出口退税款</w:t>
            </w:r>
          </w:p>
        </w:tc>
      </w:tr>
      <w:tr>
        <w:trPr>
          <w:trHeight w:val="360"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第二名深圳裕宝森科技有限公司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0"/>
              <w:jc w:val="right"/>
              <w:rPr>
                <w:rFonts w:ascii="宋体" w:hAnsi="宋体" w:cs="宋体" w:eastAsia="宋体" w:hint="default"/>
                <w:sz w:val="18"/>
                <w:szCs w:val="18"/>
              </w:rPr>
            </w:pPr>
            <w:r>
              <w:rPr>
                <w:rFonts w:ascii="宋体"/>
                <w:sz w:val="18"/>
              </w:rPr>
              <w:t>580,000.00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1"/>
              <w:jc w:val="right"/>
              <w:rPr>
                <w:rFonts w:ascii="宋体" w:hAnsi="宋体" w:cs="宋体" w:eastAsia="宋体" w:hint="default"/>
                <w:sz w:val="18"/>
                <w:szCs w:val="18"/>
              </w:rPr>
            </w:pPr>
            <w:r>
              <w:rPr>
                <w:rFonts w:ascii="宋体"/>
                <w:sz w:val="18"/>
              </w:rPr>
              <w:t>0%</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9" w:right="0"/>
              <w:jc w:val="center"/>
              <w:rPr>
                <w:rFonts w:ascii="宋体" w:hAnsi="宋体" w:cs="宋体" w:eastAsia="宋体" w:hint="default"/>
                <w:sz w:val="18"/>
                <w:szCs w:val="18"/>
              </w:rPr>
            </w:pPr>
            <w:r>
              <w:rPr>
                <w:rFonts w:ascii="宋体" w:hAnsi="宋体" w:cs="宋体" w:eastAsia="宋体" w:hint="default"/>
                <w:sz w:val="18"/>
                <w:szCs w:val="18"/>
              </w:rPr>
              <w:t>厂房租赁保证金</w:t>
            </w:r>
          </w:p>
        </w:tc>
      </w:tr>
      <w:tr>
        <w:trPr>
          <w:trHeight w:val="326"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第三名  深圳市龙岗区财政局</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0"/>
              <w:jc w:val="right"/>
              <w:rPr>
                <w:rFonts w:ascii="宋体" w:hAnsi="宋体" w:cs="宋体" w:eastAsia="宋体" w:hint="default"/>
                <w:sz w:val="18"/>
                <w:szCs w:val="18"/>
              </w:rPr>
            </w:pPr>
            <w:r>
              <w:rPr>
                <w:rFonts w:ascii="宋体"/>
                <w:sz w:val="18"/>
              </w:rPr>
              <w:t>345,275.00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1"/>
              <w:jc w:val="right"/>
              <w:rPr>
                <w:rFonts w:ascii="宋体" w:hAnsi="宋体" w:cs="宋体" w:eastAsia="宋体" w:hint="default"/>
                <w:sz w:val="18"/>
                <w:szCs w:val="18"/>
              </w:rPr>
            </w:pPr>
            <w:r>
              <w:rPr>
                <w:rFonts w:ascii="宋体"/>
                <w:sz w:val="18"/>
              </w:rPr>
              <w:t>0%</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9" w:right="0"/>
              <w:jc w:val="center"/>
              <w:rPr>
                <w:rFonts w:ascii="宋体" w:hAnsi="宋体" w:cs="宋体" w:eastAsia="宋体" w:hint="default"/>
                <w:sz w:val="18"/>
                <w:szCs w:val="18"/>
              </w:rPr>
            </w:pPr>
            <w:r>
              <w:rPr>
                <w:rFonts w:ascii="宋体" w:hAnsi="宋体" w:cs="宋体" w:eastAsia="宋体" w:hint="default"/>
                <w:sz w:val="18"/>
                <w:szCs w:val="18"/>
              </w:rPr>
              <w:t>墙体保证金</w:t>
            </w:r>
          </w:p>
        </w:tc>
      </w:tr>
    </w:tbl>
    <w:p>
      <w:pPr>
        <w:pStyle w:val="BodyText"/>
        <w:spacing w:line="292" w:lineRule="exact" w:before="0"/>
        <w:ind w:left="694" w:right="212"/>
        <w:jc w:val="left"/>
      </w:pPr>
      <w:r>
        <w:rPr>
          <w:rFonts w:ascii="Times New Roman" w:hAnsi="Times New Roman" w:cs="Times New Roman" w:eastAsia="Times New Roman" w:hint="default"/>
        </w:rPr>
        <w:t>3.</w:t>
      </w:r>
      <w:r>
        <w:rPr/>
        <w:t>年末其他应收款中无持本公司</w:t>
      </w:r>
      <w:r>
        <w:rPr>
          <w:spacing w:val="-71"/>
        </w:rPr>
        <w:t> </w:t>
      </w:r>
      <w:r>
        <w:rPr>
          <w:rFonts w:ascii="Times New Roman" w:hAnsi="Times New Roman" w:cs="Times New Roman" w:eastAsia="Times New Roman" w:hint="default"/>
        </w:rPr>
        <w:t>5%</w:t>
      </w:r>
      <w:r>
        <w:rPr/>
        <w:t>以上（含</w:t>
      </w:r>
      <w:r>
        <w:rPr>
          <w:spacing w:val="-71"/>
        </w:rPr>
        <w:t> </w:t>
      </w:r>
      <w:r>
        <w:rPr>
          <w:rFonts w:ascii="Times New Roman" w:hAnsi="Times New Roman" w:cs="Times New Roman" w:eastAsia="Times New Roman" w:hint="default"/>
        </w:rPr>
        <w:t>5%</w:t>
      </w:r>
      <w:r>
        <w:rPr/>
        <w:t>）表决权股份的股东单位款项，无关联</w:t>
      </w:r>
    </w:p>
    <w:p>
      <w:pPr>
        <w:pStyle w:val="BodyText"/>
        <w:spacing w:line="308" w:lineRule="exact" w:before="0"/>
        <w:ind w:right="212"/>
        <w:jc w:val="left"/>
      </w:pPr>
      <w:r>
        <w:rPr/>
        <w:t>方欠款。</w:t>
      </w:r>
    </w:p>
    <w:p>
      <w:pPr>
        <w:pStyle w:val="BodyText"/>
        <w:spacing w:line="240" w:lineRule="auto" w:before="5"/>
        <w:ind w:left="693" w:right="212"/>
        <w:jc w:val="left"/>
      </w:pPr>
      <w:r>
        <w:rPr>
          <w:rFonts w:ascii="Times New Roman" w:hAnsi="Times New Roman" w:cs="Times New Roman" w:eastAsia="Times New Roman" w:hint="default"/>
        </w:rPr>
        <w:t>4.</w:t>
      </w:r>
      <w:r>
        <w:rPr/>
        <w:t>年末其他应收款中欠款金额前五名</w:t>
      </w:r>
    </w:p>
    <w:p>
      <w:pPr>
        <w:spacing w:line="240" w:lineRule="auto" w:before="0"/>
        <w:rPr>
          <w:rFonts w:ascii="宋体" w:hAnsi="宋体" w:cs="宋体" w:eastAsia="宋体" w:hint="default"/>
          <w:sz w:val="2"/>
          <w:szCs w:val="2"/>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type w:val="continuous"/>
          <w:pgSz w:w="11910" w:h="16840"/>
          <w:pgMar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332" w:type="dxa"/>
        <w:tblLayout w:type="fixed"/>
        <w:tblCellMar>
          <w:top w:w="0" w:type="dxa"/>
          <w:left w:w="0" w:type="dxa"/>
          <w:bottom w:w="0" w:type="dxa"/>
          <w:right w:w="0" w:type="dxa"/>
        </w:tblCellMar>
        <w:tblLook w:val="01E0"/>
      </w:tblPr>
      <w:tblGrid>
        <w:gridCol w:w="665"/>
        <w:gridCol w:w="2288"/>
        <w:gridCol w:w="288"/>
        <w:gridCol w:w="900"/>
        <w:gridCol w:w="288"/>
        <w:gridCol w:w="1224"/>
        <w:gridCol w:w="311"/>
        <w:gridCol w:w="769"/>
        <w:gridCol w:w="272"/>
        <w:gridCol w:w="2015"/>
      </w:tblGrid>
      <w:tr>
        <w:trPr>
          <w:trHeight w:val="321" w:hRule="exact"/>
        </w:trPr>
        <w:tc>
          <w:tcPr>
            <w:tcW w:w="665" w:type="dxa"/>
            <w:tcBorders>
              <w:top w:val="nil" w:sz="6" w:space="0" w:color="auto"/>
              <w:left w:val="nil" w:sz="6" w:space="0" w:color="auto"/>
              <w:bottom w:val="single" w:sz="3" w:space="0" w:color="000000"/>
              <w:right w:val="nil" w:sz="6" w:space="0" w:color="auto"/>
            </w:tcBorders>
          </w:tcPr>
          <w:p>
            <w:pPr/>
          </w:p>
        </w:tc>
        <w:tc>
          <w:tcPr>
            <w:tcW w:w="2288" w:type="dxa"/>
            <w:tcBorders>
              <w:top w:val="nil" w:sz="6" w:space="0" w:color="auto"/>
              <w:left w:val="nil" w:sz="6" w:space="0" w:color="auto"/>
              <w:bottom w:val="single" w:sz="3" w:space="0" w:color="000000"/>
              <w:right w:val="nil" w:sz="6" w:space="0" w:color="auto"/>
            </w:tcBorders>
          </w:tcPr>
          <w:p>
            <w:pPr>
              <w:pStyle w:val="TableParagraph"/>
              <w:spacing w:line="240" w:lineRule="auto" w:before="78"/>
              <w:ind w:left="539"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28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w w:val="95"/>
                <w:sz w:val="18"/>
                <w:szCs w:val="18"/>
              </w:rPr>
              <w:t>性质或内容</w:t>
            </w:r>
          </w:p>
        </w:tc>
        <w:tc>
          <w:tcPr>
            <w:tcW w:w="28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4" w:space="0" w:color="000000"/>
              <w:right w:val="nil" w:sz="6" w:space="0" w:color="auto"/>
            </w:tcBorders>
          </w:tcPr>
          <w:p>
            <w:pPr>
              <w:pStyle w:val="TableParagraph"/>
              <w:tabs>
                <w:tab w:pos="841" w:val="left" w:leader="none"/>
              </w:tabs>
              <w:spacing w:line="240" w:lineRule="auto" w:before="35"/>
              <w:ind w:left="42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311"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15"/>
              <w:jc w:val="right"/>
              <w:rPr>
                <w:rFonts w:ascii="宋体" w:hAnsi="宋体" w:cs="宋体" w:eastAsia="宋体" w:hint="default"/>
                <w:sz w:val="18"/>
                <w:szCs w:val="18"/>
              </w:rPr>
            </w:pPr>
            <w:r>
              <w:rPr>
                <w:rFonts w:ascii="宋体" w:hAnsi="宋体" w:cs="宋体" w:eastAsia="宋体" w:hint="default"/>
                <w:sz w:val="18"/>
                <w:szCs w:val="18"/>
              </w:rPr>
              <w:t>账 龄</w:t>
            </w:r>
          </w:p>
        </w:tc>
        <w:tc>
          <w:tcPr>
            <w:tcW w:w="272"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33"/>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503" w:hRule="exact"/>
        </w:trPr>
        <w:tc>
          <w:tcPr>
            <w:tcW w:w="665" w:type="dxa"/>
            <w:tcBorders>
              <w:top w:val="single" w:sz="3" w:space="0" w:color="000000"/>
              <w:left w:val="nil" w:sz="6" w:space="0" w:color="auto"/>
              <w:bottom w:val="nil" w:sz="6" w:space="0" w:color="auto"/>
              <w:right w:val="nil" w:sz="6" w:space="0" w:color="auto"/>
            </w:tcBorders>
          </w:tcPr>
          <w:p>
            <w:pPr>
              <w:pStyle w:val="TableParagraph"/>
              <w:spacing w:line="240" w:lineRule="auto" w:before="159"/>
              <w:ind w:right="54"/>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288" w:type="dxa"/>
            <w:tcBorders>
              <w:top w:val="single" w:sz="3" w:space="0" w:color="000000"/>
              <w:left w:val="nil" w:sz="6" w:space="0" w:color="auto"/>
              <w:bottom w:val="nil" w:sz="6" w:space="0" w:color="auto"/>
              <w:right w:val="nil" w:sz="6" w:space="0" w:color="auto"/>
            </w:tcBorders>
          </w:tcPr>
          <w:p>
            <w:pPr>
              <w:pStyle w:val="TableParagraph"/>
              <w:spacing w:line="240" w:lineRule="auto" w:before="159"/>
              <w:ind w:left="89" w:right="0"/>
              <w:jc w:val="left"/>
              <w:rPr>
                <w:rFonts w:ascii="宋体" w:hAnsi="宋体" w:cs="宋体" w:eastAsia="宋体" w:hint="default"/>
                <w:sz w:val="18"/>
                <w:szCs w:val="18"/>
              </w:rPr>
            </w:pPr>
            <w:r>
              <w:rPr>
                <w:rFonts w:ascii="宋体" w:hAnsi="宋体" w:cs="宋体" w:eastAsia="宋体" w:hint="default"/>
                <w:sz w:val="18"/>
                <w:szCs w:val="18"/>
              </w:rPr>
              <w:t>深圳市国家税务局南山分局</w:t>
            </w:r>
          </w:p>
        </w:tc>
        <w:tc>
          <w:tcPr>
            <w:tcW w:w="288"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出口退税</w:t>
            </w:r>
          </w:p>
        </w:tc>
        <w:tc>
          <w:tcPr>
            <w:tcW w:w="288"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0"/>
              <w:jc w:val="right"/>
              <w:rPr>
                <w:rFonts w:ascii="宋体" w:hAnsi="宋体" w:cs="宋体" w:eastAsia="宋体" w:hint="default"/>
                <w:sz w:val="18"/>
                <w:szCs w:val="18"/>
              </w:rPr>
            </w:pPr>
            <w:r>
              <w:rPr>
                <w:rFonts w:ascii="宋体"/>
                <w:sz w:val="18"/>
              </w:rPr>
              <w:t>1,992,136.43</w:t>
            </w:r>
          </w:p>
        </w:tc>
        <w:tc>
          <w:tcPr>
            <w:tcW w:w="311" w:type="dxa"/>
            <w:tcBorders>
              <w:top w:val="nil" w:sz="6" w:space="0" w:color="auto"/>
              <w:left w:val="nil" w:sz="6" w:space="0" w:color="auto"/>
              <w:bottom w:val="nil" w:sz="6" w:space="0" w:color="auto"/>
              <w:right w:val="nil" w:sz="6" w:space="0" w:color="auto"/>
            </w:tcBorders>
          </w:tcPr>
          <w:p>
            <w:pPr/>
          </w:p>
        </w:tc>
        <w:tc>
          <w:tcPr>
            <w:tcW w:w="769"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9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72" w:type="dxa"/>
            <w:tcBorders>
              <w:top w:val="nil" w:sz="6" w:space="0" w:color="auto"/>
              <w:left w:val="nil" w:sz="6" w:space="0" w:color="auto"/>
              <w:bottom w:val="nil" w:sz="6" w:space="0" w:color="auto"/>
              <w:right w:val="nil" w:sz="6" w:space="0" w:color="auto"/>
            </w:tcBorders>
          </w:tcPr>
          <w:p>
            <w:pP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34"/>
              <w:jc w:val="center"/>
              <w:rPr>
                <w:rFonts w:ascii="宋体" w:hAnsi="宋体" w:cs="宋体" w:eastAsia="宋体" w:hint="default"/>
                <w:sz w:val="18"/>
                <w:szCs w:val="18"/>
              </w:rPr>
            </w:pPr>
            <w:r>
              <w:rPr>
                <w:rFonts w:ascii="宋体"/>
                <w:sz w:val="18"/>
              </w:rPr>
              <w:t>55.49%</w:t>
            </w:r>
          </w:p>
        </w:tc>
      </w:tr>
      <w:tr>
        <w:trPr>
          <w:trHeight w:val="317"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9" w:right="0"/>
              <w:jc w:val="left"/>
              <w:rPr>
                <w:rFonts w:ascii="宋体" w:hAnsi="宋体" w:cs="宋体" w:eastAsia="宋体" w:hint="default"/>
                <w:sz w:val="18"/>
                <w:szCs w:val="18"/>
              </w:rPr>
            </w:pPr>
            <w:r>
              <w:rPr>
                <w:rFonts w:ascii="宋体" w:hAnsi="宋体" w:cs="宋体" w:eastAsia="宋体" w:hint="default"/>
                <w:sz w:val="18"/>
                <w:szCs w:val="18"/>
              </w:rPr>
              <w:t>深圳裕宝森科技有限公司</w:t>
            </w:r>
          </w:p>
        </w:tc>
        <w:tc>
          <w:tcPr>
            <w:tcW w:w="28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28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580,000.00</w:t>
            </w:r>
          </w:p>
        </w:tc>
        <w:tc>
          <w:tcPr>
            <w:tcW w:w="311"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2"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center"/>
              <w:rPr>
                <w:rFonts w:ascii="宋体" w:hAnsi="宋体" w:cs="宋体" w:eastAsia="宋体" w:hint="default"/>
                <w:sz w:val="18"/>
                <w:szCs w:val="18"/>
              </w:rPr>
            </w:pPr>
            <w:r>
              <w:rPr>
                <w:rFonts w:ascii="宋体"/>
                <w:sz w:val="18"/>
              </w:rPr>
              <w:t>16.15%</w:t>
            </w:r>
          </w:p>
        </w:tc>
      </w:tr>
      <w:tr>
        <w:trPr>
          <w:trHeight w:val="200" w:hRule="exact"/>
        </w:trPr>
        <w:tc>
          <w:tcPr>
            <w:tcW w:w="66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c>
          <w:tcPr>
            <w:tcW w:w="311"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06" w:lineRule="exact"/>
              <w:ind w:right="31"/>
              <w:jc w:val="center"/>
              <w:rPr>
                <w:rFonts w:ascii="宋体" w:hAnsi="宋体" w:cs="宋体" w:eastAsia="宋体" w:hint="default"/>
                <w:sz w:val="18"/>
                <w:szCs w:val="18"/>
              </w:rPr>
            </w:pPr>
            <w:r>
              <w:rPr>
                <w:rFonts w:ascii="宋体"/>
                <w:sz w:val="18"/>
              </w:rPr>
              <w:t>9.62%</w:t>
            </w:r>
          </w:p>
        </w:tc>
      </w:tr>
      <w:tr>
        <w:trPr>
          <w:trHeight w:val="283"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173" w:lineRule="exact"/>
              <w:ind w:right="54"/>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288" w:type="dxa"/>
            <w:tcBorders>
              <w:top w:val="nil" w:sz="6" w:space="0" w:color="auto"/>
              <w:left w:val="nil" w:sz="6" w:space="0" w:color="auto"/>
              <w:bottom w:val="nil" w:sz="6" w:space="0" w:color="auto"/>
              <w:right w:val="nil" w:sz="6" w:space="0" w:color="auto"/>
            </w:tcBorders>
          </w:tcPr>
          <w:p>
            <w:pPr>
              <w:pStyle w:val="TableParagraph"/>
              <w:spacing w:line="173" w:lineRule="exact"/>
              <w:ind w:left="89" w:right="0"/>
              <w:jc w:val="left"/>
              <w:rPr>
                <w:rFonts w:ascii="宋体" w:hAnsi="宋体" w:cs="宋体" w:eastAsia="宋体" w:hint="default"/>
                <w:sz w:val="18"/>
                <w:szCs w:val="18"/>
              </w:rPr>
            </w:pPr>
            <w:r>
              <w:rPr>
                <w:rFonts w:ascii="宋体" w:hAnsi="宋体" w:cs="宋体" w:eastAsia="宋体" w:hint="default"/>
                <w:sz w:val="18"/>
                <w:szCs w:val="18"/>
              </w:rPr>
              <w:t>深圳市龙岗区财政局</w:t>
            </w:r>
          </w:p>
        </w:tc>
        <w:tc>
          <w:tcPr>
            <w:tcW w:w="28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8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right"/>
              <w:rPr>
                <w:rFonts w:ascii="宋体" w:hAnsi="宋体" w:cs="宋体" w:eastAsia="宋体" w:hint="default"/>
                <w:sz w:val="18"/>
                <w:szCs w:val="18"/>
              </w:rPr>
            </w:pPr>
            <w:r>
              <w:rPr>
                <w:rFonts w:ascii="宋体"/>
                <w:sz w:val="18"/>
              </w:rPr>
              <w:t>345,275.00</w:t>
            </w:r>
          </w:p>
        </w:tc>
        <w:tc>
          <w:tcPr>
            <w:tcW w:w="311"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Style w:val="TableParagraph"/>
              <w:spacing w:line="173" w:lineRule="exact"/>
              <w:ind w:left="9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2"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
        </w:tc>
      </w:tr>
      <w:tr>
        <w:trPr>
          <w:trHeight w:val="400"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9" w:right="0"/>
              <w:jc w:val="left"/>
              <w:rPr>
                <w:rFonts w:ascii="宋体" w:hAnsi="宋体" w:cs="宋体" w:eastAsia="宋体" w:hint="default"/>
                <w:sz w:val="18"/>
                <w:szCs w:val="18"/>
              </w:rPr>
            </w:pPr>
            <w:r>
              <w:rPr>
                <w:rFonts w:ascii="宋体" w:hAnsi="宋体" w:cs="宋体" w:eastAsia="宋体" w:hint="default"/>
                <w:sz w:val="18"/>
                <w:szCs w:val="18"/>
              </w:rPr>
              <w:t>公司员工</w:t>
            </w:r>
          </w:p>
        </w:tc>
        <w:tc>
          <w:tcPr>
            <w:tcW w:w="28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8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189,732.46</w:t>
            </w:r>
          </w:p>
        </w:tc>
        <w:tc>
          <w:tcPr>
            <w:tcW w:w="311"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72"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
              <w:jc w:val="center"/>
              <w:rPr>
                <w:rFonts w:ascii="宋体" w:hAnsi="宋体" w:cs="宋体" w:eastAsia="宋体" w:hint="default"/>
                <w:sz w:val="18"/>
                <w:szCs w:val="18"/>
              </w:rPr>
            </w:pPr>
            <w:r>
              <w:rPr>
                <w:rFonts w:ascii="宋体"/>
                <w:sz w:val="18"/>
              </w:rPr>
              <w:t>5.28%</w:t>
            </w:r>
          </w:p>
        </w:tc>
      </w:tr>
      <w:tr>
        <w:trPr>
          <w:trHeight w:val="327"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9" w:right="0"/>
              <w:jc w:val="left"/>
              <w:rPr>
                <w:rFonts w:ascii="宋体" w:hAnsi="宋体" w:cs="宋体" w:eastAsia="宋体" w:hint="default"/>
                <w:sz w:val="18"/>
                <w:szCs w:val="18"/>
              </w:rPr>
            </w:pPr>
            <w:r>
              <w:rPr>
                <w:rFonts w:ascii="宋体" w:hAnsi="宋体" w:cs="宋体" w:eastAsia="宋体" w:hint="default"/>
                <w:sz w:val="18"/>
                <w:szCs w:val="18"/>
              </w:rPr>
              <w:t>飞利浦（香港）</w:t>
            </w:r>
          </w:p>
        </w:tc>
        <w:tc>
          <w:tcPr>
            <w:tcW w:w="28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8"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109,569.00</w:t>
            </w:r>
          </w:p>
        </w:tc>
        <w:tc>
          <w:tcPr>
            <w:tcW w:w="311" w:type="dxa"/>
            <w:tcBorders>
              <w:top w:val="nil" w:sz="6" w:space="0" w:color="auto"/>
              <w:left w:val="nil" w:sz="6" w:space="0" w:color="auto"/>
              <w:bottom w:val="nil" w:sz="6" w:space="0" w:color="auto"/>
              <w:right w:val="nil" w:sz="6" w:space="0" w:color="auto"/>
            </w:tcBorders>
          </w:tcPr>
          <w:p>
            <w:pP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72"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
              <w:jc w:val="center"/>
              <w:rPr>
                <w:rFonts w:ascii="宋体" w:hAnsi="宋体" w:cs="宋体" w:eastAsia="宋体" w:hint="default"/>
                <w:sz w:val="18"/>
                <w:szCs w:val="18"/>
              </w:rPr>
            </w:pPr>
            <w:r>
              <w:rPr>
                <w:rFonts w:ascii="宋体"/>
                <w:sz w:val="18"/>
              </w:rPr>
              <w:t>3.05%</w:t>
            </w:r>
          </w:p>
        </w:tc>
      </w:tr>
    </w:tbl>
    <w:p>
      <w:pPr>
        <w:pStyle w:val="BodyText"/>
        <w:spacing w:line="292" w:lineRule="exact" w:before="0"/>
        <w:ind w:left="694" w:right="0"/>
        <w:jc w:val="left"/>
      </w:pPr>
      <w:r>
        <w:rPr>
          <w:rFonts w:ascii="Times New Roman" w:hAnsi="Times New Roman" w:cs="Times New Roman" w:eastAsia="Times New Roman" w:hint="default"/>
        </w:rPr>
        <w:t>5.</w:t>
      </w:r>
      <w:r>
        <w:rPr/>
        <w:t>其他应收款年末数比年初数增加</w:t>
      </w:r>
      <w:r>
        <w:rPr>
          <w:spacing w:val="-54"/>
        </w:rPr>
        <w:t> </w:t>
      </w:r>
      <w:r>
        <w:rPr>
          <w:rFonts w:ascii="Times New Roman" w:hAnsi="Times New Roman" w:cs="Times New Roman" w:eastAsia="Times New Roman" w:hint="default"/>
        </w:rPr>
        <w:t>1,696,577.03</w:t>
      </w:r>
      <w:r>
        <w:rPr>
          <w:rFonts w:ascii="Times New Roman" w:hAnsi="Times New Roman" w:cs="Times New Roman" w:eastAsia="Times New Roman" w:hint="default"/>
          <w:spacing w:val="6"/>
        </w:rPr>
        <w:t> </w:t>
      </w:r>
      <w:r>
        <w:rPr/>
        <w:t>元，增加比例为</w:t>
      </w:r>
      <w:r>
        <w:rPr>
          <w:spacing w:val="-54"/>
        </w:rPr>
        <w:t> </w:t>
      </w:r>
      <w:r>
        <w:rPr>
          <w:rFonts w:ascii="Times New Roman" w:hAnsi="Times New Roman" w:cs="Times New Roman" w:eastAsia="Times New Roman" w:hint="default"/>
        </w:rPr>
        <w:t>89.59%</w:t>
      </w:r>
      <w:r>
        <w:rPr/>
        <w:t>，变动原因：本</w:t>
      </w:r>
    </w:p>
    <w:p>
      <w:pPr>
        <w:pStyle w:val="BodyText"/>
        <w:spacing w:line="308" w:lineRule="exact" w:before="0"/>
        <w:ind w:left="154" w:right="0"/>
        <w:jc w:val="left"/>
      </w:pPr>
      <w:r>
        <w:rPr/>
        <w:t>期出口退税款增加所致。</w:t>
      </w:r>
    </w:p>
    <w:p>
      <w:pPr>
        <w:pStyle w:val="BodyText"/>
        <w:spacing w:line="240" w:lineRule="auto" w:before="5"/>
        <w:ind w:left="69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长期股权投资</w:t>
      </w:r>
    </w:p>
    <w:p>
      <w:pPr>
        <w:spacing w:line="240" w:lineRule="auto" w:before="0"/>
        <w:rPr>
          <w:rFonts w:ascii="宋体" w:hAnsi="宋体" w:cs="宋体" w:eastAsia="宋体" w:hint="default"/>
          <w:sz w:val="8"/>
          <w:szCs w:val="8"/>
        </w:rPr>
      </w:pPr>
    </w:p>
    <w:p>
      <w:pPr>
        <w:tabs>
          <w:tab w:pos="4491" w:val="left" w:leader="none"/>
          <w:tab w:pos="5931" w:val="left" w:leader="none"/>
          <w:tab w:pos="6409" w:val="left" w:leader="none"/>
          <w:tab w:pos="7309" w:val="left" w:leader="none"/>
          <w:tab w:pos="8839" w:val="left" w:leader="none"/>
        </w:tabs>
        <w:spacing w:line="218" w:lineRule="exact" w:before="44"/>
        <w:ind w:left="350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spacing w:line="218" w:lineRule="exact" w:before="0"/>
        <w:ind w:left="1069"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line="20" w:lineRule="exact"/>
        <w:ind w:left="345" w:right="0" w:firstLine="0"/>
        <w:rPr>
          <w:rFonts w:ascii="宋体" w:hAnsi="宋体" w:cs="宋体" w:eastAsia="宋体" w:hint="default"/>
          <w:sz w:val="2"/>
          <w:szCs w:val="2"/>
        </w:rPr>
      </w:pPr>
      <w:r>
        <w:rPr>
          <w:rFonts w:ascii="宋体" w:hAnsi="宋体" w:cs="宋体" w:eastAsia="宋体" w:hint="default"/>
          <w:sz w:val="2"/>
          <w:szCs w:val="2"/>
        </w:rPr>
        <w:pict>
          <v:group style="width:135.450pt;height:.45pt;mso-position-horizontal-relative:char;mso-position-vertical-relative:line" coordorigin="0,0" coordsize="2709,9">
            <v:group style="position:absolute;left:4;top:4;width:2700;height:2" coordorigin="4,4" coordsize="2700,2">
              <v:shape style="position:absolute;left:4;top:4;width:2700;height:2" coordorigin="4,4" coordsize="2700,0" path="m4,4l2704,4e" filled="false" stroked="true" strokeweight=".42004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3"/>
          <w:szCs w:val="23"/>
        </w:rPr>
      </w:pPr>
    </w:p>
    <w:p>
      <w:pPr>
        <w:spacing w:before="44"/>
        <w:ind w:left="349" w:right="0" w:firstLine="0"/>
        <w:jc w:val="left"/>
        <w:rPr>
          <w:rFonts w:ascii="宋体" w:hAnsi="宋体" w:cs="宋体" w:eastAsia="宋体" w:hint="default"/>
          <w:sz w:val="18"/>
          <w:szCs w:val="18"/>
        </w:rPr>
      </w:pPr>
      <w:r>
        <w:rPr/>
        <w:pict>
          <v:shape style="position:absolute;margin-left:233.460007pt;margin-top:-15.062636pt;width:269pt;height:24.8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8"/>
                    <w:gridCol w:w="320"/>
                    <w:gridCol w:w="1006"/>
                    <w:gridCol w:w="412"/>
                    <w:gridCol w:w="1170"/>
                    <w:gridCol w:w="304"/>
                    <w:gridCol w:w="990"/>
                  </w:tblGrid>
                  <w:tr>
                    <w:trPr>
                      <w:trHeight w:val="187" w:hRule="exact"/>
                    </w:trPr>
                    <w:tc>
                      <w:tcPr>
                        <w:tcW w:w="1178" w:type="dxa"/>
                        <w:tcBorders>
                          <w:top w:val="nil" w:sz="6" w:space="0" w:color="auto"/>
                          <w:left w:val="nil" w:sz="6" w:space="0" w:color="auto"/>
                          <w:bottom w:val="single" w:sz="4" w:space="0" w:color="000000"/>
                          <w:right w:val="nil" w:sz="6" w:space="0" w:color="auto"/>
                        </w:tcBorders>
                      </w:tcPr>
                      <w:p>
                        <w:pPr>
                          <w:pStyle w:val="TableParagraph"/>
                          <w:spacing w:line="180" w:lineRule="exact"/>
                          <w:ind w:left="8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0"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180" w:lineRule="exact"/>
                          <w:ind w:left="18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41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180" w:lineRule="exact"/>
                          <w:ind w:right="1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4"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4" w:space="0" w:color="000000"/>
                          <w:right w:val="nil" w:sz="6" w:space="0" w:color="auto"/>
                        </w:tcBorders>
                      </w:tcPr>
                      <w:p>
                        <w:pPr>
                          <w:pStyle w:val="TableParagraph"/>
                          <w:spacing w:line="180" w:lineRule="exact"/>
                          <w:ind w:left="180"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10" w:hRule="exact"/>
                    </w:trPr>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8" w:right="0"/>
                          <w:jc w:val="center"/>
                          <w:rPr>
                            <w:rFonts w:ascii="宋体" w:hAnsi="宋体" w:cs="宋体" w:eastAsia="宋体" w:hint="default"/>
                            <w:sz w:val="18"/>
                            <w:szCs w:val="18"/>
                          </w:rPr>
                        </w:pPr>
                        <w:r>
                          <w:rPr>
                            <w:rFonts w:ascii="宋体"/>
                            <w:sz w:val="18"/>
                          </w:rPr>
                          <w:t>29,754,493.46</w:t>
                        </w:r>
                      </w:p>
                    </w:tc>
                    <w:tc>
                      <w:tcPr>
                        <w:tcW w:w="320" w:type="dxa"/>
                        <w:tcBorders>
                          <w:top w:val="nil" w:sz="6" w:space="0" w:color="auto"/>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nil" w:sz="6" w:space="0" w:color="auto"/>
                          <w:right w:val="nil" w:sz="6" w:space="0" w:color="auto"/>
                        </w:tcBorders>
                      </w:tcPr>
                      <w:p>
                        <w:pPr/>
                      </w:p>
                    </w:tc>
                    <w:tc>
                      <w:tcPr>
                        <w:tcW w:w="412" w:type="dxa"/>
                        <w:tcBorders>
                          <w:top w:val="nil" w:sz="6" w:space="0" w:color="auto"/>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w w:val="95"/>
                            <w:sz w:val="18"/>
                          </w:rPr>
                          <w:t>29,754,493.46</w:t>
                        </w:r>
                      </w:p>
                    </w:tc>
                    <w:tc>
                      <w:tcPr>
                        <w:tcW w:w="304" w:type="dxa"/>
                        <w:tcBorders>
                          <w:top w:val="nil" w:sz="6" w:space="0" w:color="auto"/>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无锡实益达电子有限公司</w:t>
      </w:r>
    </w:p>
    <w:p>
      <w:pPr>
        <w:tabs>
          <w:tab w:pos="3967" w:val="left" w:leader="none"/>
          <w:tab w:pos="6875" w:val="left" w:leader="none"/>
        </w:tabs>
        <w:spacing w:before="80"/>
        <w:ind w:left="349" w:right="0" w:firstLine="0"/>
        <w:jc w:val="left"/>
        <w:rPr>
          <w:rFonts w:ascii="宋体" w:hAnsi="宋体" w:cs="宋体" w:eastAsia="宋体" w:hint="default"/>
          <w:sz w:val="18"/>
          <w:szCs w:val="18"/>
        </w:rPr>
      </w:pPr>
      <w:r>
        <w:rPr>
          <w:rFonts w:ascii="宋体" w:hAnsi="宋体" w:cs="宋体" w:eastAsia="宋体" w:hint="default"/>
          <w:position w:val="-7"/>
          <w:sz w:val="18"/>
          <w:szCs w:val="18"/>
        </w:rPr>
        <w:t>实益达科技香港有限公司</w:t>
        <w:tab/>
      </w:r>
      <w:r>
        <w:rPr>
          <w:rFonts w:ascii="宋体" w:hAnsi="宋体" w:cs="宋体" w:eastAsia="宋体" w:hint="default"/>
          <w:sz w:val="18"/>
          <w:szCs w:val="18"/>
        </w:rPr>
        <w:t>519,700.00</w:t>
        <w:tab/>
        <w:t>519,700.00</w:t>
      </w:r>
    </w:p>
    <w:p>
      <w:pPr>
        <w:tabs>
          <w:tab w:pos="6875" w:val="left" w:leader="none"/>
          <w:tab w:pos="8168" w:val="left" w:leader="none"/>
        </w:tabs>
        <w:spacing w:before="84"/>
        <w:ind w:left="349" w:right="0" w:firstLine="0"/>
        <w:jc w:val="left"/>
        <w:rPr>
          <w:rFonts w:ascii="宋体" w:hAnsi="宋体" w:cs="宋体" w:eastAsia="宋体" w:hint="default"/>
          <w:sz w:val="18"/>
          <w:szCs w:val="18"/>
        </w:rPr>
      </w:pPr>
      <w:r>
        <w:rPr>
          <w:rFonts w:ascii="宋体" w:hAnsi="宋体" w:cs="宋体" w:eastAsia="宋体" w:hint="default"/>
          <w:position w:val="-7"/>
          <w:sz w:val="18"/>
          <w:szCs w:val="18"/>
        </w:rPr>
        <w:t>深圳市实益达数码科技有限公司</w:t>
        <w:tab/>
      </w:r>
      <w:r>
        <w:rPr>
          <w:rFonts w:ascii="宋体" w:hAnsi="宋体" w:cs="宋体" w:eastAsia="宋体" w:hint="default"/>
          <w:sz w:val="18"/>
          <w:szCs w:val="18"/>
        </w:rPr>
        <w:t>100,000.00</w:t>
        <w:tab/>
        <w:t>100,000.00</w:t>
      </w:r>
    </w:p>
    <w:p>
      <w:pPr>
        <w:pStyle w:val="BodyText"/>
        <w:spacing w:line="240" w:lineRule="auto" w:before="8"/>
        <w:ind w:left="694" w:right="0"/>
        <w:jc w:val="left"/>
      </w:pPr>
      <w:r>
        <w:rPr>
          <w:rFonts w:ascii="Times New Roman" w:hAnsi="Times New Roman" w:cs="Times New Roman" w:eastAsia="Times New Roman" w:hint="default"/>
        </w:rPr>
        <w:t>1.</w:t>
      </w:r>
      <w:r>
        <w:rPr/>
        <w:t>被投资单位主要信息</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11" w:top="980" w:bottom="900" w:left="980" w:right="980"/>
        </w:sectPr>
      </w:pPr>
    </w:p>
    <w:p>
      <w:pPr>
        <w:spacing w:line="240" w:lineRule="auto" w:before="10"/>
        <w:rPr>
          <w:rFonts w:ascii="宋体" w:hAnsi="宋体" w:cs="宋体" w:eastAsia="宋体" w:hint="default"/>
          <w:sz w:val="24"/>
          <w:szCs w:val="24"/>
        </w:rPr>
      </w:pPr>
    </w:p>
    <w:p>
      <w:pPr>
        <w:tabs>
          <w:tab w:pos="936" w:val="left" w:leader="none"/>
          <w:tab w:pos="2370" w:val="left" w:leader="none"/>
        </w:tabs>
        <w:spacing w:before="0"/>
        <w:ind w:left="4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25"/>
          <w:sz w:val="18"/>
          <w:szCs w:val="18"/>
          <w:u w:val="single" w:color="000000"/>
        </w:rPr>
        <w:t>被投资单位名称</w:t>
        <w:tab/>
      </w:r>
      <w:r>
        <w:rPr>
          <w:rFonts w:ascii="宋体" w:hAnsi="宋体" w:cs="宋体" w:eastAsia="宋体" w:hint="default"/>
          <w:spacing w:val="-25"/>
          <w:sz w:val="18"/>
          <w:szCs w:val="18"/>
        </w:rPr>
      </w:r>
    </w:p>
    <w:p>
      <w:pPr>
        <w:spacing w:line="240" w:lineRule="auto" w:before="1"/>
        <w:rPr>
          <w:rFonts w:ascii="宋体" w:hAnsi="宋体" w:cs="宋体" w:eastAsia="宋体" w:hint="default"/>
          <w:sz w:val="14"/>
          <w:szCs w:val="14"/>
        </w:rPr>
      </w:pPr>
      <w:r>
        <w:rPr/>
        <w:br w:type="column"/>
      </w:r>
      <w:r>
        <w:rPr>
          <w:rFonts w:ascii="宋体"/>
          <w:sz w:val="14"/>
        </w:rPr>
      </w:r>
    </w:p>
    <w:p>
      <w:pPr>
        <w:spacing w:line="285" w:lineRule="auto" w:before="0"/>
        <w:ind w:left="667" w:right="-16" w:hanging="228"/>
        <w:jc w:val="left"/>
        <w:rPr>
          <w:rFonts w:ascii="宋体" w:hAnsi="宋体" w:cs="宋体" w:eastAsia="宋体" w:hint="default"/>
          <w:sz w:val="18"/>
          <w:szCs w:val="18"/>
        </w:rPr>
      </w:pPr>
      <w:r>
        <w:rPr>
          <w:rFonts w:ascii="宋体" w:hAnsi="宋体" w:cs="宋体" w:eastAsia="宋体" w:hint="default"/>
          <w:spacing w:val="-29"/>
          <w:sz w:val="18"/>
          <w:szCs w:val="18"/>
        </w:rPr>
        <w:t>年末净资产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u w:val="single" w:color="000000"/>
        </w:rPr>
        <w:t>总额</w:t>
      </w:r>
      <w:r>
        <w:rPr>
          <w:rFonts w:ascii="宋体" w:hAnsi="宋体" w:cs="宋体" w:eastAsia="宋体" w:hint="default"/>
          <w:spacing w:val="-29"/>
          <w:sz w:val="18"/>
          <w:szCs w:val="18"/>
        </w:rPr>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r>
        <w:rPr/>
        <w:br w:type="column"/>
      </w:r>
      <w:r>
        <w:rPr>
          <w:rFonts w:ascii="宋体"/>
          <w:sz w:val="14"/>
        </w:rPr>
      </w:r>
    </w:p>
    <w:p>
      <w:pPr>
        <w:spacing w:line="285" w:lineRule="auto" w:before="0"/>
        <w:ind w:left="439" w:right="-15" w:firstLine="0"/>
        <w:jc w:val="left"/>
        <w:rPr>
          <w:rFonts w:ascii="宋体" w:hAnsi="宋体" w:cs="宋体" w:eastAsia="宋体" w:hint="default"/>
          <w:sz w:val="18"/>
          <w:szCs w:val="18"/>
        </w:rPr>
      </w:pPr>
      <w:r>
        <w:rPr>
          <w:rFonts w:ascii="宋体" w:hAnsi="宋体" w:cs="宋体" w:eastAsia="宋体" w:hint="default"/>
          <w:spacing w:val="-29"/>
          <w:sz w:val="18"/>
          <w:szCs w:val="18"/>
        </w:rPr>
        <w:t>本年营业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9"/>
          <w:sz w:val="18"/>
          <w:szCs w:val="18"/>
          <w:u w:val="single" w:color="000000"/>
        </w:rPr>
        <w:t>收入总额</w:t>
      </w:r>
      <w:r>
        <w:rPr>
          <w:rFonts w:ascii="宋体" w:hAnsi="宋体" w:cs="宋体" w:eastAsia="宋体" w:hint="default"/>
          <w:spacing w:val="-29"/>
          <w:sz w:val="18"/>
          <w:szCs w:val="18"/>
        </w:rPr>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r>
        <w:rPr/>
        <w:br w:type="column"/>
      </w:r>
      <w:r>
        <w:rPr>
          <w:rFonts w:ascii="宋体"/>
          <w:sz w:val="14"/>
        </w:rPr>
      </w:r>
    </w:p>
    <w:p>
      <w:pPr>
        <w:spacing w:line="285" w:lineRule="auto" w:before="0"/>
        <w:ind w:left="439" w:right="685" w:firstLine="75"/>
        <w:jc w:val="left"/>
        <w:rPr>
          <w:rFonts w:ascii="宋体" w:hAnsi="宋体" w:cs="宋体" w:eastAsia="宋体" w:hint="default"/>
          <w:sz w:val="18"/>
          <w:szCs w:val="18"/>
        </w:rPr>
      </w:pPr>
      <w:r>
        <w:rPr>
          <w:rFonts w:ascii="宋体" w:hAnsi="宋体" w:cs="宋体" w:eastAsia="宋体" w:hint="default"/>
          <w:spacing w:val="-29"/>
          <w:sz w:val="18"/>
          <w:szCs w:val="18"/>
        </w:rPr>
        <w:t>本年 </w:t>
      </w:r>
      <w:r>
        <w:rPr>
          <w:rFonts w:ascii="宋体" w:hAnsi="宋体" w:cs="宋体" w:eastAsia="宋体" w:hint="default"/>
          <w:spacing w:val="-19"/>
          <w:sz w:val="18"/>
          <w:szCs w:val="18"/>
          <w:u w:val="single" w:color="000000"/>
        </w:rPr>
        <w:t>净利润</w:t>
      </w:r>
      <w:r>
        <w:rPr>
          <w:rFonts w:ascii="宋体" w:hAnsi="宋体" w:cs="宋体" w:eastAsia="宋体" w:hint="default"/>
          <w:spacing w:val="-19"/>
          <w:sz w:val="18"/>
          <w:szCs w:val="18"/>
        </w:rPr>
      </w:r>
    </w:p>
    <w:p>
      <w:pPr>
        <w:spacing w:after="0" w:line="285" w:lineRule="auto"/>
        <w:jc w:val="left"/>
        <w:rPr>
          <w:rFonts w:ascii="宋体" w:hAnsi="宋体" w:cs="宋体" w:eastAsia="宋体" w:hint="default"/>
          <w:sz w:val="18"/>
          <w:szCs w:val="18"/>
        </w:rPr>
        <w:sectPr>
          <w:type w:val="continuous"/>
          <w:pgSz w:w="11910" w:h="16840"/>
          <w:pgMar w:top="980" w:bottom="1520" w:left="980" w:right="980"/>
          <w:cols w:num="4" w:equalWidth="0">
            <w:col w:w="2371" w:space="3264"/>
            <w:col w:w="1199" w:space="142"/>
            <w:col w:w="1049" w:space="293"/>
            <w:col w:w="1632"/>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tabs>
          <w:tab w:pos="6053" w:val="left" w:leader="none"/>
          <w:tab w:pos="7271" w:val="left" w:leader="none"/>
          <w:tab w:pos="8582" w:val="left" w:leader="none"/>
        </w:tabs>
        <w:spacing w:before="44"/>
        <w:ind w:left="349" w:right="0" w:firstLine="0"/>
        <w:jc w:val="left"/>
        <w:rPr>
          <w:rFonts w:ascii="宋体" w:hAnsi="宋体" w:cs="宋体" w:eastAsia="宋体" w:hint="default"/>
          <w:sz w:val="18"/>
          <w:szCs w:val="18"/>
        </w:rPr>
      </w:pPr>
      <w:r>
        <w:rPr/>
        <w:pict>
          <v:shape style="position:absolute;margin-left:176.990005pt;margin-top:-73.484665pt;width:153.050pt;height:135.950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9"/>
                    <w:gridCol w:w="865"/>
                    <w:gridCol w:w="773"/>
                    <w:gridCol w:w="804"/>
                  </w:tblGrid>
                  <w:tr>
                    <w:trPr>
                      <w:trHeight w:val="557" w:hRule="exact"/>
                    </w:trPr>
                    <w:tc>
                      <w:tcPr>
                        <w:tcW w:w="1483" w:type="dxa"/>
                        <w:gridSpan w:val="2"/>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pacing w:val="-19"/>
                            <w:sz w:val="18"/>
                            <w:szCs w:val="18"/>
                          </w:rPr>
                          <w:t>本企业</w:t>
                        </w:r>
                      </w:p>
                    </w:tc>
                    <w:tc>
                      <w:tcPr>
                        <w:tcW w:w="804" w:type="dxa"/>
                        <w:tcBorders>
                          <w:top w:val="nil" w:sz="6" w:space="0" w:color="auto"/>
                          <w:left w:val="nil" w:sz="6" w:space="0" w:color="auto"/>
                          <w:bottom w:val="nil" w:sz="6" w:space="0" w:color="auto"/>
                          <w:right w:val="nil" w:sz="6" w:space="0" w:color="auto"/>
                        </w:tcBorders>
                      </w:tcPr>
                      <w:p>
                        <w:pPr>
                          <w:pStyle w:val="TableParagraph"/>
                          <w:spacing w:line="285" w:lineRule="auto"/>
                          <w:ind w:left="160" w:right="33"/>
                          <w:jc w:val="left"/>
                          <w:rPr>
                            <w:rFonts w:ascii="宋体" w:hAnsi="宋体" w:cs="宋体" w:eastAsia="宋体" w:hint="default"/>
                            <w:sz w:val="18"/>
                            <w:szCs w:val="18"/>
                          </w:rPr>
                        </w:pPr>
                        <w:r>
                          <w:rPr>
                            <w:rFonts w:ascii="宋体" w:hAnsi="宋体" w:cs="宋体" w:eastAsia="宋体" w:hint="default"/>
                            <w:spacing w:val="-29"/>
                            <w:sz w:val="18"/>
                            <w:szCs w:val="18"/>
                          </w:rPr>
                          <w:t>本企业在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9"/>
                            <w:sz w:val="18"/>
                            <w:szCs w:val="18"/>
                          </w:rPr>
                          <w:t>被投资单</w:t>
                        </w:r>
                        <w:r>
                          <w:rPr>
                            <w:rFonts w:ascii="宋体" w:hAnsi="宋体" w:cs="宋体" w:eastAsia="宋体" w:hint="default"/>
                            <w:sz w:val="18"/>
                            <w:szCs w:val="18"/>
                          </w:rPr>
                        </w:r>
                      </w:p>
                    </w:tc>
                  </w:tr>
                  <w:tr>
                    <w:trPr>
                      <w:trHeight w:val="901"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30" w:lineRule="exact"/>
                          <w:ind w:right="6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9"/>
                            <w:sz w:val="18"/>
                            <w:szCs w:val="18"/>
                            <w:u w:val="single" w:color="000000"/>
                          </w:rPr>
                          <w:t>注册地</w:t>
                        </w:r>
                        <w:r>
                          <w:rPr>
                            <w:rFonts w:ascii="宋体" w:hAnsi="宋体" w:cs="宋体" w:eastAsia="宋体" w:hint="default"/>
                            <w:spacing w:val="-19"/>
                            <w:sz w:val="18"/>
                            <w:szCs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30" w:lineRule="exact"/>
                          <w:ind w:left="10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9"/>
                            <w:sz w:val="18"/>
                            <w:szCs w:val="18"/>
                            <w:u w:val="single" w:color="000000"/>
                          </w:rPr>
                          <w:t>业务性质</w:t>
                        </w:r>
                        <w:r>
                          <w:rPr>
                            <w:rFonts w:ascii="宋体" w:hAnsi="宋体" w:cs="宋体" w:eastAsia="宋体" w:hint="default"/>
                            <w:spacing w:val="-29"/>
                            <w:sz w:val="18"/>
                            <w:szCs w:val="18"/>
                          </w:rPr>
                        </w:r>
                        <w:r>
                          <w:rPr>
                            <w:rFonts w:ascii="宋体" w:hAnsi="宋体" w:cs="宋体" w:eastAsia="宋体" w:hint="default"/>
                            <w:sz w:val="18"/>
                            <w:szCs w:val="18"/>
                          </w:rPr>
                        </w:r>
                      </w:p>
                    </w:tc>
                    <w:tc>
                      <w:tcPr>
                        <w:tcW w:w="773" w:type="dxa"/>
                        <w:tcBorders>
                          <w:top w:val="nil" w:sz="6" w:space="0" w:color="auto"/>
                          <w:left w:val="nil" w:sz="6" w:space="0" w:color="auto"/>
                          <w:bottom w:val="nil" w:sz="6" w:space="0" w:color="auto"/>
                          <w:right w:val="nil" w:sz="6" w:space="0" w:color="auto"/>
                        </w:tcBorders>
                      </w:tcPr>
                      <w:p>
                        <w:pPr>
                          <w:pStyle w:val="TableParagraph"/>
                          <w:spacing w:line="285" w:lineRule="auto"/>
                          <w:ind w:left="280" w:right="158" w:hanging="153"/>
                          <w:jc w:val="left"/>
                          <w:rPr>
                            <w:rFonts w:ascii="宋体" w:hAnsi="宋体" w:cs="宋体" w:eastAsia="宋体" w:hint="default"/>
                            <w:sz w:val="18"/>
                            <w:szCs w:val="18"/>
                          </w:rPr>
                        </w:pPr>
                        <w:r>
                          <w:rPr>
                            <w:rFonts w:ascii="宋体" w:hAnsi="宋体" w:cs="宋体" w:eastAsia="宋体" w:hint="default"/>
                            <w:spacing w:val="-19"/>
                            <w:sz w:val="18"/>
                            <w:szCs w:val="18"/>
                          </w:rPr>
                          <w:t>持</w:t>
                        </w:r>
                        <w:r>
                          <w:rPr>
                            <w:rFonts w:ascii="宋体" w:hAnsi="宋体" w:cs="宋体" w:eastAsia="宋体" w:hint="default"/>
                            <w:spacing w:val="-19"/>
                            <w:sz w:val="18"/>
                            <w:szCs w:val="18"/>
                            <w:u w:val="single" w:color="000000"/>
                          </w:rPr>
                          <w:t>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tc>
                    <w:tc>
                      <w:tcPr>
                        <w:tcW w:w="804" w:type="dxa"/>
                        <w:tcBorders>
                          <w:top w:val="nil" w:sz="6" w:space="0" w:color="auto"/>
                          <w:left w:val="nil" w:sz="6" w:space="0" w:color="auto"/>
                          <w:bottom w:val="nil" w:sz="6" w:space="0" w:color="auto"/>
                          <w:right w:val="nil" w:sz="6" w:space="0" w:color="auto"/>
                        </w:tcBorders>
                      </w:tcPr>
                      <w:p>
                        <w:pPr>
                          <w:pStyle w:val="TableParagraph"/>
                          <w:spacing w:line="285" w:lineRule="auto"/>
                          <w:ind w:left="160" w:right="33" w:firstLine="27"/>
                          <w:jc w:val="center"/>
                          <w:rPr>
                            <w:rFonts w:ascii="宋体" w:hAnsi="宋体" w:cs="宋体" w:eastAsia="宋体" w:hint="default"/>
                            <w:sz w:val="18"/>
                            <w:szCs w:val="18"/>
                          </w:rPr>
                        </w:pPr>
                        <w:r>
                          <w:rPr>
                            <w:rFonts w:ascii="宋体" w:hAnsi="宋体" w:cs="宋体" w:eastAsia="宋体" w:hint="default"/>
                            <w:sz w:val="18"/>
                            <w:szCs w:val="18"/>
                          </w:rPr>
                          <w:t>位 </w:t>
                        </w:r>
                        <w:r>
                          <w:rPr>
                            <w:rFonts w:ascii="宋体" w:hAnsi="宋体" w:cs="宋体" w:eastAsia="宋体" w:hint="default"/>
                            <w:spacing w:val="-29"/>
                            <w:sz w:val="18"/>
                            <w:szCs w:val="18"/>
                            <w:u w:val="single" w:color="000000"/>
                          </w:rPr>
                          <w:t>表决权比</w:t>
                        </w:r>
                        <w:r>
                          <w:rPr>
                            <w:rFonts w:ascii="宋体" w:hAnsi="宋体" w:cs="宋体" w:eastAsia="宋体" w:hint="default"/>
                            <w:spacing w:val="-28"/>
                            <w:sz w:val="18"/>
                            <w:szCs w:val="18"/>
                          </w:rPr>
                        </w:r>
                        <w:r>
                          <w:rPr>
                            <w:rFonts w:ascii="宋体" w:hAnsi="宋体" w:cs="宋体" w:eastAsia="宋体" w:hint="default"/>
                            <w:spacing w:val="-28"/>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tc>
                  </w:tr>
                  <w:tr>
                    <w:trPr>
                      <w:trHeight w:val="401"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4"/>
                          <w:jc w:val="center"/>
                          <w:rPr>
                            <w:rFonts w:ascii="宋体" w:hAnsi="宋体" w:cs="宋体" w:eastAsia="宋体" w:hint="default"/>
                            <w:sz w:val="18"/>
                            <w:szCs w:val="18"/>
                          </w:rPr>
                        </w:pPr>
                        <w:r>
                          <w:rPr>
                            <w:rFonts w:ascii="宋体" w:hAnsi="宋体" w:cs="宋体" w:eastAsia="宋体" w:hint="default"/>
                            <w:spacing w:val="-15"/>
                            <w:sz w:val="18"/>
                            <w:szCs w:val="18"/>
                          </w:rPr>
                          <w:t>无锡</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5" w:right="0"/>
                          <w:jc w:val="left"/>
                          <w:rPr>
                            <w:rFonts w:ascii="宋体" w:hAnsi="宋体" w:cs="宋体" w:eastAsia="宋体" w:hint="default"/>
                            <w:sz w:val="18"/>
                            <w:szCs w:val="18"/>
                          </w:rPr>
                        </w:pPr>
                        <w:r>
                          <w:rPr>
                            <w:rFonts w:ascii="宋体" w:hAnsi="宋体" w:cs="宋体" w:eastAsia="宋体" w:hint="default"/>
                            <w:spacing w:val="-19"/>
                            <w:sz w:val="18"/>
                            <w:szCs w:val="18"/>
                          </w:rPr>
                          <w:t>制造业</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center"/>
                          <w:rPr>
                            <w:rFonts w:ascii="宋体" w:hAnsi="宋体" w:cs="宋体" w:eastAsia="宋体" w:hint="default"/>
                            <w:sz w:val="18"/>
                            <w:szCs w:val="18"/>
                          </w:rPr>
                        </w:pPr>
                        <w:r>
                          <w:rPr>
                            <w:rFonts w:ascii="宋体"/>
                            <w:spacing w:val="-15"/>
                            <w:sz w:val="18"/>
                          </w:rPr>
                          <w:t>51%</w:t>
                        </w:r>
                        <w:r>
                          <w:rPr>
                            <w:rFonts w:ascii="宋体"/>
                            <w:sz w:val="18"/>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3"/>
                          <w:jc w:val="right"/>
                          <w:rPr>
                            <w:rFonts w:ascii="宋体" w:hAnsi="宋体" w:cs="宋体" w:eastAsia="宋体" w:hint="default"/>
                            <w:sz w:val="18"/>
                            <w:szCs w:val="18"/>
                          </w:rPr>
                        </w:pPr>
                        <w:r>
                          <w:rPr>
                            <w:rFonts w:ascii="宋体"/>
                            <w:spacing w:val="-15"/>
                            <w:sz w:val="18"/>
                          </w:rPr>
                          <w:t>51%</w:t>
                        </w:r>
                        <w:r>
                          <w:rPr>
                            <w:rFonts w:ascii="宋体"/>
                            <w:sz w:val="18"/>
                          </w:rPr>
                        </w:r>
                      </w:p>
                    </w:tc>
                  </w:tr>
                  <w:tr>
                    <w:trPr>
                      <w:trHeight w:val="434"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
                          <w:jc w:val="center"/>
                          <w:rPr>
                            <w:rFonts w:ascii="宋体" w:hAnsi="宋体" w:cs="宋体" w:eastAsia="宋体" w:hint="default"/>
                            <w:sz w:val="18"/>
                            <w:szCs w:val="18"/>
                          </w:rPr>
                        </w:pPr>
                        <w:r>
                          <w:rPr>
                            <w:rFonts w:ascii="宋体" w:hAnsi="宋体" w:cs="宋体" w:eastAsia="宋体" w:hint="default"/>
                            <w:spacing w:val="-15"/>
                            <w:sz w:val="18"/>
                            <w:szCs w:val="18"/>
                          </w:rPr>
                          <w:t>香港</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22"/>
                            <w:sz w:val="18"/>
                            <w:szCs w:val="18"/>
                          </w:rPr>
                          <w:t>代理采购</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center"/>
                          <w:rPr>
                            <w:rFonts w:ascii="宋体" w:hAnsi="宋体" w:cs="宋体" w:eastAsia="宋体" w:hint="default"/>
                            <w:sz w:val="18"/>
                            <w:szCs w:val="18"/>
                          </w:rPr>
                        </w:pPr>
                        <w:r>
                          <w:rPr>
                            <w:rFonts w:ascii="宋体"/>
                            <w:spacing w:val="-15"/>
                            <w:sz w:val="18"/>
                          </w:rPr>
                          <w:t>100%</w:t>
                        </w:r>
                        <w:r>
                          <w:rPr>
                            <w:rFonts w:ascii="宋体"/>
                            <w:sz w:val="18"/>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6"/>
                          <w:jc w:val="right"/>
                          <w:rPr>
                            <w:rFonts w:ascii="宋体" w:hAnsi="宋体" w:cs="宋体" w:eastAsia="宋体" w:hint="default"/>
                            <w:sz w:val="18"/>
                            <w:szCs w:val="18"/>
                          </w:rPr>
                        </w:pPr>
                        <w:r>
                          <w:rPr>
                            <w:rFonts w:ascii="宋体"/>
                            <w:spacing w:val="-15"/>
                            <w:sz w:val="18"/>
                          </w:rPr>
                          <w:t>100%</w:t>
                        </w:r>
                        <w:r>
                          <w:rPr>
                            <w:rFonts w:ascii="宋体"/>
                            <w:sz w:val="18"/>
                          </w:rPr>
                        </w:r>
                      </w:p>
                    </w:tc>
                  </w:tr>
                  <w:tr>
                    <w:trPr>
                      <w:trHeight w:val="425"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3"/>
                          <w:jc w:val="center"/>
                          <w:rPr>
                            <w:rFonts w:ascii="宋体" w:hAnsi="宋体" w:cs="宋体" w:eastAsia="宋体" w:hint="default"/>
                            <w:sz w:val="18"/>
                            <w:szCs w:val="18"/>
                          </w:rPr>
                        </w:pPr>
                        <w:r>
                          <w:rPr>
                            <w:rFonts w:ascii="宋体" w:hAnsi="宋体" w:cs="宋体" w:eastAsia="宋体" w:hint="default"/>
                            <w:spacing w:val="-29"/>
                            <w:sz w:val="18"/>
                            <w:szCs w:val="18"/>
                          </w:rPr>
                          <w:t>深圳</w:t>
                        </w:r>
                        <w:r>
                          <w:rPr>
                            <w:rFonts w:ascii="宋体" w:hAnsi="宋体" w:cs="宋体" w:eastAsia="宋体" w:hint="default"/>
                            <w:sz w:val="18"/>
                            <w:szCs w:val="18"/>
                          </w:rPr>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75" w:right="0"/>
                          <w:jc w:val="left"/>
                          <w:rPr>
                            <w:rFonts w:ascii="宋体" w:hAnsi="宋体" w:cs="宋体" w:eastAsia="宋体" w:hint="default"/>
                            <w:sz w:val="18"/>
                            <w:szCs w:val="18"/>
                          </w:rPr>
                        </w:pPr>
                        <w:r>
                          <w:rPr>
                            <w:rFonts w:ascii="宋体" w:hAnsi="宋体" w:cs="宋体" w:eastAsia="宋体" w:hint="default"/>
                            <w:spacing w:val="-19"/>
                            <w:sz w:val="18"/>
                            <w:szCs w:val="18"/>
                          </w:rPr>
                          <w:t>制造业</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3"/>
                          <w:jc w:val="center"/>
                          <w:rPr>
                            <w:rFonts w:ascii="宋体" w:hAnsi="宋体" w:cs="宋体" w:eastAsia="宋体" w:hint="default"/>
                            <w:sz w:val="18"/>
                            <w:szCs w:val="18"/>
                          </w:rPr>
                        </w:pPr>
                        <w:r>
                          <w:rPr>
                            <w:rFonts w:ascii="宋体"/>
                            <w:spacing w:val="-8"/>
                            <w:sz w:val="18"/>
                          </w:rPr>
                          <w:t>5%</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8" w:right="0"/>
                          <w:jc w:val="left"/>
                          <w:rPr>
                            <w:rFonts w:ascii="宋体" w:hAnsi="宋体" w:cs="宋体" w:eastAsia="宋体" w:hint="default"/>
                            <w:sz w:val="18"/>
                            <w:szCs w:val="18"/>
                          </w:rPr>
                        </w:pPr>
                        <w:r>
                          <w:rPr>
                            <w:rFonts w:ascii="宋体"/>
                            <w:spacing w:val="-8"/>
                            <w:sz w:val="18"/>
                          </w:rPr>
                          <w:t>5%</w:t>
                        </w:r>
                      </w:p>
                    </w:tc>
                  </w:tr>
                </w:tbl>
                <w:p>
                  <w:pPr/>
                </w:p>
              </w:txbxContent>
            </v:textbox>
            <w10:wrap type="none"/>
          </v:shape>
        </w:pict>
      </w:r>
      <w:r>
        <w:rPr>
          <w:rFonts w:ascii="宋体" w:hAnsi="宋体" w:cs="宋体" w:eastAsia="宋体" w:hint="default"/>
          <w:spacing w:val="-26"/>
          <w:sz w:val="18"/>
          <w:szCs w:val="18"/>
        </w:rPr>
        <w:t>无锡实益达电子有限公司</w:t>
        <w:tab/>
      </w:r>
      <w:r>
        <w:rPr>
          <w:rFonts w:ascii="宋体" w:hAnsi="宋体" w:cs="宋体" w:eastAsia="宋体" w:hint="default"/>
          <w:spacing w:val="-14"/>
          <w:sz w:val="18"/>
          <w:szCs w:val="18"/>
        </w:rPr>
        <w:t>47,724,752.61</w:t>
        <w:tab/>
        <w:t>5,045,708.28</w:t>
        <w:tab/>
      </w:r>
      <w:r>
        <w:rPr>
          <w:rFonts w:ascii="宋体" w:hAnsi="宋体" w:cs="宋体" w:eastAsia="宋体" w:hint="default"/>
          <w:spacing w:val="-15"/>
          <w:sz w:val="18"/>
          <w:szCs w:val="18"/>
        </w:rPr>
        <w:t>-8,834,559.48</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sectPr>
      </w:pPr>
    </w:p>
    <w:p>
      <w:pPr>
        <w:spacing w:line="240" w:lineRule="auto" w:before="7"/>
        <w:rPr>
          <w:rFonts w:ascii="宋体" w:hAnsi="宋体" w:cs="宋体" w:eastAsia="宋体" w:hint="default"/>
          <w:sz w:val="12"/>
          <w:szCs w:val="12"/>
        </w:rPr>
      </w:pPr>
    </w:p>
    <w:p>
      <w:pPr>
        <w:spacing w:line="319" w:lineRule="auto" w:before="0"/>
        <w:ind w:left="349" w:right="-9" w:firstLine="0"/>
        <w:jc w:val="left"/>
        <w:rPr>
          <w:rFonts w:ascii="宋体" w:hAnsi="宋体" w:cs="宋体" w:eastAsia="宋体" w:hint="default"/>
          <w:sz w:val="18"/>
          <w:szCs w:val="18"/>
        </w:rPr>
      </w:pPr>
      <w:r>
        <w:rPr>
          <w:rFonts w:ascii="宋体" w:hAnsi="宋体" w:cs="宋体" w:eastAsia="宋体" w:hint="default"/>
          <w:spacing w:val="-26"/>
          <w:sz w:val="18"/>
          <w:szCs w:val="18"/>
        </w:rPr>
        <w:t>实益达科技香港有限公司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5"/>
          <w:sz w:val="18"/>
          <w:szCs w:val="18"/>
        </w:rPr>
        <w:t>深圳市实益达数码科技有限公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p>
      <w:pPr>
        <w:spacing w:line="233" w:lineRule="exact" w:before="0"/>
        <w:ind w:left="349" w:right="-20" w:firstLine="0"/>
        <w:jc w:val="left"/>
        <w:rPr>
          <w:rFonts w:ascii="宋体" w:hAnsi="宋体" w:cs="宋体" w:eastAsia="宋体" w:hint="default"/>
          <w:sz w:val="18"/>
          <w:szCs w:val="18"/>
        </w:rPr>
      </w:pPr>
      <w:r>
        <w:rPr/>
        <w:br w:type="column"/>
      </w:r>
      <w:r>
        <w:rPr>
          <w:rFonts w:ascii="宋体"/>
          <w:sz w:val="18"/>
        </w:rPr>
        <w:t>-1,846,629.35</w:t>
      </w:r>
    </w:p>
    <w:p>
      <w:pPr>
        <w:spacing w:line="240" w:lineRule="auto" w:before="7"/>
        <w:rPr>
          <w:rFonts w:ascii="宋体" w:hAnsi="宋体" w:cs="宋体" w:eastAsia="宋体" w:hint="default"/>
          <w:sz w:val="12"/>
          <w:szCs w:val="12"/>
        </w:rPr>
      </w:pPr>
      <w:r>
        <w:rPr/>
        <w:br w:type="column"/>
      </w:r>
      <w:r>
        <w:rPr>
          <w:rFonts w:ascii="宋体"/>
          <w:sz w:val="12"/>
        </w:rPr>
      </w:r>
    </w:p>
    <w:p>
      <w:pPr>
        <w:spacing w:before="0"/>
        <w:ind w:left="184" w:right="-9" w:firstLine="0"/>
        <w:jc w:val="left"/>
        <w:rPr>
          <w:rFonts w:ascii="宋体" w:hAnsi="宋体" w:cs="宋体" w:eastAsia="宋体" w:hint="default"/>
          <w:sz w:val="18"/>
          <w:szCs w:val="18"/>
        </w:rPr>
      </w:pPr>
      <w:r>
        <w:rPr>
          <w:rFonts w:ascii="宋体"/>
          <w:spacing w:val="-15"/>
          <w:sz w:val="18"/>
        </w:rPr>
        <w:t>4,299,629.90</w:t>
      </w:r>
      <w:r>
        <w:rPr>
          <w:rFonts w:ascii="宋体"/>
          <w:sz w:val="18"/>
        </w:rPr>
      </w:r>
    </w:p>
    <w:p>
      <w:pPr>
        <w:spacing w:line="233" w:lineRule="exact" w:before="0"/>
        <w:ind w:left="184" w:right="0" w:firstLine="0"/>
        <w:jc w:val="left"/>
        <w:rPr>
          <w:rFonts w:ascii="宋体" w:hAnsi="宋体" w:cs="宋体" w:eastAsia="宋体" w:hint="default"/>
          <w:sz w:val="18"/>
          <w:szCs w:val="18"/>
        </w:rPr>
      </w:pPr>
      <w:r>
        <w:rPr/>
        <w:br w:type="column"/>
      </w:r>
      <w:r>
        <w:rPr>
          <w:rFonts w:ascii="宋体"/>
          <w:sz w:val="18"/>
        </w:rPr>
        <w:t>-2,270,826.96</w:t>
      </w:r>
    </w:p>
    <w:p>
      <w:pPr>
        <w:spacing w:after="0" w:line="233" w:lineRule="exact"/>
        <w:jc w:val="left"/>
        <w:rPr>
          <w:rFonts w:ascii="宋体" w:hAnsi="宋体" w:cs="宋体" w:eastAsia="宋体" w:hint="default"/>
          <w:sz w:val="18"/>
          <w:szCs w:val="18"/>
        </w:rPr>
        <w:sectPr>
          <w:type w:val="continuous"/>
          <w:pgSz w:w="11910" w:h="16840"/>
          <w:pgMar w:top="980" w:bottom="1520" w:left="980" w:right="980"/>
          <w:cols w:num="4" w:equalWidth="0">
            <w:col w:w="2376" w:space="3144"/>
            <w:col w:w="1520" w:space="40"/>
            <w:col w:w="1096" w:space="40"/>
            <w:col w:w="1734"/>
          </w:cols>
        </w:sectPr>
      </w:pPr>
    </w:p>
    <w:p>
      <w:pPr>
        <w:pStyle w:val="BodyText"/>
        <w:spacing w:line="288" w:lineRule="exact" w:before="0"/>
        <w:ind w:left="694" w:right="0"/>
        <w:jc w:val="left"/>
      </w:pPr>
      <w:r>
        <w:rPr>
          <w:rFonts w:ascii="Times New Roman" w:hAnsi="Times New Roman" w:cs="Times New Roman" w:eastAsia="Times New Roman" w:hint="default"/>
        </w:rPr>
        <w:t>2.</w:t>
      </w:r>
      <w:r>
        <w:rPr/>
        <w:t>按成本法核算的长期股权投资</w:t>
      </w:r>
    </w:p>
    <w:p>
      <w:pPr>
        <w:tabs>
          <w:tab w:pos="1231" w:val="left" w:leader="none"/>
        </w:tabs>
        <w:spacing w:line="198" w:lineRule="exact" w:before="58"/>
        <w:ind w:left="0" w:right="0" w:firstLine="0"/>
        <w:jc w:val="right"/>
        <w:rPr>
          <w:rFonts w:ascii="宋体" w:hAnsi="宋体" w:cs="宋体" w:eastAsia="宋体" w:hint="default"/>
          <w:sz w:val="18"/>
          <w:szCs w:val="18"/>
        </w:rPr>
      </w:pPr>
      <w:r>
        <w:rPr>
          <w:rFonts w:ascii="宋体" w:hAnsi="宋体" w:cs="宋体" w:eastAsia="宋体" w:hint="default"/>
          <w:spacing w:val="-10"/>
          <w:sz w:val="18"/>
          <w:szCs w:val="18"/>
        </w:rPr>
        <w:t>年初</w:t>
        <w:tab/>
      </w:r>
      <w:r>
        <w:rPr>
          <w:rFonts w:ascii="宋体" w:hAnsi="宋体" w:cs="宋体" w:eastAsia="宋体" w:hint="default"/>
          <w:spacing w:val="-20"/>
          <w:sz w:val="18"/>
          <w:szCs w:val="18"/>
        </w:rPr>
        <w:t>本年</w:t>
      </w:r>
      <w:r>
        <w:rPr>
          <w:rFonts w:ascii="宋体" w:hAnsi="宋体" w:cs="宋体" w:eastAsia="宋体" w:hint="default"/>
          <w:sz w:val="18"/>
          <w:szCs w:val="18"/>
        </w:rPr>
      </w:r>
    </w:p>
    <w:p>
      <w:pPr>
        <w:tabs>
          <w:tab w:pos="840" w:val="left" w:leader="none"/>
          <w:tab w:pos="2521" w:val="left" w:leader="none"/>
          <w:tab w:pos="2930" w:val="left" w:leader="none"/>
          <w:tab w:pos="3930" w:val="left" w:leader="none"/>
        </w:tabs>
        <w:spacing w:line="198" w:lineRule="exact" w:before="0"/>
        <w:ind w:left="349" w:right="0" w:firstLine="0"/>
        <w:jc w:val="left"/>
        <w:rPr>
          <w:rFonts w:ascii="宋体" w:hAnsi="宋体" w:cs="宋体" w:eastAsia="宋体" w:hint="default"/>
          <w:sz w:val="18"/>
          <w:szCs w:val="18"/>
        </w:rPr>
      </w:pPr>
      <w:r>
        <w:rPr/>
        <w:pict>
          <v:shape style="position:absolute;margin-left:64.730003pt;margin-top:8.858369pt;width:371.65pt;height:91.4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2"/>
                    <w:gridCol w:w="1342"/>
                    <w:gridCol w:w="1307"/>
                    <w:gridCol w:w="1162"/>
                    <w:gridCol w:w="1239"/>
                  </w:tblGrid>
                  <w:tr>
                    <w:trPr>
                      <w:trHeight w:val="301" w:hRule="exact"/>
                    </w:trPr>
                    <w:tc>
                      <w:tcPr>
                        <w:tcW w:w="3724" w:type="dxa"/>
                        <w:gridSpan w:val="2"/>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tabs>
                            <w:tab w:pos="1043" w:val="left" w:leader="none"/>
                          </w:tabs>
                          <w:spacing w:line="180" w:lineRule="exact"/>
                          <w:ind w:right="15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180" w:lineRule="exact"/>
                          <w:ind w:right="3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7"/>
                            <w:sz w:val="18"/>
                            <w:szCs w:val="18"/>
                            <w:u w:val="single" w:color="000000"/>
                          </w:rPr>
                          <w:t>投资增减额</w:t>
                        </w:r>
                        <w:r>
                          <w:rPr>
                            <w:rFonts w:ascii="宋体" w:hAnsi="宋体" w:cs="宋体" w:eastAsia="宋体" w:hint="default"/>
                            <w:spacing w:val="-17"/>
                            <w:sz w:val="18"/>
                            <w:szCs w:val="18"/>
                          </w:rPr>
                        </w:r>
                      </w:p>
                    </w:tc>
                    <w:tc>
                      <w:tcPr>
                        <w:tcW w:w="1239" w:type="dxa"/>
                        <w:tcBorders>
                          <w:top w:val="nil" w:sz="6" w:space="0" w:color="auto"/>
                          <w:left w:val="nil" w:sz="6" w:space="0" w:color="auto"/>
                          <w:bottom w:val="nil" w:sz="6" w:space="0" w:color="auto"/>
                          <w:right w:val="nil" w:sz="6" w:space="0" w:color="auto"/>
                        </w:tcBorders>
                      </w:tcPr>
                      <w:p>
                        <w:pPr>
                          <w:pStyle w:val="TableParagraph"/>
                          <w:tabs>
                            <w:tab w:pos="1100" w:val="left" w:leader="none"/>
                          </w:tabs>
                          <w:spacing w:line="180" w:lineRule="exact"/>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16"/>
                            <w:sz w:val="18"/>
                            <w:szCs w:val="18"/>
                            <w:u w:val="single" w:color="000000"/>
                          </w:rPr>
                          <w:t>账面余额</w:t>
                          <w:tab/>
                        </w:r>
                        <w:r>
                          <w:rPr>
                            <w:rFonts w:ascii="宋体" w:hAnsi="宋体" w:cs="宋体" w:eastAsia="宋体" w:hint="default"/>
                            <w:spacing w:val="-16"/>
                            <w:sz w:val="18"/>
                            <w:szCs w:val="18"/>
                          </w:rPr>
                        </w:r>
                      </w:p>
                    </w:tc>
                  </w:tr>
                  <w:tr>
                    <w:trPr>
                      <w:trHeight w:val="401"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pacing w:val="-21"/>
                            <w:sz w:val="18"/>
                            <w:szCs w:val="18"/>
                          </w:rPr>
                          <w:t>无锡实益达电子有限公司</w:t>
                        </w:r>
                        <w:r>
                          <w:rPr>
                            <w:rFonts w:ascii="宋体" w:hAnsi="宋体" w:cs="宋体" w:eastAsia="宋体" w:hint="default"/>
                            <w:sz w:val="18"/>
                            <w:szCs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pacing w:val="-11"/>
                            <w:sz w:val="18"/>
                          </w:rPr>
                          <w:t>39,518,455.92</w:t>
                        </w:r>
                        <w:r>
                          <w:rPr>
                            <w:rFonts w:ascii="宋体"/>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2"/>
                          <w:jc w:val="right"/>
                          <w:rPr>
                            <w:rFonts w:ascii="宋体" w:hAnsi="宋体" w:cs="宋体" w:eastAsia="宋体" w:hint="default"/>
                            <w:sz w:val="18"/>
                            <w:szCs w:val="18"/>
                          </w:rPr>
                        </w:pPr>
                        <w:r>
                          <w:rPr>
                            <w:rFonts w:ascii="宋体"/>
                            <w:spacing w:val="-11"/>
                            <w:sz w:val="18"/>
                          </w:rPr>
                          <w:t>29,754,493.46</w:t>
                        </w:r>
                        <w:r>
                          <w:rPr>
                            <w:rFonts w:ascii="宋体"/>
                            <w:sz w:val="18"/>
                          </w:rPr>
                        </w:r>
                      </w:p>
                    </w:tc>
                    <w:tc>
                      <w:tcPr>
                        <w:tcW w:w="1162"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pacing w:val="-11"/>
                            <w:sz w:val="18"/>
                          </w:rPr>
                          <w:t>29,754,493.46</w:t>
                        </w:r>
                        <w:r>
                          <w:rPr>
                            <w:rFonts w:ascii="宋体"/>
                            <w:sz w:val="18"/>
                          </w:rPr>
                        </w:r>
                      </w:p>
                    </w:tc>
                  </w:tr>
                  <w:tr>
                    <w:trPr>
                      <w:trHeight w:val="400"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pacing w:val="-21"/>
                            <w:sz w:val="18"/>
                            <w:szCs w:val="18"/>
                          </w:rPr>
                          <w:t>实益达科技香港有限公司</w:t>
                        </w:r>
                        <w:r>
                          <w:rPr>
                            <w:rFonts w:ascii="宋体" w:hAnsi="宋体" w:cs="宋体" w:eastAsia="宋体" w:hint="default"/>
                            <w:sz w:val="18"/>
                            <w:szCs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1"/>
                            <w:sz w:val="18"/>
                          </w:rPr>
                          <w:t>519,700.00</w:t>
                        </w:r>
                        <w:r>
                          <w:rPr>
                            <w:rFonts w:ascii="宋体"/>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2"/>
                          <w:jc w:val="right"/>
                          <w:rPr>
                            <w:rFonts w:ascii="宋体" w:hAnsi="宋体" w:cs="宋体" w:eastAsia="宋体" w:hint="default"/>
                            <w:sz w:val="18"/>
                            <w:szCs w:val="18"/>
                          </w:rPr>
                        </w:pPr>
                        <w:r>
                          <w:rPr>
                            <w:rFonts w:ascii="宋体"/>
                            <w:spacing w:val="-11"/>
                            <w:sz w:val="18"/>
                          </w:rPr>
                          <w:t>519,700.00</w:t>
                        </w:r>
                        <w:r>
                          <w:rPr>
                            <w:rFonts w:ascii="宋体"/>
                            <w:sz w:val="18"/>
                          </w:rPr>
                        </w:r>
                      </w:p>
                    </w:tc>
                    <w:tc>
                      <w:tcPr>
                        <w:tcW w:w="1162"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1"/>
                            <w:sz w:val="18"/>
                          </w:rPr>
                          <w:t>519,700.00</w:t>
                        </w:r>
                        <w:r>
                          <w:rPr>
                            <w:rFonts w:ascii="宋体"/>
                            <w:sz w:val="18"/>
                          </w:rPr>
                        </w:r>
                      </w:p>
                    </w:tc>
                  </w:tr>
                  <w:tr>
                    <w:trPr>
                      <w:trHeight w:val="400" w:hRule="exact"/>
                    </w:trPr>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pacing w:val="-27"/>
                            <w:sz w:val="18"/>
                            <w:szCs w:val="18"/>
                          </w:rPr>
                          <w:t>深圳市实益达数码科技有限公司</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pacing w:val="-11"/>
                            <w:sz w:val="18"/>
                          </w:rPr>
                          <w:t>100,000.00</w:t>
                        </w:r>
                        <w:r>
                          <w:rPr>
                            <w:rFonts w:ascii="宋体"/>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2"/>
                          <w:jc w:val="right"/>
                          <w:rPr>
                            <w:rFonts w:ascii="宋体" w:hAnsi="宋体" w:cs="宋体" w:eastAsia="宋体" w:hint="default"/>
                            <w:sz w:val="18"/>
                            <w:szCs w:val="18"/>
                          </w:rPr>
                        </w:pPr>
                        <w:r>
                          <w:rPr>
                            <w:rFonts w:ascii="宋体"/>
                            <w:spacing w:val="-11"/>
                            <w:sz w:val="18"/>
                          </w:rPr>
                          <w:t>100,000.00</w:t>
                        </w:r>
                        <w:r>
                          <w:rPr>
                            <w:rFonts w:ascii="宋体"/>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5" w:right="0"/>
                          <w:jc w:val="center"/>
                          <w:rPr>
                            <w:rFonts w:ascii="宋体" w:hAnsi="宋体" w:cs="宋体" w:eastAsia="宋体" w:hint="default"/>
                            <w:sz w:val="18"/>
                            <w:szCs w:val="18"/>
                          </w:rPr>
                        </w:pPr>
                        <w:r>
                          <w:rPr>
                            <w:rFonts w:ascii="宋体"/>
                            <w:spacing w:val="-10"/>
                            <w:sz w:val="18"/>
                          </w:rPr>
                          <w:t>-100,000.00</w:t>
                        </w:r>
                      </w:p>
                    </w:tc>
                    <w:tc>
                      <w:tcPr>
                        <w:tcW w:w="1239" w:type="dxa"/>
                        <w:tcBorders>
                          <w:top w:val="nil" w:sz="6" w:space="0" w:color="auto"/>
                          <w:left w:val="nil" w:sz="6" w:space="0" w:color="auto"/>
                          <w:bottom w:val="nil" w:sz="6" w:space="0" w:color="auto"/>
                          <w:right w:val="nil" w:sz="6" w:space="0" w:color="auto"/>
                        </w:tcBorders>
                      </w:tcPr>
                      <w:p>
                        <w:pPr/>
                      </w:p>
                    </w:tc>
                  </w:tr>
                  <w:tr>
                    <w:trPr>
                      <w:trHeight w:val="327" w:hRule="exact"/>
                    </w:trPr>
                    <w:tc>
                      <w:tcPr>
                        <w:tcW w:w="2382" w:type="dxa"/>
                        <w:tcBorders>
                          <w:top w:val="nil" w:sz="6" w:space="0" w:color="auto"/>
                          <w:left w:val="nil" w:sz="6" w:space="0" w:color="auto"/>
                          <w:bottom w:val="nil" w:sz="6" w:space="0" w:color="auto"/>
                          <w:right w:val="nil" w:sz="6" w:space="0" w:color="auto"/>
                        </w:tcBorders>
                      </w:tcPr>
                      <w:p>
                        <w:pPr>
                          <w:pStyle w:val="TableParagraph"/>
                          <w:tabs>
                            <w:tab w:pos="454" w:val="left" w:leader="none"/>
                          </w:tabs>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1"/>
                            <w:sz w:val="18"/>
                          </w:rPr>
                          <w:t>40,138,155.92</w:t>
                        </w:r>
                        <w:r>
                          <w:rPr>
                            <w:rFonts w:ascii="宋体"/>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2"/>
                          <w:jc w:val="right"/>
                          <w:rPr>
                            <w:rFonts w:ascii="宋体" w:hAnsi="宋体" w:cs="宋体" w:eastAsia="宋体" w:hint="default"/>
                            <w:sz w:val="18"/>
                            <w:szCs w:val="18"/>
                          </w:rPr>
                        </w:pPr>
                        <w:r>
                          <w:rPr>
                            <w:rFonts w:ascii="宋体"/>
                            <w:spacing w:val="-11"/>
                            <w:sz w:val="18"/>
                          </w:rPr>
                          <w:t>30,374,193.46</w:t>
                        </w:r>
                        <w:r>
                          <w:rPr>
                            <w:rFonts w:ascii="宋体"/>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 w:right="0"/>
                          <w:jc w:val="center"/>
                          <w:rPr>
                            <w:rFonts w:ascii="宋体" w:hAnsi="宋体" w:cs="宋体" w:eastAsia="宋体" w:hint="default"/>
                            <w:sz w:val="18"/>
                            <w:szCs w:val="18"/>
                          </w:rPr>
                        </w:pPr>
                        <w:r>
                          <w:rPr>
                            <w:rFonts w:ascii="宋体"/>
                            <w:spacing w:val="-10"/>
                            <w:sz w:val="18"/>
                          </w:rPr>
                          <w:t>-100,000.00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pacing w:val="-11"/>
                            <w:sz w:val="18"/>
                          </w:rPr>
                          <w:t>30,274,193.46</w:t>
                        </w:r>
                        <w:r>
                          <w:rPr>
                            <w:rFonts w:ascii="宋体"/>
                            <w:sz w:val="18"/>
                          </w:rPr>
                        </w:r>
                      </w:p>
                    </w:tc>
                  </w:tr>
                </w:tbl>
                <w:p>
                  <w:pPr/>
                </w:p>
              </w:txbxContent>
            </v:textbox>
            <w10:wrap type="non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8"/>
          <w:sz w:val="18"/>
          <w:szCs w:val="18"/>
          <w:u w:val="single" w:color="000000"/>
        </w:rPr>
        <w:t>被投资单位名称</w:t>
        <w:tab/>
      </w:r>
      <w:r>
        <w:rPr>
          <w:rFonts w:ascii="宋体" w:hAnsi="宋体" w:cs="宋体" w:eastAsia="宋体" w:hint="default"/>
          <w:spacing w:val="-18"/>
          <w:sz w:val="18"/>
          <w:szCs w:val="18"/>
        </w:rPr>
        <w:tab/>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16"/>
          <w:sz w:val="18"/>
          <w:szCs w:val="18"/>
          <w:u w:val="single" w:color="000000"/>
        </w:rPr>
        <w:t>初始金额</w:t>
        <w:tab/>
      </w:r>
      <w:r>
        <w:rPr>
          <w:rFonts w:ascii="宋体" w:hAnsi="宋体" w:cs="宋体" w:eastAsia="宋体" w:hint="default"/>
          <w:spacing w:val="-16"/>
          <w:sz w:val="18"/>
          <w:szCs w:val="18"/>
        </w:rPr>
      </w:r>
    </w:p>
    <w:p>
      <w:pPr>
        <w:spacing w:line="240" w:lineRule="auto" w:before="6"/>
        <w:rPr>
          <w:rFonts w:ascii="宋体" w:hAnsi="宋体" w:cs="宋体" w:eastAsia="宋体" w:hint="default"/>
          <w:sz w:val="26"/>
          <w:szCs w:val="26"/>
        </w:rPr>
      </w:pPr>
      <w:r>
        <w:rPr/>
        <w:br w:type="column"/>
      </w:r>
      <w:r>
        <w:rPr>
          <w:rFonts w:ascii="宋体"/>
          <w:sz w:val="26"/>
        </w:rPr>
      </w:r>
    </w:p>
    <w:p>
      <w:pPr>
        <w:spacing w:line="198" w:lineRule="exact" w:before="0"/>
        <w:ind w:left="349" w:right="0" w:firstLine="0"/>
        <w:jc w:val="left"/>
        <w:rPr>
          <w:rFonts w:ascii="宋体" w:hAnsi="宋体" w:cs="宋体" w:eastAsia="宋体" w:hint="default"/>
          <w:sz w:val="18"/>
          <w:szCs w:val="18"/>
        </w:rPr>
      </w:pPr>
      <w:r>
        <w:rPr>
          <w:rFonts w:ascii="宋体" w:hAnsi="宋体" w:cs="宋体" w:eastAsia="宋体" w:hint="default"/>
          <w:spacing w:val="-20"/>
          <w:sz w:val="18"/>
          <w:szCs w:val="18"/>
        </w:rPr>
        <w:t>年末</w:t>
      </w:r>
      <w:r>
        <w:rPr>
          <w:rFonts w:ascii="宋体" w:hAnsi="宋体" w:cs="宋体" w:eastAsia="宋体" w:hint="default"/>
          <w:sz w:val="18"/>
          <w:szCs w:val="18"/>
        </w:rPr>
      </w:r>
    </w:p>
    <w:p>
      <w:pPr>
        <w:spacing w:line="198" w:lineRule="exact" w:before="0"/>
        <w:ind w:left="246"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5"/>
          <w:sz w:val="18"/>
          <w:szCs w:val="18"/>
          <w:u w:val="single" w:color="000000"/>
        </w:rPr>
        <w:t> </w:t>
      </w:r>
      <w:r>
        <w:rPr>
          <w:rFonts w:ascii="宋体" w:hAnsi="宋体" w:cs="宋体" w:eastAsia="宋体" w:hint="default"/>
          <w:spacing w:val="-21"/>
          <w:sz w:val="18"/>
          <w:szCs w:val="18"/>
          <w:u w:val="single" w:color="000000"/>
        </w:rPr>
        <w:t>减值准备</w:t>
      </w:r>
      <w:r>
        <w:rPr>
          <w:rFonts w:ascii="宋体" w:hAnsi="宋体" w:cs="宋体" w:eastAsia="宋体" w:hint="default"/>
          <w:spacing w:val="-21"/>
          <w:sz w:val="18"/>
          <w:szCs w:val="18"/>
        </w:rPr>
      </w:r>
      <w:r>
        <w:rPr>
          <w:rFonts w:ascii="宋体" w:hAnsi="宋体" w:cs="宋体" w:eastAsia="宋体" w:hint="default"/>
          <w:sz w:val="18"/>
          <w:szCs w:val="18"/>
        </w:rPr>
      </w:r>
    </w:p>
    <w:p>
      <w:pPr>
        <w:spacing w:after="0" w:line="198" w:lineRule="exact"/>
        <w:jc w:val="center"/>
        <w:rPr>
          <w:rFonts w:ascii="宋体" w:hAnsi="宋体" w:cs="宋体" w:eastAsia="宋体" w:hint="default"/>
          <w:sz w:val="18"/>
          <w:szCs w:val="18"/>
        </w:rPr>
        <w:sectPr>
          <w:type w:val="continuous"/>
          <w:pgSz w:w="11910" w:h="16840"/>
          <w:pgMar w:top="980" w:bottom="1520" w:left="980" w:right="980"/>
          <w:cols w:num="2" w:equalWidth="0">
            <w:col w:w="6062" w:space="588"/>
            <w:col w:w="330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20" w:lineRule="exact" w:before="0"/>
        <w:ind w:right="133" w:firstLine="540"/>
        <w:jc w:val="left"/>
      </w:pPr>
      <w:r>
        <w:rPr/>
        <w:t>深圳市实益达数码科技有限公司于 </w:t>
      </w:r>
      <w:r>
        <w:rPr>
          <w:rFonts w:ascii="Times New Roman" w:hAnsi="Times New Roman" w:cs="Times New Roman" w:eastAsia="Times New Roman" w:hint="default"/>
        </w:rPr>
        <w:t>2006</w:t>
      </w:r>
      <w:r>
        <w:rPr>
          <w:rFonts w:ascii="Times New Roman" w:hAnsi="Times New Roman" w:cs="Times New Roman" w:eastAsia="Times New Roman" w:hint="default"/>
          <w:spacing w:val="38"/>
        </w:rPr>
        <w:t> </w:t>
      </w:r>
      <w:r>
        <w:rPr/>
        <w:t>年进行清算，上年已全额计提减值，本期四月 正式注销。</w:t>
      </w:r>
    </w:p>
    <w:p>
      <w:pPr>
        <w:pStyle w:val="BodyText"/>
        <w:spacing w:line="308" w:lineRule="exact" w:before="0"/>
        <w:ind w:left="693" w:right="0"/>
        <w:jc w:val="left"/>
      </w:pPr>
      <w:r>
        <w:rPr>
          <w:rFonts w:ascii="Times New Roman" w:hAnsi="Times New Roman" w:cs="Times New Roman" w:eastAsia="Times New Roman" w:hint="default"/>
        </w:rPr>
        <w:t>3.</w:t>
      </w:r>
      <w:r>
        <w:rPr/>
        <w:t>长期股权投资减值准备</w:t>
      </w:r>
    </w:p>
    <w:p>
      <w:pPr>
        <w:spacing w:line="240" w:lineRule="auto" w:before="9"/>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731"/>
        <w:gridCol w:w="1341"/>
        <w:gridCol w:w="1026"/>
        <w:gridCol w:w="1341"/>
        <w:gridCol w:w="936"/>
        <w:gridCol w:w="953"/>
      </w:tblGrid>
      <w:tr>
        <w:trPr>
          <w:trHeight w:val="648" w:hRule="exact"/>
        </w:trPr>
        <w:tc>
          <w:tcPr>
            <w:tcW w:w="2731" w:type="dxa"/>
            <w:tcBorders>
              <w:top w:val="nil" w:sz="6" w:space="0" w:color="auto"/>
              <w:left w:val="nil" w:sz="6" w:space="0" w:color="auto"/>
              <w:bottom w:val="nil" w:sz="6" w:space="0" w:color="auto"/>
              <w:right w:val="nil" w:sz="6" w:space="0" w:color="auto"/>
            </w:tcBorders>
          </w:tcPr>
          <w:p>
            <w:pPr>
              <w:pStyle w:val="TableParagraph"/>
              <w:tabs>
                <w:tab w:pos="754" w:val="left" w:leader="none"/>
                <w:tab w:pos="2605" w:val="left" w:leader="none"/>
              </w:tabs>
              <w:spacing w:line="326" w:lineRule="auto" w:before="22"/>
              <w:ind w:left="68" w:right="106" w:hanging="3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被投资单位名称</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深圳市实益达数码科技有限公司</w:t>
            </w:r>
          </w:p>
        </w:tc>
        <w:tc>
          <w:tcPr>
            <w:tcW w:w="1341" w:type="dxa"/>
            <w:tcBorders>
              <w:top w:val="nil" w:sz="6" w:space="0" w:color="auto"/>
              <w:left w:val="nil" w:sz="6" w:space="0" w:color="auto"/>
              <w:bottom w:val="nil" w:sz="6" w:space="0" w:color="auto"/>
              <w:right w:val="nil" w:sz="6" w:space="0" w:color="auto"/>
            </w:tcBorders>
          </w:tcPr>
          <w:p>
            <w:pPr>
              <w:pStyle w:val="TableParagraph"/>
              <w:tabs>
                <w:tab w:pos="377" w:val="left" w:leader="none"/>
                <w:tab w:pos="1169" w:val="left" w:leader="none"/>
              </w:tabs>
              <w:spacing w:line="326" w:lineRule="auto" w:before="22"/>
              <w:ind w:left="198" w:right="152"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年初数</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100,000.00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本年增加</w:t>
            </w:r>
            <w:r>
              <w:rPr>
                <w:rFonts w:ascii="宋体" w:hAnsi="宋体" w:cs="宋体" w:eastAsia="宋体" w:hint="default"/>
                <w:sz w:val="18"/>
                <w:szCs w:val="18"/>
              </w:rPr>
            </w:r>
          </w:p>
        </w:tc>
        <w:tc>
          <w:tcPr>
            <w:tcW w:w="1341"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326" w:lineRule="auto" w:before="22"/>
              <w:ind w:left="243" w:right="197"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本年减少</w:t>
            </w:r>
            <w:r>
              <w:rPr>
                <w:rFonts w:ascii="宋体" w:hAnsi="宋体" w:cs="宋体" w:eastAsia="宋体" w:hint="default"/>
                <w:sz w:val="18"/>
                <w:szCs w:val="18"/>
              </w:rPr>
            </w:r>
            <w:r>
              <w:rPr>
                <w:rFonts w:ascii="宋体" w:hAnsi="宋体" w:cs="宋体" w:eastAsia="宋体" w:hint="default"/>
                <w:sz w:val="18"/>
                <w:szCs w:val="18"/>
              </w:rPr>
              <w:t> 100,000.00</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计提原因</w:t>
            </w:r>
            <w:r>
              <w:rPr>
                <w:rFonts w:ascii="宋体" w:hAnsi="宋体" w:cs="宋体" w:eastAsia="宋体" w:hint="default"/>
                <w:sz w:val="18"/>
                <w:szCs w:val="18"/>
              </w:rPr>
            </w:r>
          </w:p>
        </w:tc>
      </w:tr>
      <w:tr>
        <w:trPr>
          <w:trHeight w:val="3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8" w:right="0"/>
              <w:jc w:val="left"/>
              <w:rPr>
                <w:rFonts w:ascii="宋体" w:hAnsi="宋体" w:cs="宋体" w:eastAsia="宋体" w:hint="default"/>
                <w:sz w:val="18"/>
                <w:szCs w:val="18"/>
              </w:rPr>
            </w:pPr>
            <w:r>
              <w:rPr>
                <w:rFonts w:ascii="宋体"/>
                <w:sz w:val="18"/>
              </w:rPr>
              <w:t>100,000.00</w:t>
            </w:r>
          </w:p>
        </w:tc>
        <w:tc>
          <w:tcPr>
            <w:tcW w:w="1026"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3" w:right="0"/>
              <w:jc w:val="left"/>
              <w:rPr>
                <w:rFonts w:ascii="宋体" w:hAnsi="宋体" w:cs="宋体" w:eastAsia="宋体" w:hint="default"/>
                <w:sz w:val="18"/>
                <w:szCs w:val="18"/>
              </w:rPr>
            </w:pPr>
            <w:r>
              <w:rPr>
                <w:rFonts w:ascii="宋体"/>
                <w:sz w:val="18"/>
              </w:rPr>
              <w:t>100,000.00</w:t>
            </w:r>
          </w:p>
        </w:tc>
        <w:tc>
          <w:tcPr>
            <w:tcW w:w="93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9"/>
        <w:ind w:left="694" w:right="0"/>
        <w:jc w:val="left"/>
      </w:pPr>
      <w:r>
        <w:rPr>
          <w:rFonts w:ascii="Times New Roman" w:hAnsi="Times New Roman" w:cs="Times New Roman" w:eastAsia="Times New Roman" w:hint="default"/>
        </w:rPr>
        <w:t>4.</w:t>
      </w:r>
      <w:r>
        <w:rPr/>
        <w:t>根据企业会计准则解释第</w:t>
      </w:r>
      <w:r>
        <w:rPr>
          <w:spacing w:val="-60"/>
        </w:rPr>
        <w:t> </w:t>
      </w:r>
      <w:r>
        <w:rPr>
          <w:rFonts w:ascii="Times New Roman" w:hAnsi="Times New Roman" w:cs="Times New Roman" w:eastAsia="Times New Roman" w:hint="default"/>
        </w:rPr>
        <w:t>1 </w:t>
      </w:r>
      <w:r>
        <w:rPr/>
        <w:t>号第七</w:t>
      </w:r>
      <w:r>
        <w:rPr>
          <w:spacing w:val="-148"/>
        </w:rPr>
        <w:t>、</w:t>
      </w:r>
      <w:r>
        <w:rPr/>
        <w:t>（二</w:t>
      </w:r>
      <w:r>
        <w:rPr>
          <w:spacing w:val="-28"/>
        </w:rPr>
        <w:t>）</w:t>
      </w:r>
      <w:r>
        <w:rPr/>
        <w:t>条</w:t>
      </w:r>
      <w:r>
        <w:rPr>
          <w:spacing w:val="-28"/>
        </w:rPr>
        <w:t>，</w:t>
      </w:r>
      <w:r>
        <w:rPr/>
        <w:t>企业在首次执行日以前已经持有的对子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line="617" w:lineRule="exact"/>
        <w:ind w:left="173" w:right="0" w:firstLine="0"/>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974080" cy="392049"/>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13" cstate="print"/>
                    <a:stretch>
                      <a:fillRect/>
                    </a:stretch>
                  </pic:blipFill>
                  <pic:spPr>
                    <a:xfrm>
                      <a:off x="0" y="0"/>
                      <a:ext cx="5974080" cy="392049"/>
                    </a:xfrm>
                    <a:prstGeom prst="rect">
                      <a:avLst/>
                    </a:prstGeom>
                  </pic:spPr>
                </pic:pic>
              </a:graphicData>
            </a:graphic>
          </wp:inline>
        </w:drawing>
      </w:r>
      <w:r>
        <w:rPr>
          <w:rFonts w:ascii="宋体" w:hAnsi="宋体" w:cs="宋体" w:eastAsia="宋体" w:hint="default"/>
          <w:position w:val="-11"/>
          <w:sz w:val="20"/>
          <w:szCs w:val="20"/>
        </w:rPr>
      </w:r>
    </w:p>
    <w:p>
      <w:pPr>
        <w:spacing w:after="0" w:line="617" w:lineRule="exact"/>
        <w:rPr>
          <w:rFonts w:ascii="宋体" w:hAnsi="宋体" w:cs="宋体" w:eastAsia="宋体" w:hint="default"/>
          <w:sz w:val="20"/>
          <w:szCs w:val="20"/>
        </w:rPr>
        <w:sectPr>
          <w:type w:val="continuous"/>
          <w:pgSz w:w="11910" w:h="16840"/>
          <w:pgMar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154" w:right="92"/>
        <w:jc w:val="left"/>
      </w:pPr>
      <w:r>
        <w:rPr>
          <w:spacing w:val="-2"/>
        </w:rPr>
        <w:t>公司长期股权投资，应在首次执行日进行追溯调整，视同该子公司自最初即采用成本法核算，</w:t>
      </w:r>
      <w:r>
        <w:rPr/>
        <w:t> </w:t>
      </w:r>
      <w:r>
        <w:rPr>
          <w:spacing w:val="13"/>
        </w:rPr>
        <w:t>根据该项规定，对上期确认的投资损失 </w:t>
      </w:r>
      <w:r>
        <w:rPr>
          <w:rFonts w:ascii="Times New Roman" w:hAnsi="Times New Roman" w:cs="Times New Roman" w:eastAsia="Times New Roman" w:hint="default"/>
        </w:rPr>
        <w:t>1,004,746.68 </w:t>
      </w:r>
      <w:r>
        <w:rPr>
          <w:rFonts w:ascii="Times New Roman" w:hAnsi="Times New Roman" w:cs="Times New Roman" w:eastAsia="Times New Roman" w:hint="default"/>
          <w:spacing w:val="17"/>
        </w:rPr>
        <w:t> </w:t>
      </w:r>
      <w:r>
        <w:rPr>
          <w:spacing w:val="14"/>
        </w:rPr>
        <w:t>元，其中无锡实益达电子有限公司</w:t>
      </w:r>
      <w:r>
        <w:rPr/>
      </w:r>
    </w:p>
    <w:p>
      <w:pPr>
        <w:pStyle w:val="BodyText"/>
        <w:spacing w:line="240" w:lineRule="auto" w:before="0"/>
        <w:ind w:right="212"/>
        <w:jc w:val="left"/>
      </w:pPr>
      <w:r>
        <w:rPr>
          <w:rFonts w:ascii="Times New Roman" w:hAnsi="Times New Roman" w:cs="Times New Roman" w:eastAsia="Times New Roman" w:hint="default"/>
        </w:rPr>
        <w:t>909,244.29 </w:t>
      </w:r>
      <w:r>
        <w:rPr/>
        <w:t>元、实益达科技香港有限公司</w:t>
      </w:r>
      <w:r>
        <w:rPr>
          <w:spacing w:val="-60"/>
        </w:rPr>
        <w:t> </w:t>
      </w:r>
      <w:r>
        <w:rPr>
          <w:rFonts w:ascii="Times New Roman" w:hAnsi="Times New Roman" w:cs="Times New Roman" w:eastAsia="Times New Roman" w:hint="default"/>
        </w:rPr>
        <w:t>95,502.39 </w:t>
      </w:r>
      <w:r>
        <w:rPr/>
        <w:t>元，调整增加长期股权投资。</w:t>
      </w:r>
    </w:p>
    <w:p>
      <w:pPr>
        <w:pStyle w:val="BodyText"/>
        <w:spacing w:line="240" w:lineRule="auto" w:before="108"/>
        <w:ind w:left="693" w:right="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营业收入及营业成本</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3355" w:val="left" w:leader="none"/>
          <w:tab w:pos="5418" w:val="left" w:leader="none"/>
          <w:tab w:pos="5634" w:val="left" w:leader="none"/>
          <w:tab w:pos="7244" w:val="left" w:leader="none"/>
          <w:tab w:pos="9309" w:val="left" w:leader="none"/>
        </w:tabs>
        <w:spacing w:line="218" w:lineRule="exact" w:before="0"/>
        <w:ind w:left="1464"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17"/>
          <w:sz w:val="18"/>
          <w:szCs w:val="18"/>
          <w:u w:val="single" w:color="000000"/>
        </w:rPr>
        <w:t>本年发生数</w:t>
        <w:tab/>
      </w:r>
      <w:r>
        <w:rPr>
          <w:rFonts w:ascii="宋体" w:hAnsi="宋体" w:cs="宋体" w:eastAsia="宋体" w:hint="default"/>
          <w:spacing w:val="-17"/>
          <w:sz w:val="18"/>
          <w:szCs w:val="18"/>
        </w:rPr>
        <w:tab/>
      </w:r>
      <w:r>
        <w:rPr>
          <w:rFonts w:ascii="Times New Roman" w:hAnsi="Times New Roman" w:cs="Times New Roman" w:eastAsia="Times New Roman" w:hint="default"/>
          <w:spacing w:val="-17"/>
          <w:sz w:val="18"/>
          <w:szCs w:val="18"/>
        </w:rPr>
      </w:r>
      <w:r>
        <w:rPr>
          <w:rFonts w:ascii="Times New Roman" w:hAnsi="Times New Roman" w:cs="Times New Roman" w:eastAsia="Times New Roman" w:hint="default"/>
          <w:spacing w:val="-17"/>
          <w:sz w:val="18"/>
          <w:szCs w:val="18"/>
          <w:u w:val="single" w:color="000000"/>
        </w:rPr>
        <w:t> </w:t>
        <w:tab/>
      </w:r>
      <w:r>
        <w:rPr>
          <w:rFonts w:ascii="宋体" w:hAnsi="宋体" w:cs="宋体" w:eastAsia="宋体" w:hint="default"/>
          <w:spacing w:val="-17"/>
          <w:sz w:val="18"/>
          <w:szCs w:val="18"/>
          <w:u w:val="single" w:color="000000"/>
        </w:rPr>
        <w:t>上年发生数</w:t>
        <w:tab/>
      </w:r>
      <w:r>
        <w:rPr>
          <w:rFonts w:ascii="宋体" w:hAnsi="宋体" w:cs="宋体" w:eastAsia="宋体" w:hint="default"/>
          <w:spacing w:val="-17"/>
          <w:sz w:val="18"/>
          <w:szCs w:val="18"/>
        </w:rPr>
      </w:r>
    </w:p>
    <w:p>
      <w:pPr>
        <w:tabs>
          <w:tab w:pos="1055" w:val="left" w:leader="none"/>
        </w:tabs>
        <w:spacing w:line="200" w:lineRule="exact" w:before="0"/>
        <w:ind w:left="575" w:right="212"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3173" w:val="left" w:leader="none"/>
          <w:tab w:pos="4585" w:val="left" w:leader="none"/>
          <w:tab w:pos="6032" w:val="left" w:leader="none"/>
          <w:tab w:pos="7215" w:val="left" w:leader="none"/>
          <w:tab w:pos="8601" w:val="left" w:leader="none"/>
        </w:tabs>
        <w:spacing w:line="217" w:lineRule="exact" w:before="0"/>
        <w:ind w:left="1884" w:right="212" w:firstLine="0"/>
        <w:jc w:val="left"/>
        <w:rPr>
          <w:rFonts w:ascii="宋体" w:hAnsi="宋体" w:cs="宋体" w:eastAsia="宋体" w:hint="default"/>
          <w:sz w:val="18"/>
          <w:szCs w:val="18"/>
        </w:rPr>
      </w:pPr>
      <w:r>
        <w:rPr/>
        <w:pict>
          <v:group style="position:absolute;margin-left:77.760002pt;margin-top:1.263196pt;width:32.0500pt;height:.1pt;mso-position-horizontal-relative:page;mso-position-vertical-relative:paragraph;z-index:2344" coordorigin="1555,25" coordsize="641,2">
            <v:shape style="position:absolute;left:1555;top:25;width:641;height:2" coordorigin="1555,25" coordsize="641,0" path="m1555,25l2196,25e" filled="false" stroked="true" strokeweight=".47998pt" strokecolor="#000000">
              <v:path arrowok="t"/>
            </v:shape>
            <w10:wrap type="none"/>
          </v:group>
        </w:pict>
      </w:r>
      <w:r>
        <w:rPr>
          <w:rFonts w:ascii="宋体" w:hAnsi="宋体" w:cs="宋体" w:eastAsia="宋体" w:hint="default"/>
          <w:spacing w:val="-16"/>
          <w:sz w:val="18"/>
          <w:szCs w:val="18"/>
        </w:rPr>
        <w:t>主营业务</w:t>
        <w:tab/>
        <w:t>其他业务</w:t>
        <w:tab/>
      </w:r>
      <w:r>
        <w:rPr>
          <w:rFonts w:ascii="宋体" w:hAnsi="宋体" w:cs="宋体" w:eastAsia="宋体" w:hint="default"/>
          <w:sz w:val="18"/>
          <w:szCs w:val="18"/>
        </w:rPr>
        <w:t>小</w:t>
      </w:r>
      <w:r>
        <w:rPr>
          <w:rFonts w:ascii="宋体" w:hAnsi="宋体" w:cs="宋体" w:eastAsia="宋体" w:hint="default"/>
          <w:spacing w:val="49"/>
          <w:sz w:val="18"/>
          <w:szCs w:val="18"/>
        </w:rPr>
        <w:t> </w:t>
      </w:r>
      <w:r>
        <w:rPr>
          <w:rFonts w:ascii="宋体" w:hAnsi="宋体" w:cs="宋体" w:eastAsia="宋体" w:hint="default"/>
          <w:sz w:val="18"/>
          <w:szCs w:val="18"/>
        </w:rPr>
        <w:t>计</w:t>
        <w:tab/>
      </w:r>
      <w:r>
        <w:rPr>
          <w:rFonts w:ascii="宋体" w:hAnsi="宋体" w:cs="宋体" w:eastAsia="宋体" w:hint="default"/>
          <w:spacing w:val="-16"/>
          <w:sz w:val="18"/>
          <w:szCs w:val="18"/>
        </w:rPr>
        <w:t>主营业务</w:t>
        <w:tab/>
        <w:t>其他业务</w:t>
        <w:tab/>
      </w:r>
      <w:r>
        <w:rPr>
          <w:rFonts w:ascii="宋体" w:hAnsi="宋体" w:cs="宋体" w:eastAsia="宋体" w:hint="default"/>
          <w:sz w:val="18"/>
          <w:szCs w:val="18"/>
        </w:rPr>
        <w:t>小</w:t>
      </w:r>
      <w:r>
        <w:rPr>
          <w:rFonts w:ascii="宋体" w:hAnsi="宋体" w:cs="宋体" w:eastAsia="宋体" w:hint="default"/>
          <w:spacing w:val="50"/>
          <w:sz w:val="18"/>
          <w:szCs w:val="18"/>
        </w:rPr>
        <w:t> </w:t>
      </w:r>
      <w:r>
        <w:rPr>
          <w:rFonts w:ascii="宋体" w:hAnsi="宋体" w:cs="宋体" w:eastAsia="宋体" w:hint="default"/>
          <w:sz w:val="18"/>
          <w:szCs w:val="18"/>
        </w:rPr>
        <w:t>计</w:t>
      </w:r>
    </w:p>
    <w:tbl>
      <w:tblPr>
        <w:tblW w:w="0" w:type="auto"/>
        <w:jc w:val="left"/>
        <w:tblInd w:w="540" w:type="dxa"/>
        <w:tblLayout w:type="fixed"/>
        <w:tblCellMar>
          <w:top w:w="0" w:type="dxa"/>
          <w:left w:w="0" w:type="dxa"/>
          <w:bottom w:w="0" w:type="dxa"/>
          <w:right w:w="0" w:type="dxa"/>
        </w:tblCellMar>
        <w:tblLook w:val="01E0"/>
      </w:tblPr>
      <w:tblGrid>
        <w:gridCol w:w="924"/>
        <w:gridCol w:w="1352"/>
        <w:gridCol w:w="216"/>
        <w:gridCol w:w="846"/>
        <w:gridCol w:w="216"/>
        <w:gridCol w:w="1324"/>
        <w:gridCol w:w="251"/>
        <w:gridCol w:w="1132"/>
        <w:gridCol w:w="205"/>
        <w:gridCol w:w="970"/>
        <w:gridCol w:w="206"/>
        <w:gridCol w:w="1174"/>
      </w:tblGrid>
      <w:tr>
        <w:trPr>
          <w:trHeight w:val="253" w:hRule="exact"/>
        </w:trPr>
        <w:tc>
          <w:tcPr>
            <w:tcW w:w="924"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Style w:val="TableParagraph"/>
              <w:spacing w:line="221" w:lineRule="exact"/>
              <w:ind w:right="0"/>
              <w:jc w:val="right"/>
              <w:rPr>
                <w:rFonts w:ascii="宋体" w:hAnsi="宋体" w:cs="宋体" w:eastAsia="宋体" w:hint="default"/>
                <w:sz w:val="18"/>
                <w:szCs w:val="18"/>
              </w:rPr>
            </w:pPr>
            <w:r>
              <w:rPr>
                <w:rFonts w:ascii="宋体"/>
                <w:sz w:val="18"/>
              </w:rPr>
              <w:t>1,197,428,515.2</w:t>
            </w:r>
          </w:p>
        </w:tc>
        <w:tc>
          <w:tcPr>
            <w:tcW w:w="216" w:type="dxa"/>
            <w:tcBorders>
              <w:top w:val="nil" w:sz="6" w:space="0" w:color="auto"/>
              <w:left w:val="nil" w:sz="6" w:space="0" w:color="auto"/>
              <w:bottom w:val="nil" w:sz="6" w:space="0" w:color="auto"/>
              <w:right w:val="nil" w:sz="6" w:space="0" w:color="auto"/>
            </w:tcBorders>
          </w:tcPr>
          <w:p>
            <w:pPr/>
          </w:p>
        </w:tc>
        <w:tc>
          <w:tcPr>
            <w:tcW w:w="846" w:type="dxa"/>
            <w:tcBorders>
              <w:top w:val="single" w:sz="4" w:space="0" w:color="000000"/>
              <w:left w:val="nil" w:sz="6" w:space="0" w:color="auto"/>
              <w:bottom w:val="nil" w:sz="6" w:space="0" w:color="auto"/>
              <w:right w:val="nil" w:sz="6" w:space="0" w:color="auto"/>
            </w:tcBorders>
          </w:tcPr>
          <w:p>
            <w:pPr>
              <w:pStyle w:val="TableParagraph"/>
              <w:spacing w:line="221" w:lineRule="exact"/>
              <w:ind w:right="0"/>
              <w:jc w:val="right"/>
              <w:rPr>
                <w:rFonts w:ascii="宋体" w:hAnsi="宋体" w:cs="宋体" w:eastAsia="宋体" w:hint="default"/>
                <w:sz w:val="18"/>
                <w:szCs w:val="18"/>
              </w:rPr>
            </w:pPr>
            <w:r>
              <w:rPr>
                <w:rFonts w:ascii="宋体"/>
                <w:sz w:val="18"/>
              </w:rPr>
              <w:t>796,827.4</w:t>
            </w:r>
          </w:p>
        </w:tc>
        <w:tc>
          <w:tcPr>
            <w:tcW w:w="216" w:type="dxa"/>
            <w:tcBorders>
              <w:top w:val="nil" w:sz="6" w:space="0" w:color="auto"/>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Style w:val="TableParagraph"/>
              <w:spacing w:line="221" w:lineRule="exact"/>
              <w:ind w:right="0"/>
              <w:jc w:val="right"/>
              <w:rPr>
                <w:rFonts w:ascii="宋体" w:hAnsi="宋体" w:cs="宋体" w:eastAsia="宋体" w:hint="default"/>
                <w:sz w:val="18"/>
                <w:szCs w:val="18"/>
              </w:rPr>
            </w:pPr>
            <w:r>
              <w:rPr>
                <w:rFonts w:ascii="宋体"/>
                <w:sz w:val="18"/>
              </w:rPr>
              <w:t>1,198,225,342.</w:t>
            </w:r>
          </w:p>
        </w:tc>
        <w:tc>
          <w:tcPr>
            <w:tcW w:w="3938" w:type="dxa"/>
            <w:gridSpan w:val="6"/>
            <w:tcBorders>
              <w:top w:val="nil" w:sz="6" w:space="0" w:color="auto"/>
              <w:left w:val="nil" w:sz="6" w:space="0" w:color="auto"/>
              <w:bottom w:val="nil" w:sz="6" w:space="0" w:color="auto"/>
              <w:right w:val="nil" w:sz="6" w:space="0" w:color="auto"/>
            </w:tcBorders>
          </w:tcPr>
          <w:p>
            <w:pPr/>
          </w:p>
        </w:tc>
      </w:tr>
      <w:tr>
        <w:trPr>
          <w:trHeight w:val="233"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07" w:lineRule="exact"/>
              <w:ind w:right="212"/>
              <w:jc w:val="center"/>
              <w:rPr>
                <w:rFonts w:ascii="宋体" w:hAnsi="宋体" w:cs="宋体" w:eastAsia="宋体" w:hint="default"/>
                <w:sz w:val="18"/>
                <w:szCs w:val="18"/>
              </w:rPr>
            </w:pPr>
            <w:r>
              <w:rPr>
                <w:rFonts w:ascii="宋体" w:hAnsi="宋体" w:cs="宋体" w:eastAsia="宋体" w:hint="default"/>
                <w:spacing w:val="-21"/>
                <w:sz w:val="18"/>
                <w:szCs w:val="18"/>
              </w:rPr>
              <w:t>营业收入</w:t>
            </w:r>
            <w:r>
              <w:rPr>
                <w:rFonts w:ascii="宋体" w:hAnsi="宋体" w:cs="宋体" w:eastAsia="宋体" w:hint="default"/>
                <w:sz w:val="18"/>
                <w:szCs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sz w:val="18"/>
              </w:rPr>
              <w:t>5</w:t>
            </w:r>
          </w:p>
        </w:tc>
        <w:tc>
          <w:tcPr>
            <w:tcW w:w="21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sz w:val="18"/>
              </w:rPr>
              <w:t>8</w:t>
            </w:r>
          </w:p>
        </w:tc>
        <w:tc>
          <w:tcPr>
            <w:tcW w:w="21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sz w:val="18"/>
              </w:rPr>
              <w:t>73</w:t>
            </w:r>
          </w:p>
        </w:tc>
        <w:tc>
          <w:tcPr>
            <w:tcW w:w="251"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07" w:lineRule="exact"/>
              <w:ind w:right="1"/>
              <w:jc w:val="center"/>
              <w:rPr>
                <w:rFonts w:ascii="宋体" w:hAnsi="宋体" w:cs="宋体" w:eastAsia="宋体" w:hint="default"/>
                <w:sz w:val="18"/>
                <w:szCs w:val="18"/>
              </w:rPr>
            </w:pPr>
            <w:r>
              <w:rPr>
                <w:rFonts w:ascii="宋体"/>
                <w:spacing w:val="-10"/>
                <w:sz w:val="18"/>
              </w:rPr>
              <w:t>479,203,959.03</w:t>
            </w:r>
          </w:p>
        </w:tc>
        <w:tc>
          <w:tcPr>
            <w:tcW w:w="20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pacing w:val="-11"/>
                <w:sz w:val="18"/>
              </w:rPr>
              <w:t>2,354,612.64</w:t>
            </w:r>
            <w:r>
              <w:rPr>
                <w:rFonts w:ascii="宋体"/>
                <w:sz w:val="18"/>
              </w:rPr>
            </w:r>
          </w:p>
        </w:tc>
        <w:tc>
          <w:tcPr>
            <w:tcW w:w="20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07" w:lineRule="exact"/>
              <w:ind w:right="24"/>
              <w:jc w:val="center"/>
              <w:rPr>
                <w:rFonts w:ascii="宋体" w:hAnsi="宋体" w:cs="宋体" w:eastAsia="宋体" w:hint="default"/>
                <w:sz w:val="18"/>
                <w:szCs w:val="18"/>
              </w:rPr>
            </w:pPr>
            <w:r>
              <w:rPr>
                <w:rFonts w:ascii="宋体"/>
                <w:spacing w:val="-10"/>
                <w:sz w:val="18"/>
              </w:rPr>
              <w:t>481,558,571.67</w:t>
            </w:r>
          </w:p>
        </w:tc>
      </w:tr>
      <w:tr>
        <w:trPr>
          <w:trHeight w:val="227" w:hRule="exact"/>
        </w:trPr>
        <w:tc>
          <w:tcPr>
            <w:tcW w:w="924"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right"/>
              <w:rPr>
                <w:rFonts w:ascii="宋体" w:hAnsi="宋体" w:cs="宋体" w:eastAsia="宋体" w:hint="default"/>
                <w:sz w:val="18"/>
                <w:szCs w:val="18"/>
              </w:rPr>
            </w:pPr>
            <w:r>
              <w:rPr>
                <w:rFonts w:ascii="宋体"/>
                <w:sz w:val="18"/>
              </w:rPr>
              <w:t>1,082,612,848.3</w:t>
            </w:r>
          </w:p>
        </w:tc>
        <w:tc>
          <w:tcPr>
            <w:tcW w:w="21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right"/>
              <w:rPr>
                <w:rFonts w:ascii="宋体" w:hAnsi="宋体" w:cs="宋体" w:eastAsia="宋体" w:hint="default"/>
                <w:sz w:val="18"/>
                <w:szCs w:val="18"/>
              </w:rPr>
            </w:pPr>
            <w:r>
              <w:rPr>
                <w:rFonts w:ascii="宋体"/>
                <w:sz w:val="18"/>
              </w:rPr>
              <w:t>298,083.0</w:t>
            </w:r>
          </w:p>
        </w:tc>
        <w:tc>
          <w:tcPr>
            <w:tcW w:w="21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right"/>
              <w:rPr>
                <w:rFonts w:ascii="宋体" w:hAnsi="宋体" w:cs="宋体" w:eastAsia="宋体" w:hint="default"/>
                <w:sz w:val="18"/>
                <w:szCs w:val="18"/>
              </w:rPr>
            </w:pPr>
            <w:r>
              <w:rPr>
                <w:rFonts w:ascii="宋体"/>
                <w:sz w:val="18"/>
              </w:rPr>
              <w:t>1,082,910,931.</w:t>
            </w:r>
          </w:p>
        </w:tc>
        <w:tc>
          <w:tcPr>
            <w:tcW w:w="251"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0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r>
      <w:tr>
        <w:trPr>
          <w:trHeight w:val="239"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13" w:lineRule="exact"/>
              <w:ind w:right="212"/>
              <w:jc w:val="center"/>
              <w:rPr>
                <w:rFonts w:ascii="宋体" w:hAnsi="宋体" w:cs="宋体" w:eastAsia="宋体" w:hint="default"/>
                <w:sz w:val="18"/>
                <w:szCs w:val="18"/>
              </w:rPr>
            </w:pPr>
            <w:r>
              <w:rPr>
                <w:rFonts w:ascii="宋体" w:hAnsi="宋体" w:cs="宋体" w:eastAsia="宋体" w:hint="default"/>
                <w:spacing w:val="-21"/>
                <w:sz w:val="18"/>
                <w:szCs w:val="18"/>
              </w:rPr>
              <w:t>营业成本</w:t>
            </w:r>
            <w:r>
              <w:rPr>
                <w:rFonts w:ascii="宋体" w:hAnsi="宋体" w:cs="宋体" w:eastAsia="宋体" w:hint="default"/>
                <w:sz w:val="18"/>
                <w:szCs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13" w:lineRule="exact"/>
              <w:ind w:right="0"/>
              <w:jc w:val="right"/>
              <w:rPr>
                <w:rFonts w:ascii="宋体" w:hAnsi="宋体" w:cs="宋体" w:eastAsia="宋体" w:hint="default"/>
                <w:sz w:val="18"/>
                <w:szCs w:val="18"/>
              </w:rPr>
            </w:pPr>
            <w:r>
              <w:rPr>
                <w:rFonts w:ascii="宋体"/>
                <w:sz w:val="18"/>
              </w:rPr>
              <w:t>3</w:t>
            </w:r>
          </w:p>
        </w:tc>
        <w:tc>
          <w:tcPr>
            <w:tcW w:w="21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13" w:lineRule="exact"/>
              <w:ind w:right="0"/>
              <w:jc w:val="right"/>
              <w:rPr>
                <w:rFonts w:ascii="宋体" w:hAnsi="宋体" w:cs="宋体" w:eastAsia="宋体" w:hint="default"/>
                <w:sz w:val="18"/>
                <w:szCs w:val="18"/>
              </w:rPr>
            </w:pPr>
            <w:r>
              <w:rPr>
                <w:rFonts w:ascii="宋体"/>
                <w:sz w:val="18"/>
              </w:rPr>
              <w:t>9</w:t>
            </w:r>
          </w:p>
        </w:tc>
        <w:tc>
          <w:tcPr>
            <w:tcW w:w="21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13" w:lineRule="exact"/>
              <w:ind w:right="0"/>
              <w:jc w:val="right"/>
              <w:rPr>
                <w:rFonts w:ascii="宋体" w:hAnsi="宋体" w:cs="宋体" w:eastAsia="宋体" w:hint="default"/>
                <w:sz w:val="18"/>
                <w:szCs w:val="18"/>
              </w:rPr>
            </w:pPr>
            <w:r>
              <w:rPr>
                <w:rFonts w:ascii="宋体"/>
                <w:sz w:val="18"/>
              </w:rPr>
              <w:t>42</w:t>
            </w:r>
          </w:p>
        </w:tc>
        <w:tc>
          <w:tcPr>
            <w:tcW w:w="251"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01" w:lineRule="exact"/>
              <w:ind w:left="1" w:right="0"/>
              <w:jc w:val="center"/>
              <w:rPr>
                <w:rFonts w:ascii="宋体" w:hAnsi="宋体" w:cs="宋体" w:eastAsia="宋体" w:hint="default"/>
                <w:sz w:val="18"/>
                <w:szCs w:val="18"/>
              </w:rPr>
            </w:pPr>
            <w:r>
              <w:rPr>
                <w:rFonts w:ascii="宋体"/>
                <w:spacing w:val="-10"/>
                <w:sz w:val="18"/>
              </w:rPr>
              <w:t>404,743,748.98</w:t>
            </w:r>
          </w:p>
        </w:tc>
        <w:tc>
          <w:tcPr>
            <w:tcW w:w="20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13" w:lineRule="exact"/>
              <w:ind w:right="6"/>
              <w:jc w:val="right"/>
              <w:rPr>
                <w:rFonts w:ascii="宋体" w:hAnsi="宋体" w:cs="宋体" w:eastAsia="宋体" w:hint="default"/>
                <w:sz w:val="18"/>
                <w:szCs w:val="18"/>
              </w:rPr>
            </w:pPr>
            <w:r>
              <w:rPr>
                <w:rFonts w:ascii="宋体"/>
                <w:spacing w:val="-11"/>
                <w:sz w:val="18"/>
              </w:rPr>
              <w:t>2,107,047.89</w:t>
            </w:r>
            <w:r>
              <w:rPr>
                <w:rFonts w:ascii="宋体"/>
                <w:sz w:val="18"/>
              </w:rPr>
            </w:r>
          </w:p>
        </w:tc>
        <w:tc>
          <w:tcPr>
            <w:tcW w:w="20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13" w:lineRule="exact"/>
              <w:ind w:right="24"/>
              <w:jc w:val="center"/>
              <w:rPr>
                <w:rFonts w:ascii="宋体" w:hAnsi="宋体" w:cs="宋体" w:eastAsia="宋体" w:hint="default"/>
                <w:sz w:val="18"/>
                <w:szCs w:val="18"/>
              </w:rPr>
            </w:pPr>
            <w:r>
              <w:rPr>
                <w:rFonts w:ascii="宋体"/>
                <w:spacing w:val="-10"/>
                <w:sz w:val="18"/>
              </w:rPr>
              <w:t>406,850,796.87</w:t>
            </w:r>
          </w:p>
        </w:tc>
      </w:tr>
      <w:tr>
        <w:trPr>
          <w:trHeight w:val="233" w:hRule="exact"/>
        </w:trPr>
        <w:tc>
          <w:tcPr>
            <w:tcW w:w="924"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right"/>
              <w:rPr>
                <w:rFonts w:ascii="宋体" w:hAnsi="宋体" w:cs="宋体" w:eastAsia="宋体" w:hint="default"/>
                <w:sz w:val="18"/>
                <w:szCs w:val="18"/>
              </w:rPr>
            </w:pPr>
            <w:r>
              <w:rPr>
                <w:rFonts w:ascii="宋体"/>
                <w:sz w:val="18"/>
              </w:rPr>
              <w:t>498,744.3</w:t>
            </w:r>
          </w:p>
        </w:tc>
        <w:tc>
          <w:tcPr>
            <w:tcW w:w="21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0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r>
      <w:tr>
        <w:trPr>
          <w:trHeight w:val="244" w:hRule="exact"/>
        </w:trPr>
        <w:tc>
          <w:tcPr>
            <w:tcW w:w="924" w:type="dxa"/>
            <w:tcBorders>
              <w:top w:val="nil" w:sz="6" w:space="0" w:color="auto"/>
              <w:left w:val="nil" w:sz="6" w:space="0" w:color="auto"/>
              <w:bottom w:val="nil" w:sz="6" w:space="0" w:color="auto"/>
              <w:right w:val="nil" w:sz="6" w:space="0" w:color="auto"/>
            </w:tcBorders>
          </w:tcPr>
          <w:p>
            <w:pPr>
              <w:pStyle w:val="TableParagraph"/>
              <w:spacing w:line="207" w:lineRule="exact"/>
              <w:ind w:right="209"/>
              <w:jc w:val="center"/>
              <w:rPr>
                <w:rFonts w:ascii="宋体" w:hAnsi="宋体" w:cs="宋体" w:eastAsia="宋体" w:hint="default"/>
                <w:sz w:val="18"/>
                <w:szCs w:val="18"/>
              </w:rPr>
            </w:pPr>
            <w:r>
              <w:rPr>
                <w:rFonts w:ascii="宋体" w:hAnsi="宋体" w:cs="宋体" w:eastAsia="宋体" w:hint="default"/>
                <w:spacing w:val="-20"/>
                <w:sz w:val="18"/>
                <w:szCs w:val="18"/>
              </w:rPr>
              <w:t>毛利</w:t>
            </w:r>
            <w:r>
              <w:rPr>
                <w:rFonts w:ascii="宋体" w:hAnsi="宋体" w:cs="宋体" w:eastAsia="宋体" w:hint="default"/>
                <w:sz w:val="18"/>
                <w:szCs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sz w:val="18"/>
              </w:rPr>
              <w:t>114,815,666.92</w:t>
            </w:r>
          </w:p>
        </w:tc>
        <w:tc>
          <w:tcPr>
            <w:tcW w:w="21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sz w:val="18"/>
              </w:rPr>
              <w:t>9</w:t>
            </w:r>
          </w:p>
        </w:tc>
        <w:tc>
          <w:tcPr>
            <w:tcW w:w="216"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sz w:val="18"/>
              </w:rPr>
              <w:t>115,314,411.31</w:t>
            </w:r>
          </w:p>
        </w:tc>
        <w:tc>
          <w:tcPr>
            <w:tcW w:w="251"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07" w:lineRule="exact"/>
              <w:ind w:left="70" w:right="0"/>
              <w:jc w:val="center"/>
              <w:rPr>
                <w:rFonts w:ascii="宋体" w:hAnsi="宋体" w:cs="宋体" w:eastAsia="宋体" w:hint="default"/>
                <w:sz w:val="18"/>
                <w:szCs w:val="18"/>
              </w:rPr>
            </w:pPr>
            <w:r>
              <w:rPr>
                <w:rFonts w:ascii="宋体"/>
                <w:spacing w:val="-11"/>
                <w:sz w:val="18"/>
              </w:rPr>
              <w:t>74,460,210.05</w:t>
            </w:r>
            <w:r>
              <w:rPr>
                <w:rFonts w:ascii="宋体"/>
                <w:sz w:val="18"/>
              </w:rPr>
            </w:r>
          </w:p>
        </w:tc>
        <w:tc>
          <w:tcPr>
            <w:tcW w:w="20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07" w:lineRule="exact"/>
              <w:ind w:right="0"/>
              <w:jc w:val="right"/>
              <w:rPr>
                <w:rFonts w:ascii="宋体" w:hAnsi="宋体" w:cs="宋体" w:eastAsia="宋体" w:hint="default"/>
                <w:sz w:val="18"/>
                <w:szCs w:val="18"/>
              </w:rPr>
            </w:pPr>
            <w:r>
              <w:rPr>
                <w:rFonts w:ascii="宋体"/>
                <w:spacing w:val="-10"/>
                <w:sz w:val="18"/>
              </w:rPr>
              <w:t>247,564.75</w:t>
            </w:r>
          </w:p>
        </w:tc>
        <w:tc>
          <w:tcPr>
            <w:tcW w:w="206"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07" w:lineRule="exact"/>
              <w:ind w:left="40" w:right="0"/>
              <w:jc w:val="center"/>
              <w:rPr>
                <w:rFonts w:ascii="宋体" w:hAnsi="宋体" w:cs="宋体" w:eastAsia="宋体" w:hint="default"/>
                <w:sz w:val="18"/>
                <w:szCs w:val="18"/>
              </w:rPr>
            </w:pPr>
            <w:r>
              <w:rPr>
                <w:rFonts w:ascii="宋体"/>
                <w:spacing w:val="-11"/>
                <w:sz w:val="18"/>
              </w:rPr>
              <w:t>74,707,774.80</w:t>
            </w:r>
            <w:r>
              <w:rPr>
                <w:rFonts w:ascii="宋体"/>
                <w:sz w:val="18"/>
              </w:rPr>
            </w:r>
          </w:p>
        </w:tc>
      </w:tr>
    </w:tbl>
    <w:p>
      <w:pPr>
        <w:pStyle w:val="BodyText"/>
        <w:spacing w:line="305" w:lineRule="exact" w:before="0"/>
        <w:ind w:left="693" w:right="212"/>
        <w:jc w:val="left"/>
      </w:pPr>
      <w:r>
        <w:rPr>
          <w:rFonts w:ascii="Times New Roman" w:hAnsi="Times New Roman" w:cs="Times New Roman" w:eastAsia="Times New Roman" w:hint="default"/>
        </w:rPr>
        <w:t>1.</w:t>
      </w:r>
      <w:r>
        <w:rPr/>
        <w:t>按业务类别列示主营业务收入、主营业务成本</w:t>
      </w:r>
    </w:p>
    <w:p>
      <w:pPr>
        <w:tabs>
          <w:tab w:pos="3840" w:val="left" w:leader="none"/>
          <w:tab w:pos="5676" w:val="left" w:leader="none"/>
          <w:tab w:pos="5892" w:val="left" w:leader="none"/>
          <w:tab w:pos="6972" w:val="left" w:leader="none"/>
          <w:tab w:pos="8748" w:val="left" w:leader="none"/>
        </w:tabs>
        <w:spacing w:line="198" w:lineRule="exact" w:before="29"/>
        <w:ind w:left="2760"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主营业务收入</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主营业务成本</w:t>
        <w:tab/>
      </w:r>
      <w:r>
        <w:rPr>
          <w:rFonts w:ascii="宋体" w:hAnsi="宋体" w:cs="宋体" w:eastAsia="宋体" w:hint="default"/>
          <w:sz w:val="18"/>
          <w:szCs w:val="18"/>
        </w:rPr>
      </w:r>
    </w:p>
    <w:p>
      <w:pPr>
        <w:spacing w:after="0" w:line="198" w:lineRule="exact"/>
        <w:jc w:val="left"/>
        <w:rPr>
          <w:rFonts w:ascii="宋体" w:hAnsi="宋体" w:cs="宋体" w:eastAsia="宋体" w:hint="default"/>
          <w:sz w:val="18"/>
          <w:szCs w:val="18"/>
        </w:rPr>
        <w:sectPr>
          <w:footerReference w:type="default" r:id="rId27"/>
          <w:pgSz w:w="11910" w:h="16840"/>
          <w:pgMar w:footer="1339" w:header="747" w:top="980" w:bottom="1520" w:left="980" w:right="900"/>
          <w:pgNumType w:start="93"/>
        </w:sectPr>
      </w:pPr>
    </w:p>
    <w:p>
      <w:pPr>
        <w:tabs>
          <w:tab w:pos="907" w:val="left" w:leader="none"/>
          <w:tab w:pos="1447" w:val="left" w:leader="none"/>
          <w:tab w:pos="2077" w:val="left" w:leader="none"/>
        </w:tabs>
        <w:spacing w:line="180" w:lineRule="exact" w:before="0"/>
        <w:ind w:left="36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p>
      <w:pPr>
        <w:tabs>
          <w:tab w:pos="637" w:val="left" w:leader="none"/>
          <w:tab w:pos="1807" w:val="left" w:leader="none"/>
          <w:tab w:pos="2023" w:val="left" w:leader="none"/>
          <w:tab w:pos="2293" w:val="left" w:leader="none"/>
          <w:tab w:pos="3499" w:val="left" w:leader="none"/>
          <w:tab w:pos="3859" w:val="left" w:leader="none"/>
          <w:tab w:pos="5215" w:val="left" w:leader="none"/>
        </w:tabs>
        <w:spacing w:before="87"/>
        <w:ind w:left="367"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上年发生数 </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本年发生数  </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上年发生数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00"/>
          <w:cols w:num="2" w:equalWidth="0">
            <w:col w:w="2078" w:space="315"/>
            <w:col w:w="7637"/>
          </w:cols>
        </w:sectPr>
      </w:pPr>
    </w:p>
    <w:p>
      <w:pPr>
        <w:tabs>
          <w:tab w:pos="1117" w:val="left" w:leader="none"/>
          <w:tab w:pos="2760" w:val="left" w:leader="none"/>
          <w:tab w:pos="4416" w:val="left" w:leader="none"/>
          <w:tab w:pos="5892" w:val="left" w:leader="none"/>
          <w:tab w:pos="7587" w:val="left" w:leader="none"/>
        </w:tabs>
        <w:spacing w:before="53"/>
        <w:ind w:left="367"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w:t>
        <w:tab/>
        <w:t>业</w:t>
        <w:tab/>
      </w:r>
      <w:r>
        <w:rPr>
          <w:rFonts w:ascii="宋体" w:hAnsi="宋体" w:cs="宋体" w:eastAsia="宋体" w:hint="default"/>
          <w:w w:val="95"/>
          <w:sz w:val="18"/>
          <w:szCs w:val="18"/>
        </w:rPr>
        <w:t>1,197,428,515.25</w:t>
        <w:tab/>
        <w:t>479,203,959.03</w:t>
        <w:tab/>
        <w:t>1,082,612,848.33</w:t>
        <w:tab/>
      </w:r>
      <w:r>
        <w:rPr>
          <w:rFonts w:ascii="宋体" w:hAnsi="宋体" w:cs="宋体" w:eastAsia="宋体" w:hint="default"/>
          <w:spacing w:val="-10"/>
          <w:sz w:val="18"/>
          <w:szCs w:val="18"/>
        </w:rPr>
        <w:t>404,743,748.98</w:t>
      </w:r>
    </w:p>
    <w:p>
      <w:pPr>
        <w:tabs>
          <w:tab w:pos="1117" w:val="left" w:leader="none"/>
        </w:tabs>
        <w:spacing w:line="273" w:lineRule="auto" w:before="31"/>
        <w:ind w:left="367" w:right="81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商</w:t>
        <w:tab/>
        <w:t>业</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房地产业</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旅游饮食服务业</w:t>
      </w:r>
    </w:p>
    <w:p>
      <w:pPr>
        <w:tabs>
          <w:tab w:pos="1590" w:val="left" w:leader="none"/>
          <w:tab w:pos="2760" w:val="left" w:leader="none"/>
          <w:tab w:pos="4416" w:val="left" w:leader="none"/>
          <w:tab w:pos="5892" w:val="left" w:leader="none"/>
          <w:tab w:pos="7587" w:val="left" w:leader="none"/>
        </w:tabs>
        <w:spacing w:before="9"/>
        <w:ind w:left="1140" w:right="212" w:firstLine="0"/>
        <w:jc w:val="left"/>
        <w:rPr>
          <w:rFonts w:ascii="宋体" w:hAnsi="宋体" w:cs="宋体" w:eastAsia="宋体" w:hint="default"/>
          <w:sz w:val="18"/>
          <w:szCs w:val="18"/>
        </w:rPr>
      </w:pPr>
      <w:r>
        <w:rPr>
          <w:rFonts w:ascii="宋体" w:hAnsi="宋体" w:cs="宋体" w:eastAsia="宋体" w:hint="default"/>
          <w:sz w:val="18"/>
          <w:szCs w:val="18"/>
        </w:rPr>
        <w:t>小</w:t>
        <w:tab/>
        <w:t>计</w:t>
        <w:tab/>
        <w:t>1,197,428,515.25</w:t>
        <w:tab/>
        <w:t>479,203,959.03</w:t>
        <w:tab/>
        <w:t>1,082,612,848.33</w:t>
        <w:tab/>
      </w:r>
      <w:r>
        <w:rPr>
          <w:rFonts w:ascii="宋体" w:hAnsi="宋体" w:cs="宋体" w:eastAsia="宋体" w:hint="default"/>
          <w:spacing w:val="-10"/>
          <w:sz w:val="18"/>
          <w:szCs w:val="18"/>
        </w:rPr>
        <w:t>404,743,748.98</w:t>
      </w:r>
    </w:p>
    <w:p>
      <w:pPr>
        <w:spacing w:before="45"/>
        <w:ind w:left="367" w:right="212" w:firstLine="0"/>
        <w:jc w:val="left"/>
        <w:rPr>
          <w:rFonts w:ascii="宋体" w:hAnsi="宋体" w:cs="宋体" w:eastAsia="宋体" w:hint="default"/>
          <w:sz w:val="18"/>
          <w:szCs w:val="18"/>
        </w:rPr>
      </w:pPr>
      <w:r>
        <w:rPr>
          <w:rFonts w:ascii="宋体" w:hAnsi="宋体" w:cs="宋体" w:eastAsia="宋体" w:hint="default"/>
          <w:sz w:val="18"/>
          <w:szCs w:val="18"/>
        </w:rPr>
        <w:t>公司内各业务分部相互抵销</w:t>
      </w:r>
    </w:p>
    <w:p>
      <w:pPr>
        <w:spacing w:line="240" w:lineRule="auto" w:before="1"/>
        <w:rPr>
          <w:rFonts w:ascii="宋体" w:hAnsi="宋体" w:cs="宋体" w:eastAsia="宋体" w:hint="default"/>
          <w:sz w:val="23"/>
          <w:szCs w:val="23"/>
        </w:rPr>
      </w:pPr>
    </w:p>
    <w:p>
      <w:pPr>
        <w:pStyle w:val="BodyText"/>
        <w:spacing w:line="240" w:lineRule="auto" w:before="0"/>
        <w:ind w:left="694" w:right="92"/>
        <w:jc w:val="left"/>
      </w:pPr>
      <w:r>
        <w:rPr>
          <w:rFonts w:ascii="Times New Roman" w:hAnsi="Times New Roman" w:cs="Times New Roman" w:eastAsia="Times New Roman" w:hint="default"/>
          <w:spacing w:val="15"/>
        </w:rPr>
        <w:t>2.</w:t>
      </w:r>
      <w:r>
        <w:rPr>
          <w:spacing w:val="15"/>
        </w:rPr>
        <w:t>公司向前五名客户销售总额为 </w:t>
      </w:r>
      <w:r>
        <w:rPr>
          <w:rFonts w:ascii="Times New Roman" w:hAnsi="Times New Roman" w:cs="Times New Roman" w:eastAsia="Times New Roman" w:hint="default"/>
        </w:rPr>
        <w:t>1,177,254,232.25 </w:t>
      </w:r>
      <w:r>
        <w:rPr>
          <w:rFonts w:ascii="Times New Roman" w:hAnsi="Times New Roman" w:cs="Times New Roman" w:eastAsia="Times New Roman" w:hint="default"/>
          <w:spacing w:val="29"/>
        </w:rPr>
        <w:t> </w:t>
      </w:r>
      <w:r>
        <w:rPr>
          <w:spacing w:val="18"/>
        </w:rPr>
        <w:t>元，占公司本年全部营业收入的</w:t>
      </w:r>
      <w:r>
        <w:rPr/>
      </w:r>
    </w:p>
    <w:p>
      <w:pPr>
        <w:pStyle w:val="BodyText"/>
        <w:spacing w:line="240" w:lineRule="auto" w:before="107"/>
        <w:ind w:right="212"/>
        <w:jc w:val="left"/>
      </w:pPr>
      <w:r>
        <w:rPr>
          <w:rFonts w:ascii="Times New Roman" w:hAnsi="Times New Roman" w:cs="Times New Roman" w:eastAsia="Times New Roman" w:hint="default"/>
        </w:rPr>
        <w:t>98.25%</w:t>
      </w:r>
      <w:r>
        <w:rPr/>
        <w:t>。</w:t>
      </w:r>
    </w:p>
    <w:p>
      <w:pPr>
        <w:pStyle w:val="BodyText"/>
        <w:spacing w:line="319" w:lineRule="auto" w:before="108"/>
        <w:ind w:left="154" w:right="212" w:firstLine="54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营业收入本年发生数比上年发生数增加 </w:t>
      </w:r>
      <w:r>
        <w:rPr>
          <w:rFonts w:ascii="Times New Roman" w:hAnsi="Times New Roman" w:cs="Times New Roman" w:eastAsia="Times New Roman" w:hint="default"/>
        </w:rPr>
        <w:t>716,666,771.06 </w:t>
      </w:r>
      <w:r>
        <w:rPr/>
        <w:t>元，增加比例为</w:t>
      </w:r>
      <w:r>
        <w:rPr>
          <w:spacing w:val="-82"/>
        </w:rPr>
        <w:t> </w:t>
      </w:r>
      <w:r>
        <w:rPr>
          <w:rFonts w:ascii="Times New Roman" w:hAnsi="Times New Roman" w:cs="Times New Roman" w:eastAsia="Times New Roman" w:hint="default"/>
        </w:rPr>
        <w:t>148.82</w:t>
      </w:r>
      <w:r>
        <w:rPr/>
        <w:t>％，变 </w:t>
      </w:r>
      <w:r>
        <w:rPr>
          <w:spacing w:val="10"/>
        </w:rPr>
        <w:t>动原因为：公司对 </w:t>
      </w:r>
      <w:r>
        <w:rPr>
          <w:rFonts w:ascii="Times New Roman" w:hAnsi="Times New Roman" w:cs="Times New Roman" w:eastAsia="Times New Roman" w:hint="default"/>
        </w:rPr>
        <w:t>PHILIPS  ELECTRONICS  HONGKONG  </w:t>
      </w:r>
      <w:r>
        <w:rPr>
          <w:rFonts w:ascii="Times New Roman" w:hAnsi="Times New Roman" w:cs="Times New Roman" w:eastAsia="Times New Roman" w:hint="default"/>
          <w:spacing w:val="-7"/>
        </w:rPr>
        <w:t>LTD  </w:t>
      </w:r>
      <w:r>
        <w:rPr/>
        <w:t>和 </w:t>
      </w:r>
      <w:r>
        <w:rPr>
          <w:rFonts w:ascii="Times New Roman" w:hAnsi="Times New Roman" w:cs="Times New Roman" w:eastAsia="Times New Roman" w:hint="default"/>
        </w:rPr>
        <w:t>PHILIPS  </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4"/>
        </w:rPr>
        <w:t>ASSEMBLY</w:t>
      </w:r>
    </w:p>
    <w:p>
      <w:pPr>
        <w:pStyle w:val="BodyText"/>
        <w:spacing w:line="321" w:lineRule="auto" w:before="19"/>
        <w:ind w:left="694" w:right="5460" w:hanging="540"/>
        <w:jc w:val="left"/>
      </w:pPr>
      <w:r>
        <w:rPr>
          <w:rFonts w:ascii="Times New Roman" w:hAnsi="Times New Roman" w:cs="Times New Roman" w:eastAsia="Times New Roman" w:hint="default"/>
        </w:rPr>
        <w:t>CENTRE </w:t>
      </w:r>
      <w:r>
        <w:rPr>
          <w:rFonts w:ascii="Times New Roman" w:hAnsi="Times New Roman" w:cs="Times New Roman" w:eastAsia="Times New Roman" w:hint="default"/>
          <w:spacing w:val="-3"/>
        </w:rPr>
        <w:t>HUNGARY</w:t>
      </w:r>
      <w:r>
        <w:rPr>
          <w:rFonts w:ascii="Times New Roman" w:hAnsi="Times New Roman" w:cs="Times New Roman" w:eastAsia="Times New Roman" w:hint="default"/>
          <w:spacing w:val="-2"/>
        </w:rPr>
        <w:t> </w:t>
      </w:r>
      <w:r>
        <w:rPr/>
        <w:t>的销售量增长较大。 七、关联方关系及其交易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存在控制关系的关联方情况</w:t>
      </w:r>
      <w:r>
        <w:rPr>
          <w:spacing w:val="-1"/>
        </w:rPr>
        <w:t> </w:t>
      </w:r>
      <w:r>
        <w:rPr>
          <w:rFonts w:ascii="Times New Roman" w:hAnsi="Times New Roman" w:cs="Times New Roman" w:eastAsia="Times New Roman" w:hint="default"/>
        </w:rPr>
        <w:t>1.</w:t>
      </w:r>
      <w:r>
        <w:rPr/>
        <w:t>存在控制关系的关联方 控制本公司的关联方</w:t>
      </w:r>
    </w:p>
    <w:p>
      <w:pPr>
        <w:spacing w:after="0" w:line="321" w:lineRule="auto"/>
        <w:jc w:val="left"/>
        <w:sectPr>
          <w:type w:val="continuous"/>
          <w:pgSz w:w="11910" w:h="16840"/>
          <w:pgMar w:top="980" w:bottom="1520" w:left="980" w:right="900"/>
        </w:sectPr>
      </w:pPr>
    </w:p>
    <w:p>
      <w:pPr>
        <w:spacing w:before="75"/>
        <w:ind w:left="299" w:right="-18" w:firstLine="75"/>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9"/>
          <w:sz w:val="18"/>
          <w:szCs w:val="18"/>
          <w:u w:val="single" w:color="000000"/>
        </w:rPr>
        <w:t>企业名称</w:t>
      </w:r>
      <w:r>
        <w:rPr>
          <w:rFonts w:ascii="宋体" w:hAnsi="宋体" w:cs="宋体" w:eastAsia="宋体" w:hint="default"/>
          <w:spacing w:val="-29"/>
          <w:sz w:val="18"/>
          <w:szCs w:val="18"/>
        </w:rPr>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before="129"/>
        <w:ind w:left="299" w:right="-18" w:firstLine="0"/>
        <w:jc w:val="left"/>
        <w:rPr>
          <w:rFonts w:ascii="宋体" w:hAnsi="宋体" w:cs="宋体" w:eastAsia="宋体" w:hint="default"/>
          <w:sz w:val="18"/>
          <w:szCs w:val="18"/>
        </w:rPr>
      </w:pPr>
      <w:r>
        <w:rPr>
          <w:rFonts w:ascii="宋体" w:hAnsi="宋体" w:cs="宋体" w:eastAsia="宋体" w:hint="default"/>
          <w:spacing w:val="-23"/>
          <w:sz w:val="18"/>
          <w:szCs w:val="18"/>
        </w:rPr>
        <w:t>深圳市恒顺</w:t>
      </w:r>
    </w:p>
    <w:p>
      <w:pPr>
        <w:spacing w:line="133" w:lineRule="exact" w:before="0"/>
        <w:ind w:left="210" w:right="-15" w:firstLine="0"/>
        <w:jc w:val="left"/>
        <w:rPr>
          <w:rFonts w:ascii="宋体" w:hAnsi="宋体" w:cs="宋体" w:eastAsia="宋体" w:hint="default"/>
          <w:sz w:val="18"/>
          <w:szCs w:val="18"/>
        </w:rPr>
      </w:pPr>
      <w:r>
        <w:rPr>
          <w:spacing w:val="-29"/>
        </w:rPr>
        <w:br w:type="column"/>
      </w:r>
      <w:r>
        <w:rPr>
          <w:rFonts w:ascii="宋体" w:hAnsi="宋体" w:cs="宋体" w:eastAsia="宋体" w:hint="default"/>
          <w:spacing w:val="-29"/>
          <w:sz w:val="18"/>
          <w:szCs w:val="18"/>
        </w:rPr>
        <w:t>注册</w:t>
      </w:r>
      <w:r>
        <w:rPr>
          <w:rFonts w:ascii="宋体" w:hAnsi="宋体" w:cs="宋体" w:eastAsia="宋体" w:hint="default"/>
          <w:sz w:val="18"/>
          <w:szCs w:val="18"/>
        </w:rPr>
      </w:r>
    </w:p>
    <w:p>
      <w:pPr>
        <w:tabs>
          <w:tab w:pos="821" w:val="left" w:leader="none"/>
          <w:tab w:pos="2233" w:val="left" w:leader="none"/>
        </w:tabs>
        <w:spacing w:line="298" w:lineRule="exact" w:before="0"/>
        <w:ind w:left="210" w:right="-15"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spacing w:val="-15"/>
          <w:position w:val="-11"/>
          <w:sz w:val="18"/>
          <w:szCs w:val="18"/>
          <w:u w:val="single" w:color="000000"/>
        </w:rPr>
        <w:t>地址</w:t>
      </w:r>
      <w:r>
        <w:rPr>
          <w:rFonts w:ascii="宋体" w:hAnsi="宋体" w:cs="宋体" w:eastAsia="宋体" w:hint="default"/>
          <w:spacing w:val="-15"/>
          <w:position w:val="-11"/>
          <w:sz w:val="18"/>
          <w:szCs w:val="18"/>
        </w:rPr>
        <w:tab/>
      </w:r>
      <w:r>
        <w:rPr>
          <w:rFonts w:ascii="宋体" w:hAnsi="宋体" w:cs="宋体" w:eastAsia="宋体" w:hint="default"/>
          <w:spacing w:val="-15"/>
          <w:sz w:val="18"/>
          <w:szCs w:val="18"/>
        </w:rPr>
      </w:r>
      <w:r>
        <w:rPr>
          <w:rFonts w:ascii="宋体" w:hAnsi="宋体" w:cs="宋体" w:eastAsia="宋体" w:hint="default"/>
          <w:spacing w:val="-24"/>
          <w:sz w:val="18"/>
          <w:szCs w:val="18"/>
          <w:u w:val="single" w:color="000000"/>
        </w:rPr>
        <w:t>组织机构代码</w:t>
      </w:r>
      <w:r>
        <w:rPr>
          <w:rFonts w:ascii="宋体" w:hAnsi="宋体" w:cs="宋体" w:eastAsia="宋体" w:hint="default"/>
          <w:spacing w:val="-24"/>
          <w:sz w:val="18"/>
          <w:szCs w:val="18"/>
        </w:rPr>
        <w:tab/>
      </w:r>
      <w:r>
        <w:rPr>
          <w:rFonts w:ascii="宋体" w:hAnsi="宋体" w:cs="宋体" w:eastAsia="宋体" w:hint="default"/>
          <w:spacing w:val="-29"/>
          <w:sz w:val="18"/>
          <w:szCs w:val="18"/>
          <w:u w:val="single" w:color="000000"/>
        </w:rPr>
        <w:t>注册资本</w:t>
      </w:r>
      <w:r>
        <w:rPr>
          <w:rFonts w:ascii="宋体" w:hAnsi="宋体" w:cs="宋体" w:eastAsia="宋体" w:hint="default"/>
          <w:spacing w:val="-29"/>
          <w:sz w:val="18"/>
          <w:szCs w:val="18"/>
        </w:rPr>
      </w:r>
      <w:r>
        <w:rPr>
          <w:rFonts w:ascii="宋体" w:hAnsi="宋体" w:cs="宋体" w:eastAsia="宋体" w:hint="default"/>
          <w:sz w:val="18"/>
          <w:szCs w:val="18"/>
        </w:rPr>
      </w:r>
    </w:p>
    <w:p>
      <w:pPr>
        <w:spacing w:line="191" w:lineRule="exact" w:before="0"/>
        <w:ind w:left="374" w:right="-17" w:hanging="76"/>
        <w:jc w:val="left"/>
        <w:rPr>
          <w:rFonts w:ascii="宋体" w:hAnsi="宋体" w:cs="宋体" w:eastAsia="宋体" w:hint="default"/>
          <w:sz w:val="18"/>
          <w:szCs w:val="18"/>
        </w:rPr>
      </w:pPr>
      <w:r>
        <w:rPr>
          <w:spacing w:val="-23"/>
        </w:rPr>
        <w:br w:type="column"/>
      </w:r>
      <w:r>
        <w:rPr>
          <w:rFonts w:ascii="宋体" w:hAnsi="宋体" w:cs="宋体" w:eastAsia="宋体" w:hint="default"/>
          <w:spacing w:val="-23"/>
          <w:sz w:val="18"/>
          <w:szCs w:val="18"/>
        </w:rPr>
        <w:t>拥有本公司</w:t>
      </w:r>
    </w:p>
    <w:p>
      <w:pPr>
        <w:spacing w:before="4"/>
        <w:ind w:left="374" w:right="-18"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9"/>
          <w:sz w:val="18"/>
          <w:szCs w:val="18"/>
          <w:u w:val="single" w:color="000000"/>
        </w:rPr>
        <w:t>股份比例</w:t>
      </w:r>
      <w:r>
        <w:rPr>
          <w:rFonts w:ascii="宋体" w:hAnsi="宋体" w:cs="宋体" w:eastAsia="宋体" w:hint="default"/>
          <w:spacing w:val="-29"/>
          <w:sz w:val="18"/>
          <w:szCs w:val="18"/>
        </w:rPr>
      </w:r>
      <w:r>
        <w:rPr>
          <w:rFonts w:ascii="宋体" w:hAnsi="宋体" w:cs="宋体" w:eastAsia="宋体" w:hint="default"/>
          <w:sz w:val="18"/>
          <w:szCs w:val="18"/>
        </w:rPr>
      </w:r>
    </w:p>
    <w:p>
      <w:pPr>
        <w:spacing w:line="191" w:lineRule="exact" w:before="0"/>
        <w:ind w:left="238" w:right="0" w:firstLine="0"/>
        <w:jc w:val="center"/>
        <w:rPr>
          <w:rFonts w:ascii="宋体" w:hAnsi="宋体" w:cs="宋体" w:eastAsia="宋体" w:hint="default"/>
          <w:sz w:val="18"/>
          <w:szCs w:val="18"/>
        </w:rPr>
      </w:pPr>
      <w:r>
        <w:rPr>
          <w:spacing w:val="-29"/>
        </w:rPr>
        <w:br w:type="column"/>
      </w:r>
      <w:r>
        <w:rPr>
          <w:rFonts w:ascii="宋体" w:hAnsi="宋体" w:cs="宋体" w:eastAsia="宋体" w:hint="default"/>
          <w:spacing w:val="-29"/>
          <w:sz w:val="18"/>
          <w:szCs w:val="18"/>
        </w:rPr>
        <w:t>与本公司</w:t>
      </w:r>
      <w:r>
        <w:rPr>
          <w:rFonts w:ascii="宋体" w:hAnsi="宋体" w:cs="宋体" w:eastAsia="宋体" w:hint="default"/>
          <w:sz w:val="18"/>
          <w:szCs w:val="18"/>
        </w:rPr>
      </w:r>
    </w:p>
    <w:p>
      <w:pPr>
        <w:spacing w:before="4"/>
        <w:ind w:left="237"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9"/>
          <w:sz w:val="18"/>
          <w:szCs w:val="18"/>
          <w:u w:val="single" w:color="000000"/>
        </w:rPr>
        <w:t>关系</w:t>
      </w:r>
      <w:r>
        <w:rPr>
          <w:rFonts w:ascii="宋体" w:hAnsi="宋体" w:cs="宋体" w:eastAsia="宋体" w:hint="default"/>
          <w:spacing w:val="-29"/>
          <w:sz w:val="18"/>
          <w:szCs w:val="18"/>
        </w:rPr>
      </w:r>
      <w:r>
        <w:rPr>
          <w:rFonts w:ascii="宋体" w:hAnsi="宋体" w:cs="宋体" w:eastAsia="宋体" w:hint="default"/>
          <w:sz w:val="18"/>
          <w:szCs w:val="18"/>
        </w:rPr>
      </w:r>
    </w:p>
    <w:p>
      <w:pPr>
        <w:spacing w:line="191" w:lineRule="exact" w:before="0"/>
        <w:ind w:left="327" w:right="-15" w:hanging="76"/>
        <w:jc w:val="left"/>
        <w:rPr>
          <w:rFonts w:ascii="宋体" w:hAnsi="宋体" w:cs="宋体" w:eastAsia="宋体" w:hint="default"/>
          <w:sz w:val="18"/>
          <w:szCs w:val="18"/>
        </w:rPr>
      </w:pPr>
      <w:r>
        <w:rPr>
          <w:spacing w:val="-29"/>
        </w:rPr>
        <w:br w:type="column"/>
      </w:r>
      <w:r>
        <w:rPr>
          <w:rFonts w:ascii="宋体" w:hAnsi="宋体" w:cs="宋体" w:eastAsia="宋体" w:hint="default"/>
          <w:spacing w:val="-29"/>
          <w:sz w:val="18"/>
          <w:szCs w:val="18"/>
        </w:rPr>
        <w:t>经济性质</w:t>
      </w:r>
      <w:r>
        <w:rPr>
          <w:rFonts w:ascii="宋体" w:hAnsi="宋体" w:cs="宋体" w:eastAsia="宋体" w:hint="default"/>
          <w:sz w:val="18"/>
          <w:szCs w:val="18"/>
        </w:rPr>
      </w:r>
    </w:p>
    <w:p>
      <w:pPr>
        <w:spacing w:before="4"/>
        <w:ind w:left="327" w:right="-15"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9"/>
          <w:sz w:val="18"/>
          <w:szCs w:val="18"/>
          <w:u w:val="single" w:color="000000"/>
        </w:rPr>
        <w:t>或类型</w:t>
      </w:r>
      <w:r>
        <w:rPr>
          <w:rFonts w:ascii="宋体" w:hAnsi="宋体" w:cs="宋体" w:eastAsia="宋体" w:hint="default"/>
          <w:spacing w:val="-19"/>
          <w:sz w:val="18"/>
          <w:szCs w:val="18"/>
        </w:rPr>
      </w:r>
    </w:p>
    <w:p>
      <w:pPr>
        <w:spacing w:line="133" w:lineRule="exact" w:before="0"/>
        <w:ind w:left="313" w:right="515" w:firstLine="0"/>
        <w:jc w:val="left"/>
        <w:rPr>
          <w:rFonts w:ascii="宋体" w:hAnsi="宋体" w:cs="宋体" w:eastAsia="宋体" w:hint="default"/>
          <w:sz w:val="18"/>
          <w:szCs w:val="18"/>
        </w:rPr>
      </w:pPr>
      <w:r>
        <w:rPr>
          <w:spacing w:val="-29"/>
        </w:rPr>
        <w:br w:type="column"/>
      </w:r>
      <w:r>
        <w:rPr>
          <w:rFonts w:ascii="宋体" w:hAnsi="宋体" w:cs="宋体" w:eastAsia="宋体" w:hint="default"/>
          <w:spacing w:val="-29"/>
          <w:sz w:val="18"/>
          <w:szCs w:val="18"/>
        </w:rPr>
        <w:t>法定</w:t>
      </w:r>
      <w:r>
        <w:rPr>
          <w:rFonts w:ascii="宋体" w:hAnsi="宋体" w:cs="宋体" w:eastAsia="宋体" w:hint="default"/>
          <w:sz w:val="18"/>
          <w:szCs w:val="18"/>
        </w:rPr>
      </w:r>
    </w:p>
    <w:p>
      <w:pPr>
        <w:tabs>
          <w:tab w:pos="933" w:val="left" w:leader="none"/>
          <w:tab w:pos="1366" w:val="left" w:leader="none"/>
          <w:tab w:pos="2397" w:val="left" w:leader="none"/>
        </w:tabs>
        <w:spacing w:line="298" w:lineRule="exact" w:before="0"/>
        <w:ind w:left="237" w:right="515"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spacing w:val="-19"/>
          <w:position w:val="-11"/>
          <w:sz w:val="18"/>
          <w:szCs w:val="18"/>
          <w:u w:val="single" w:color="000000"/>
        </w:rPr>
        <w:t>代表人</w:t>
      </w:r>
      <w:r>
        <w:rPr>
          <w:rFonts w:ascii="宋体" w:hAnsi="宋体" w:cs="宋体" w:eastAsia="宋体" w:hint="default"/>
          <w:spacing w:val="-19"/>
          <w:position w:val="-11"/>
          <w:sz w:val="18"/>
          <w:szCs w:val="18"/>
        </w:rPr>
        <w:tab/>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pacing w:val="-19"/>
          <w:sz w:val="18"/>
          <w:szCs w:val="18"/>
          <w:u w:val="single" w:color="000000"/>
        </w:rPr>
        <w:t> </w:t>
        <w:tab/>
      </w:r>
      <w:r>
        <w:rPr>
          <w:rFonts w:ascii="宋体" w:hAnsi="宋体" w:cs="宋体" w:eastAsia="宋体" w:hint="default"/>
          <w:spacing w:val="-22"/>
          <w:sz w:val="18"/>
          <w:szCs w:val="18"/>
          <w:u w:val="single" w:color="000000"/>
        </w:rPr>
        <w:t>主营业务</w:t>
        <w:tab/>
      </w:r>
      <w:r>
        <w:rPr>
          <w:rFonts w:ascii="宋体" w:hAnsi="宋体" w:cs="宋体" w:eastAsia="宋体" w:hint="default"/>
          <w:spacing w:val="-22"/>
          <w:sz w:val="18"/>
          <w:szCs w:val="18"/>
        </w:rPr>
      </w:r>
    </w:p>
    <w:p>
      <w:pPr>
        <w:spacing w:line="244" w:lineRule="auto" w:before="4"/>
        <w:ind w:left="942" w:right="515" w:hanging="10"/>
        <w:jc w:val="left"/>
        <w:rPr>
          <w:rFonts w:ascii="宋体" w:hAnsi="宋体" w:cs="宋体" w:eastAsia="宋体" w:hint="default"/>
          <w:sz w:val="18"/>
          <w:szCs w:val="18"/>
        </w:rPr>
      </w:pPr>
      <w:r>
        <w:rPr>
          <w:rFonts w:ascii="宋体" w:hAnsi="宋体" w:cs="宋体" w:eastAsia="宋体" w:hint="default"/>
          <w:spacing w:val="-29"/>
          <w:sz w:val="18"/>
          <w:szCs w:val="18"/>
        </w:rPr>
        <w:t>投</w:t>
      </w:r>
      <w:r>
        <w:rPr>
          <w:rFonts w:ascii="宋体" w:hAnsi="宋体" w:cs="宋体" w:eastAsia="宋体" w:hint="default"/>
          <w:spacing w:val="-28"/>
          <w:sz w:val="18"/>
          <w:szCs w:val="18"/>
        </w:rPr>
        <w:t>资兴</w:t>
      </w:r>
      <w:r>
        <w:rPr>
          <w:rFonts w:ascii="宋体" w:hAnsi="宋体" w:cs="宋体" w:eastAsia="宋体" w:hint="default"/>
          <w:spacing w:val="-29"/>
          <w:sz w:val="18"/>
          <w:szCs w:val="18"/>
        </w:rPr>
        <w:t>办</w:t>
      </w:r>
      <w:r>
        <w:rPr>
          <w:rFonts w:ascii="宋体" w:hAnsi="宋体" w:cs="宋体" w:eastAsia="宋体" w:hint="default"/>
          <w:spacing w:val="-28"/>
          <w:sz w:val="18"/>
          <w:szCs w:val="18"/>
        </w:rPr>
        <w:t>实</w:t>
      </w:r>
      <w:r>
        <w:rPr>
          <w:rFonts w:ascii="宋体" w:hAnsi="宋体" w:cs="宋体" w:eastAsia="宋体" w:hint="default"/>
          <w:spacing w:val="-85"/>
          <w:sz w:val="18"/>
          <w:szCs w:val="18"/>
        </w:rPr>
        <w:t>业</w:t>
      </w:r>
      <w:r>
        <w:rPr>
          <w:rFonts w:ascii="宋体" w:hAnsi="宋体" w:cs="宋体" w:eastAsia="宋体" w:hint="default"/>
          <w:spacing w:val="-28"/>
          <w:sz w:val="18"/>
          <w:szCs w:val="18"/>
        </w:rPr>
        <w:t>（具</w:t>
      </w:r>
      <w:r>
        <w:rPr>
          <w:rFonts w:ascii="宋体" w:hAnsi="宋体" w:cs="宋体" w:eastAsia="宋体" w:hint="default"/>
          <w:spacing w:val="-29"/>
          <w:sz w:val="18"/>
          <w:szCs w:val="18"/>
        </w:rPr>
        <w:t>体</w:t>
      </w:r>
      <w:r>
        <w:rPr>
          <w:rFonts w:ascii="宋体" w:hAnsi="宋体" w:cs="宋体" w:eastAsia="宋体" w:hint="default"/>
          <w:sz w:val="18"/>
          <w:szCs w:val="18"/>
        </w:rPr>
        <w:t>项</w:t>
      </w:r>
      <w:r>
        <w:rPr>
          <w:rFonts w:ascii="宋体" w:hAnsi="宋体" w:cs="宋体" w:eastAsia="宋体" w:hint="default"/>
          <w:sz w:val="18"/>
          <w:szCs w:val="18"/>
        </w:rPr>
        <w:t> </w:t>
      </w:r>
      <w:r>
        <w:rPr>
          <w:rFonts w:ascii="宋体" w:hAnsi="宋体" w:cs="宋体" w:eastAsia="宋体" w:hint="default"/>
          <w:spacing w:val="-29"/>
          <w:sz w:val="18"/>
          <w:szCs w:val="18"/>
        </w:rPr>
        <w:t>目</w:t>
      </w:r>
      <w:r>
        <w:rPr>
          <w:rFonts w:ascii="宋体" w:hAnsi="宋体" w:cs="宋体" w:eastAsia="宋体" w:hint="default"/>
          <w:spacing w:val="-28"/>
          <w:sz w:val="18"/>
          <w:szCs w:val="18"/>
        </w:rPr>
        <w:t>另行</w:t>
      </w:r>
      <w:r>
        <w:rPr>
          <w:rFonts w:ascii="宋体" w:hAnsi="宋体" w:cs="宋体" w:eastAsia="宋体" w:hint="default"/>
          <w:spacing w:val="-29"/>
          <w:sz w:val="18"/>
          <w:szCs w:val="18"/>
        </w:rPr>
        <w:t>申</w:t>
      </w:r>
      <w:r>
        <w:rPr>
          <w:rFonts w:ascii="宋体" w:hAnsi="宋体" w:cs="宋体" w:eastAsia="宋体" w:hint="default"/>
          <w:spacing w:val="-28"/>
          <w:sz w:val="18"/>
          <w:szCs w:val="18"/>
        </w:rPr>
        <w:t>报</w:t>
      </w:r>
      <w:r>
        <w:rPr>
          <w:rFonts w:ascii="宋体" w:hAnsi="宋体" w:cs="宋体" w:eastAsia="宋体" w:hint="default"/>
          <w:spacing w:val="-105"/>
          <w:sz w:val="18"/>
          <w:szCs w:val="18"/>
        </w:rPr>
        <w:t>）</w:t>
      </w:r>
      <w:r>
        <w:rPr>
          <w:rFonts w:ascii="宋体" w:hAnsi="宋体" w:cs="宋体" w:eastAsia="宋体" w:hint="default"/>
          <w:spacing w:val="-28"/>
          <w:sz w:val="18"/>
          <w:szCs w:val="18"/>
        </w:rPr>
        <w:t>、国</w:t>
      </w:r>
      <w:r>
        <w:rPr>
          <w:rFonts w:ascii="宋体" w:hAnsi="宋体" w:cs="宋体" w:eastAsia="宋体" w:hint="default"/>
          <w:spacing w:val="-29"/>
          <w:sz w:val="18"/>
          <w:szCs w:val="18"/>
        </w:rPr>
        <w:t>内</w:t>
      </w:r>
      <w:r>
        <w:rPr>
          <w:rFonts w:ascii="宋体" w:hAnsi="宋体" w:cs="宋体" w:eastAsia="宋体" w:hint="default"/>
          <w:sz w:val="18"/>
          <w:szCs w:val="18"/>
        </w:rPr>
        <w:t>商</w:t>
      </w:r>
    </w:p>
    <w:p>
      <w:pPr>
        <w:spacing w:after="0" w:line="244" w:lineRule="auto"/>
        <w:jc w:val="left"/>
        <w:rPr>
          <w:rFonts w:ascii="宋体" w:hAnsi="宋体" w:cs="宋体" w:eastAsia="宋体" w:hint="default"/>
          <w:sz w:val="18"/>
          <w:szCs w:val="18"/>
        </w:rPr>
        <w:sectPr>
          <w:type w:val="continuous"/>
          <w:pgSz w:w="11910" w:h="16840"/>
          <w:pgMar w:top="980" w:bottom="1520" w:left="980" w:right="900"/>
          <w:cols w:num="6" w:equalWidth="0">
            <w:col w:w="1087" w:space="40"/>
            <w:col w:w="2843" w:space="186"/>
            <w:col w:w="1087" w:space="40"/>
            <w:col w:w="847" w:space="40"/>
            <w:col w:w="860" w:space="40"/>
            <w:col w:w="2960"/>
          </w:cols>
        </w:sectPr>
      </w:pPr>
    </w:p>
    <w:p>
      <w:pPr>
        <w:spacing w:line="244" w:lineRule="auto" w:before="1"/>
        <w:ind w:left="374" w:right="-17" w:hanging="76"/>
        <w:jc w:val="left"/>
        <w:rPr>
          <w:rFonts w:ascii="宋体" w:hAnsi="宋体" w:cs="宋体" w:eastAsia="宋体" w:hint="default"/>
          <w:sz w:val="18"/>
          <w:szCs w:val="18"/>
        </w:rPr>
      </w:pPr>
      <w:r>
        <w:rPr>
          <w:rFonts w:ascii="宋体" w:hAnsi="宋体" w:cs="宋体" w:eastAsia="宋体" w:hint="default"/>
          <w:spacing w:val="-23"/>
          <w:sz w:val="18"/>
          <w:szCs w:val="18"/>
        </w:rPr>
        <w:t>昌投资发展</w:t>
      </w:r>
      <w:r>
        <w:rPr>
          <w:rFonts w:ascii="宋体" w:hAnsi="宋体" w:cs="宋体" w:eastAsia="宋体" w:hint="default"/>
          <w:sz w:val="18"/>
          <w:szCs w:val="18"/>
        </w:rPr>
        <w:t> </w:t>
      </w:r>
      <w:r>
        <w:rPr>
          <w:rFonts w:ascii="宋体" w:hAnsi="宋体" w:cs="宋体" w:eastAsia="宋体" w:hint="default"/>
          <w:spacing w:val="-29"/>
          <w:sz w:val="18"/>
          <w:szCs w:val="18"/>
        </w:rPr>
        <w:t>有限公司</w:t>
      </w:r>
      <w:r>
        <w:rPr>
          <w:rFonts w:ascii="宋体" w:hAnsi="宋体" w:cs="宋体" w:eastAsia="宋体" w:hint="default"/>
          <w:sz w:val="18"/>
          <w:szCs w:val="18"/>
        </w:rPr>
      </w:r>
    </w:p>
    <w:p>
      <w:pPr>
        <w:tabs>
          <w:tab w:pos="898" w:val="left" w:leader="none"/>
          <w:tab w:pos="2044" w:val="left" w:leader="none"/>
          <w:tab w:pos="3479" w:val="left" w:leader="none"/>
          <w:tab w:pos="4393" w:val="left" w:leader="none"/>
          <w:tab w:pos="5446" w:val="left" w:leader="none"/>
          <w:tab w:pos="6179" w:val="left" w:leader="none"/>
        </w:tabs>
        <w:spacing w:before="1"/>
        <w:ind w:left="210" w:right="-19" w:firstLine="0"/>
        <w:jc w:val="left"/>
        <w:rPr>
          <w:rFonts w:ascii="宋体" w:hAnsi="宋体" w:cs="宋体" w:eastAsia="宋体" w:hint="default"/>
          <w:sz w:val="18"/>
          <w:szCs w:val="18"/>
        </w:rPr>
      </w:pPr>
      <w:r>
        <w:rPr>
          <w:spacing w:val="-15"/>
        </w:rPr>
        <w:br w:type="column"/>
      </w:r>
      <w:r>
        <w:rPr>
          <w:rFonts w:ascii="宋体" w:hAnsi="宋体" w:cs="宋体" w:eastAsia="宋体" w:hint="default"/>
          <w:spacing w:val="-15"/>
          <w:sz w:val="18"/>
          <w:szCs w:val="18"/>
        </w:rPr>
        <w:t>深圳</w:t>
        <w:tab/>
      </w:r>
      <w:r>
        <w:rPr>
          <w:rFonts w:ascii="宋体" w:hAnsi="宋体" w:cs="宋体" w:eastAsia="宋体" w:hint="default"/>
          <w:spacing w:val="-14"/>
          <w:sz w:val="18"/>
          <w:szCs w:val="18"/>
        </w:rPr>
        <w:t>77272276-7</w:t>
        <w:tab/>
        <w:t>10,000,000.00</w:t>
        <w:tab/>
      </w:r>
      <w:r>
        <w:rPr>
          <w:rFonts w:ascii="宋体" w:hAnsi="宋体" w:cs="宋体" w:eastAsia="宋体" w:hint="default"/>
          <w:spacing w:val="-13"/>
          <w:sz w:val="18"/>
          <w:szCs w:val="18"/>
        </w:rPr>
        <w:t>70.00%</w:t>
        <w:tab/>
      </w:r>
      <w:r>
        <w:rPr>
          <w:rFonts w:ascii="宋体" w:hAnsi="宋体" w:cs="宋体" w:eastAsia="宋体" w:hint="default"/>
          <w:spacing w:val="-22"/>
          <w:sz w:val="18"/>
          <w:szCs w:val="18"/>
        </w:rPr>
        <w:t>控股股东</w:t>
        <w:tab/>
      </w:r>
      <w:r>
        <w:rPr>
          <w:rFonts w:ascii="宋体" w:hAnsi="宋体" w:cs="宋体" w:eastAsia="宋体" w:hint="default"/>
          <w:spacing w:val="-15"/>
          <w:sz w:val="18"/>
          <w:szCs w:val="18"/>
        </w:rPr>
        <w:t>私营</w:t>
        <w:tab/>
      </w:r>
      <w:r>
        <w:rPr>
          <w:rFonts w:ascii="宋体" w:hAnsi="宋体" w:cs="宋体" w:eastAsia="宋体" w:hint="default"/>
          <w:spacing w:val="-19"/>
          <w:sz w:val="18"/>
          <w:szCs w:val="18"/>
        </w:rPr>
        <w:t>陈亚妹</w:t>
      </w:r>
    </w:p>
    <w:p>
      <w:pPr>
        <w:spacing w:line="244" w:lineRule="auto" w:before="1"/>
        <w:ind w:left="220" w:right="522" w:hanging="48"/>
        <w:jc w:val="left"/>
        <w:rPr>
          <w:rFonts w:ascii="宋体" w:hAnsi="宋体" w:cs="宋体" w:eastAsia="宋体" w:hint="default"/>
          <w:sz w:val="18"/>
          <w:szCs w:val="18"/>
        </w:rPr>
      </w:pPr>
      <w:r>
        <w:rPr>
          <w:spacing w:val="-32"/>
        </w:rPr>
        <w:br w:type="column"/>
      </w:r>
      <w:r>
        <w:rPr>
          <w:rFonts w:ascii="宋体" w:hAnsi="宋体" w:cs="宋体" w:eastAsia="宋体" w:hint="default"/>
          <w:spacing w:val="-32"/>
          <w:sz w:val="18"/>
          <w:szCs w:val="18"/>
        </w:rPr>
        <w:t>业、物资供销业（不含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9"/>
          <w:sz w:val="18"/>
          <w:szCs w:val="18"/>
        </w:rPr>
        <w:t>专营、专控、专卖商</w:t>
      </w:r>
      <w:r>
        <w:rPr>
          <w:rFonts w:ascii="宋体" w:hAnsi="宋体" w:cs="宋体" w:eastAsia="宋体" w:hint="default"/>
          <w:spacing w:val="-28"/>
          <w:sz w:val="18"/>
          <w:szCs w:val="18"/>
        </w:rPr>
        <w:t> </w:t>
      </w:r>
      <w:r>
        <w:rPr>
          <w:rFonts w:ascii="宋体" w:hAnsi="宋体" w:cs="宋体" w:eastAsia="宋体" w:hint="default"/>
          <w:spacing w:val="-37"/>
          <w:sz w:val="18"/>
          <w:szCs w:val="18"/>
        </w:rPr>
        <w:t>品）、信息咨询业等</w:t>
      </w:r>
      <w:r>
        <w:rPr>
          <w:rFonts w:ascii="宋体" w:hAnsi="宋体" w:cs="宋体" w:eastAsia="宋体" w:hint="default"/>
          <w:sz w:val="18"/>
          <w:szCs w:val="18"/>
        </w:rPr>
      </w:r>
    </w:p>
    <w:p>
      <w:pPr>
        <w:spacing w:after="0" w:line="244" w:lineRule="auto"/>
        <w:jc w:val="left"/>
        <w:rPr>
          <w:rFonts w:ascii="宋体" w:hAnsi="宋体" w:cs="宋体" w:eastAsia="宋体" w:hint="default"/>
          <w:sz w:val="18"/>
          <w:szCs w:val="18"/>
        </w:rPr>
        <w:sectPr>
          <w:type w:val="continuous"/>
          <w:pgSz w:w="11910" w:h="16840"/>
          <w:pgMar w:top="980" w:bottom="1520" w:left="980" w:right="900"/>
          <w:cols w:num="3" w:equalWidth="0">
            <w:col w:w="1087" w:space="40"/>
            <w:col w:w="6664" w:space="40"/>
            <w:col w:w="2199"/>
          </w:cols>
        </w:sectPr>
      </w:pPr>
    </w:p>
    <w:p>
      <w:pPr>
        <w:pStyle w:val="BodyText"/>
        <w:spacing w:line="320" w:lineRule="exact" w:before="18"/>
        <w:ind w:right="216" w:firstLine="540"/>
        <w:jc w:val="left"/>
      </w:pPr>
      <w:r>
        <w:rPr/>
        <w:t>母公司对本公司的持股比例和表决权比例一致为</w:t>
      </w:r>
      <w:r>
        <w:rPr>
          <w:spacing w:val="-45"/>
        </w:rPr>
        <w:t> </w:t>
      </w:r>
      <w:r>
        <w:rPr>
          <w:rFonts w:ascii="Times New Roman" w:hAnsi="Times New Roman" w:cs="Times New Roman" w:eastAsia="Times New Roman" w:hint="default"/>
          <w:spacing w:val="-6"/>
        </w:rPr>
        <w:t>52.47%</w:t>
      </w:r>
      <w:r>
        <w:rPr>
          <w:spacing w:val="-6"/>
        </w:rPr>
        <w:t>。本公司的最终控制方为陈亚妹</w:t>
      </w:r>
      <w:r>
        <w:rPr/>
        <w:t> 与乔昕。</w:t>
      </w:r>
    </w:p>
    <w:p>
      <w:pPr>
        <w:pStyle w:val="BodyText"/>
        <w:spacing w:line="308" w:lineRule="exact" w:before="0"/>
        <w:ind w:left="693" w:right="212"/>
        <w:jc w:val="left"/>
      </w:pPr>
      <w:r>
        <w:rPr>
          <w:rFonts w:ascii="Times New Roman" w:hAnsi="Times New Roman" w:cs="Times New Roman" w:eastAsia="Times New Roman" w:hint="default"/>
        </w:rPr>
        <w:t>2.</w:t>
      </w:r>
      <w:r>
        <w:rPr/>
        <w:t>存在控制关系的关联方的注册资本及其变化（金额单位：万元</w:t>
      </w:r>
      <w:r>
        <w:rPr>
          <w:spacing w:val="-120"/>
        </w:rPr>
        <w:t>）</w:t>
      </w:r>
      <w:r>
        <w:rPr/>
        <w:t>：</w:t>
      </w:r>
    </w:p>
    <w:p>
      <w:pPr>
        <w:spacing w:after="0" w:line="308" w:lineRule="exact"/>
        <w:jc w:val="left"/>
        <w:sectPr>
          <w:type w:val="continuous"/>
          <w:pgSz w:w="11910" w:h="16840"/>
          <w:pgMar w:top="980" w:bottom="152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tabs>
          <w:tab w:pos="4249" w:val="left" w:leader="none"/>
          <w:tab w:pos="5622" w:val="left" w:leader="none"/>
          <w:tab w:pos="7039" w:val="left" w:leader="none"/>
          <w:tab w:pos="8501" w:val="left" w:leader="none"/>
        </w:tabs>
        <w:spacing w:line="367" w:lineRule="auto" w:before="44"/>
        <w:ind w:left="700" w:right="830" w:firstLine="639"/>
        <w:jc w:val="left"/>
        <w:rPr>
          <w:rFonts w:ascii="宋体" w:hAnsi="宋体" w:cs="宋体" w:eastAsia="宋体" w:hint="default"/>
          <w:sz w:val="18"/>
          <w:szCs w:val="18"/>
        </w:rPr>
      </w:pPr>
      <w:r>
        <w:rPr/>
        <w:pict>
          <v:group style="position:absolute;margin-left:57.48pt;margin-top:14.00204pt;width:153pt;height:.1pt;mso-position-horizontal-relative:page;mso-position-vertical-relative:paragraph;z-index:-420232" coordorigin="1150,280" coordsize="3060,2">
            <v:shape style="position:absolute;left:1150;top:280;width:3060;height:2" coordorigin="1150,280" coordsize="3060,0" path="m1150,280l4210,280e" filled="false" stroked="true" strokeweight=".41992pt" strokecolor="#000000">
              <v:path arrowok="t"/>
            </v:shape>
            <w10:wrap type="none"/>
          </v:group>
        </w:pict>
      </w:r>
      <w:r>
        <w:rPr/>
        <w:pict>
          <v:group style="position:absolute;margin-left:252.479996pt;margin-top:14.33198pt;width:50.3pt;height:.1pt;mso-position-horizontal-relative:page;mso-position-vertical-relative:paragraph;z-index:-420208" coordorigin="5050,287" coordsize="1006,2">
            <v:shape style="position:absolute;left:5050;top:287;width:1006;height:2" coordorigin="5050,287" coordsize="1006,0" path="m5050,287l6055,287e" filled="false" stroked="true" strokeweight=".48004pt" strokecolor="#000000">
              <v:path arrowok="t"/>
            </v:shape>
            <w10:wrap type="none"/>
          </v:group>
        </w:pict>
      </w:r>
      <w:r>
        <w:rPr/>
        <w:pict>
          <v:group style="position:absolute;margin-left:321.119995pt;margin-top:14.332pt;width:52.6pt;height:.1pt;mso-position-horizontal-relative:page;mso-position-vertical-relative:paragraph;z-index:-420184" coordorigin="6422,287" coordsize="1052,2">
            <v:shape style="position:absolute;left:6422;top:287;width:1052;height:2" coordorigin="6422,287" coordsize="1052,0" path="m6422,287l7474,287e" filled="false" stroked="true" strokeweight=".48pt" strokecolor="#000000">
              <v:path arrowok="t"/>
            </v:shape>
            <w10:wrap type="none"/>
          </v:group>
        </w:pict>
      </w:r>
      <w:r>
        <w:rPr/>
        <w:pict>
          <v:group style="position:absolute;margin-left:391.980011pt;margin-top:14.33198pt;width:52.6pt;height:.1pt;mso-position-horizontal-relative:page;mso-position-vertical-relative:paragraph;z-index:-420160" coordorigin="7840,287" coordsize="1052,2">
            <v:shape style="position:absolute;left:7840;top:287;width:1052;height:2" coordorigin="7840,287" coordsize="1052,0" path="m7840,287l8891,287e" filled="false" stroked="true" strokeweight=".48004pt" strokecolor="#000000">
              <v:path arrowok="t"/>
            </v:shape>
            <w10:wrap type="none"/>
          </v:group>
        </w:pict>
      </w:r>
      <w:r>
        <w:rPr/>
        <w:pict>
          <v:group style="position:absolute;margin-left:465.059998pt;margin-top:14.33198pt;width:50.35pt;height:.1pt;mso-position-horizontal-relative:page;mso-position-vertical-relative:paragraph;z-index:-420136" coordorigin="9301,287" coordsize="1007,2">
            <v:shape style="position:absolute;left:9301;top:287;width:1007;height:2" coordorigin="9301,287" coordsize="1007,0" path="m9301,287l10308,287e" filled="false" stroked="true" strokeweight=".48004pt" strokecolor="#000000">
              <v:path arrowok="t"/>
            </v:shape>
            <w10:wrap type="none"/>
          </v:group>
        </w:pict>
      </w:r>
      <w:r>
        <w:rPr>
          <w:rFonts w:ascii="宋体" w:hAnsi="宋体" w:cs="宋体" w:eastAsia="宋体" w:hint="default"/>
          <w:sz w:val="18"/>
          <w:szCs w:val="18"/>
        </w:rPr>
        <w:t>公司名称</w:t>
        <w:tab/>
        <w:t>年初数</w:t>
        <w:tab/>
        <w:t>本年增加</w:t>
        <w:tab/>
        <w:t>本年减少</w:t>
        <w:tab/>
        <w:t>年末数 深圳市恒顺昌投资发展有限公司</w:t>
        <w:tab/>
        <w:t>1,000</w:t>
        <w:tab/>
        <w:tab/>
        <w:tab/>
        <w:t>1,000</w:t>
      </w:r>
    </w:p>
    <w:p>
      <w:pPr>
        <w:pStyle w:val="BodyText"/>
        <w:spacing w:line="259" w:lineRule="exact" w:before="0"/>
        <w:ind w:left="694" w:right="0"/>
        <w:jc w:val="left"/>
      </w:pPr>
      <w:r>
        <w:rPr>
          <w:rFonts w:ascii="Times New Roman" w:hAnsi="Times New Roman" w:cs="Times New Roman" w:eastAsia="Times New Roman" w:hint="default"/>
        </w:rPr>
        <w:t>3.</w:t>
      </w:r>
      <w:r>
        <w:rPr/>
        <w:t>存在控制关系的关联方所持股份及其变化（金额单位：万元）</w:t>
      </w:r>
    </w:p>
    <w:p>
      <w:pPr>
        <w:tabs>
          <w:tab w:pos="3771" w:val="left" w:leader="none"/>
          <w:tab w:pos="4581" w:val="left" w:leader="none"/>
          <w:tab w:pos="5105" w:val="left" w:leader="none"/>
          <w:tab w:pos="5375" w:val="left" w:leader="none"/>
          <w:tab w:pos="6469" w:val="left" w:leader="none"/>
          <w:tab w:pos="6829" w:val="left" w:leader="none"/>
          <w:tab w:pos="7909" w:val="left" w:leader="none"/>
          <w:tab w:pos="8161" w:val="left" w:leader="none"/>
          <w:tab w:pos="8611" w:val="left" w:leader="none"/>
          <w:tab w:pos="9511" w:val="left" w:leader="none"/>
        </w:tabs>
        <w:spacing w:line="215" w:lineRule="exact" w:before="69"/>
        <w:ind w:left="350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本年增加</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本年减少</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r>
    </w:p>
    <w:p>
      <w:pPr>
        <w:spacing w:after="0" w:line="215" w:lineRule="exact"/>
        <w:jc w:val="left"/>
        <w:rPr>
          <w:rFonts w:ascii="宋体" w:hAnsi="宋体" w:cs="宋体" w:eastAsia="宋体" w:hint="default"/>
          <w:sz w:val="18"/>
          <w:szCs w:val="18"/>
        </w:rPr>
        <w:sectPr>
          <w:pgSz w:w="11910" w:h="16840"/>
          <w:pgMar w:header="747" w:footer="1339" w:top="980" w:bottom="1520" w:left="980" w:right="980"/>
        </w:sectPr>
      </w:pPr>
    </w:p>
    <w:p>
      <w:pPr>
        <w:spacing w:line="180" w:lineRule="exact" w:before="0"/>
        <w:ind w:left="1249" w:right="-20" w:firstLine="0"/>
        <w:jc w:val="left"/>
        <w:rPr>
          <w:rFonts w:ascii="宋体" w:hAnsi="宋体" w:cs="宋体" w:eastAsia="宋体" w:hint="default"/>
          <w:sz w:val="18"/>
          <w:szCs w:val="18"/>
        </w:rPr>
      </w:pPr>
      <w:r>
        <w:rPr/>
        <w:pict>
          <v:group style="position:absolute;margin-left:57.48pt;margin-top:9.024355pt;width:139.5pt;height:.1pt;mso-position-horizontal-relative:page;mso-position-vertical-relative:paragraph;z-index:2488" coordorigin="1150,180" coordsize="2790,2">
            <v:shape style="position:absolute;left:1150;top:180;width:2790;height:2" coordorigin="1150,180" coordsize="2790,0" path="m1150,180l3940,180e" filled="false" stroked="true" strokeweight=".42004pt" strokecolor="#000000">
              <v:path arrowok="t"/>
            </v:shape>
            <w10:wrap type="none"/>
          </v:group>
        </w:pict>
      </w:r>
      <w:r>
        <w:rPr>
          <w:rFonts w:ascii="宋体" w:hAnsi="宋体" w:cs="宋体" w:eastAsia="宋体" w:hint="default"/>
          <w:sz w:val="18"/>
          <w:szCs w:val="18"/>
        </w:rPr>
        <w:t>企业名称</w:t>
      </w:r>
    </w:p>
    <w:p>
      <w:pPr>
        <w:tabs>
          <w:tab w:pos="2724" w:val="left" w:leader="none"/>
          <w:tab w:pos="4248" w:val="left" w:leader="none"/>
          <w:tab w:pos="5985" w:val="left" w:leader="none"/>
        </w:tabs>
        <w:spacing w:before="104"/>
        <w:ind w:left="124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cols w:num="2" w:equalWidth="0">
            <w:col w:w="1970" w:space="386"/>
            <w:col w:w="7594"/>
          </w:cols>
        </w:sectPr>
      </w:pPr>
    </w:p>
    <w:p>
      <w:pPr>
        <w:tabs>
          <w:tab w:pos="3560" w:val="left" w:leader="none"/>
          <w:tab w:pos="4371" w:val="left" w:leader="none"/>
          <w:tab w:pos="7359" w:val="left" w:leader="none"/>
          <w:tab w:pos="8295" w:val="left" w:leader="none"/>
          <w:tab w:pos="9141" w:val="left" w:leader="none"/>
        </w:tabs>
        <w:spacing w:before="85"/>
        <w:ind w:left="474" w:right="0" w:firstLine="0"/>
        <w:jc w:val="left"/>
        <w:rPr>
          <w:rFonts w:ascii="宋体" w:hAnsi="宋体" w:cs="宋体" w:eastAsia="宋体" w:hint="default"/>
          <w:sz w:val="18"/>
          <w:szCs w:val="18"/>
        </w:rPr>
      </w:pPr>
      <w:r>
        <w:rPr>
          <w:rFonts w:ascii="宋体" w:hAnsi="宋体" w:cs="宋体" w:eastAsia="宋体" w:hint="default"/>
          <w:sz w:val="18"/>
          <w:szCs w:val="18"/>
        </w:rPr>
        <w:t>深圳市恒顺昌投资发展有限公司</w:t>
        <w:tab/>
        <w:t>7,000</w:t>
        <w:tab/>
        <w:t>70%</w:t>
        <w:tab/>
        <w:t>17.53%</w:t>
        <w:tab/>
        <w:t>7,000</w:t>
        <w:tab/>
        <w:t>52.47%</w:t>
      </w:r>
    </w:p>
    <w:p>
      <w:pPr>
        <w:pStyle w:val="BodyText"/>
        <w:spacing w:line="240" w:lineRule="auto" w:before="4"/>
        <w:ind w:left="694" w:right="0"/>
        <w:jc w:val="left"/>
      </w:pPr>
      <w:r>
        <w:rPr>
          <w:rFonts w:ascii="Times New Roman" w:hAnsi="Times New Roman" w:cs="Times New Roman" w:eastAsia="Times New Roman" w:hint="default"/>
        </w:rPr>
        <w:t>4.</w:t>
      </w:r>
      <w:r>
        <w:rPr/>
        <w:t>不存在控制关系的关联方情况</w:t>
      </w:r>
    </w:p>
    <w:p>
      <w:pPr>
        <w:tabs>
          <w:tab w:pos="1519" w:val="left" w:leader="none"/>
          <w:tab w:pos="3499" w:val="left" w:leader="none"/>
          <w:tab w:pos="4581" w:val="left" w:leader="none"/>
          <w:tab w:pos="5301" w:val="left" w:leader="none"/>
          <w:tab w:pos="5875" w:val="left" w:leader="none"/>
          <w:tab w:pos="7174" w:val="left" w:leader="none"/>
        </w:tabs>
        <w:spacing w:line="314" w:lineRule="auto" w:before="148"/>
        <w:ind w:left="262" w:right="2750" w:hanging="9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单位名称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与本公司的关系</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深圳市冠德成科技发展有限公司</w:t>
        <w:tab/>
        <w:tab/>
        <w:tab/>
        <w:tab/>
        <w:t>股东</w:t>
      </w:r>
    </w:p>
    <w:p>
      <w:pPr>
        <w:tabs>
          <w:tab w:pos="4851" w:val="left" w:leader="none"/>
        </w:tabs>
        <w:spacing w:before="28"/>
        <w:ind w:left="262" w:right="0" w:firstLine="0"/>
        <w:jc w:val="left"/>
        <w:rPr>
          <w:rFonts w:ascii="宋体" w:hAnsi="宋体" w:cs="宋体" w:eastAsia="宋体" w:hint="default"/>
          <w:sz w:val="18"/>
          <w:szCs w:val="18"/>
        </w:rPr>
      </w:pPr>
      <w:r>
        <w:rPr>
          <w:rFonts w:ascii="宋体" w:hAnsi="宋体" w:cs="宋体" w:eastAsia="宋体" w:hint="default"/>
          <w:sz w:val="18"/>
          <w:szCs w:val="18"/>
        </w:rPr>
        <w:t>百华科技发展有限公司</w:t>
        <w:tab/>
        <w:t>同受实际控制人控制的公司</w:t>
      </w:r>
    </w:p>
    <w:p>
      <w:pPr>
        <w:pStyle w:val="BodyText"/>
        <w:spacing w:line="319" w:lineRule="auto" w:before="110"/>
        <w:ind w:left="69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关联方交易</w:t>
      </w:r>
      <w:r>
        <w:rPr>
          <w:spacing w:val="-1"/>
          <w:w w:val="99"/>
        </w:rPr>
        <w:t> </w:t>
      </w:r>
      <w:r>
        <w:rPr>
          <w:rFonts w:ascii="Times New Roman" w:hAnsi="Times New Roman" w:cs="Times New Roman" w:eastAsia="Times New Roman" w:hint="default"/>
        </w:rPr>
        <w:t>1.</w:t>
      </w:r>
      <w:r>
        <w:rPr/>
        <w:t>存在控制关系且已纳入本公司合并会计报表范围的子公司，其相互间交易及母子公司</w:t>
      </w:r>
    </w:p>
    <w:p>
      <w:pPr>
        <w:pStyle w:val="BodyText"/>
        <w:spacing w:line="240" w:lineRule="auto" w:before="19"/>
        <w:ind w:right="0"/>
        <w:jc w:val="left"/>
      </w:pPr>
      <w:r>
        <w:rPr/>
        <w:t>交易已作抵销。</w:t>
      </w:r>
    </w:p>
    <w:p>
      <w:pPr>
        <w:pStyle w:val="BodyText"/>
        <w:spacing w:line="326" w:lineRule="auto" w:before="126"/>
        <w:ind w:left="693" w:right="5151"/>
        <w:jc w:val="left"/>
      </w:pPr>
      <w:r>
        <w:rPr>
          <w:rFonts w:ascii="Times New Roman" w:hAnsi="Times New Roman" w:cs="Times New Roman" w:eastAsia="Times New Roman" w:hint="default"/>
        </w:rPr>
        <w:t>2.</w:t>
      </w:r>
      <w:r>
        <w:rPr/>
        <w:t>关联交易定价原则 按订单约定的价格作为双方交易价格。 </w:t>
      </w:r>
      <w:r>
        <w:rPr>
          <w:rFonts w:ascii="Times New Roman" w:hAnsi="Times New Roman" w:cs="Times New Roman" w:eastAsia="Times New Roman" w:hint="default"/>
        </w:rPr>
        <w:t>3.</w:t>
      </w:r>
      <w:r>
        <w:rPr/>
        <w:t>关联方代理采购</w:t>
      </w:r>
    </w:p>
    <w:p>
      <w:pPr>
        <w:pStyle w:val="BodyText"/>
        <w:spacing w:line="240" w:lineRule="auto" w:before="12"/>
        <w:ind w:left="693" w:right="0"/>
        <w:jc w:val="left"/>
      </w:pPr>
      <w:r>
        <w:rPr>
          <w:rFonts w:ascii="Times New Roman" w:hAnsi="Times New Roman" w:cs="Times New Roman" w:eastAsia="Times New Roman" w:hint="default"/>
        </w:rPr>
        <w:t>(1)</w:t>
      </w:r>
      <w:r>
        <w:rPr/>
        <w:t>代理采购原材料</w:t>
      </w:r>
    </w:p>
    <w:p>
      <w:pPr>
        <w:tabs>
          <w:tab w:pos="4440" w:val="left" w:leader="none"/>
          <w:tab w:pos="5976" w:val="left" w:leader="none"/>
          <w:tab w:pos="7310" w:val="left" w:leader="none"/>
          <w:tab w:pos="8886" w:val="left" w:leader="none"/>
        </w:tabs>
        <w:spacing w:before="184"/>
        <w:ind w:left="31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本年金额</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上年金额</w:t>
        <w:tab/>
      </w:r>
      <w:r>
        <w:rPr>
          <w:rFonts w:ascii="宋体" w:hAnsi="宋体" w:cs="宋体" w:eastAsia="宋体" w:hint="default"/>
          <w:sz w:val="18"/>
          <w:szCs w:val="18"/>
        </w:rPr>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980" w:bottom="1520" w:left="980" w:right="980"/>
        </w:sectPr>
      </w:pPr>
    </w:p>
    <w:p>
      <w:pPr>
        <w:tabs>
          <w:tab w:pos="1609" w:val="left" w:leader="none"/>
          <w:tab w:pos="3015" w:val="left" w:leader="none"/>
        </w:tabs>
        <w:spacing w:before="44"/>
        <w:ind w:left="34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企业名称</w:t>
        <w:tab/>
      </w:r>
      <w:r>
        <w:rPr>
          <w:rFonts w:ascii="宋体" w:hAnsi="宋体" w:cs="宋体" w:eastAsia="宋体" w:hint="default"/>
          <w:sz w:val="18"/>
          <w:szCs w:val="18"/>
        </w:rPr>
      </w:r>
    </w:p>
    <w:p>
      <w:pPr>
        <w:spacing w:line="240" w:lineRule="auto" w:before="5"/>
        <w:rPr>
          <w:rFonts w:ascii="宋体" w:hAnsi="宋体" w:cs="宋体" w:eastAsia="宋体" w:hint="default"/>
          <w:sz w:val="23"/>
          <w:szCs w:val="23"/>
        </w:rPr>
      </w:pPr>
      <w:r>
        <w:rPr/>
        <w:br w:type="column"/>
      </w:r>
      <w:r>
        <w:rPr>
          <w:rFonts w:ascii="宋体"/>
          <w:sz w:val="23"/>
        </w:rPr>
      </w:r>
    </w:p>
    <w:p>
      <w:pPr>
        <w:spacing w:before="0"/>
        <w:ind w:left="12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326" w:lineRule="auto" w:before="146"/>
        <w:ind w:left="80" w:right="-20" w:firstLine="78"/>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z w:val="18"/>
          <w:szCs w:val="18"/>
          <w:u w:val="single" w:color="000000"/>
        </w:rPr>
        <w:t>类交易百分比（％）</w:t>
      </w:r>
      <w:r>
        <w:rPr>
          <w:rFonts w:ascii="宋体" w:hAnsi="宋体" w:cs="宋体" w:eastAsia="宋体" w:hint="default"/>
          <w:sz w:val="18"/>
          <w:szCs w:val="18"/>
        </w:rPr>
      </w:r>
    </w:p>
    <w:p>
      <w:pPr>
        <w:spacing w:line="240" w:lineRule="auto" w:before="5"/>
        <w:rPr>
          <w:rFonts w:ascii="宋体" w:hAnsi="宋体" w:cs="宋体" w:eastAsia="宋体" w:hint="default"/>
          <w:sz w:val="23"/>
          <w:szCs w:val="23"/>
        </w:rPr>
      </w:pPr>
      <w:r>
        <w:rPr/>
        <w:br w:type="column"/>
      </w:r>
      <w:r>
        <w:rPr>
          <w:rFonts w:ascii="宋体"/>
          <w:sz w:val="23"/>
        </w:rPr>
      </w:r>
    </w:p>
    <w:p>
      <w:pPr>
        <w:spacing w:before="0"/>
        <w:ind w:left="100"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326" w:lineRule="auto" w:before="146"/>
        <w:ind w:left="109" w:right="952" w:firstLine="37"/>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pacing w:val="-2"/>
          <w:sz w:val="18"/>
          <w:szCs w:val="18"/>
          <w:u w:val="single" w:color="000000"/>
        </w:rPr>
        <w:t>类交易百分比（％）</w:t>
      </w:r>
      <w:r>
        <w:rPr>
          <w:rFonts w:ascii="宋体" w:hAnsi="宋体" w:cs="宋体" w:eastAsia="宋体" w:hint="default"/>
          <w:spacing w:val="-2"/>
          <w:sz w:val="18"/>
          <w:szCs w:val="18"/>
        </w:rPr>
      </w:r>
    </w:p>
    <w:p>
      <w:pPr>
        <w:spacing w:after="0" w:line="326" w:lineRule="auto"/>
        <w:jc w:val="left"/>
        <w:rPr>
          <w:rFonts w:ascii="宋体" w:hAnsi="宋体" w:cs="宋体" w:eastAsia="宋体" w:hint="default"/>
          <w:sz w:val="18"/>
          <w:szCs w:val="18"/>
        </w:rPr>
        <w:sectPr>
          <w:type w:val="continuous"/>
          <w:pgSz w:w="11910" w:h="16840"/>
          <w:pgMar w:top="980" w:bottom="1520" w:left="980" w:right="980"/>
          <w:cols w:num="5" w:equalWidth="0">
            <w:col w:w="3016" w:space="40"/>
            <w:col w:w="1205" w:space="40"/>
            <w:col w:w="1701" w:space="40"/>
            <w:col w:w="1181" w:space="40"/>
            <w:col w:w="2687"/>
          </w:cols>
        </w:sectPr>
      </w:pPr>
    </w:p>
    <w:p>
      <w:pPr>
        <w:tabs>
          <w:tab w:pos="6313" w:val="left" w:leader="none"/>
          <w:tab w:pos="8263" w:val="right" w:leader="none"/>
        </w:tabs>
        <w:spacing w:before="82"/>
        <w:ind w:left="782" w:right="0" w:firstLine="0"/>
        <w:jc w:val="left"/>
        <w:rPr>
          <w:rFonts w:ascii="宋体" w:hAnsi="宋体" w:cs="宋体" w:eastAsia="宋体" w:hint="default"/>
          <w:sz w:val="18"/>
          <w:szCs w:val="18"/>
        </w:rPr>
      </w:pPr>
      <w:r>
        <w:rPr>
          <w:rFonts w:ascii="宋体" w:hAnsi="宋体" w:cs="宋体" w:eastAsia="宋体" w:hint="default"/>
          <w:sz w:val="18"/>
          <w:szCs w:val="18"/>
        </w:rPr>
        <w:t>百华科技发展有限公司</w:t>
        <w:tab/>
        <w:t>5,290.88</w:t>
      </w:r>
      <w:r>
        <w:rPr>
          <w:rFonts w:ascii="Times New Roman" w:hAnsi="Times New Roman" w:cs="Times New Roman" w:eastAsia="Times New Roman" w:hint="default"/>
          <w:sz w:val="18"/>
          <w:szCs w:val="18"/>
        </w:rPr>
        <w:tab/>
      </w:r>
      <w:r>
        <w:rPr>
          <w:rFonts w:ascii="宋体" w:hAnsi="宋体" w:cs="宋体" w:eastAsia="宋体" w:hint="default"/>
          <w:sz w:val="18"/>
          <w:szCs w:val="18"/>
        </w:rPr>
        <w:t>100</w:t>
      </w:r>
    </w:p>
    <w:p>
      <w:pPr>
        <w:spacing w:before="83"/>
        <w:ind w:left="6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代理采购固定资产</w:t>
      </w:r>
    </w:p>
    <w:p>
      <w:pPr>
        <w:tabs>
          <w:tab w:pos="4350" w:val="left" w:leader="none"/>
          <w:tab w:pos="5976" w:val="left" w:leader="none"/>
          <w:tab w:pos="7310" w:val="left" w:leader="none"/>
          <w:tab w:pos="8886" w:val="left" w:leader="none"/>
        </w:tabs>
        <w:spacing w:before="173"/>
        <w:ind w:left="31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本年金额</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上年金额</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80"/>
        </w:sectPr>
      </w:pPr>
    </w:p>
    <w:p>
      <w:pPr>
        <w:tabs>
          <w:tab w:pos="1429" w:val="left" w:leader="none"/>
          <w:tab w:pos="3015" w:val="left" w:leader="none"/>
        </w:tabs>
        <w:spacing w:before="147"/>
        <w:ind w:left="34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企业名称</w:t>
        <w:tab/>
      </w:r>
      <w:r>
        <w:rPr>
          <w:rFonts w:ascii="宋体" w:hAnsi="宋体" w:cs="宋体" w:eastAsia="宋体" w:hint="default"/>
          <w:sz w:val="18"/>
          <w:szCs w:val="18"/>
        </w:rPr>
      </w:r>
    </w:p>
    <w:p>
      <w:pPr>
        <w:spacing w:before="410"/>
        <w:ind w:left="12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326" w:lineRule="auto" w:before="250"/>
        <w:ind w:left="80" w:right="-20" w:firstLine="78"/>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z w:val="18"/>
          <w:szCs w:val="18"/>
          <w:u w:val="single" w:color="000000"/>
        </w:rPr>
        <w:t>类交易百分比（％）</w:t>
      </w:r>
      <w:r>
        <w:rPr>
          <w:rFonts w:ascii="宋体" w:hAnsi="宋体" w:cs="宋体" w:eastAsia="宋体" w:hint="default"/>
          <w:sz w:val="18"/>
          <w:szCs w:val="18"/>
        </w:rPr>
      </w:r>
    </w:p>
    <w:p>
      <w:pPr>
        <w:spacing w:before="410"/>
        <w:ind w:left="1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326" w:lineRule="auto" w:before="250"/>
        <w:ind w:left="109" w:right="952" w:firstLine="37"/>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pacing w:val="-2"/>
          <w:sz w:val="18"/>
          <w:szCs w:val="18"/>
          <w:u w:val="single" w:color="000000"/>
        </w:rPr>
        <w:t>类交易百分比（％）</w:t>
      </w:r>
      <w:r>
        <w:rPr>
          <w:rFonts w:ascii="宋体" w:hAnsi="宋体" w:cs="宋体" w:eastAsia="宋体" w:hint="default"/>
          <w:spacing w:val="-2"/>
          <w:sz w:val="18"/>
          <w:szCs w:val="18"/>
        </w:rPr>
      </w:r>
    </w:p>
    <w:p>
      <w:pPr>
        <w:spacing w:after="0" w:line="326" w:lineRule="auto"/>
        <w:jc w:val="left"/>
        <w:rPr>
          <w:rFonts w:ascii="宋体" w:hAnsi="宋体" w:cs="宋体" w:eastAsia="宋体" w:hint="default"/>
          <w:sz w:val="18"/>
          <w:szCs w:val="18"/>
        </w:rPr>
        <w:sectPr>
          <w:type w:val="continuous"/>
          <w:pgSz w:w="11910" w:h="16840"/>
          <w:pgMar w:top="980" w:bottom="1520" w:left="980" w:right="980"/>
          <w:cols w:num="5" w:equalWidth="0">
            <w:col w:w="3016" w:space="40"/>
            <w:col w:w="1205" w:space="40"/>
            <w:col w:w="1701" w:space="40"/>
            <w:col w:w="1181" w:space="40"/>
            <w:col w:w="2687"/>
          </w:cols>
        </w:sectPr>
      </w:pPr>
    </w:p>
    <w:p>
      <w:pPr>
        <w:tabs>
          <w:tab w:pos="6313" w:val="left" w:leader="none"/>
          <w:tab w:pos="8263" w:val="right" w:leader="none"/>
        </w:tabs>
        <w:spacing w:before="82"/>
        <w:ind w:left="782" w:right="0" w:firstLine="0"/>
        <w:jc w:val="left"/>
        <w:rPr>
          <w:rFonts w:ascii="宋体" w:hAnsi="宋体" w:cs="宋体" w:eastAsia="宋体" w:hint="default"/>
          <w:sz w:val="18"/>
          <w:szCs w:val="18"/>
        </w:rPr>
      </w:pPr>
      <w:r>
        <w:rPr>
          <w:rFonts w:ascii="宋体" w:hAnsi="宋体" w:cs="宋体" w:eastAsia="宋体" w:hint="default"/>
          <w:sz w:val="18"/>
          <w:szCs w:val="18"/>
        </w:rPr>
        <w:t>百华科技发展有限公司</w:t>
        <w:tab/>
        <w:t>2,114.32</w:t>
      </w:r>
      <w:r>
        <w:rPr>
          <w:rFonts w:ascii="Times New Roman" w:hAnsi="Times New Roman" w:cs="Times New Roman" w:eastAsia="Times New Roman" w:hint="default"/>
          <w:sz w:val="18"/>
          <w:szCs w:val="18"/>
        </w:rPr>
        <w:tab/>
      </w:r>
      <w:r>
        <w:rPr>
          <w:rFonts w:ascii="宋体" w:hAnsi="宋体" w:cs="宋体" w:eastAsia="宋体" w:hint="default"/>
          <w:sz w:val="18"/>
          <w:szCs w:val="18"/>
        </w:rPr>
        <w:t>100</w:t>
      </w:r>
    </w:p>
    <w:p>
      <w:pPr>
        <w:pStyle w:val="BodyText"/>
        <w:spacing w:line="336" w:lineRule="auto" w:before="110"/>
        <w:ind w:right="148" w:firstLine="540"/>
        <w:jc w:val="both"/>
      </w:pPr>
      <w:r>
        <w:rPr>
          <w:spacing w:val="-1"/>
        </w:rPr>
        <w:t>注：本公司与百华科技发展有限公司之间为代理采购，百华科技发展有限公司未收取手</w:t>
      </w:r>
      <w:r>
        <w:rPr/>
        <w:t> 续费。本公司与国外供应商直接洽谈，约定采购货物的品种、规格型号、数量、价格、交货</w:t>
      </w:r>
      <w:r>
        <w:rPr>
          <w:spacing w:val="-83"/>
        </w:rPr>
        <w:t> </w:t>
      </w:r>
      <w:r>
        <w:rPr>
          <w:spacing w:val="-83"/>
        </w:rPr>
      </w:r>
      <w:r>
        <w:rPr/>
        <w:t>期、结算方式等，与供应商直接签订采购合同，国外供应商货款由百华科技发展有限公司先</w:t>
      </w:r>
      <w:r>
        <w:rPr>
          <w:spacing w:val="-83"/>
        </w:rPr>
        <w:t> </w:t>
      </w:r>
      <w:r>
        <w:rPr>
          <w:spacing w:val="-83"/>
        </w:rPr>
      </w:r>
      <w:r>
        <w:rPr/>
        <w:t>支付。在原材料或固定资产集中统一报关进口后，本公司再将货款依据国家外汇管理的相关</w:t>
      </w:r>
      <w:r>
        <w:rPr>
          <w:spacing w:val="-83"/>
        </w:rPr>
        <w:t> </w:t>
      </w:r>
      <w:r>
        <w:rPr>
          <w:spacing w:val="-83"/>
        </w:rPr>
      </w:r>
      <w:r>
        <w:rPr/>
        <w:t>规定，支付给百华科技发展有限公司。</w:t>
      </w:r>
    </w:p>
    <w:p>
      <w:pPr>
        <w:pStyle w:val="BodyText"/>
        <w:spacing w:line="319" w:lineRule="auto"/>
        <w:ind w:left="694" w:right="5930"/>
        <w:jc w:val="left"/>
      </w:pPr>
      <w:r>
        <w:rPr>
          <w:rFonts w:ascii="Times New Roman" w:hAnsi="Times New Roman" w:cs="Times New Roman" w:eastAsia="Times New Roman" w:hint="default"/>
        </w:rPr>
        <w:t>4.</w:t>
      </w:r>
      <w:r>
        <w:rPr/>
        <w:t>向关联方采购货物及接受劳务 交易规模</w:t>
      </w:r>
    </w:p>
    <w:p>
      <w:pPr>
        <w:tabs>
          <w:tab w:pos="1079" w:val="left" w:leader="none"/>
          <w:tab w:pos="2666" w:val="left" w:leader="none"/>
          <w:tab w:pos="4090" w:val="left" w:leader="none"/>
          <w:tab w:pos="5626" w:val="left" w:leader="none"/>
          <w:tab w:pos="6961" w:val="left" w:leader="none"/>
          <w:tab w:pos="8536" w:val="left" w:leader="none"/>
        </w:tabs>
        <w:spacing w:before="111"/>
        <w:ind w:left="0" w:right="706"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企业名称</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本年金额</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上年金额</w:t>
        <w:tab/>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980" w:bottom="152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1339" w:top="980" w:bottom="1520" w:left="980" w:right="900"/>
        </w:sectPr>
      </w:pPr>
    </w:p>
    <w:p>
      <w:pPr>
        <w:spacing w:line="240" w:lineRule="auto" w:before="2"/>
        <w:rPr>
          <w:rFonts w:ascii="宋体" w:hAnsi="宋体" w:cs="宋体" w:eastAsia="宋体" w:hint="default"/>
          <w:sz w:val="14"/>
          <w:szCs w:val="14"/>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285" w:lineRule="auto" w:before="44"/>
        <w:ind w:left="80" w:right="-20" w:firstLine="78"/>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z w:val="18"/>
          <w:szCs w:val="18"/>
          <w:u w:val="single" w:color="000000"/>
        </w:rPr>
        <w:t>类交易百分比（％）</w:t>
      </w:r>
      <w:r>
        <w:rPr>
          <w:rFonts w:ascii="宋体" w:hAnsi="宋体" w:cs="宋体" w:eastAsia="宋体" w:hint="default"/>
          <w:sz w:val="18"/>
          <w:szCs w:val="18"/>
        </w:rPr>
      </w:r>
    </w:p>
    <w:p>
      <w:pPr>
        <w:spacing w:line="240" w:lineRule="auto" w:before="2"/>
        <w:rPr>
          <w:rFonts w:ascii="宋体" w:hAnsi="宋体" w:cs="宋体" w:eastAsia="宋体" w:hint="default"/>
          <w:sz w:val="14"/>
          <w:szCs w:val="14"/>
        </w:rPr>
      </w:pPr>
      <w:r>
        <w:rPr/>
        <w:br w:type="column"/>
      </w:r>
      <w:r>
        <w:rPr>
          <w:rFonts w:ascii="宋体"/>
          <w:sz w:val="14"/>
        </w:rPr>
      </w:r>
    </w:p>
    <w:p>
      <w:pPr>
        <w:spacing w:before="0"/>
        <w:ind w:left="100"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285" w:lineRule="auto" w:before="44"/>
        <w:ind w:left="109" w:right="1032" w:firstLine="37"/>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pacing w:val="-2"/>
          <w:sz w:val="18"/>
          <w:szCs w:val="18"/>
          <w:u w:val="single" w:color="000000"/>
        </w:rPr>
        <w:t>类交易百分比（％）</w:t>
      </w:r>
      <w:r>
        <w:rPr>
          <w:rFonts w:ascii="宋体" w:hAnsi="宋体" w:cs="宋体" w:eastAsia="宋体" w:hint="default"/>
          <w:spacing w:val="-2"/>
          <w:sz w:val="18"/>
          <w:szCs w:val="18"/>
        </w:rPr>
      </w:r>
    </w:p>
    <w:p>
      <w:pPr>
        <w:spacing w:after="0" w:line="285" w:lineRule="auto"/>
        <w:jc w:val="left"/>
        <w:rPr>
          <w:rFonts w:ascii="宋体" w:hAnsi="宋体" w:cs="宋体" w:eastAsia="宋体" w:hint="default"/>
          <w:sz w:val="18"/>
          <w:szCs w:val="18"/>
        </w:rPr>
        <w:sectPr>
          <w:type w:val="continuous"/>
          <w:pgSz w:w="11910" w:h="16840"/>
          <w:pgMar w:top="980" w:bottom="1520" w:left="980" w:right="900"/>
          <w:cols w:num="4" w:equalWidth="0">
            <w:col w:w="4261" w:space="40"/>
            <w:col w:w="1701" w:space="40"/>
            <w:col w:w="1181" w:space="40"/>
            <w:col w:w="2767"/>
          </w:cols>
        </w:sectPr>
      </w:pPr>
    </w:p>
    <w:p>
      <w:pPr>
        <w:tabs>
          <w:tab w:pos="6403" w:val="left" w:leader="none"/>
          <w:tab w:pos="8307" w:val="right" w:leader="none"/>
        </w:tabs>
        <w:spacing w:before="95"/>
        <w:ind w:left="422" w:right="0" w:firstLine="0"/>
        <w:jc w:val="left"/>
        <w:rPr>
          <w:rFonts w:ascii="宋体" w:hAnsi="宋体" w:cs="宋体" w:eastAsia="宋体" w:hint="default"/>
          <w:sz w:val="18"/>
          <w:szCs w:val="18"/>
        </w:rPr>
      </w:pPr>
      <w:r>
        <w:rPr>
          <w:rFonts w:ascii="宋体" w:hAnsi="宋体" w:cs="宋体" w:eastAsia="宋体" w:hint="default"/>
          <w:sz w:val="18"/>
          <w:szCs w:val="18"/>
        </w:rPr>
        <w:t>深圳市实益达数码科技有限公司</w:t>
        <w:tab/>
        <w:t>105.46</w:t>
      </w:r>
      <w:r>
        <w:rPr>
          <w:rFonts w:ascii="Times New Roman" w:hAnsi="Times New Roman" w:cs="Times New Roman" w:eastAsia="Times New Roman" w:hint="default"/>
          <w:sz w:val="18"/>
          <w:szCs w:val="18"/>
        </w:rPr>
        <w:tab/>
      </w:r>
      <w:r>
        <w:rPr>
          <w:rFonts w:ascii="宋体" w:hAnsi="宋体" w:cs="宋体" w:eastAsia="宋体" w:hint="default"/>
          <w:sz w:val="18"/>
          <w:szCs w:val="18"/>
        </w:rPr>
        <w:t>0.25</w:t>
      </w:r>
    </w:p>
    <w:p>
      <w:pPr>
        <w:pStyle w:val="BodyText"/>
        <w:spacing w:line="240" w:lineRule="auto" w:before="110"/>
        <w:ind w:left="694" w:right="212"/>
        <w:jc w:val="left"/>
      </w:pPr>
      <w:r>
        <w:rPr/>
        <w:t>定价政策：按订单约定的价格作为双方交易价格。</w:t>
      </w:r>
    </w:p>
    <w:p>
      <w:pPr>
        <w:pStyle w:val="BodyText"/>
        <w:spacing w:line="319" w:lineRule="auto" w:before="125"/>
        <w:ind w:left="694" w:right="6730"/>
        <w:jc w:val="left"/>
      </w:pPr>
      <w:r>
        <w:rPr>
          <w:rFonts w:ascii="Times New Roman" w:hAnsi="Times New Roman" w:cs="Times New Roman" w:eastAsia="Times New Roman" w:hint="default"/>
        </w:rPr>
        <w:t>5.</w:t>
      </w:r>
      <w:r>
        <w:rPr/>
        <w:t>向关联方采购固定资产 交易规模</w:t>
      </w:r>
    </w:p>
    <w:p>
      <w:pPr>
        <w:tabs>
          <w:tab w:pos="4350" w:val="left" w:leader="none"/>
          <w:tab w:pos="5976" w:val="left" w:leader="none"/>
          <w:tab w:pos="7310" w:val="left" w:leader="none"/>
          <w:tab w:pos="8886" w:val="left" w:leader="none"/>
        </w:tabs>
        <w:spacing w:line="226" w:lineRule="exact" w:before="0"/>
        <w:ind w:left="3180"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本年金额</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上年金额</w:t>
        <w:tab/>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980" w:bottom="1520" w:left="980" w:right="900"/>
        </w:sectPr>
      </w:pPr>
    </w:p>
    <w:p>
      <w:pPr>
        <w:tabs>
          <w:tab w:pos="1519" w:val="left" w:leader="none"/>
          <w:tab w:pos="3015" w:val="left" w:leader="none"/>
        </w:tabs>
        <w:spacing w:before="74"/>
        <w:ind w:left="34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企业名称</w:t>
        <w:tab/>
      </w:r>
      <w:r>
        <w:rPr>
          <w:rFonts w:ascii="宋体" w:hAnsi="宋体" w:cs="宋体" w:eastAsia="宋体" w:hint="default"/>
          <w:sz w:val="18"/>
          <w:szCs w:val="18"/>
        </w:rPr>
      </w:r>
    </w:p>
    <w:p>
      <w:pPr>
        <w:spacing w:before="213"/>
        <w:ind w:left="12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285" w:lineRule="auto" w:before="73"/>
        <w:ind w:left="80" w:right="-20" w:firstLine="78"/>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z w:val="18"/>
          <w:szCs w:val="18"/>
          <w:u w:val="single" w:color="000000"/>
        </w:rPr>
        <w:t>类交易百分比（％）</w:t>
      </w:r>
      <w:r>
        <w:rPr>
          <w:rFonts w:ascii="宋体" w:hAnsi="宋体" w:cs="宋体" w:eastAsia="宋体" w:hint="default"/>
          <w:sz w:val="18"/>
          <w:szCs w:val="18"/>
        </w:rPr>
      </w:r>
    </w:p>
    <w:p>
      <w:pPr>
        <w:spacing w:before="213"/>
        <w:ind w:left="1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285" w:lineRule="auto" w:before="73"/>
        <w:ind w:left="109" w:right="1032" w:firstLine="37"/>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pacing w:val="-2"/>
          <w:sz w:val="18"/>
          <w:szCs w:val="18"/>
          <w:u w:val="single" w:color="000000"/>
        </w:rPr>
        <w:t>类交易百分比（％）</w:t>
      </w:r>
      <w:r>
        <w:rPr>
          <w:rFonts w:ascii="宋体" w:hAnsi="宋体" w:cs="宋体" w:eastAsia="宋体" w:hint="default"/>
          <w:spacing w:val="-2"/>
          <w:sz w:val="18"/>
          <w:szCs w:val="18"/>
        </w:rPr>
      </w:r>
    </w:p>
    <w:p>
      <w:pPr>
        <w:spacing w:after="0" w:line="285" w:lineRule="auto"/>
        <w:jc w:val="left"/>
        <w:rPr>
          <w:rFonts w:ascii="宋体" w:hAnsi="宋体" w:cs="宋体" w:eastAsia="宋体" w:hint="default"/>
          <w:sz w:val="18"/>
          <w:szCs w:val="18"/>
        </w:rPr>
        <w:sectPr>
          <w:type w:val="continuous"/>
          <w:pgSz w:w="11910" w:h="16840"/>
          <w:pgMar w:top="980" w:bottom="1520" w:left="980" w:right="900"/>
          <w:cols w:num="5" w:equalWidth="0">
            <w:col w:w="3016" w:space="40"/>
            <w:col w:w="1205" w:space="40"/>
            <w:col w:w="1701" w:space="40"/>
            <w:col w:w="1181" w:space="40"/>
            <w:col w:w="2767"/>
          </w:cols>
        </w:sectPr>
      </w:pPr>
    </w:p>
    <w:p>
      <w:pPr>
        <w:tabs>
          <w:tab w:pos="6447" w:val="left" w:leader="none"/>
          <w:tab w:pos="8307" w:val="right" w:leader="none"/>
        </w:tabs>
        <w:spacing w:before="163"/>
        <w:ind w:left="422" w:right="0" w:firstLine="0"/>
        <w:jc w:val="left"/>
        <w:rPr>
          <w:rFonts w:ascii="宋体" w:hAnsi="宋体" w:cs="宋体" w:eastAsia="宋体" w:hint="default"/>
          <w:sz w:val="18"/>
          <w:szCs w:val="18"/>
        </w:rPr>
      </w:pPr>
      <w:r>
        <w:rPr>
          <w:rFonts w:ascii="宋体" w:hAnsi="宋体" w:cs="宋体" w:eastAsia="宋体" w:hint="default"/>
          <w:sz w:val="18"/>
          <w:szCs w:val="18"/>
        </w:rPr>
        <w:t>深圳市实益达数码科技有限公司</w:t>
        <w:tab/>
        <w:t>29.08</w:t>
      </w:r>
      <w:r>
        <w:rPr>
          <w:rFonts w:ascii="Times New Roman" w:hAnsi="Times New Roman" w:cs="Times New Roman" w:eastAsia="Times New Roman" w:hint="default"/>
          <w:sz w:val="18"/>
          <w:szCs w:val="18"/>
        </w:rPr>
        <w:tab/>
      </w:r>
      <w:r>
        <w:rPr>
          <w:rFonts w:ascii="宋体" w:hAnsi="宋体" w:cs="宋体" w:eastAsia="宋体" w:hint="default"/>
          <w:sz w:val="18"/>
          <w:szCs w:val="18"/>
        </w:rPr>
        <w:t>0.97</w:t>
      </w:r>
    </w:p>
    <w:p>
      <w:pPr>
        <w:pStyle w:val="BodyText"/>
        <w:spacing w:line="320" w:lineRule="exact" w:before="27"/>
        <w:ind w:left="694" w:right="7210"/>
        <w:jc w:val="left"/>
      </w:pPr>
      <w:r>
        <w:rPr>
          <w:rFonts w:ascii="Times New Roman" w:hAnsi="Times New Roman" w:cs="Times New Roman" w:eastAsia="Times New Roman" w:hint="default"/>
        </w:rPr>
        <w:t>6.</w:t>
      </w:r>
      <w:r>
        <w:rPr/>
        <w:t>向关联方销售货物 交易规模</w:t>
      </w:r>
    </w:p>
    <w:p>
      <w:pPr>
        <w:tabs>
          <w:tab w:pos="4530" w:val="left" w:leader="none"/>
          <w:tab w:pos="5976" w:val="left" w:leader="none"/>
          <w:tab w:pos="7310" w:val="left" w:leader="none"/>
          <w:tab w:pos="8886" w:val="left" w:leader="none"/>
        </w:tabs>
        <w:spacing w:before="199"/>
        <w:ind w:left="3180"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本年金额</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上年金额</w:t>
        <w:tab/>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00"/>
        </w:sectPr>
      </w:pPr>
    </w:p>
    <w:p>
      <w:pPr>
        <w:tabs>
          <w:tab w:pos="1609" w:val="left" w:leader="none"/>
          <w:tab w:pos="3015" w:val="left" w:leader="none"/>
        </w:tabs>
        <w:spacing w:before="164"/>
        <w:ind w:left="34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企业名称</w:t>
        <w:tab/>
      </w:r>
      <w:r>
        <w:rPr>
          <w:rFonts w:ascii="宋体" w:hAnsi="宋体" w:cs="宋体" w:eastAsia="宋体" w:hint="default"/>
          <w:sz w:val="18"/>
          <w:szCs w:val="18"/>
        </w:rPr>
      </w:r>
    </w:p>
    <w:p>
      <w:pPr>
        <w:spacing w:before="427"/>
        <w:ind w:left="12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408" w:lineRule="auto" w:before="226"/>
        <w:ind w:left="80" w:right="-20" w:firstLine="78"/>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z w:val="18"/>
          <w:szCs w:val="18"/>
          <w:u w:val="single" w:color="000000"/>
        </w:rPr>
        <w:t>类交易百分比（％）</w:t>
      </w:r>
      <w:r>
        <w:rPr>
          <w:rFonts w:ascii="宋体" w:hAnsi="宋体" w:cs="宋体" w:eastAsia="宋体" w:hint="default"/>
          <w:sz w:val="18"/>
          <w:szCs w:val="18"/>
        </w:rPr>
      </w:r>
    </w:p>
    <w:p>
      <w:pPr>
        <w:spacing w:before="427"/>
        <w:ind w:left="1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408" w:lineRule="auto" w:before="226"/>
        <w:ind w:left="109" w:right="1032" w:firstLine="37"/>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 </w:t>
      </w:r>
      <w:r>
        <w:rPr>
          <w:rFonts w:ascii="宋体" w:hAnsi="宋体" w:cs="宋体" w:eastAsia="宋体" w:hint="default"/>
          <w:spacing w:val="-2"/>
          <w:sz w:val="18"/>
          <w:szCs w:val="18"/>
          <w:u w:val="single" w:color="000000"/>
        </w:rPr>
        <w:t>类交易百分比（％）</w:t>
      </w:r>
      <w:r>
        <w:rPr>
          <w:rFonts w:ascii="宋体" w:hAnsi="宋体" w:cs="宋体" w:eastAsia="宋体" w:hint="default"/>
          <w:spacing w:val="-2"/>
          <w:sz w:val="18"/>
          <w:szCs w:val="18"/>
        </w:rPr>
      </w:r>
    </w:p>
    <w:p>
      <w:pPr>
        <w:spacing w:after="0" w:line="408" w:lineRule="auto"/>
        <w:jc w:val="left"/>
        <w:rPr>
          <w:rFonts w:ascii="宋体" w:hAnsi="宋体" w:cs="宋体" w:eastAsia="宋体" w:hint="default"/>
          <w:sz w:val="18"/>
          <w:szCs w:val="18"/>
        </w:rPr>
        <w:sectPr>
          <w:type w:val="continuous"/>
          <w:pgSz w:w="11910" w:h="16840"/>
          <w:pgMar w:top="980" w:bottom="1520" w:left="980" w:right="900"/>
          <w:cols w:num="5" w:equalWidth="0">
            <w:col w:w="3016" w:space="40"/>
            <w:col w:w="1205" w:space="40"/>
            <w:col w:w="1701" w:space="40"/>
            <w:col w:w="1181" w:space="40"/>
            <w:col w:w="2767"/>
          </w:cols>
        </w:sectPr>
      </w:pPr>
    </w:p>
    <w:p>
      <w:pPr>
        <w:tabs>
          <w:tab w:pos="6493" w:val="left" w:leader="none"/>
          <w:tab w:pos="7947" w:val="left" w:leader="none"/>
        </w:tabs>
        <w:spacing w:before="39"/>
        <w:ind w:left="422" w:right="212" w:firstLine="0"/>
        <w:jc w:val="left"/>
        <w:rPr>
          <w:rFonts w:ascii="宋体" w:hAnsi="宋体" w:cs="宋体" w:eastAsia="宋体" w:hint="default"/>
          <w:sz w:val="18"/>
          <w:szCs w:val="18"/>
        </w:rPr>
      </w:pPr>
      <w:r>
        <w:rPr>
          <w:rFonts w:ascii="宋体" w:hAnsi="宋体" w:cs="宋体" w:eastAsia="宋体" w:hint="default"/>
          <w:sz w:val="18"/>
          <w:szCs w:val="18"/>
        </w:rPr>
        <w:t>深圳市实益达数码科技有限公司</w:t>
        <w:tab/>
        <w:t>1.85</w:t>
      </w:r>
      <w:r>
        <w:rPr>
          <w:rFonts w:ascii="Times New Roman" w:hAnsi="Times New Roman" w:cs="Times New Roman" w:eastAsia="Times New Roman" w:hint="default"/>
          <w:sz w:val="18"/>
          <w:szCs w:val="18"/>
        </w:rPr>
        <w:tab/>
      </w:r>
      <w:r>
        <w:rPr>
          <w:rFonts w:ascii="宋体" w:hAnsi="宋体" w:cs="宋体" w:eastAsia="宋体" w:hint="default"/>
          <w:sz w:val="18"/>
          <w:szCs w:val="18"/>
        </w:rPr>
        <w:t>0.00</w:t>
      </w:r>
    </w:p>
    <w:p>
      <w:pPr>
        <w:pStyle w:val="BodyText"/>
        <w:spacing w:line="326" w:lineRule="auto" w:before="98"/>
        <w:ind w:left="694" w:right="4030"/>
        <w:jc w:val="left"/>
      </w:pPr>
      <w:r>
        <w:rPr/>
        <w:t>定价政策：按订单约定的价格作为双方交易价格。 </w:t>
      </w:r>
      <w:r>
        <w:rPr>
          <w:rFonts w:ascii="Times New Roman" w:hAnsi="Times New Roman" w:cs="Times New Roman" w:eastAsia="Times New Roman" w:hint="default"/>
        </w:rPr>
        <w:t>7.</w:t>
      </w:r>
      <w:r>
        <w:rPr/>
        <w:t>其他关联方交易事项 </w:t>
      </w:r>
      <w:r>
        <w:rPr>
          <w:rFonts w:ascii="Times New Roman" w:hAnsi="Times New Roman" w:cs="Times New Roman" w:eastAsia="Times New Roman" w:hint="default"/>
        </w:rPr>
        <w:t>(1)</w:t>
      </w:r>
      <w:r>
        <w:rPr/>
        <w:t>关联方为本公司提供担保情况</w:t>
      </w:r>
    </w:p>
    <w:p>
      <w:pPr>
        <w:pStyle w:val="BodyText"/>
        <w:spacing w:line="326" w:lineRule="auto" w:before="12"/>
        <w:ind w:right="93" w:firstLine="540"/>
        <w:jc w:val="left"/>
      </w:pPr>
      <w:r>
        <w:rPr/>
        <w:t>公司本期取得的兴业银行股份有限公司深圳南山支行综合授信额度 </w:t>
      </w:r>
      <w:r>
        <w:rPr>
          <w:rFonts w:ascii="Times New Roman" w:hAnsi="Times New Roman" w:cs="Times New Roman" w:eastAsia="Times New Roman" w:hint="default"/>
        </w:rPr>
        <w:t>1,600</w:t>
      </w:r>
      <w:r>
        <w:rPr>
          <w:rFonts w:ascii="Times New Roman" w:hAnsi="Times New Roman" w:cs="Times New Roman" w:eastAsia="Times New Roman" w:hint="default"/>
          <w:spacing w:val="-22"/>
        </w:rPr>
        <w:t> </w:t>
      </w:r>
      <w:r>
        <w:rPr/>
        <w:t>万美元，该授 </w:t>
      </w:r>
      <w:r>
        <w:rPr>
          <w:spacing w:val="-2"/>
        </w:rPr>
        <w:t>信额度的取得，其中股东深圳市冠德成科技发展有限公司、深圳市恒顺昌投资发展有限公司、</w:t>
      </w:r>
      <w:r>
        <w:rPr/>
        <w:t> 陈亚妹、乔昕提供连带保证担保，担保期限从</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日至</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日止。本</w:t>
      </w:r>
    </w:p>
    <w:p>
      <w:pPr>
        <w:pStyle w:val="BodyText"/>
        <w:spacing w:line="240" w:lineRule="auto" w:before="12"/>
        <w:ind w:left="154" w:right="92"/>
        <w:jc w:val="left"/>
      </w:pPr>
      <w:r>
        <w:rPr/>
        <w:t>期取得的招商银行股份有限公司深圳振兴支行授信额度 </w:t>
      </w:r>
      <w:r>
        <w:rPr>
          <w:rFonts w:ascii="Times New Roman" w:hAnsi="Times New Roman" w:cs="Times New Roman" w:eastAsia="Times New Roman" w:hint="default"/>
        </w:rPr>
        <w:t>600</w:t>
      </w:r>
      <w:r>
        <w:rPr>
          <w:rFonts w:ascii="Times New Roman" w:hAnsi="Times New Roman" w:cs="Times New Roman" w:eastAsia="Times New Roman" w:hint="default"/>
          <w:spacing w:val="-22"/>
        </w:rPr>
        <w:t> </w:t>
      </w:r>
      <w:r>
        <w:rPr/>
        <w:t>万美元，该授信额度的取得，其</w:t>
      </w:r>
    </w:p>
    <w:p>
      <w:pPr>
        <w:pStyle w:val="BodyText"/>
        <w:spacing w:line="240" w:lineRule="auto" w:before="108"/>
        <w:ind w:right="92"/>
        <w:jc w:val="left"/>
      </w:pPr>
      <w:r>
        <w:rPr/>
        <w:t>中股东深圳市恒顺昌投资发展有限公司提供连带保证担保，担保期限从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日至</w:t>
      </w:r>
    </w:p>
    <w:p>
      <w:pPr>
        <w:pStyle w:val="BodyText"/>
        <w:spacing w:line="331" w:lineRule="auto" w:before="107"/>
        <w:ind w:left="694" w:right="6190" w:hanging="540"/>
        <w:jc w:val="left"/>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14 </w:t>
      </w:r>
      <w:r>
        <w:rPr/>
        <w:t>日止。 八、或有事项 本公司无需披露的或有事项。 九、承诺事项</w:t>
      </w:r>
    </w:p>
    <w:p>
      <w:pPr>
        <w:pStyle w:val="BodyText"/>
        <w:spacing w:line="240" w:lineRule="auto" w:before="35"/>
        <w:ind w:left="693" w:right="21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已签订的正在履行的大额工程发包合同及财务影响</w:t>
      </w:r>
    </w:p>
    <w:p>
      <w:pPr>
        <w:pStyle w:val="BodyText"/>
        <w:spacing w:line="240" w:lineRule="auto" w:before="108"/>
        <w:ind w:left="694" w:right="92"/>
        <w:jc w:val="left"/>
      </w:pPr>
      <w:r>
        <w:rPr/>
        <w:t>公司于</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6"/>
        </w:rPr>
        <w:t> </w:t>
      </w:r>
      <w:r>
        <w:rPr/>
        <w:t>日与湛江市第一建筑工程公司签署了实益达科技园总包工程施</w:t>
      </w:r>
    </w:p>
    <w:p>
      <w:pPr>
        <w:pStyle w:val="BodyText"/>
        <w:spacing w:line="240" w:lineRule="auto" w:before="107"/>
        <w:ind w:right="92"/>
        <w:jc w:val="left"/>
      </w:pPr>
      <w:r>
        <w:rPr/>
        <w:t>工合同，工程地点为深圳市宝龙工业城。合同总价为 </w:t>
      </w:r>
      <w:r>
        <w:rPr>
          <w:rFonts w:ascii="Times New Roman" w:hAnsi="Times New Roman" w:cs="Times New Roman" w:eastAsia="Times New Roman" w:hint="default"/>
        </w:rPr>
        <w:t>6,237</w:t>
      </w:r>
      <w:r>
        <w:rPr>
          <w:rFonts w:ascii="Times New Roman" w:hAnsi="Times New Roman" w:cs="Times New Roman" w:eastAsia="Times New Roman" w:hint="default"/>
          <w:spacing w:val="38"/>
        </w:rPr>
        <w:t> </w:t>
      </w:r>
      <w:r>
        <w:rPr/>
        <w:t>万元，工程款尚未支付。工程共</w:t>
      </w:r>
    </w:p>
    <w:p>
      <w:pPr>
        <w:pStyle w:val="BodyText"/>
        <w:spacing w:line="240" w:lineRule="auto" w:before="108"/>
        <w:ind w:right="92"/>
        <w:jc w:val="left"/>
      </w:pPr>
      <w:r>
        <w:rPr/>
        <w:t>包括两栋建筑物及附属构筑，分别为厂房一栋，建筑面积为 </w:t>
      </w:r>
      <w:r>
        <w:rPr>
          <w:rFonts w:ascii="Times New Roman" w:hAnsi="Times New Roman" w:cs="Times New Roman" w:eastAsia="Times New Roman" w:hint="default"/>
        </w:rPr>
        <w:t>60,341.00</w:t>
      </w:r>
      <w:r>
        <w:rPr>
          <w:rFonts w:ascii="Times New Roman" w:hAnsi="Times New Roman" w:cs="Times New Roman" w:eastAsia="Times New Roman" w:hint="default"/>
          <w:spacing w:val="38"/>
        </w:rPr>
        <w:t> </w:t>
      </w:r>
      <w:r>
        <w:rPr/>
        <w:t>平方米；宿舍一栋</w:t>
      </w:r>
      <w:r>
        <w:rPr>
          <w:rFonts w:ascii="Times New Roman" w:hAnsi="Times New Roman" w:cs="Times New Roman" w:eastAsia="Times New Roman" w:hint="default"/>
        </w:rPr>
        <w:t>,</w:t>
      </w:r>
      <w:r>
        <w:rPr/>
        <w:t>建</w:t>
      </w:r>
    </w:p>
    <w:p>
      <w:pPr>
        <w:pStyle w:val="BodyText"/>
        <w:spacing w:line="240" w:lineRule="auto" w:before="108"/>
        <w:ind w:right="92"/>
        <w:jc w:val="left"/>
      </w:pPr>
      <w:r>
        <w:rPr/>
        <w:t>筑面积为 </w:t>
      </w:r>
      <w:r>
        <w:rPr>
          <w:rFonts w:ascii="Times New Roman" w:hAnsi="Times New Roman" w:cs="Times New Roman" w:eastAsia="Times New Roman" w:hint="default"/>
        </w:rPr>
        <w:t>9,635.00</w:t>
      </w:r>
      <w:r>
        <w:rPr>
          <w:rFonts w:ascii="Times New Roman" w:hAnsi="Times New Roman" w:cs="Times New Roman" w:eastAsia="Times New Roman" w:hint="default"/>
          <w:spacing w:val="-22"/>
        </w:rPr>
        <w:t> </w:t>
      </w:r>
      <w:r>
        <w:rPr/>
        <w:t>平方米。工程总包承包范围为：土建、水、强弱电、消防、空调、电梯、</w:t>
      </w:r>
    </w:p>
    <w:p>
      <w:pPr>
        <w:spacing w:after="0" w:line="240" w:lineRule="auto"/>
        <w:jc w:val="left"/>
        <w:sectPr>
          <w:type w:val="continuous"/>
          <w:pgSz w:w="11910" w:h="16840"/>
          <w:pgMar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154" w:right="212"/>
        <w:jc w:val="left"/>
      </w:pPr>
      <w:r>
        <w:rPr/>
        <w:t>高低压配电、幕墙等。竣工日期预计为</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07 </w:t>
      </w:r>
      <w:r>
        <w:rPr/>
        <w:t>月</w:t>
      </w:r>
      <w:r>
        <w:rPr>
          <w:spacing w:val="-60"/>
        </w:rPr>
        <w:t> </w:t>
      </w:r>
      <w:r>
        <w:rPr>
          <w:rFonts w:ascii="Times New Roman" w:hAnsi="Times New Roman" w:cs="Times New Roman" w:eastAsia="Times New Roman" w:hint="default"/>
        </w:rPr>
        <w:t>23 </w:t>
      </w:r>
      <w:r>
        <w:rPr/>
        <w:t>日。</w:t>
      </w:r>
    </w:p>
    <w:p>
      <w:pPr>
        <w:pStyle w:val="BodyText"/>
        <w:spacing w:line="316" w:lineRule="auto" w:before="108"/>
        <w:ind w:left="693" w:right="651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其他重大财务承诺事项</w:t>
      </w:r>
      <w:r>
        <w:rPr>
          <w:spacing w:val="-1"/>
          <w:w w:val="99"/>
        </w:rPr>
        <w:t> </w:t>
      </w:r>
      <w:r>
        <w:rPr>
          <w:rFonts w:ascii="Times New Roman" w:hAnsi="Times New Roman" w:cs="Times New Roman" w:eastAsia="Times New Roman" w:hint="default"/>
        </w:rPr>
        <w:t>1.</w:t>
      </w:r>
      <w:r>
        <w:rPr/>
        <w:t>抵押资产情况</w:t>
      </w:r>
    </w:p>
    <w:p>
      <w:pPr>
        <w:pStyle w:val="BodyText"/>
        <w:spacing w:line="336" w:lineRule="auto" w:before="23"/>
        <w:ind w:right="213" w:firstLine="540"/>
        <w:jc w:val="left"/>
      </w:pPr>
      <w:r>
        <w:rPr>
          <w:spacing w:val="-1"/>
        </w:rPr>
        <w:t>公司本期以实益达工业园土地使用权抵押担保、及股东提供连带保证担保方式，取得了</w:t>
      </w:r>
      <w:r>
        <w:rPr/>
        <w:t> 兴业银行深圳南山支行综合授信额度 </w:t>
      </w:r>
      <w:r>
        <w:rPr>
          <w:rFonts w:ascii="Times New Roman" w:hAnsi="Times New Roman" w:cs="Times New Roman" w:eastAsia="Times New Roman" w:hint="default"/>
        </w:rPr>
        <w:t>1,600</w:t>
      </w:r>
      <w:r>
        <w:rPr>
          <w:rFonts w:ascii="Times New Roman" w:hAnsi="Times New Roman" w:cs="Times New Roman" w:eastAsia="Times New Roman" w:hint="default"/>
          <w:spacing w:val="38"/>
        </w:rPr>
        <w:t> </w:t>
      </w:r>
      <w:r>
        <w:rPr/>
        <w:t>万美元。公司子公司无锡实益达电子有限公司本</w:t>
      </w:r>
    </w:p>
    <w:p>
      <w:pPr>
        <w:pStyle w:val="BodyText"/>
        <w:spacing w:line="240" w:lineRule="auto" w:before="0"/>
        <w:ind w:right="92"/>
        <w:jc w:val="left"/>
      </w:pPr>
      <w:r>
        <w:rPr/>
        <w:t>期以其所拥有的土地使用权抵押担保方式取得了上海浦东发展银行无锡新区支行 </w:t>
      </w:r>
      <w:r>
        <w:rPr>
          <w:rFonts w:ascii="Times New Roman" w:hAnsi="Times New Roman" w:cs="Times New Roman" w:eastAsia="Times New Roman" w:hint="default"/>
        </w:rPr>
        <w:t>1000 </w:t>
      </w:r>
      <w:r>
        <w:rPr>
          <w:rFonts w:ascii="Times New Roman" w:hAnsi="Times New Roman" w:cs="Times New Roman" w:eastAsia="Times New Roman" w:hint="default"/>
          <w:spacing w:val="23"/>
        </w:rPr>
        <w:t> </w:t>
      </w:r>
      <w:r>
        <w:rPr/>
        <w:t>万元</w:t>
      </w:r>
    </w:p>
    <w:p>
      <w:pPr>
        <w:pStyle w:val="BodyText"/>
        <w:spacing w:line="240" w:lineRule="auto" w:before="108"/>
        <w:ind w:right="212"/>
        <w:jc w:val="left"/>
      </w:pPr>
      <w:r>
        <w:rPr/>
        <w:t>借款，借款期限从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23 </w:t>
      </w:r>
      <w:r>
        <w:rPr/>
        <w:t>日至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23 </w:t>
      </w:r>
      <w:r>
        <w:rPr/>
        <w:t>日止。</w:t>
      </w:r>
    </w:p>
    <w:p>
      <w:pPr>
        <w:pStyle w:val="BodyText"/>
        <w:spacing w:line="240" w:lineRule="auto" w:before="108"/>
        <w:ind w:left="694" w:right="92"/>
        <w:jc w:val="left"/>
        <w:rPr>
          <w:rFonts w:ascii="Times New Roman" w:hAnsi="Times New Roman" w:cs="Times New Roman" w:eastAsia="Times New Roman" w:hint="default"/>
        </w:rPr>
      </w:pPr>
      <w:r>
        <w:rPr/>
        <w:t>公司用于抵押的实益达工业园土地使用权宗地号为</w:t>
      </w:r>
      <w:r>
        <w:rPr>
          <w:spacing w:val="-53"/>
        </w:rPr>
        <w:t> </w:t>
      </w:r>
      <w:r>
        <w:rPr>
          <w:rFonts w:ascii="Times New Roman" w:hAnsi="Times New Roman" w:cs="Times New Roman" w:eastAsia="Times New Roman" w:hint="default"/>
          <w:spacing w:val="-3"/>
        </w:rPr>
        <w:t>G02320-0008</w:t>
      </w:r>
      <w:r>
        <w:rPr>
          <w:spacing w:val="-3"/>
        </w:rPr>
        <w:t>，宗地面积为</w:t>
      </w:r>
      <w:r>
        <w:rPr>
          <w:spacing w:val="-53"/>
        </w:rPr>
        <w:t> </w:t>
      </w:r>
      <w:r>
        <w:rPr>
          <w:rFonts w:ascii="Times New Roman" w:hAnsi="Times New Roman" w:cs="Times New Roman" w:eastAsia="Times New Roman" w:hint="default"/>
        </w:rPr>
        <w:t>27,628.65</w:t>
      </w:r>
    </w:p>
    <w:p>
      <w:pPr>
        <w:pStyle w:val="BodyText"/>
        <w:spacing w:line="240" w:lineRule="auto" w:before="107"/>
        <w:ind w:right="92"/>
        <w:jc w:val="left"/>
      </w:pPr>
      <w:r>
        <w:rPr/>
        <w:t>平方米</w:t>
      </w:r>
      <w:r>
        <w:rPr>
          <w:spacing w:val="-6"/>
        </w:rPr>
        <w:t>，</w:t>
      </w:r>
      <w:r>
        <w:rPr/>
        <w:t>土地使用权证编</w:t>
      </w:r>
      <w:r>
        <w:rPr>
          <w:spacing w:val="-6"/>
        </w:rPr>
        <w:t>号</w:t>
      </w:r>
      <w:r>
        <w:rPr/>
        <w:t>“深房地字第</w:t>
      </w:r>
      <w:r>
        <w:rPr>
          <w:spacing w:val="-60"/>
        </w:rPr>
        <w:t> </w:t>
      </w:r>
      <w:r>
        <w:rPr>
          <w:rFonts w:ascii="Times New Roman" w:hAnsi="Times New Roman" w:cs="Times New Roman" w:eastAsia="Times New Roman" w:hint="default"/>
        </w:rPr>
        <w:t>6000245661 </w:t>
      </w:r>
      <w:r>
        <w:rPr/>
        <w:t>号</w:t>
      </w:r>
      <w:r>
        <w:rPr>
          <w:spacing w:val="-120"/>
        </w:rPr>
        <w:t>”</w:t>
      </w:r>
      <w:r>
        <w:rPr>
          <w:spacing w:val="-6"/>
        </w:rPr>
        <w:t>，</w:t>
      </w:r>
      <w:r>
        <w:rPr/>
        <w:t>原价为</w:t>
      </w:r>
      <w:r>
        <w:rPr>
          <w:spacing w:val="-60"/>
        </w:rPr>
        <w:t> </w:t>
      </w:r>
      <w:r>
        <w:rPr>
          <w:rFonts w:ascii="Times New Roman" w:hAnsi="Times New Roman" w:cs="Times New Roman" w:eastAsia="Times New Roman" w:hint="default"/>
        </w:rPr>
        <w:t>44,805,000.00 </w:t>
      </w:r>
      <w:r>
        <w:rPr/>
        <w:t>元</w:t>
      </w:r>
      <w:r>
        <w:rPr>
          <w:spacing w:val="-6"/>
        </w:rPr>
        <w:t>，</w:t>
      </w:r>
      <w:r>
        <w:rPr/>
        <w:t>累计摊</w:t>
      </w:r>
    </w:p>
    <w:p>
      <w:pPr>
        <w:pStyle w:val="BodyText"/>
        <w:spacing w:line="240" w:lineRule="auto" w:before="108"/>
        <w:ind w:right="92"/>
        <w:jc w:val="left"/>
        <w:rPr>
          <w:rFonts w:ascii="Times New Roman" w:hAnsi="Times New Roman" w:cs="Times New Roman" w:eastAsia="Times New Roman" w:hint="default"/>
        </w:rPr>
      </w:pPr>
      <w:r>
        <w:rPr/>
        <w:t>销为</w:t>
      </w:r>
      <w:r>
        <w:rPr>
          <w:spacing w:val="-48"/>
        </w:rPr>
        <w:t> </w:t>
      </w:r>
      <w:r>
        <w:rPr>
          <w:rFonts w:ascii="Times New Roman" w:hAnsi="Times New Roman" w:cs="Times New Roman" w:eastAsia="Times New Roman" w:hint="default"/>
        </w:rPr>
        <w:t>896,100.00</w:t>
      </w:r>
      <w:r>
        <w:rPr>
          <w:rFonts w:ascii="Times New Roman" w:hAnsi="Times New Roman" w:cs="Times New Roman" w:eastAsia="Times New Roman" w:hint="default"/>
          <w:spacing w:val="12"/>
        </w:rPr>
        <w:t> </w:t>
      </w:r>
      <w:r>
        <w:rPr/>
        <w:t>元，净值为</w:t>
      </w:r>
      <w:r>
        <w:rPr>
          <w:spacing w:val="-48"/>
        </w:rPr>
        <w:t> </w:t>
      </w:r>
      <w:r>
        <w:rPr>
          <w:rFonts w:ascii="Times New Roman" w:hAnsi="Times New Roman" w:cs="Times New Roman" w:eastAsia="Times New Roman" w:hint="default"/>
        </w:rPr>
        <w:t>43,908,900.00</w:t>
      </w:r>
      <w:r>
        <w:rPr>
          <w:rFonts w:ascii="Times New Roman" w:hAnsi="Times New Roman" w:cs="Times New Roman" w:eastAsia="Times New Roman" w:hint="default"/>
          <w:spacing w:val="12"/>
        </w:rPr>
        <w:t> </w:t>
      </w:r>
      <w:r>
        <w:rPr/>
        <w:t>元，使用年限从</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日至</w:t>
      </w:r>
      <w:r>
        <w:rPr>
          <w:spacing w:val="-48"/>
        </w:rPr>
        <w:t> </w:t>
      </w:r>
      <w:r>
        <w:rPr>
          <w:rFonts w:ascii="Times New Roman" w:hAnsi="Times New Roman" w:cs="Times New Roman" w:eastAsia="Times New Roman" w:hint="default"/>
        </w:rPr>
        <w:t>2056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p>
    <w:p>
      <w:pPr>
        <w:pStyle w:val="BodyText"/>
        <w:spacing w:line="240" w:lineRule="auto" w:before="108"/>
        <w:ind w:left="154" w:right="92"/>
        <w:jc w:val="left"/>
      </w:pPr>
      <w:r>
        <w:rPr/>
        <w:t>月 </w:t>
      </w:r>
      <w:r>
        <w:rPr>
          <w:rFonts w:ascii="Times New Roman" w:hAnsi="Times New Roman" w:cs="Times New Roman" w:eastAsia="Times New Roman" w:hint="default"/>
        </w:rPr>
        <w:t>28 </w:t>
      </w:r>
      <w:r>
        <w:rPr>
          <w:rFonts w:ascii="Times New Roman" w:hAnsi="Times New Roman" w:cs="Times New Roman" w:eastAsia="Times New Roman" w:hint="default"/>
          <w:spacing w:val="59"/>
        </w:rPr>
        <w:t> </w:t>
      </w:r>
      <w:r>
        <w:rPr>
          <w:spacing w:val="28"/>
        </w:rPr>
        <w:t>日止。公司子公司无锡实益达电子有限公司用于抵押的土地使用权宗地号为</w:t>
      </w:r>
      <w:r>
        <w:rPr>
          <w:spacing w:val="-91"/>
        </w:rPr>
        <w:t> </w:t>
      </w:r>
      <w:r>
        <w:rPr/>
      </w:r>
    </w:p>
    <w:p>
      <w:pPr>
        <w:pStyle w:val="BodyText"/>
        <w:spacing w:line="240" w:lineRule="auto" w:before="107"/>
        <w:ind w:left="154" w:right="92"/>
        <w:jc w:val="left"/>
        <w:rPr>
          <w:rFonts w:ascii="Times New Roman" w:hAnsi="Times New Roman" w:cs="Times New Roman" w:eastAsia="Times New Roman" w:hint="default"/>
        </w:rPr>
      </w:pPr>
      <w:r>
        <w:rPr>
          <w:rFonts w:ascii="Times New Roman" w:hAnsi="Times New Roman" w:cs="Times New Roman" w:eastAsia="Times New Roman" w:hint="default"/>
        </w:rPr>
        <w:t>G-003-013-030</w:t>
      </w:r>
      <w:r>
        <w:rPr/>
        <w:t>，宗地面积为 </w:t>
      </w:r>
      <w:r>
        <w:rPr>
          <w:rFonts w:ascii="Times New Roman" w:hAnsi="Times New Roman" w:cs="Times New Roman" w:eastAsia="Times New Roman" w:hint="default"/>
        </w:rPr>
        <w:t>52,159.6  </w:t>
      </w:r>
      <w:r>
        <w:rPr/>
        <w:t>平方米，土地使用权证编号“锡新国用（</w:t>
      </w:r>
      <w:r>
        <w:rPr>
          <w:rFonts w:ascii="Times New Roman" w:hAnsi="Times New Roman" w:cs="Times New Roman" w:eastAsia="Times New Roman" w:hint="default"/>
        </w:rPr>
        <w:t>2005</w:t>
      </w:r>
      <w:r>
        <w:rPr/>
        <w:t>）第</w:t>
      </w:r>
      <w:r>
        <w:rPr>
          <w:spacing w:val="-28"/>
        </w:rPr>
        <w:t> </w:t>
      </w:r>
      <w:r>
        <w:rPr>
          <w:rFonts w:ascii="Times New Roman" w:hAnsi="Times New Roman" w:cs="Times New Roman" w:eastAsia="Times New Roman" w:hint="default"/>
        </w:rPr>
        <w:t>68</w:t>
      </w:r>
    </w:p>
    <w:p>
      <w:pPr>
        <w:pStyle w:val="BodyText"/>
        <w:spacing w:line="240" w:lineRule="auto" w:before="108"/>
        <w:ind w:left="154" w:right="92"/>
        <w:jc w:val="left"/>
      </w:pPr>
      <w:r>
        <w:rPr/>
        <w:t>号</w:t>
      </w:r>
      <w:r>
        <w:rPr>
          <w:spacing w:val="-120"/>
        </w:rPr>
        <w:t>”</w:t>
      </w:r>
      <w:r>
        <w:rPr>
          <w:spacing w:val="-21"/>
        </w:rPr>
        <w:t>，</w:t>
      </w:r>
      <w:r>
        <w:rPr/>
        <w:t>原价为</w:t>
      </w:r>
      <w:r>
        <w:rPr>
          <w:spacing w:val="-60"/>
        </w:rPr>
        <w:t> </w:t>
      </w:r>
      <w:r>
        <w:rPr>
          <w:rFonts w:ascii="Times New Roman" w:hAnsi="Times New Roman" w:cs="Times New Roman" w:eastAsia="Times New Roman" w:hint="default"/>
        </w:rPr>
        <w:t>9846748.52 </w:t>
      </w:r>
      <w:r>
        <w:rPr/>
        <w:t>元</w:t>
      </w:r>
      <w:r>
        <w:rPr>
          <w:spacing w:val="-21"/>
        </w:rPr>
        <w:t>，</w:t>
      </w:r>
      <w:r>
        <w:rPr/>
        <w:t>累计摊销为</w:t>
      </w:r>
      <w:r>
        <w:rPr>
          <w:spacing w:val="-60"/>
        </w:rPr>
        <w:t> </w:t>
      </w:r>
      <w:r>
        <w:rPr>
          <w:rFonts w:ascii="Times New Roman" w:hAnsi="Times New Roman" w:cs="Times New Roman" w:eastAsia="Times New Roman" w:hint="default"/>
        </w:rPr>
        <w:t>705,683.54 </w:t>
      </w:r>
      <w:r>
        <w:rPr/>
        <w:t>元</w:t>
      </w:r>
      <w:r>
        <w:rPr>
          <w:spacing w:val="-21"/>
        </w:rPr>
        <w:t>，</w:t>
      </w:r>
      <w:r>
        <w:rPr/>
        <w:t>净值为</w:t>
      </w:r>
      <w:r>
        <w:rPr>
          <w:spacing w:val="-60"/>
        </w:rPr>
        <w:t> </w:t>
      </w:r>
      <w:r>
        <w:rPr>
          <w:rFonts w:ascii="Times New Roman" w:hAnsi="Times New Roman" w:cs="Times New Roman" w:eastAsia="Times New Roman" w:hint="default"/>
        </w:rPr>
        <w:t>9,141,064.97 </w:t>
      </w:r>
      <w:r>
        <w:rPr/>
        <w:t>元</w:t>
      </w:r>
      <w:r>
        <w:rPr>
          <w:spacing w:val="-21"/>
        </w:rPr>
        <w:t>，</w:t>
      </w:r>
      <w:r>
        <w:rPr/>
        <w:t>使用年限从</w:t>
      </w:r>
    </w:p>
    <w:p>
      <w:pPr>
        <w:pStyle w:val="BodyText"/>
        <w:spacing w:line="316" w:lineRule="auto" w:before="108"/>
        <w:ind w:left="694" w:right="5350" w:hanging="540"/>
        <w:jc w:val="left"/>
      </w:pP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30 </w:t>
      </w:r>
      <w:r>
        <w:rPr/>
        <w:t>日至</w:t>
      </w:r>
      <w:r>
        <w:rPr>
          <w:spacing w:val="-60"/>
        </w:rPr>
        <w:t> </w:t>
      </w:r>
      <w:r>
        <w:rPr>
          <w:rFonts w:ascii="Times New Roman" w:hAnsi="Times New Roman" w:cs="Times New Roman" w:eastAsia="Times New Roman" w:hint="default"/>
        </w:rPr>
        <w:t>2054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29 </w:t>
      </w:r>
      <w:r>
        <w:rPr/>
        <w:t>日止。 十、资产负债表日后事项</w:t>
      </w:r>
    </w:p>
    <w:p>
      <w:pPr>
        <w:pStyle w:val="BodyText"/>
        <w:spacing w:line="240" w:lineRule="auto" w:before="49"/>
        <w:ind w:left="694" w:right="92"/>
        <w:jc w:val="left"/>
      </w:pPr>
      <w:r>
        <w:rPr>
          <w:rFonts w:ascii="Times New Roman" w:hAnsi="Times New Roman" w:cs="Times New Roman" w:eastAsia="Times New Roman" w:hint="default"/>
        </w:rPr>
        <w:t>1.</w:t>
      </w:r>
      <w:r>
        <w:rPr/>
        <w:t>本公司于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  </w:t>
      </w:r>
      <w:r>
        <w:rPr/>
        <w:t>月向日东电子科技（深圳）有限公司销售 </w:t>
      </w:r>
      <w:r>
        <w:rPr>
          <w:rFonts w:ascii="Times New Roman" w:hAnsi="Times New Roman" w:cs="Times New Roman" w:eastAsia="Times New Roman" w:hint="default"/>
        </w:rPr>
        <w:t>9 </w:t>
      </w:r>
      <w:r>
        <w:rPr>
          <w:rFonts w:ascii="Times New Roman" w:hAnsi="Times New Roman" w:cs="Times New Roman" w:eastAsia="Times New Roman" w:hint="default"/>
          <w:spacing w:val="34"/>
        </w:rPr>
        <w:t> </w:t>
      </w:r>
      <w:r>
        <w:rPr/>
        <w:t>台贴片机，售价为</w:t>
      </w:r>
    </w:p>
    <w:p>
      <w:pPr>
        <w:pStyle w:val="BodyText"/>
        <w:spacing w:line="240" w:lineRule="auto" w:before="108"/>
        <w:ind w:left="154" w:right="92"/>
        <w:jc w:val="left"/>
      </w:pPr>
      <w:r>
        <w:rPr>
          <w:rFonts w:ascii="Times New Roman" w:hAnsi="Times New Roman" w:cs="Times New Roman" w:eastAsia="Times New Roman" w:hint="default"/>
        </w:rPr>
        <w:t>1,600,000.00</w:t>
      </w:r>
      <w:r>
        <w:rPr>
          <w:rFonts w:ascii="Times New Roman" w:hAnsi="Times New Roman" w:cs="Times New Roman" w:eastAsia="Times New Roman" w:hint="default"/>
          <w:spacing w:val="10"/>
        </w:rPr>
        <w:t> </w:t>
      </w:r>
      <w:r>
        <w:rPr/>
        <w:t>元，截止</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日该机器设备的原值为</w:t>
      </w:r>
      <w:r>
        <w:rPr>
          <w:spacing w:val="-50"/>
        </w:rPr>
        <w:t> </w:t>
      </w:r>
      <w:r>
        <w:rPr>
          <w:rFonts w:ascii="Times New Roman" w:hAnsi="Times New Roman" w:cs="Times New Roman" w:eastAsia="Times New Roman" w:hint="default"/>
        </w:rPr>
        <w:t>4,595,793.31</w:t>
      </w:r>
      <w:r>
        <w:rPr>
          <w:rFonts w:ascii="Times New Roman" w:hAnsi="Times New Roman" w:cs="Times New Roman" w:eastAsia="Times New Roman" w:hint="default"/>
          <w:spacing w:val="10"/>
        </w:rPr>
        <w:t> </w:t>
      </w:r>
      <w:r>
        <w:rPr/>
        <w:t>元，累计折旧为</w:t>
      </w:r>
    </w:p>
    <w:p>
      <w:pPr>
        <w:pStyle w:val="BodyText"/>
        <w:spacing w:line="240" w:lineRule="auto" w:before="107"/>
        <w:ind w:right="212"/>
        <w:jc w:val="left"/>
      </w:pPr>
      <w:r>
        <w:rPr>
          <w:rFonts w:ascii="Times New Roman" w:hAnsi="Times New Roman" w:cs="Times New Roman" w:eastAsia="Times New Roman" w:hint="default"/>
        </w:rPr>
        <w:t>2,337,390.56 </w:t>
      </w:r>
      <w:r>
        <w:rPr/>
        <w:t>元，净值为</w:t>
      </w:r>
      <w:r>
        <w:rPr>
          <w:spacing w:val="-60"/>
        </w:rPr>
        <w:t> </w:t>
      </w:r>
      <w:r>
        <w:rPr>
          <w:rFonts w:ascii="Times New Roman" w:hAnsi="Times New Roman" w:cs="Times New Roman" w:eastAsia="Times New Roman" w:hint="default"/>
        </w:rPr>
        <w:t>2,258,402.75 </w:t>
      </w:r>
      <w:r>
        <w:rPr/>
        <w:t>元。</w:t>
      </w:r>
    </w:p>
    <w:p>
      <w:pPr>
        <w:pStyle w:val="BodyText"/>
        <w:spacing w:line="240" w:lineRule="auto" w:before="108"/>
        <w:ind w:left="754" w:right="212"/>
        <w:jc w:val="left"/>
      </w:pPr>
      <w:r>
        <w:rPr>
          <w:rFonts w:ascii="Times New Roman" w:hAnsi="Times New Roman" w:cs="Times New Roman" w:eastAsia="Times New Roman" w:hint="default"/>
        </w:rPr>
        <w:t>2.</w:t>
      </w:r>
      <w:r>
        <w:rPr/>
        <w:t>利润分配预案：</w:t>
      </w:r>
    </w:p>
    <w:p>
      <w:pPr>
        <w:pStyle w:val="BodyText"/>
        <w:spacing w:line="240" w:lineRule="auto" w:before="108"/>
        <w:ind w:left="693" w:right="92"/>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6"/>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日本公司第一届第二十四次董事会向股东大会提议的利润分配方案为</w:t>
      </w:r>
      <w:r>
        <w:rPr>
          <w:rFonts w:ascii="Times New Roman" w:hAnsi="Times New Roman" w:cs="Times New Roman" w:eastAsia="Times New Roman" w:hint="default"/>
        </w:rPr>
        <w:t>:</w:t>
      </w:r>
      <w:r>
        <w:rPr/>
        <w:t>母</w:t>
      </w:r>
    </w:p>
    <w:p>
      <w:pPr>
        <w:pStyle w:val="BodyText"/>
        <w:spacing w:line="240" w:lineRule="auto" w:before="107"/>
        <w:ind w:right="92"/>
        <w:jc w:val="left"/>
      </w:pPr>
      <w:r>
        <w:rPr/>
        <w:t>公司</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年度实现净利润 </w:t>
      </w:r>
      <w:r>
        <w:rPr>
          <w:rFonts w:ascii="Times New Roman" w:hAnsi="Times New Roman" w:cs="Times New Roman" w:eastAsia="Times New Roman" w:hint="default"/>
        </w:rPr>
        <w:t>68,494,371.78</w:t>
      </w:r>
      <w:r>
        <w:rPr>
          <w:rFonts w:ascii="Times New Roman" w:hAnsi="Times New Roman" w:cs="Times New Roman" w:eastAsia="Times New Roman" w:hint="default"/>
          <w:spacing w:val="3"/>
        </w:rPr>
        <w:t> </w:t>
      </w:r>
      <w:r>
        <w:rPr/>
        <w:t>元，按照</w:t>
      </w:r>
      <w:r>
        <w:rPr>
          <w:spacing w:val="-57"/>
        </w:rPr>
        <w:t> </w:t>
      </w:r>
      <w:r>
        <w:rPr>
          <w:rFonts w:ascii="Times New Roman" w:hAnsi="Times New Roman" w:cs="Times New Roman" w:eastAsia="Times New Roman" w:hint="default"/>
        </w:rPr>
        <w:t>10%</w:t>
      </w:r>
      <w:r>
        <w:rPr/>
        <w:t>计提法定公积金</w:t>
      </w:r>
      <w:r>
        <w:rPr>
          <w:spacing w:val="-57"/>
        </w:rPr>
        <w:t> </w:t>
      </w:r>
      <w:r>
        <w:rPr>
          <w:rFonts w:ascii="Times New Roman" w:hAnsi="Times New Roman" w:cs="Times New Roman" w:eastAsia="Times New Roman" w:hint="default"/>
        </w:rPr>
        <w:t>6,849,437.18  </w:t>
      </w:r>
      <w:r>
        <w:rPr/>
        <w:t>元；以</w:t>
      </w:r>
    </w:p>
    <w:p>
      <w:pPr>
        <w:pStyle w:val="BodyText"/>
        <w:spacing w:line="240" w:lineRule="auto" w:before="108"/>
        <w:ind w:right="0"/>
        <w:jc w:val="left"/>
      </w:pPr>
      <w:r>
        <w:rPr/>
        <w:t>本公司</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日股本总数</w:t>
      </w:r>
      <w:r>
        <w:rPr>
          <w:spacing w:val="-60"/>
        </w:rPr>
        <w:t> </w:t>
      </w:r>
      <w:r>
        <w:rPr>
          <w:rFonts w:ascii="Times New Roman" w:hAnsi="Times New Roman" w:cs="Times New Roman" w:eastAsia="Times New Roman" w:hint="default"/>
        </w:rPr>
        <w:t>133,400,000 </w:t>
      </w:r>
      <w:r>
        <w:rPr/>
        <w:t>为基数</w:t>
      </w:r>
      <w:r>
        <w:rPr>
          <w:spacing w:val="-41"/>
        </w:rPr>
        <w:t>，</w:t>
      </w:r>
      <w:r>
        <w:rPr/>
        <w:t>每</w:t>
      </w:r>
      <w:r>
        <w:rPr>
          <w:spacing w:val="-60"/>
        </w:rPr>
        <w:t> </w:t>
      </w:r>
      <w:r>
        <w:rPr>
          <w:rFonts w:ascii="Times New Roman" w:hAnsi="Times New Roman" w:cs="Times New Roman" w:eastAsia="Times New Roman" w:hint="default"/>
        </w:rPr>
        <w:t>10 </w:t>
      </w:r>
      <w:r>
        <w:rPr/>
        <w:t>股派发现金股利</w:t>
      </w:r>
      <w:r>
        <w:rPr>
          <w:spacing w:val="-60"/>
        </w:rPr>
        <w:t> </w:t>
      </w:r>
      <w:r>
        <w:rPr>
          <w:rFonts w:ascii="Times New Roman" w:hAnsi="Times New Roman" w:cs="Times New Roman" w:eastAsia="Times New Roman" w:hint="default"/>
        </w:rPr>
        <w:t>3 </w:t>
      </w:r>
      <w:r>
        <w:rPr>
          <w:spacing w:val="-41"/>
        </w:rPr>
        <w:t>元</w:t>
      </w:r>
      <w:r>
        <w:rPr/>
        <w:t>（含税</w:t>
      </w:r>
      <w:r>
        <w:rPr>
          <w:spacing w:val="-120"/>
        </w:rPr>
        <w:t>）</w:t>
      </w:r>
      <w:r>
        <w:rPr/>
        <w:t>，</w:t>
      </w:r>
    </w:p>
    <w:p>
      <w:pPr>
        <w:pStyle w:val="BodyText"/>
        <w:spacing w:line="240" w:lineRule="auto" w:before="108"/>
        <w:ind w:left="154" w:right="92"/>
        <w:jc w:val="left"/>
        <w:rPr>
          <w:rFonts w:ascii="Times New Roman" w:hAnsi="Times New Roman" w:cs="Times New Roman" w:eastAsia="Times New Roman" w:hint="default"/>
        </w:rPr>
      </w:pPr>
      <w:r>
        <w:rPr/>
        <w:t>共计分配现金股利</w:t>
      </w:r>
      <w:r>
        <w:rPr>
          <w:spacing w:val="-60"/>
        </w:rPr>
        <w:t> </w:t>
      </w:r>
      <w:r>
        <w:rPr>
          <w:rFonts w:ascii="Times New Roman" w:hAnsi="Times New Roman" w:cs="Times New Roman" w:eastAsia="Times New Roman" w:hint="default"/>
        </w:rPr>
        <w:t>40,020,000.00 </w:t>
      </w:r>
      <w:r>
        <w:rPr>
          <w:spacing w:val="-107"/>
        </w:rPr>
        <w:t>元</w:t>
      </w:r>
      <w:r>
        <w:rPr/>
        <w:t>（含税</w:t>
      </w:r>
      <w:r>
        <w:rPr>
          <w:spacing w:val="-120"/>
        </w:rPr>
        <w:t>）</w:t>
      </w:r>
      <w:r>
        <w:rPr>
          <w:spacing w:val="-108"/>
        </w:rPr>
        <w:t>；</w:t>
      </w:r>
      <w:r>
        <w:rPr/>
        <w:t>同时</w:t>
      </w:r>
      <w:r>
        <w:rPr>
          <w:spacing w:val="-107"/>
        </w:rPr>
        <w:t>，</w:t>
      </w:r>
      <w:r>
        <w:rPr/>
        <w:t>以</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日股本总数</w:t>
      </w:r>
      <w:r>
        <w:rPr>
          <w:spacing w:val="-60"/>
        </w:rPr>
        <w:t> </w:t>
      </w:r>
      <w:r>
        <w:rPr>
          <w:rFonts w:ascii="Times New Roman" w:hAnsi="Times New Roman" w:cs="Times New Roman" w:eastAsia="Times New Roman" w:hint="default"/>
        </w:rPr>
        <w:t>133,400,000</w:t>
      </w:r>
    </w:p>
    <w:p>
      <w:pPr>
        <w:pStyle w:val="BodyText"/>
        <w:spacing w:line="319" w:lineRule="auto" w:before="107"/>
        <w:ind w:left="154" w:right="220"/>
        <w:jc w:val="left"/>
      </w:pPr>
      <w:r>
        <w:rPr>
          <w:spacing w:val="-3"/>
        </w:rPr>
        <w:t>为基数，用资本公积转增股本，每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股，共计增加</w:t>
      </w:r>
      <w:r>
        <w:rPr>
          <w:spacing w:val="-59"/>
        </w:rPr>
        <w:t> </w:t>
      </w:r>
      <w:r>
        <w:rPr>
          <w:rFonts w:ascii="Times New Roman" w:hAnsi="Times New Roman" w:cs="Times New Roman" w:eastAsia="Times New Roman" w:hint="default"/>
        </w:rPr>
        <w:t>66,700,000</w:t>
      </w:r>
      <w:r>
        <w:rPr>
          <w:rFonts w:ascii="Times New Roman" w:hAnsi="Times New Roman" w:cs="Times New Roman" w:eastAsia="Times New Roman" w:hint="default"/>
          <w:spacing w:val="1"/>
        </w:rPr>
        <w:t> </w:t>
      </w:r>
      <w:r>
        <w:rPr>
          <w:spacing w:val="-3"/>
        </w:rPr>
        <w:t>股。该预案尚需本公</w:t>
      </w:r>
      <w:r>
        <w:rPr/>
        <w:t> 司股东大会审议通过。</w:t>
      </w:r>
    </w:p>
    <w:p>
      <w:pPr>
        <w:spacing w:line="240" w:lineRule="auto" w:before="0"/>
        <w:rPr>
          <w:rFonts w:ascii="宋体" w:hAnsi="宋体" w:cs="宋体" w:eastAsia="宋体" w:hint="default"/>
          <w:sz w:val="24"/>
          <w:szCs w:val="24"/>
        </w:rPr>
      </w:pPr>
    </w:p>
    <w:p>
      <w:pPr>
        <w:pStyle w:val="BodyText"/>
        <w:spacing w:line="326" w:lineRule="auto" w:before="172"/>
        <w:ind w:left="694" w:right="5530"/>
        <w:jc w:val="left"/>
      </w:pPr>
      <w:r>
        <w:rPr/>
        <w:t>十一、其他事项说明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非货币性资产交换</w:t>
      </w:r>
      <w:r>
        <w:rPr>
          <w:spacing w:val="-1"/>
        </w:rPr>
        <w:t> </w:t>
      </w:r>
      <w:r>
        <w:rPr>
          <w:rFonts w:ascii="Times New Roman" w:hAnsi="Times New Roman" w:cs="Times New Roman" w:eastAsia="Times New Roman" w:hint="default"/>
        </w:rPr>
        <w:t>1.</w:t>
      </w:r>
      <w:r>
        <w:rPr/>
        <w:t>本年发生的非货币性资产交换事项</w:t>
      </w:r>
    </w:p>
    <w:p>
      <w:pPr>
        <w:pStyle w:val="BodyText"/>
        <w:spacing w:line="319" w:lineRule="auto" w:before="11"/>
        <w:ind w:left="154" w:right="214" w:firstLine="540"/>
        <w:jc w:val="left"/>
      </w:pPr>
      <w:r>
        <w:rPr/>
        <w:t>本公司于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月以</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台丝印机（旧设备）向美亚电子科技有限公司换入</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台丝印 </w:t>
      </w:r>
      <w:r>
        <w:rPr>
          <w:spacing w:val="-18"/>
        </w:rPr>
        <w:t>机（新设备）。</w:t>
      </w:r>
    </w:p>
    <w:p>
      <w:pPr>
        <w:spacing w:after="0" w:line="319" w:lineRule="auto"/>
        <w:jc w:val="left"/>
        <w:sectPr>
          <w:pgSz w:w="11910" w:h="16840"/>
          <w:pgMar w:header="747" w:footer="1339" w:top="980" w:bottom="152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26" w:lineRule="auto" w:before="26"/>
        <w:ind w:left="694" w:right="5630"/>
        <w:jc w:val="left"/>
      </w:pPr>
      <w:r>
        <w:rPr>
          <w:rFonts w:ascii="Times New Roman" w:hAnsi="Times New Roman" w:cs="Times New Roman" w:eastAsia="Times New Roman" w:hint="default"/>
        </w:rPr>
        <w:t>2.</w:t>
      </w:r>
      <w:r>
        <w:rPr/>
        <w:t>换入资产、换出资产的类别 换入资产、换出资产均为机器设备 </w:t>
      </w:r>
      <w:r>
        <w:rPr>
          <w:rFonts w:ascii="Times New Roman" w:hAnsi="Times New Roman" w:cs="Times New Roman" w:eastAsia="Times New Roman" w:hint="default"/>
        </w:rPr>
        <w:t>3.</w:t>
      </w:r>
      <w:r>
        <w:rPr/>
        <w:t>换入资产成本的确定方式</w:t>
      </w:r>
    </w:p>
    <w:p>
      <w:pPr>
        <w:pStyle w:val="BodyText"/>
        <w:spacing w:line="336" w:lineRule="auto" w:before="12"/>
        <w:ind w:left="154" w:right="148" w:firstLine="540"/>
        <w:jc w:val="left"/>
      </w:pPr>
      <w:r>
        <w:rPr>
          <w:spacing w:val="-1"/>
        </w:rPr>
        <w:t>由于换出资产为旧设备，公允价值较难判断，换入资产的成本根据换入资产的公允价值</w:t>
      </w:r>
      <w:r>
        <w:rPr/>
        <w:t> 确定。</w:t>
      </w:r>
    </w:p>
    <w:p>
      <w:pPr>
        <w:pStyle w:val="BodyText"/>
        <w:spacing w:line="240" w:lineRule="auto" w:before="29"/>
        <w:ind w:left="694" w:right="0"/>
        <w:jc w:val="left"/>
      </w:pPr>
      <w:r>
        <w:rPr>
          <w:rFonts w:ascii="Times New Roman" w:hAnsi="Times New Roman" w:cs="Times New Roman" w:eastAsia="Times New Roman" w:hint="default"/>
        </w:rPr>
        <w:t>4.</w:t>
      </w:r>
      <w:r>
        <w:rPr/>
        <w:t>换入资产、换出资产的公允价值以及换出资产的账面价值</w:t>
      </w:r>
    </w:p>
    <w:p>
      <w:pPr>
        <w:pStyle w:val="BodyText"/>
        <w:spacing w:line="240" w:lineRule="auto" w:before="108"/>
        <w:ind w:left="694" w:right="0"/>
        <w:jc w:val="left"/>
      </w:pPr>
      <w:r>
        <w:rPr>
          <w:spacing w:val="20"/>
        </w:rPr>
        <w:t>换入资产的公允价值以同期公司购买的相同设备价格确定；换出资产账面原值为</w:t>
      </w:r>
      <w:r>
        <w:rPr/>
      </w:r>
    </w:p>
    <w:p>
      <w:pPr>
        <w:pStyle w:val="BodyText"/>
        <w:spacing w:line="240" w:lineRule="auto" w:before="126"/>
        <w:ind w:left="0" w:right="2374"/>
        <w:jc w:val="center"/>
      </w:pPr>
      <w:r>
        <w:rPr>
          <w:rFonts w:ascii="Times New Roman" w:hAnsi="Times New Roman" w:cs="Times New Roman" w:eastAsia="Times New Roman" w:hint="default"/>
        </w:rPr>
        <w:t>1,569,496.86 </w:t>
      </w:r>
      <w:r>
        <w:rPr/>
        <w:t>元，累计折旧为</w:t>
      </w:r>
      <w:r>
        <w:rPr>
          <w:spacing w:val="-60"/>
        </w:rPr>
        <w:t> </w:t>
      </w:r>
      <w:r>
        <w:rPr>
          <w:rFonts w:ascii="Times New Roman" w:hAnsi="Times New Roman" w:cs="Times New Roman" w:eastAsia="Times New Roman" w:hint="default"/>
        </w:rPr>
        <w:t>286,144.80 </w:t>
      </w:r>
      <w:r>
        <w:rPr/>
        <w:t>元，净值为</w:t>
      </w:r>
      <w:r>
        <w:rPr>
          <w:spacing w:val="-60"/>
        </w:rPr>
        <w:t> </w:t>
      </w:r>
      <w:r>
        <w:rPr>
          <w:rFonts w:ascii="Times New Roman" w:hAnsi="Times New Roman" w:cs="Times New Roman" w:eastAsia="Times New Roman" w:hint="default"/>
        </w:rPr>
        <w:t>1,283,352.06 </w:t>
      </w:r>
      <w:r>
        <w:rPr/>
        <w:t>元。</w:t>
      </w:r>
    </w:p>
    <w:p>
      <w:pPr>
        <w:pStyle w:val="BodyText"/>
        <w:spacing w:line="636" w:lineRule="auto" w:before="107"/>
        <w:ind w:left="994" w:right="2820" w:hanging="300"/>
        <w:jc w:val="left"/>
      </w:pPr>
      <w:r>
        <w:rPr/>
        <w:pict>
          <v:shape style="position:absolute;margin-left:60.346401pt;margin-top:67.831154pt;width:388.75pt;height:118.2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51"/>
                    <w:gridCol w:w="3023"/>
                  </w:tblGrid>
                  <w:tr>
                    <w:trPr>
                      <w:trHeight w:val="355" w:hRule="exact"/>
                    </w:trPr>
                    <w:tc>
                      <w:tcPr>
                        <w:tcW w:w="4751" w:type="dxa"/>
                        <w:tcBorders>
                          <w:top w:val="nil" w:sz="6" w:space="0" w:color="auto"/>
                          <w:left w:val="nil" w:sz="6" w:space="0" w:color="auto"/>
                          <w:bottom w:val="nil" w:sz="6" w:space="0" w:color="auto"/>
                          <w:right w:val="nil" w:sz="6" w:space="0" w:color="auto"/>
                        </w:tcBorders>
                      </w:tcPr>
                      <w:p>
                        <w:pPr>
                          <w:pStyle w:val="TableParagraph"/>
                          <w:tabs>
                            <w:tab w:pos="1204" w:val="left" w:leader="none"/>
                            <w:tab w:pos="2374" w:val="left" w:leader="none"/>
                            <w:tab w:pos="363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tc>
                    <w:tc>
                      <w:tcPr>
                        <w:tcW w:w="3023" w:type="dxa"/>
                        <w:tcBorders>
                          <w:top w:val="nil" w:sz="6" w:space="0" w:color="auto"/>
                          <w:left w:val="nil" w:sz="6" w:space="0" w:color="auto"/>
                          <w:bottom w:val="nil" w:sz="6" w:space="0" w:color="auto"/>
                          <w:right w:val="nil" w:sz="6" w:space="0" w:color="auto"/>
                        </w:tcBorders>
                      </w:tcPr>
                      <w:p>
                        <w:pPr>
                          <w:pStyle w:val="TableParagraph"/>
                          <w:tabs>
                            <w:tab w:pos="1475" w:val="left" w:leader="none"/>
                            <w:tab w:pos="2195" w:val="left" w:leader="none"/>
                            <w:tab w:pos="2825" w:val="left" w:leader="none"/>
                          </w:tabs>
                          <w:spacing w:line="240" w:lineRule="auto" w:before="44"/>
                          <w:ind w:left="11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金</w:t>
                          <w:tab/>
                          <w:t>额</w:t>
                          <w:tab/>
                        </w:r>
                        <w:r>
                          <w:rPr>
                            <w:rFonts w:ascii="宋体" w:hAnsi="宋体" w:cs="宋体" w:eastAsia="宋体" w:hint="default"/>
                            <w:sz w:val="18"/>
                            <w:szCs w:val="18"/>
                          </w:rPr>
                        </w:r>
                      </w:p>
                    </w:tc>
                  </w:tr>
                  <w:tr>
                    <w:trPr>
                      <w:trHeight w:val="32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非流动资产处置损益</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sz w:val="18"/>
                          </w:rPr>
                          <w:t>-50,364.58</w:t>
                        </w:r>
                      </w:p>
                    </w:tc>
                  </w:tr>
                  <w:tr>
                    <w:trPr>
                      <w:trHeight w:val="32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计入当期损益的政府补助</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sz w:val="18"/>
                          </w:rPr>
                          <w:t>2,400,000.00</w:t>
                        </w:r>
                      </w:p>
                    </w:tc>
                  </w:tr>
                  <w:tr>
                    <w:trPr>
                      <w:trHeight w:val="32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非货币性资产交换损益</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sz w:val="18"/>
                          </w:rPr>
                          <w:t>-156,258.06</w:t>
                        </w:r>
                      </w:p>
                    </w:tc>
                  </w:tr>
                  <w:tr>
                    <w:trPr>
                      <w:trHeight w:val="320"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除上述各项之外的其他营业外收支净额</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sz w:val="18"/>
                          </w:rPr>
                          <w:t>19,988.00</w:t>
                        </w:r>
                      </w:p>
                    </w:tc>
                  </w:tr>
                  <w:tr>
                    <w:trPr>
                      <w:trHeight w:val="352"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所得税影响额</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sz w:val="18"/>
                          </w:rPr>
                          <w:t>-166,002.40</w:t>
                        </w:r>
                      </w:p>
                    </w:tc>
                  </w:tr>
                  <w:tr>
                    <w:trPr>
                      <w:trHeight w:val="377"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3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2,047,362.96</w:t>
                        </w:r>
                      </w:p>
                    </w:tc>
                  </w:tr>
                </w:tbl>
                <w:p>
                  <w:pPr/>
                </w:p>
              </w:txbxContent>
            </v:textbox>
            <w10:wrap type="none"/>
          </v:shape>
        </w:pict>
      </w:r>
      <w:r>
        <w:rPr>
          <w:rFonts w:ascii="Times New Roman" w:hAnsi="Times New Roman" w:cs="Times New Roman" w:eastAsia="Times New Roman" w:hint="default"/>
        </w:rPr>
        <w:t>5.</w:t>
      </w:r>
      <w:r>
        <w:rPr/>
        <w:t>非货币性资产交换确认的损失为</w:t>
      </w:r>
      <w:r>
        <w:rPr>
          <w:spacing w:val="-60"/>
        </w:rPr>
        <w:t> </w:t>
      </w:r>
      <w:r>
        <w:rPr>
          <w:rFonts w:ascii="Times New Roman" w:hAnsi="Times New Roman" w:cs="Times New Roman" w:eastAsia="Times New Roman" w:hint="default"/>
        </w:rPr>
        <w:t>156,258.06 </w:t>
      </w:r>
      <w:r>
        <w:rPr/>
        <w:t>元。 </w:t>
      </w:r>
      <w:r>
        <w:rPr>
          <w:spacing w:val="-5"/>
        </w:rPr>
        <w:t>十二、本年度非经常性损益列示如下（收益＋、损失－）：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4" w:lineRule="auto" w:before="186"/>
        <w:ind w:left="694" w:right="4910"/>
        <w:jc w:val="left"/>
      </w:pPr>
      <w:r>
        <w:rPr/>
        <w:t>注：上列数据已扣除少数股东收益因素。 十三、净资产收益率与每股收益</w:t>
      </w:r>
    </w:p>
    <w:p>
      <w:pPr>
        <w:tabs>
          <w:tab w:pos="5287" w:val="left" w:leader="none"/>
          <w:tab w:pos="6722" w:val="left" w:leader="none"/>
          <w:tab w:pos="6938" w:val="left" w:leader="none"/>
          <w:tab w:pos="8198" w:val="left" w:leader="none"/>
          <w:tab w:pos="9551" w:val="left" w:leader="none"/>
        </w:tabs>
        <w:spacing w:line="230" w:lineRule="exact" w:before="91"/>
        <w:ind w:left="465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净资产收益率</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每股收益</w:t>
        <w:tab/>
      </w:r>
      <w:r>
        <w:rPr>
          <w:rFonts w:ascii="宋体" w:hAnsi="宋体" w:cs="宋体" w:eastAsia="宋体" w:hint="default"/>
          <w:sz w:val="18"/>
          <w:szCs w:val="18"/>
        </w:rPr>
      </w:r>
    </w:p>
    <w:p>
      <w:pPr>
        <w:tabs>
          <w:tab w:pos="2151" w:val="left" w:leader="none"/>
          <w:tab w:pos="4441" w:val="left" w:leader="none"/>
        </w:tabs>
        <w:spacing w:line="230" w:lineRule="exact" w:before="0"/>
        <w:ind w:left="26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报告期利润</w:t>
        <w:tab/>
      </w:r>
      <w:r>
        <w:rPr>
          <w:rFonts w:ascii="宋体" w:hAnsi="宋体" w:cs="宋体" w:eastAsia="宋体" w:hint="default"/>
          <w:sz w:val="18"/>
          <w:szCs w:val="18"/>
        </w:rPr>
      </w:r>
    </w:p>
    <w:p>
      <w:pPr>
        <w:spacing w:line="240" w:lineRule="auto" w:before="2"/>
        <w:rPr>
          <w:rFonts w:ascii="宋体" w:hAnsi="宋体" w:cs="宋体" w:eastAsia="宋体" w:hint="default"/>
          <w:sz w:val="25"/>
          <w:szCs w:val="25"/>
        </w:rPr>
      </w:pPr>
    </w:p>
    <w:p>
      <w:pPr>
        <w:spacing w:before="35"/>
        <w:ind w:left="262" w:right="0" w:firstLine="0"/>
        <w:jc w:val="left"/>
        <w:rPr>
          <w:rFonts w:ascii="宋体" w:hAnsi="宋体" w:cs="宋体" w:eastAsia="宋体" w:hint="default"/>
          <w:sz w:val="21"/>
          <w:szCs w:val="21"/>
        </w:rPr>
      </w:pPr>
      <w:r>
        <w:rPr/>
        <w:pict>
          <v:shape style="position:absolute;margin-left:280.130005pt;margin-top:-15.38069pt;width:245.85pt;height:63.3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9"/>
                    <w:gridCol w:w="1152"/>
                    <w:gridCol w:w="1447"/>
                    <w:gridCol w:w="1260"/>
                  </w:tblGrid>
                  <w:tr>
                    <w:trPr>
                      <w:trHeight w:val="841" w:hRule="exact"/>
                    </w:trPr>
                    <w:tc>
                      <w:tcPr>
                        <w:tcW w:w="1059" w:type="dxa"/>
                        <w:tcBorders>
                          <w:top w:val="nil" w:sz="6" w:space="0" w:color="auto"/>
                          <w:left w:val="nil" w:sz="6" w:space="0" w:color="auto"/>
                          <w:bottom w:val="nil" w:sz="6" w:space="0" w:color="auto"/>
                          <w:right w:val="nil" w:sz="6" w:space="0" w:color="auto"/>
                        </w:tcBorders>
                      </w:tcPr>
                      <w:p>
                        <w:pPr>
                          <w:pStyle w:val="TableParagraph"/>
                          <w:tabs>
                            <w:tab w:pos="903" w:val="left" w:leader="none"/>
                          </w:tabs>
                          <w:spacing w:line="180" w:lineRule="exact"/>
                          <w:ind w:right="83"/>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全面摊薄</w:t>
                          <w:tab/>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4"/>
                          <w:jc w:val="center"/>
                          <w:rPr>
                            <w:rFonts w:ascii="宋体" w:hAnsi="宋体" w:cs="宋体" w:eastAsia="宋体" w:hint="default"/>
                            <w:sz w:val="18"/>
                            <w:szCs w:val="18"/>
                          </w:rPr>
                        </w:pPr>
                        <w:r>
                          <w:rPr>
                            <w:rFonts w:ascii="宋体"/>
                            <w:sz w:val="18"/>
                          </w:rPr>
                          <w:t>12.00%</w:t>
                        </w:r>
                      </w:p>
                    </w:tc>
                    <w:tc>
                      <w:tcPr>
                        <w:tcW w:w="1152" w:type="dxa"/>
                        <w:tcBorders>
                          <w:top w:val="nil" w:sz="6" w:space="0" w:color="auto"/>
                          <w:left w:val="nil" w:sz="6" w:space="0" w:color="auto"/>
                          <w:bottom w:val="nil" w:sz="6" w:space="0" w:color="auto"/>
                          <w:right w:val="nil" w:sz="6" w:space="0" w:color="auto"/>
                        </w:tcBorders>
                      </w:tcPr>
                      <w:p>
                        <w:pPr>
                          <w:pStyle w:val="TableParagraph"/>
                          <w:spacing w:line="180" w:lineRule="exact"/>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加权平均</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宋体"/>
                            <w:sz w:val="18"/>
                          </w:rPr>
                          <w:t>19.21%</w:t>
                        </w:r>
                      </w:p>
                    </w:tc>
                    <w:tc>
                      <w:tcPr>
                        <w:tcW w:w="1447" w:type="dxa"/>
                        <w:tcBorders>
                          <w:top w:val="nil" w:sz="6" w:space="0" w:color="auto"/>
                          <w:left w:val="nil" w:sz="6" w:space="0" w:color="auto"/>
                          <w:bottom w:val="nil" w:sz="6" w:space="0" w:color="auto"/>
                          <w:right w:val="nil" w:sz="6" w:space="0" w:color="auto"/>
                        </w:tcBorders>
                      </w:tcPr>
                      <w:p>
                        <w:pPr>
                          <w:pStyle w:val="TableParagraph"/>
                          <w:spacing w:line="180" w:lineRule="exact"/>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基本每股收益</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
                          <w:jc w:val="center"/>
                          <w:rPr>
                            <w:rFonts w:ascii="宋体" w:hAnsi="宋体" w:cs="宋体" w:eastAsia="宋体" w:hint="default"/>
                            <w:sz w:val="18"/>
                            <w:szCs w:val="18"/>
                          </w:rPr>
                        </w:pPr>
                        <w:r>
                          <w:rPr>
                            <w:rFonts w:ascii="宋体"/>
                            <w:sz w:val="18"/>
                          </w:rPr>
                          <w:t>0.5289</w:t>
                        </w:r>
                      </w:p>
                    </w:tc>
                    <w:tc>
                      <w:tcPr>
                        <w:tcW w:w="1260" w:type="dxa"/>
                        <w:tcBorders>
                          <w:top w:val="nil" w:sz="6" w:space="0" w:color="auto"/>
                          <w:left w:val="nil" w:sz="6" w:space="0" w:color="auto"/>
                          <w:bottom w:val="nil" w:sz="6" w:space="0" w:color="auto"/>
                          <w:right w:val="nil" w:sz="6" w:space="0" w:color="auto"/>
                        </w:tcBorders>
                      </w:tcPr>
                      <w:p>
                        <w:pPr>
                          <w:pStyle w:val="TableParagraph"/>
                          <w:spacing w:line="180" w:lineRule="exact"/>
                          <w:ind w:left="10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9" w:right="0"/>
                          <w:jc w:val="center"/>
                          <w:rPr>
                            <w:rFonts w:ascii="宋体" w:hAnsi="宋体" w:cs="宋体" w:eastAsia="宋体" w:hint="default"/>
                            <w:sz w:val="18"/>
                            <w:szCs w:val="18"/>
                          </w:rPr>
                        </w:pPr>
                        <w:r>
                          <w:rPr>
                            <w:rFonts w:ascii="宋体"/>
                            <w:sz w:val="18"/>
                          </w:rPr>
                          <w:t>0.5289</w:t>
                        </w:r>
                      </w:p>
                    </w:tc>
                  </w:tr>
                  <w:tr>
                    <w:trPr>
                      <w:trHeight w:val="424" w:hRule="exact"/>
                    </w:trPr>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6" w:right="0"/>
                          <w:jc w:val="left"/>
                          <w:rPr>
                            <w:rFonts w:ascii="宋体" w:hAnsi="宋体" w:cs="宋体" w:eastAsia="宋体" w:hint="default"/>
                            <w:sz w:val="18"/>
                            <w:szCs w:val="18"/>
                          </w:rPr>
                        </w:pPr>
                        <w:r>
                          <w:rPr>
                            <w:rFonts w:ascii="宋体"/>
                            <w:sz w:val="18"/>
                          </w:rPr>
                          <w:t>11.60%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00" w:right="0"/>
                          <w:jc w:val="left"/>
                          <w:rPr>
                            <w:rFonts w:ascii="宋体" w:hAnsi="宋体" w:cs="宋体" w:eastAsia="宋体" w:hint="default"/>
                            <w:sz w:val="18"/>
                            <w:szCs w:val="18"/>
                          </w:rPr>
                        </w:pPr>
                        <w:r>
                          <w:rPr>
                            <w:rFonts w:ascii="宋体"/>
                            <w:sz w:val="18"/>
                          </w:rPr>
                          <w:t>18.57%</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47" w:right="0"/>
                          <w:jc w:val="left"/>
                          <w:rPr>
                            <w:rFonts w:ascii="宋体" w:hAnsi="宋体" w:cs="宋体" w:eastAsia="宋体" w:hint="default"/>
                            <w:sz w:val="18"/>
                            <w:szCs w:val="18"/>
                          </w:rPr>
                        </w:pPr>
                        <w:r>
                          <w:rPr>
                            <w:rFonts w:ascii="宋体"/>
                            <w:sz w:val="18"/>
                          </w:rPr>
                          <w:t>0.5113</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14" w:right="0"/>
                          <w:jc w:val="left"/>
                          <w:rPr>
                            <w:rFonts w:ascii="宋体" w:hAnsi="宋体" w:cs="宋体" w:eastAsia="宋体" w:hint="default"/>
                            <w:sz w:val="18"/>
                            <w:szCs w:val="18"/>
                          </w:rPr>
                        </w:pPr>
                        <w:r>
                          <w:rPr>
                            <w:rFonts w:ascii="宋体"/>
                            <w:sz w:val="18"/>
                          </w:rPr>
                          <w:t>0.5113</w:t>
                        </w:r>
                      </w:p>
                    </w:tc>
                  </w:tr>
                </w:tbl>
                <w:p>
                  <w:pPr/>
                </w:p>
              </w:txbxContent>
            </v:textbox>
            <w10:wrap type="none"/>
          </v:shape>
        </w:pict>
      </w:r>
      <w:r>
        <w:rPr>
          <w:rFonts w:ascii="宋体" w:hAnsi="宋体" w:cs="宋体" w:eastAsia="宋体" w:hint="default"/>
          <w:sz w:val="21"/>
          <w:szCs w:val="21"/>
        </w:rPr>
        <w:t>归属于公司普通股股东的净利润</w:t>
      </w:r>
    </w:p>
    <w:p>
      <w:pPr>
        <w:spacing w:line="240" w:lineRule="auto" w:before="5"/>
        <w:rPr>
          <w:rFonts w:ascii="宋体" w:hAnsi="宋体" w:cs="宋体" w:eastAsia="宋体" w:hint="default"/>
          <w:sz w:val="17"/>
          <w:szCs w:val="17"/>
        </w:rPr>
      </w:pPr>
    </w:p>
    <w:p>
      <w:pPr>
        <w:spacing w:before="0"/>
        <w:ind w:left="261"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p>
      <w:pPr>
        <w:spacing w:line="240" w:lineRule="auto" w:before="1"/>
        <w:rPr>
          <w:rFonts w:ascii="宋体" w:hAnsi="宋体" w:cs="宋体" w:eastAsia="宋体" w:hint="default"/>
          <w:sz w:val="14"/>
          <w:szCs w:val="14"/>
        </w:rPr>
      </w:pPr>
    </w:p>
    <w:p>
      <w:pPr>
        <w:pStyle w:val="BodyText"/>
        <w:spacing w:line="331" w:lineRule="auto" w:before="0"/>
        <w:ind w:left="694" w:right="5150"/>
        <w:jc w:val="left"/>
        <w:rPr>
          <w:rFonts w:ascii="Times New Roman" w:hAnsi="Times New Roman" w:cs="Times New Roman" w:eastAsia="Times New Roman" w:hint="default"/>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计算过程</w:t>
      </w:r>
      <w:r>
        <w:rPr>
          <w:spacing w:val="-1"/>
          <w:w w:val="99"/>
        </w:rPr>
        <w:t> </w:t>
      </w:r>
      <w:r>
        <w:rPr/>
        <w:t>上述数据采用以下计算公式计算而得：</w:t>
      </w:r>
      <w:r>
        <w:rPr>
          <w:w w:val="99"/>
        </w:rPr>
        <w:t> </w:t>
      </w:r>
      <w:r>
        <w:rPr/>
        <w:t>全面摊薄净资产收益率</w:t>
      </w:r>
      <w:r>
        <w:rPr>
          <w:w w:val="99"/>
        </w:rPr>
        <w:t> </w:t>
      </w:r>
      <w:r>
        <w:rPr/>
        <w:t>全面摊薄净资产收益率</w:t>
      </w:r>
      <w:r>
        <w:rPr>
          <w:rFonts w:ascii="Times New Roman" w:hAnsi="Times New Roman" w:cs="Times New Roman" w:eastAsia="Times New Roman" w:hint="default"/>
        </w:rPr>
        <w:t>=P</w:t>
      </w:r>
      <w:r>
        <w:rPr/>
        <w:t>÷</w:t>
      </w:r>
      <w:r>
        <w:rPr>
          <w:rFonts w:ascii="Times New Roman" w:hAnsi="Times New Roman" w:cs="Times New Roman" w:eastAsia="Times New Roman" w:hint="default"/>
        </w:rPr>
        <w:t>E</w:t>
      </w:r>
    </w:p>
    <w:p>
      <w:pPr>
        <w:pStyle w:val="BodyText"/>
        <w:spacing w:line="326" w:lineRule="auto" w:before="6"/>
        <w:ind w:right="103" w:firstLine="54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22"/>
        </w:rPr>
        <w:t> </w:t>
      </w:r>
      <w:r>
        <w:rPr/>
        <w:t>为归属于公司普通股股东的净利润或扣除非经常性损益后归属于公司普通股股 东的净利润；</w:t>
      </w:r>
      <w:r>
        <w:rPr>
          <w:rFonts w:ascii="Times New Roman" w:hAnsi="Times New Roman" w:cs="Times New Roman" w:eastAsia="Times New Roman" w:hint="default"/>
        </w:rPr>
        <w:t>E</w:t>
      </w:r>
      <w:r>
        <w:rPr>
          <w:rFonts w:ascii="Times New Roman" w:hAnsi="Times New Roman" w:cs="Times New Roman" w:eastAsia="Times New Roman" w:hint="default"/>
          <w:spacing w:val="13"/>
        </w:rPr>
        <w:t> </w:t>
      </w:r>
      <w:r>
        <w:rPr>
          <w:spacing w:val="-4"/>
        </w:rPr>
        <w:t>为归属于公司普通股股东的年末净资产。“归属于公司普通股股东的净利润”</w:t>
      </w:r>
      <w:r>
        <w:rPr/>
        <w:t> </w:t>
      </w:r>
      <w:r>
        <w:rPr>
          <w:spacing w:val="-5"/>
        </w:rPr>
        <w:t>不包括少数股东损益金额；“扣除非经常性损益后归属于公司普通股股东的净利润”以扣除少</w:t>
      </w:r>
      <w:r>
        <w:rPr>
          <w:spacing w:val="-117"/>
        </w:rPr>
        <w:t> </w:t>
      </w:r>
      <w:r>
        <w:rPr>
          <w:spacing w:val="-117"/>
        </w:rPr>
      </w:r>
      <w:r>
        <w:rPr>
          <w:spacing w:val="-5"/>
        </w:rPr>
        <w:t>数股东损益后的合并净利润为基础，扣除母公司非经常性损益（考虑所得税影响）、各子公司</w:t>
      </w:r>
      <w:r>
        <w:rPr/>
        <w:t> </w:t>
      </w:r>
      <w:r>
        <w:rPr>
          <w:spacing w:val="-5"/>
        </w:rPr>
        <w:t>非经常性损益（考虑所得税影响）中母公司普通股股东所占份额；“归属于公司普通股股东的</w:t>
      </w:r>
    </w:p>
    <w:p>
      <w:pPr>
        <w:spacing w:after="0" w:line="326" w:lineRule="auto"/>
        <w:jc w:val="both"/>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26"/>
        <w:ind w:left="694" w:right="5450" w:hanging="540"/>
        <w:jc w:val="left"/>
      </w:pPr>
      <w:r>
        <w:rPr/>
        <w:t>年末净资产”不包括少数股东权益金额。 加权平均净资产收益率</w:t>
      </w:r>
    </w:p>
    <w:p>
      <w:pPr>
        <w:pStyle w:val="BodyText"/>
        <w:spacing w:line="240" w:lineRule="auto" w:before="29"/>
        <w:ind w:left="694" w:right="0"/>
        <w:jc w:val="left"/>
        <w:rPr>
          <w:rFonts w:ascii="Times New Roman" w:hAnsi="Times New Roman" w:cs="Times New Roman" w:eastAsia="Times New Roman" w:hint="default"/>
        </w:rPr>
      </w:pPr>
      <w:r>
        <w:rPr/>
        <w:t>加权平均净资产收益率</w:t>
      </w:r>
      <w:r>
        <w:rPr>
          <w:rFonts w:ascii="Times New Roman" w:hAnsi="Times New Roman" w:cs="Times New Roman" w:eastAsia="Times New Roman" w:hint="default"/>
        </w:rPr>
        <w:t>=P/</w:t>
      </w:r>
      <w:r>
        <w:rPr/>
        <w:t>（</w:t>
      </w:r>
      <w:r>
        <w:rPr>
          <w:rFonts w:ascii="Times New Roman" w:hAnsi="Times New Roman" w:cs="Times New Roman" w:eastAsia="Times New Roman" w:hint="default"/>
        </w:rPr>
        <w:t>E0  </w:t>
      </w:r>
      <w:r>
        <w:rPr/>
        <w:t>＋ </w:t>
      </w:r>
      <w:r>
        <w:rPr>
          <w:rFonts w:ascii="Times New Roman" w:hAnsi="Times New Roman" w:cs="Times New Roman" w:eastAsia="Times New Roman" w:hint="default"/>
        </w:rPr>
        <w:t>NP</w:t>
      </w:r>
      <w:r>
        <w:rPr/>
        <w:t>÷</w:t>
      </w:r>
      <w:r>
        <w:rPr>
          <w:rFonts w:ascii="Times New Roman" w:hAnsi="Times New Roman" w:cs="Times New Roman" w:eastAsia="Times New Roman" w:hint="default"/>
        </w:rPr>
        <w:t>2  </w:t>
      </w:r>
      <w:r>
        <w:rPr/>
        <w:t>＋ </w:t>
      </w:r>
      <w:r>
        <w:rPr>
          <w:rFonts w:ascii="Times New Roman" w:hAnsi="Times New Roman" w:cs="Times New Roman" w:eastAsia="Times New Roman" w:hint="default"/>
        </w:rPr>
        <w:t>Ei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  </w:t>
      </w:r>
      <w:r>
        <w:rPr/>
        <w:t>－</w:t>
      </w:r>
      <w:r>
        <w:rPr>
          <w:spacing w:val="35"/>
        </w:rPr>
        <w:t> </w:t>
      </w:r>
      <w:r>
        <w:rPr>
          <w:rFonts w:ascii="Times New Roman" w:hAnsi="Times New Roman" w:cs="Times New Roman" w:eastAsia="Times New Roman" w:hint="default"/>
        </w:rPr>
        <w:t>Ej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Ek</w:t>
      </w:r>
      <w:r>
        <w:rPr/>
        <w:t>×</w:t>
      </w:r>
      <w:r>
        <w:rPr>
          <w:rFonts w:ascii="Times New Roman" w:hAnsi="Times New Roman" w:cs="Times New Roman" w:eastAsia="Times New Roman" w:hint="default"/>
        </w:rPr>
        <w:t>Mk</w:t>
      </w:r>
    </w:p>
    <w:p>
      <w:pPr>
        <w:pStyle w:val="BodyText"/>
        <w:spacing w:line="240" w:lineRule="auto" w:before="108"/>
        <w:ind w:left="154" w:right="0"/>
        <w:jc w:val="left"/>
      </w:pPr>
      <w:r>
        <w:rPr/>
        <w:t>÷</w:t>
      </w:r>
      <w:r>
        <w:rPr>
          <w:rFonts w:ascii="Times New Roman" w:hAnsi="Times New Roman" w:cs="Times New Roman" w:eastAsia="Times New Roman" w:hint="default"/>
        </w:rPr>
        <w:t>M0</w:t>
      </w:r>
      <w:r>
        <w:rPr/>
        <w:t>）</w:t>
      </w:r>
    </w:p>
    <w:p>
      <w:pPr>
        <w:pStyle w:val="BodyText"/>
        <w:spacing w:line="316" w:lineRule="auto" w:before="108"/>
        <w:ind w:left="154" w:right="151" w:firstLine="54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22"/>
        </w:rPr>
        <w:t> </w:t>
      </w:r>
      <w:r>
        <w:rPr/>
        <w:t>分别对应于归属于公司普通股股东的净利润、扣除非经常性损益后归属于公司 普通股股东的净利润；</w:t>
      </w:r>
      <w:r>
        <w:rPr>
          <w:rFonts w:ascii="Times New Roman" w:hAnsi="Times New Roman" w:cs="Times New Roman" w:eastAsia="Times New Roman" w:hint="default"/>
        </w:rPr>
        <w:t>NP </w:t>
      </w:r>
      <w:r>
        <w:rPr/>
        <w:t>为归属于公司普通股股东的净利润；</w:t>
      </w:r>
      <w:r>
        <w:rPr>
          <w:rFonts w:ascii="Times New Roman" w:hAnsi="Times New Roman" w:cs="Times New Roman" w:eastAsia="Times New Roman" w:hint="default"/>
        </w:rPr>
        <w:t>E0</w:t>
      </w:r>
      <w:r>
        <w:rPr>
          <w:rFonts w:ascii="Times New Roman" w:hAnsi="Times New Roman" w:cs="Times New Roman" w:eastAsia="Times New Roman" w:hint="default"/>
          <w:spacing w:val="2"/>
        </w:rPr>
        <w:t> </w:t>
      </w:r>
      <w:r>
        <w:rPr/>
        <w:t>为归属于公司普通股股东 的年初净资产；</w:t>
      </w:r>
      <w:r>
        <w:rPr>
          <w:rFonts w:ascii="Times New Roman" w:hAnsi="Times New Roman" w:cs="Times New Roman" w:eastAsia="Times New Roman" w:hint="default"/>
        </w:rPr>
        <w:t>Ei</w:t>
      </w:r>
      <w:r>
        <w:rPr>
          <w:rFonts w:ascii="Times New Roman" w:hAnsi="Times New Roman" w:cs="Times New Roman" w:eastAsia="Times New Roman" w:hint="default"/>
          <w:spacing w:val="4"/>
        </w:rPr>
        <w:t> </w:t>
      </w:r>
      <w:r>
        <w:rPr/>
        <w:t>为报告期发行新股或债转股等新增的、归属于公司普通股股东的净资产； </w:t>
      </w:r>
      <w:r>
        <w:rPr>
          <w:rFonts w:ascii="Times New Roman" w:hAnsi="Times New Roman" w:cs="Times New Roman" w:eastAsia="Times New Roman" w:hint="default"/>
        </w:rPr>
        <w:t>Ej </w:t>
      </w:r>
      <w:r>
        <w:rPr/>
        <w:t>为报告期回购或现金分红等减少的、归属于公司普通股股东的净资产；</w:t>
      </w:r>
      <w:r>
        <w:rPr>
          <w:rFonts w:ascii="Times New Roman" w:hAnsi="Times New Roman" w:cs="Times New Roman" w:eastAsia="Times New Roman" w:hint="default"/>
        </w:rPr>
        <w:t>M0</w:t>
      </w:r>
      <w:r>
        <w:rPr>
          <w:rFonts w:ascii="Times New Roman" w:hAnsi="Times New Roman" w:cs="Times New Roman" w:eastAsia="Times New Roman" w:hint="default"/>
          <w:spacing w:val="30"/>
        </w:rPr>
        <w:t> </w:t>
      </w:r>
      <w:r>
        <w:rPr/>
        <w:t>为报告期月份 数；</w:t>
      </w:r>
      <w:r>
        <w:rPr>
          <w:rFonts w:ascii="Times New Roman" w:hAnsi="Times New Roman" w:cs="Times New Roman" w:eastAsia="Times New Roman" w:hint="default"/>
        </w:rPr>
        <w:t>Mi </w:t>
      </w:r>
      <w:r>
        <w:rPr/>
        <w:t>为新增净资产下一月份起至报告期年末的月份数；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15"/>
        </w:rPr>
        <w:t> </w:t>
      </w:r>
      <w:r>
        <w:rPr/>
        <w:t>为减少净资产下一月份起至报 告期年末的月份数；</w:t>
      </w:r>
      <w:r>
        <w:rPr>
          <w:rFonts w:ascii="Times New Roman" w:hAnsi="Times New Roman" w:cs="Times New Roman" w:eastAsia="Times New Roman" w:hint="default"/>
        </w:rPr>
        <w:t>Ek </w:t>
      </w:r>
      <w:r>
        <w:rPr/>
        <w:t>为因其他交易或事项引起的净资产增减变动；</w:t>
      </w:r>
      <w:r>
        <w:rPr>
          <w:rFonts w:ascii="Times New Roman" w:hAnsi="Times New Roman" w:cs="Times New Roman" w:eastAsia="Times New Roman" w:hint="default"/>
        </w:rPr>
        <w:t>Mk</w:t>
      </w:r>
      <w:r>
        <w:rPr>
          <w:rFonts w:ascii="Times New Roman" w:hAnsi="Times New Roman" w:cs="Times New Roman" w:eastAsia="Times New Roman" w:hint="default"/>
          <w:spacing w:val="37"/>
        </w:rPr>
        <w:t> </w:t>
      </w:r>
      <w:r>
        <w:rPr/>
        <w:t>为发生其他净资产 增减变动下一月份起至报告期年末的月份数。</w:t>
      </w:r>
    </w:p>
    <w:p>
      <w:pPr>
        <w:pStyle w:val="BodyText"/>
        <w:spacing w:line="336" w:lineRule="auto" w:before="48"/>
        <w:ind w:left="694" w:right="7148"/>
        <w:jc w:val="left"/>
        <w:rPr>
          <w:rFonts w:ascii="Times New Roman" w:hAnsi="Times New Roman" w:cs="Times New Roman" w:eastAsia="Times New Roman" w:hint="default"/>
        </w:rPr>
      </w:pPr>
      <w:r>
        <w:rPr/>
        <w:t>基本每股收益 基本每股收益</w:t>
      </w:r>
      <w:r>
        <w:rPr>
          <w:rFonts w:ascii="Times New Roman" w:hAnsi="Times New Roman" w:cs="Times New Roman" w:eastAsia="Times New Roman" w:hint="default"/>
        </w:rPr>
        <w:t>=P</w:t>
      </w:r>
      <w:r>
        <w:rPr/>
        <w:t>÷</w:t>
      </w:r>
      <w:r>
        <w:rPr>
          <w:rFonts w:ascii="Times New Roman" w:hAnsi="Times New Roman" w:cs="Times New Roman" w:eastAsia="Times New Roman" w:hint="default"/>
        </w:rPr>
        <w:t>S</w:t>
      </w:r>
    </w:p>
    <w:p>
      <w:pPr>
        <w:pStyle w:val="BodyText"/>
        <w:spacing w:line="240" w:lineRule="auto" w:before="2"/>
        <w:ind w:left="694" w:right="0"/>
        <w:jc w:val="left"/>
        <w:rPr>
          <w:rFonts w:ascii="Times New Roman" w:hAnsi="Times New Roman" w:cs="Times New Roman" w:eastAsia="Times New Roman" w:hint="default"/>
        </w:rPr>
      </w:pPr>
      <w:r>
        <w:rPr>
          <w:rFonts w:ascii="Times New Roman" w:hAnsi="Times New Roman" w:cs="Times New Roman" w:eastAsia="Times New Roman" w:hint="default"/>
        </w:rPr>
        <w:t>S= 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  </w:t>
      </w:r>
      <w:r>
        <w:rPr/>
        <w:t>－</w:t>
      </w:r>
      <w:r>
        <w:rPr>
          <w:spacing w:val="-15"/>
        </w:rPr>
        <w:t> </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p>
    <w:p>
      <w:pPr>
        <w:pStyle w:val="BodyText"/>
        <w:spacing w:line="316" w:lineRule="auto" w:before="107"/>
        <w:ind w:right="151" w:firstLine="54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22"/>
        </w:rPr>
        <w:t> </w:t>
      </w:r>
      <w:r>
        <w:rPr/>
        <w:t>为归属于公司普通股股东的净利润或扣除非经常性损益后归属于普通股股东的 </w:t>
      </w:r>
      <w:r>
        <w:rPr>
          <w:spacing w:val="-5"/>
        </w:rPr>
        <w:t>净利润；</w:t>
      </w:r>
      <w:r>
        <w:rPr>
          <w:rFonts w:ascii="Times New Roman" w:hAnsi="Times New Roman" w:cs="Times New Roman" w:eastAsia="Times New Roman" w:hint="default"/>
          <w:spacing w:val="-5"/>
        </w:rPr>
        <w:t>S </w:t>
      </w:r>
      <w:r>
        <w:rPr/>
        <w:t>为发行在外的普通股加权平均数；</w:t>
      </w:r>
      <w:r>
        <w:rPr>
          <w:rFonts w:ascii="Times New Roman" w:hAnsi="Times New Roman" w:cs="Times New Roman" w:eastAsia="Times New Roman" w:hint="default"/>
        </w:rPr>
        <w:t>S0 </w:t>
      </w:r>
      <w:r>
        <w:rPr>
          <w:spacing w:val="-3"/>
        </w:rPr>
        <w:t>为年初股份总数；</w:t>
      </w:r>
      <w:r>
        <w:rPr>
          <w:rFonts w:ascii="Times New Roman" w:hAnsi="Times New Roman" w:cs="Times New Roman" w:eastAsia="Times New Roman" w:hint="default"/>
          <w:spacing w:val="-3"/>
        </w:rPr>
        <w:t>S1</w:t>
      </w:r>
      <w:r>
        <w:rPr>
          <w:rFonts w:ascii="Times New Roman" w:hAnsi="Times New Roman" w:cs="Times New Roman" w:eastAsia="Times New Roman" w:hint="default"/>
          <w:spacing w:val="-6"/>
        </w:rPr>
        <w:t> </w:t>
      </w:r>
      <w:r>
        <w:rPr/>
        <w:t>为报告期因公积金转增 股本或股票股利分配等增加股份数；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6"/>
        </w:rPr>
        <w:t> </w:t>
      </w:r>
      <w:r>
        <w:rPr/>
        <w:t>为报 告期因回购等减少股份数；</w:t>
      </w:r>
      <w:r>
        <w:rPr>
          <w:rFonts w:ascii="Times New Roman" w:hAnsi="Times New Roman" w:cs="Times New Roman" w:eastAsia="Times New Roman" w:hint="default"/>
        </w:rPr>
        <w:t>Sk</w:t>
      </w:r>
      <w:r>
        <w:rPr>
          <w:rFonts w:ascii="Times New Roman" w:hAnsi="Times New Roman" w:cs="Times New Roman" w:eastAsia="Times New Roman" w:hint="default"/>
          <w:spacing w:val="-17"/>
        </w:rPr>
        <w:t> </w:t>
      </w:r>
      <w:r>
        <w:rPr/>
        <w:t>为报告期缩股数；</w:t>
      </w:r>
      <w:r>
        <w:rPr>
          <w:rFonts w:ascii="Times New Roman" w:hAnsi="Times New Roman" w:cs="Times New Roman" w:eastAsia="Times New Roman" w:hint="default"/>
        </w:rPr>
        <w:t>M0</w:t>
      </w:r>
      <w:r>
        <w:rPr>
          <w:rFonts w:ascii="Times New Roman" w:hAnsi="Times New Roman" w:cs="Times New Roman" w:eastAsia="Times New Roman" w:hint="default"/>
          <w:spacing w:val="-17"/>
        </w:rPr>
        <w:t>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17"/>
        </w:rPr>
        <w:t> </w:t>
      </w:r>
      <w:r>
        <w:rPr/>
        <w:t>为增加股份下一月份 起至报告期年末的月份数；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21"/>
        </w:rPr>
        <w:t> </w:t>
      </w:r>
      <w:r>
        <w:rPr/>
        <w:t>为减少股份下一月份起至报告期年末的月份数。</w:t>
      </w:r>
    </w:p>
    <w:p>
      <w:pPr>
        <w:pStyle w:val="BodyText"/>
        <w:spacing w:line="336" w:lineRule="auto" w:before="23"/>
        <w:ind w:left="694" w:right="150"/>
        <w:jc w:val="left"/>
      </w:pPr>
      <w:r>
        <w:rPr/>
        <w:t>稀释每股收益 稀释每股收益</w:t>
      </w:r>
      <w:r>
        <w:rPr>
          <w:rFonts w:ascii="Times New Roman" w:hAnsi="Times New Roman" w:cs="Times New Roman" w:eastAsia="Times New Roman" w:hint="default"/>
        </w:rPr>
        <w:t>=[P+</w:t>
      </w:r>
      <w:r>
        <w:rPr/>
        <w:t>（已确认为费用的稀释性潜在普通股利息－转换费用）×（</w:t>
      </w:r>
      <w:r>
        <w:rPr>
          <w:rFonts w:ascii="Times New Roman" w:hAnsi="Times New Roman" w:cs="Times New Roman" w:eastAsia="Times New Roman" w:hint="default"/>
        </w:rPr>
        <w:t>1-</w:t>
      </w:r>
      <w:r>
        <w:rPr/>
        <w:t>所得税</w:t>
      </w:r>
    </w:p>
    <w:p>
      <w:pPr>
        <w:pStyle w:val="BodyText"/>
        <w:spacing w:line="319" w:lineRule="auto" w:before="2"/>
        <w:ind w:right="0"/>
        <w:jc w:val="left"/>
      </w:pPr>
      <w:r>
        <w:rPr/>
        <w:t>率）</w:t>
      </w:r>
      <w:r>
        <w:rPr>
          <w:rFonts w:ascii="Times New Roman" w:hAnsi="Times New Roman" w:cs="Times New Roman" w:eastAsia="Times New Roman" w:hint="default"/>
        </w:rPr>
        <w:t>]/</w:t>
      </w:r>
      <w:r>
        <w:rPr/>
        <w:t>（</w:t>
      </w:r>
      <w:r>
        <w:rPr>
          <w:rFonts w:ascii="Times New Roman" w:hAnsi="Times New Roman" w:cs="Times New Roman" w:eastAsia="Times New Roman" w:hint="default"/>
        </w:rPr>
        <w:t>S0 </w:t>
      </w:r>
      <w:r>
        <w:rPr/>
        <w:t>＋ </w:t>
      </w:r>
      <w:r>
        <w:rPr>
          <w:rFonts w:ascii="Times New Roman" w:hAnsi="Times New Roman" w:cs="Times New Roman" w:eastAsia="Times New Roman" w:hint="default"/>
        </w:rPr>
        <w:t>S1 </w:t>
      </w:r>
      <w:r>
        <w:rPr/>
        <w:t>＋ </w:t>
      </w:r>
      <w:r>
        <w:rPr>
          <w:rFonts w:ascii="Times New Roman" w:hAnsi="Times New Roman" w:cs="Times New Roman" w:eastAsia="Times New Roman" w:hint="default"/>
        </w:rPr>
        <w:t>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 </w:t>
      </w:r>
      <w:r>
        <w:rPr/>
        <w:t>－</w:t>
      </w:r>
      <w:r>
        <w:rPr>
          <w:spacing w:val="-6"/>
        </w:rPr>
        <w:t> </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r>
        <w:rPr/>
        <w:t>认股权证、股份期权、可转换债券 等增加的普通股加权平均数）</w:t>
      </w:r>
    </w:p>
    <w:p>
      <w:pPr>
        <w:pStyle w:val="BodyText"/>
        <w:spacing w:line="326" w:lineRule="auto" w:before="46"/>
        <w:ind w:right="148" w:firstLine="54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22"/>
        </w:rPr>
        <w:t> </w:t>
      </w:r>
      <w:r>
        <w:rPr/>
        <w:t>为归属于公司普通股股东的净利润或扣除非经常性损益后归属于公司普通股股 东的净利润。公司在计算稀释每股收益时，已考虑所有稀释性潜在普通股的影响，直至稀释</w:t>
      </w:r>
      <w:r>
        <w:rPr>
          <w:spacing w:val="-83"/>
        </w:rPr>
        <w:t> </w:t>
      </w:r>
      <w:r>
        <w:rPr>
          <w:spacing w:val="-83"/>
        </w:rPr>
      </w:r>
      <w:r>
        <w:rPr/>
        <w:t>每股收益达到最小。</w:t>
      </w:r>
    </w:p>
    <w:p>
      <w:pPr>
        <w:pStyle w:val="BodyText"/>
        <w:spacing w:line="240" w:lineRule="auto" w:before="38"/>
        <w:ind w:left="633" w:right="0"/>
        <w:jc w:val="left"/>
      </w:pPr>
      <w:r>
        <w:rPr/>
        <w:t>十四、补充资料</w:t>
      </w:r>
    </w:p>
    <w:p>
      <w:pPr>
        <w:pStyle w:val="BodyText"/>
        <w:spacing w:line="319" w:lineRule="auto" w:before="126"/>
        <w:ind w:left="573" w:right="133"/>
        <w:jc w:val="left"/>
      </w:pPr>
      <w:r>
        <w:rPr/>
        <w:t>（一）</w:t>
      </w:r>
      <w:r>
        <w:rPr>
          <w:rFonts w:ascii="Times New Roman" w:hAnsi="Times New Roman" w:cs="Times New Roman" w:eastAsia="Times New Roman" w:hint="default"/>
        </w:rPr>
        <w:t>2006 </w:t>
      </w:r>
      <w:r>
        <w:rPr/>
        <w:t>年度合并净利润差异调节 本公司已经按照《公开发行证券的公司信息披露规范问答第 </w:t>
      </w:r>
      <w:r>
        <w:rPr>
          <w:rFonts w:ascii="Times New Roman" w:hAnsi="Times New Roman" w:cs="Times New Roman" w:eastAsia="Times New Roman" w:hint="default"/>
        </w:rPr>
        <w:t>7</w:t>
      </w:r>
      <w:r>
        <w:rPr>
          <w:rFonts w:ascii="Times New Roman" w:hAnsi="Times New Roman" w:cs="Times New Roman" w:eastAsia="Times New Roman" w:hint="default"/>
          <w:spacing w:val="38"/>
        </w:rPr>
        <w:t> </w:t>
      </w:r>
      <w:r>
        <w:rPr/>
        <w:t>号——新旧会计准则过渡</w:t>
      </w:r>
    </w:p>
    <w:p>
      <w:pPr>
        <w:pStyle w:val="BodyText"/>
        <w:spacing w:line="240" w:lineRule="auto" w:before="19"/>
        <w:ind w:right="0"/>
        <w:jc w:val="left"/>
      </w:pPr>
      <w:r>
        <w:rPr/>
        <w:t>期间比较财务会计信息的编制和披露</w:t>
      </w:r>
      <w:r>
        <w:rPr>
          <w:spacing w:val="-120"/>
        </w:rPr>
        <w:t>》</w:t>
      </w:r>
      <w:r>
        <w:rPr/>
        <w:t>（以下简称“第</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19"/>
        </w:rPr>
        <w:t> </w:t>
      </w:r>
      <w:r>
        <w:rPr/>
        <w:t>号规范问答</w:t>
      </w:r>
      <w:r>
        <w:rPr>
          <w:spacing w:val="-120"/>
        </w:rPr>
        <w:t>”</w:t>
      </w:r>
      <w:r>
        <w:rPr/>
        <w:t>）的有关规定编制了调</w:t>
      </w:r>
    </w:p>
    <w:p>
      <w:pPr>
        <w:pStyle w:val="BodyText"/>
        <w:spacing w:line="240" w:lineRule="auto" w:before="108"/>
        <w:ind w:right="0"/>
        <w:jc w:val="left"/>
      </w:pPr>
      <w:r>
        <w:rPr/>
        <w:t>整后的上年同期利润表和 </w:t>
      </w:r>
      <w:r>
        <w:rPr>
          <w:rFonts w:ascii="Times New Roman" w:hAnsi="Times New Roman" w:cs="Times New Roman" w:eastAsia="Times New Roman" w:hint="default"/>
        </w:rPr>
        <w:t>2007</w:t>
      </w:r>
      <w:r>
        <w:rPr>
          <w:rFonts w:ascii="Times New Roman" w:hAnsi="Times New Roman" w:cs="Times New Roman" w:eastAsia="Times New Roman" w:hint="default"/>
          <w:spacing w:val="-34"/>
        </w:rPr>
        <w:t> </w:t>
      </w:r>
      <w:r>
        <w:rPr>
          <w:spacing w:val="-4"/>
        </w:rPr>
        <w:t>年年初资产负债表，对上年同期利润表的追溯调整情况列示如</w:t>
      </w:r>
    </w:p>
    <w:p>
      <w:pPr>
        <w:spacing w:after="0" w:line="240" w:lineRule="auto"/>
        <w:jc w:val="left"/>
        <w:sectPr>
          <w:pgSz w:w="11910" w:h="16840"/>
          <w:pgMar w:header="747" w:footer="1339" w:top="980" w:bottom="15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26"/>
        <w:ind w:left="154" w:right="212"/>
        <w:jc w:val="left"/>
      </w:pPr>
      <w:r>
        <w:rPr/>
        <w:t>下：</w:t>
      </w:r>
    </w:p>
    <w:p>
      <w:pPr>
        <w:spacing w:line="240" w:lineRule="auto" w:before="3"/>
        <w:rPr>
          <w:rFonts w:ascii="宋体" w:hAnsi="宋体" w:cs="宋体" w:eastAsia="宋体" w:hint="default"/>
          <w:sz w:val="11"/>
          <w:szCs w:val="11"/>
        </w:rPr>
      </w:pPr>
    </w:p>
    <w:p>
      <w:pPr>
        <w:tabs>
          <w:tab w:pos="5952" w:val="left" w:leader="none"/>
        </w:tabs>
        <w:spacing w:line="234" w:lineRule="exact" w:before="44"/>
        <w:ind w:left="2477" w:right="21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ab/>
      </w:r>
      <w:r>
        <w:rPr>
          <w:rFonts w:ascii="宋体" w:hAnsi="宋体" w:cs="宋体" w:eastAsia="宋体" w:hint="default"/>
          <w:sz w:val="18"/>
          <w:szCs w:val="18"/>
          <w:u w:val="single" w:color="000000"/>
        </w:rPr>
        <w:t>金  额</w:t>
      </w:r>
      <w:r>
        <w:rPr>
          <w:rFonts w:ascii="宋体" w:hAnsi="宋体" w:cs="宋体" w:eastAsia="宋体" w:hint="default"/>
          <w:sz w:val="18"/>
          <w:szCs w:val="18"/>
        </w:rPr>
      </w:r>
    </w:p>
    <w:p>
      <w:pPr>
        <w:spacing w:line="221" w:lineRule="exact" w:before="0"/>
        <w:ind w:left="3293" w:right="1503" w:firstLine="0"/>
        <w:jc w:val="center"/>
        <w:rPr>
          <w:rFonts w:ascii="宋体" w:hAnsi="宋体" w:cs="宋体" w:eastAsia="宋体" w:hint="default"/>
          <w:sz w:val="18"/>
          <w:szCs w:val="18"/>
        </w:rPr>
      </w:pPr>
      <w:r>
        <w:rPr>
          <w:rFonts w:ascii="宋体"/>
          <w:sz w:val="18"/>
        </w:rPr>
        <w:t>46,411,014.15</w:t>
      </w:r>
    </w:p>
    <w:p>
      <w:pPr>
        <w:spacing w:line="194" w:lineRule="exact" w:before="0"/>
        <w:ind w:left="898"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年度净利润（原会计准则）</w:t>
      </w:r>
    </w:p>
    <w:p>
      <w:pPr>
        <w:spacing w:line="240" w:lineRule="auto" w:before="1"/>
        <w:rPr>
          <w:rFonts w:ascii="宋体" w:hAnsi="宋体" w:cs="宋体" w:eastAsia="宋体" w:hint="default"/>
          <w:sz w:val="8"/>
          <w:szCs w:val="8"/>
        </w:rPr>
      </w:pPr>
    </w:p>
    <w:p>
      <w:pPr>
        <w:spacing w:line="235" w:lineRule="exact" w:before="44"/>
        <w:ind w:left="898" w:right="212" w:firstLine="0"/>
        <w:jc w:val="left"/>
        <w:rPr>
          <w:rFonts w:ascii="宋体" w:hAnsi="宋体" w:cs="宋体" w:eastAsia="宋体" w:hint="default"/>
          <w:sz w:val="18"/>
          <w:szCs w:val="18"/>
        </w:rPr>
      </w:pPr>
      <w:r>
        <w:rPr>
          <w:rFonts w:ascii="宋体" w:hAnsi="宋体" w:cs="宋体" w:eastAsia="宋体" w:hint="default"/>
          <w:sz w:val="18"/>
          <w:szCs w:val="18"/>
        </w:rPr>
        <w:t>追溯调整项目影响合计数</w:t>
      </w:r>
    </w:p>
    <w:p>
      <w:pPr>
        <w:tabs>
          <w:tab w:pos="5682" w:val="left" w:leader="none"/>
        </w:tabs>
        <w:spacing w:line="240" w:lineRule="exact" w:before="0"/>
        <w:ind w:left="892" w:right="212" w:firstLine="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所得税</w:t>
        <w:tab/>
        <w:t>85,717.96</w:t>
      </w:r>
    </w:p>
    <w:p>
      <w:pPr>
        <w:tabs>
          <w:tab w:pos="5592" w:val="left" w:leader="none"/>
        </w:tabs>
        <w:spacing w:line="233" w:lineRule="exact" w:before="0"/>
        <w:ind w:left="892" w:right="212"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长期股权投资差额摊销</w:t>
        <w:tab/>
      </w:r>
      <w:r>
        <w:rPr>
          <w:rFonts w:ascii="宋体" w:hAnsi="宋体" w:cs="宋体" w:eastAsia="宋体" w:hint="default"/>
          <w:sz w:val="18"/>
          <w:szCs w:val="18"/>
        </w:rPr>
        <w:t>327,413.51</w:t>
      </w:r>
    </w:p>
    <w:p>
      <w:pPr>
        <w:tabs>
          <w:tab w:pos="5682" w:val="left" w:leader="none"/>
        </w:tabs>
        <w:spacing w:line="233" w:lineRule="exact" w:before="0"/>
        <w:ind w:left="892"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tab/>
        <w:t>40,900.00</w:t>
      </w:r>
    </w:p>
    <w:p>
      <w:pPr>
        <w:spacing w:line="214" w:lineRule="exact" w:before="0"/>
        <w:ind w:left="3293" w:right="1503" w:firstLine="0"/>
        <w:jc w:val="center"/>
        <w:rPr>
          <w:rFonts w:ascii="宋体" w:hAnsi="宋体" w:cs="宋体" w:eastAsia="宋体" w:hint="default"/>
          <w:sz w:val="18"/>
          <w:szCs w:val="18"/>
        </w:rPr>
      </w:pPr>
      <w:r>
        <w:rPr>
          <w:rFonts w:ascii="宋体"/>
          <w:sz w:val="18"/>
        </w:rPr>
        <w:t>46,865,045.62</w:t>
      </w:r>
    </w:p>
    <w:p>
      <w:pPr>
        <w:spacing w:line="194" w:lineRule="exact" w:before="0"/>
        <w:ind w:left="898"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年度净利润（新会计准则）</w:t>
      </w:r>
    </w:p>
    <w:p>
      <w:pPr>
        <w:spacing w:line="240" w:lineRule="auto" w:before="2"/>
        <w:rPr>
          <w:rFonts w:ascii="宋体" w:hAnsi="宋体" w:cs="宋体" w:eastAsia="宋体" w:hint="default"/>
          <w:sz w:val="8"/>
          <w:szCs w:val="8"/>
        </w:rPr>
      </w:pPr>
    </w:p>
    <w:p>
      <w:pPr>
        <w:spacing w:before="44"/>
        <w:ind w:left="898" w:right="212" w:firstLine="0"/>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w:t>
      </w:r>
    </w:p>
    <w:p>
      <w:pPr>
        <w:spacing w:line="240" w:lineRule="auto" w:before="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1339" w:top="980" w:bottom="1520" w:left="980" w:right="900"/>
        </w:sectPr>
      </w:pPr>
    </w:p>
    <w:p>
      <w:pPr>
        <w:spacing w:before="44"/>
        <w:ind w:left="898" w:right="-20" w:firstLine="0"/>
        <w:jc w:val="left"/>
        <w:rPr>
          <w:rFonts w:ascii="宋体" w:hAnsi="宋体" w:cs="宋体" w:eastAsia="宋体" w:hint="default"/>
          <w:sz w:val="18"/>
          <w:szCs w:val="18"/>
        </w:rPr>
      </w:pPr>
      <w:r>
        <w:rPr>
          <w:rFonts w:ascii="宋体" w:hAnsi="宋体" w:cs="宋体" w:eastAsia="宋体" w:hint="default"/>
          <w:sz w:val="18"/>
          <w:szCs w:val="18"/>
        </w:rPr>
        <w:t>其他项目影响合计数</w:t>
      </w:r>
    </w:p>
    <w:p>
      <w:pPr>
        <w:spacing w:line="240" w:lineRule="auto" w:before="7"/>
        <w:rPr>
          <w:rFonts w:ascii="宋体" w:hAnsi="宋体" w:cs="宋体" w:eastAsia="宋体" w:hint="default"/>
          <w:sz w:val="12"/>
          <w:szCs w:val="12"/>
        </w:rPr>
      </w:pPr>
    </w:p>
    <w:p>
      <w:pPr>
        <w:spacing w:before="0"/>
        <w:ind w:left="892" w:right="-20" w:firstLine="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  </w:t>
      </w:r>
      <w:r>
        <w:rPr>
          <w:rFonts w:ascii="宋体" w:hAnsi="宋体" w:cs="宋体" w:eastAsia="宋体" w:hint="default"/>
          <w:sz w:val="18"/>
          <w:szCs w:val="18"/>
        </w:rPr>
        <w:t>福利费按实际发生额进行核算</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892" w:right="0" w:firstLine="0"/>
        <w:jc w:val="left"/>
        <w:rPr>
          <w:rFonts w:ascii="宋体" w:hAnsi="宋体" w:cs="宋体" w:eastAsia="宋体" w:hint="default"/>
          <w:sz w:val="18"/>
          <w:szCs w:val="18"/>
        </w:rPr>
      </w:pPr>
      <w:r>
        <w:rPr>
          <w:rFonts w:ascii="宋体"/>
          <w:sz w:val="18"/>
        </w:rPr>
        <w:t>-194,750.05</w:t>
      </w:r>
    </w:p>
    <w:p>
      <w:pPr>
        <w:spacing w:after="0"/>
        <w:jc w:val="left"/>
        <w:rPr>
          <w:rFonts w:ascii="宋体" w:hAnsi="宋体" w:cs="宋体" w:eastAsia="宋体" w:hint="default"/>
          <w:sz w:val="18"/>
          <w:szCs w:val="18"/>
        </w:rPr>
        <w:sectPr>
          <w:type w:val="continuous"/>
          <w:pgSz w:w="11910" w:h="16840"/>
          <w:pgMar w:top="980" w:bottom="1520" w:left="980" w:right="900"/>
          <w:cols w:num="2" w:equalWidth="0">
            <w:col w:w="3953" w:space="658"/>
            <w:col w:w="5419"/>
          </w:cols>
        </w:sectPr>
      </w:pPr>
    </w:p>
    <w:p>
      <w:pPr>
        <w:tabs>
          <w:tab w:pos="5322" w:val="left" w:leader="none"/>
        </w:tabs>
        <w:spacing w:before="67"/>
        <w:ind w:left="1468" w:right="212" w:firstLine="0"/>
        <w:jc w:val="left"/>
        <w:rPr>
          <w:rFonts w:ascii="宋体" w:hAnsi="宋体" w:cs="宋体" w:eastAsia="宋体" w:hint="default"/>
          <w:sz w:val="18"/>
          <w:szCs w:val="18"/>
        </w:rPr>
      </w:pPr>
      <w:r>
        <w:rPr>
          <w:rFonts w:ascii="Times New Roman" w:hAnsi="Times New Roman" w:cs="Times New Roman" w:eastAsia="Times New Roman" w:hint="default"/>
          <w:position w:val="-7"/>
          <w:sz w:val="18"/>
          <w:szCs w:val="18"/>
        </w:rPr>
        <w:t>2  </w:t>
      </w:r>
      <w:r>
        <w:rPr>
          <w:rFonts w:ascii="宋体" w:hAnsi="宋体" w:cs="宋体" w:eastAsia="宋体" w:hint="default"/>
          <w:position w:val="-7"/>
          <w:sz w:val="18"/>
          <w:szCs w:val="18"/>
        </w:rPr>
        <w:t>调整装修费用</w:t>
        <w:tab/>
      </w:r>
      <w:r>
        <w:rPr>
          <w:rFonts w:ascii="宋体" w:hAnsi="宋体" w:cs="宋体" w:eastAsia="宋体" w:hint="default"/>
          <w:sz w:val="18"/>
          <w:szCs w:val="18"/>
        </w:rPr>
        <w:t>-2,611,590.35</w:t>
      </w:r>
    </w:p>
    <w:p>
      <w:pPr>
        <w:tabs>
          <w:tab w:pos="5502" w:val="left" w:leader="none"/>
        </w:tabs>
        <w:spacing w:line="323" w:lineRule="exact" w:before="70"/>
        <w:ind w:left="898" w:right="212" w:firstLine="0"/>
        <w:jc w:val="left"/>
        <w:rPr>
          <w:rFonts w:ascii="宋体" w:hAnsi="宋体" w:cs="宋体" w:eastAsia="宋体" w:hint="default"/>
          <w:sz w:val="18"/>
          <w:szCs w:val="18"/>
        </w:rPr>
      </w:pPr>
      <w:r>
        <w:rPr>
          <w:rFonts w:ascii="宋体" w:hAnsi="宋体" w:cs="宋体" w:eastAsia="宋体" w:hint="default"/>
          <w:position w:val="-7"/>
          <w:sz w:val="18"/>
          <w:szCs w:val="18"/>
        </w:rPr>
        <w:t>减</w:t>
      </w:r>
      <w:r>
        <w:rPr>
          <w:rFonts w:ascii="Times New Roman" w:hAnsi="Times New Roman" w:cs="Times New Roman" w:eastAsia="Times New Roman" w:hint="default"/>
          <w:position w:val="-7"/>
          <w:sz w:val="18"/>
          <w:szCs w:val="18"/>
        </w:rPr>
        <w:t>:</w:t>
      </w:r>
      <w:r>
        <w:rPr>
          <w:rFonts w:ascii="宋体" w:hAnsi="宋体" w:cs="宋体" w:eastAsia="宋体" w:hint="default"/>
          <w:position w:val="-7"/>
          <w:sz w:val="18"/>
          <w:szCs w:val="18"/>
        </w:rPr>
        <w:t>少数股东损益</w:t>
        <w:tab/>
      </w:r>
      <w:r>
        <w:rPr>
          <w:rFonts w:ascii="宋体" w:hAnsi="宋体" w:cs="宋体" w:eastAsia="宋体" w:hint="default"/>
          <w:sz w:val="18"/>
          <w:szCs w:val="18"/>
        </w:rPr>
        <w:t>-159,538.23</w:t>
      </w:r>
    </w:p>
    <w:p>
      <w:pPr>
        <w:spacing w:line="216" w:lineRule="exact" w:before="0"/>
        <w:ind w:left="3293" w:right="1503" w:firstLine="0"/>
        <w:jc w:val="center"/>
        <w:rPr>
          <w:rFonts w:ascii="宋体" w:hAnsi="宋体" w:cs="宋体" w:eastAsia="宋体" w:hint="default"/>
          <w:sz w:val="18"/>
          <w:szCs w:val="18"/>
        </w:rPr>
      </w:pPr>
      <w:r>
        <w:rPr>
          <w:rFonts w:ascii="宋体"/>
          <w:sz w:val="18"/>
        </w:rPr>
        <w:t>44,218,243.45</w:t>
      </w:r>
    </w:p>
    <w:p>
      <w:pPr>
        <w:spacing w:line="194" w:lineRule="exact" w:before="0"/>
        <w:ind w:left="898"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年度全面模拟新会计准则净利润</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26"/>
        <w:ind w:left="574" w:right="212"/>
        <w:jc w:val="left"/>
      </w:pPr>
      <w:r>
        <w:rPr/>
        <w:t>（二）</w:t>
      </w:r>
      <w:r>
        <w:rPr>
          <w:rFonts w:ascii="Times New Roman" w:hAnsi="Times New Roman" w:cs="Times New Roman" w:eastAsia="Times New Roman" w:hint="default"/>
        </w:rPr>
        <w:t>2007 </w:t>
      </w:r>
      <w:r>
        <w:rPr/>
        <w:t>年初合并股东权益差异调节</w:t>
      </w:r>
    </w:p>
    <w:p>
      <w:pPr>
        <w:pStyle w:val="BodyText"/>
        <w:spacing w:line="316" w:lineRule="auto" w:before="108"/>
        <w:ind w:right="97" w:firstLine="420"/>
        <w:jc w:val="left"/>
      </w:pPr>
      <w:r>
        <w:rPr/>
        <w:t>本公司按照《企业会计准则第</w:t>
      </w:r>
      <w:r>
        <w:rPr>
          <w:spacing w:val="-66"/>
        </w:rPr>
        <w:t> </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t>号——首次执行企业会计准则》和《企业会计准则解释 第 </w:t>
      </w:r>
      <w:r>
        <w:rPr>
          <w:rFonts w:ascii="Times New Roman" w:hAnsi="Times New Roman" w:cs="Times New Roman" w:eastAsia="Times New Roman" w:hint="default"/>
        </w:rPr>
        <w:t>1 </w:t>
      </w:r>
      <w:r>
        <w:rPr>
          <w:spacing w:val="-11"/>
        </w:rPr>
        <w:t>号》（财会〔</w:t>
      </w:r>
      <w:r>
        <w:rPr>
          <w:rFonts w:ascii="Times New Roman" w:hAnsi="Times New Roman" w:cs="Times New Roman" w:eastAsia="Times New Roman" w:hint="default"/>
          <w:spacing w:val="-11"/>
        </w:rPr>
        <w:t>2007</w:t>
      </w:r>
      <w:r>
        <w:rPr>
          <w:spacing w:val="-11"/>
        </w:rPr>
        <w:t>〕</w:t>
      </w:r>
      <w:r>
        <w:rPr>
          <w:rFonts w:ascii="Times New Roman" w:hAnsi="Times New Roman" w:cs="Times New Roman" w:eastAsia="Times New Roman" w:hint="default"/>
          <w:spacing w:val="-11"/>
        </w:rPr>
        <w:t>14</w:t>
      </w:r>
      <w:r>
        <w:rPr>
          <w:rFonts w:ascii="Times New Roman" w:hAnsi="Times New Roman" w:cs="Times New Roman" w:eastAsia="Times New Roman" w:hint="default"/>
          <w:spacing w:val="-34"/>
        </w:rPr>
        <w:t> </w:t>
      </w:r>
      <w:r>
        <w:rPr>
          <w:spacing w:val="-1"/>
        </w:rPr>
        <w:t>号）的要求，对年初所有者权益的调节过程以及做出修正的项目、</w:t>
      </w:r>
      <w:r>
        <w:rPr/>
        <w:t> 影响金额及其原因列示如下：</w:t>
      </w:r>
    </w:p>
    <w:p>
      <w:pPr>
        <w:pStyle w:val="BodyText"/>
        <w:spacing w:line="240" w:lineRule="auto" w:before="49"/>
        <w:ind w:left="2573" w:right="212"/>
        <w:jc w:val="left"/>
      </w:pPr>
      <w:r>
        <w:rPr/>
        <w:t>新旧会计准则股东权益差异调节表对比披露表</w:t>
      </w:r>
    </w:p>
    <w:p>
      <w:pPr>
        <w:spacing w:line="240" w:lineRule="auto" w:before="2"/>
        <w:rPr>
          <w:rFonts w:ascii="宋体" w:hAnsi="宋体" w:cs="宋体" w:eastAsia="宋体" w:hint="default"/>
          <w:sz w:val="4"/>
          <w:szCs w:val="4"/>
        </w:rPr>
      </w:pPr>
    </w:p>
    <w:p>
      <w:pPr>
        <w:spacing w:line="30" w:lineRule="exact"/>
        <w:ind w:left="29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7.4pt;height:1.5pt;mso-position-horizontal-relative:char;mso-position-vertical-relative:line" coordorigin="0,0" coordsize="9348,30">
            <v:group style="position:absolute;left:15;top:15;width:9318;height:2" coordorigin="15,15" coordsize="9318,2">
              <v:shape style="position:absolute;left:15;top:15;width:9318;height:2" coordorigin="15,15" coordsize="9318,0" path="m15,15l9333,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980" w:bottom="1520" w:left="980" w:right="900"/>
        </w:sectPr>
      </w:pPr>
    </w:p>
    <w:p>
      <w:pPr>
        <w:spacing w:line="240" w:lineRule="auto" w:before="9"/>
        <w:rPr>
          <w:rFonts w:ascii="宋体" w:hAnsi="宋体" w:cs="宋体" w:eastAsia="宋体" w:hint="default"/>
          <w:sz w:val="18"/>
          <w:szCs w:val="18"/>
        </w:rPr>
      </w:pPr>
    </w:p>
    <w:p>
      <w:pPr>
        <w:tabs>
          <w:tab w:pos="2135" w:val="left" w:leader="none"/>
        </w:tabs>
        <w:spacing w:before="0"/>
        <w:ind w:left="462" w:right="-17" w:firstLine="0"/>
        <w:jc w:val="left"/>
        <w:rPr>
          <w:rFonts w:ascii="宋体" w:hAnsi="宋体" w:cs="宋体" w:eastAsia="宋体" w:hint="default"/>
          <w:sz w:val="18"/>
          <w:szCs w:val="18"/>
        </w:rPr>
      </w:pPr>
      <w:r>
        <w:rPr/>
        <w:pict>
          <v:group style="position:absolute;margin-left:276.179993pt;margin-top:2.112003pt;width:38.25pt;height:.1pt;mso-position-horizontal-relative:page;mso-position-vertical-relative:paragraph;z-index:-419968" coordorigin="5524,42" coordsize="765,2">
            <v:shape style="position:absolute;left:5524;top:42;width:765;height:2" coordorigin="5524,42" coordsize="765,0" path="m5524,42l6288,42e" filled="false" stroked="true" strokeweight=".48001pt" strokecolor="#000000">
              <v:path arrowok="t"/>
            </v:shape>
            <w10:wrap type="none"/>
          </v:group>
        </w:pict>
      </w:r>
      <w:r>
        <w:rPr/>
        <w:pict>
          <v:group style="position:absolute;margin-left:338.339996pt;margin-top:2.112003pt;width:56.25pt;height:.1pt;mso-position-horizontal-relative:page;mso-position-vertical-relative:paragraph;z-index:-419920" coordorigin="6767,42" coordsize="1125,2">
            <v:shape style="position:absolute;left:6767;top:42;width:1125;height:2" coordorigin="6767,42" coordsize="1125,0" path="m6767,42l7891,42e" filled="false" stroked="true" strokeweight=".48001pt" strokecolor="#000000">
              <v:path arrowok="t"/>
            </v:shape>
            <w10:wrap type="none"/>
          </v:group>
        </w:pict>
      </w:r>
      <w:r>
        <w:rPr>
          <w:rFonts w:ascii="宋体" w:hAnsi="宋体" w:cs="宋体" w:eastAsia="宋体" w:hint="default"/>
          <w:sz w:val="18"/>
          <w:szCs w:val="18"/>
        </w:rPr>
        <w:t>编号</w:t>
        <w:tab/>
        <w:t>项目名称</w:t>
      </w:r>
    </w:p>
    <w:p>
      <w:pPr>
        <w:tabs>
          <w:tab w:pos="2130" w:val="left" w:leader="none"/>
        </w:tabs>
        <w:spacing w:line="20" w:lineRule="exact"/>
        <w:ind w:left="457"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7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p>
    <w:p>
      <w:pPr>
        <w:spacing w:line="240" w:lineRule="auto" w:before="11"/>
        <w:rPr>
          <w:rFonts w:ascii="宋体" w:hAnsi="宋体" w:cs="宋体" w:eastAsia="宋体" w:hint="default"/>
          <w:sz w:val="15"/>
          <w:szCs w:val="15"/>
        </w:rPr>
      </w:pPr>
    </w:p>
    <w:p>
      <w:pPr>
        <w:spacing w:before="0"/>
        <w:ind w:left="1122" w:right="-17" w:firstLine="0"/>
        <w:jc w:val="left"/>
        <w:rPr>
          <w:rFonts w:ascii="宋体" w:hAnsi="宋体" w:cs="宋体" w:eastAsia="宋体" w:hint="default"/>
          <w:sz w:val="18"/>
          <w:szCs w:val="18"/>
        </w:rPr>
      </w:pPr>
      <w:r>
        <w:rPr/>
        <w:pict>
          <v:group style="position:absolute;margin-left:63.75pt;margin-top:-1.2477pt;width:467.4pt;height:2.8pt;mso-position-horizontal-relative:page;mso-position-vertical-relative:paragraph;z-index:-419944" coordorigin="1275,-25" coordsize="9348,56">
            <v:group style="position:absolute;left:5524;top:-20;width:540;height:2" coordorigin="5524,-20" coordsize="540,2">
              <v:shape style="position:absolute;left:5524;top:-20;width:540;height:2" coordorigin="5524,-20" coordsize="540,0" path="m5524,-20l6064,-20e" filled="false" stroked="true" strokeweight=".48001pt" strokecolor="#000000">
                <v:path arrowok="t"/>
              </v:shape>
            </v:group>
            <v:group style="position:absolute;left:7150;top:-20;width:360;height:2" coordorigin="7150,-20" coordsize="360,2">
              <v:shape style="position:absolute;left:7150;top:-20;width:360;height:2" coordorigin="7150,-20" coordsize="360,0" path="m7150,-20l7510,-20e" filled="false" stroked="true" strokeweight=".48001pt" strokecolor="#000000">
                <v:path arrowok="t"/>
              </v:shape>
            </v:group>
            <v:group style="position:absolute;left:1290;top:15;width:9318;height:2" coordorigin="1290,15" coordsize="9318,2">
              <v:shape style="position:absolute;left:1290;top:15;width:9318;height:2" coordorigin="1290,15" coordsize="9318,0" path="m1290,15l10608,15e" filled="false" stroked="true" strokeweight="1.5pt" strokecolor="#000000">
                <v:path arrowok="t"/>
              </v:shape>
            </v:group>
            <w10:wrap type="none"/>
          </v:group>
        </w:pic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日股东权益（原会</w:t>
      </w:r>
    </w:p>
    <w:p>
      <w:pPr>
        <w:spacing w:line="408" w:lineRule="auto" w:before="44"/>
        <w:ind w:left="46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年报</w:t>
      </w:r>
      <w:r>
        <w:rPr>
          <w:rFonts w:ascii="宋体" w:hAnsi="宋体" w:cs="宋体" w:eastAsia="宋体" w:hint="default"/>
          <w:sz w:val="18"/>
          <w:szCs w:val="18"/>
        </w:rPr>
        <w:t> 披露数</w:t>
      </w:r>
    </w:p>
    <w:p>
      <w:pPr>
        <w:spacing w:line="408" w:lineRule="auto" w:before="44"/>
        <w:ind w:left="821" w:right="-19" w:hanging="383"/>
        <w:jc w:val="left"/>
        <w:rPr>
          <w:rFonts w:ascii="宋体" w:hAnsi="宋体" w:cs="宋体" w:eastAsia="宋体" w:hint="default"/>
          <w:sz w:val="18"/>
          <w:szCs w:val="18"/>
        </w:rPr>
      </w:pPr>
      <w:r>
        <w:rPr/>
        <w:br w:type="column"/>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年报原披</w:t>
      </w:r>
      <w:r>
        <w:rPr>
          <w:rFonts w:ascii="宋体" w:hAnsi="宋体" w:cs="宋体" w:eastAsia="宋体" w:hint="default"/>
          <w:sz w:val="18"/>
          <w:szCs w:val="18"/>
        </w:rPr>
        <w:t> 露数</w:t>
      </w:r>
    </w:p>
    <w:p>
      <w:pPr>
        <w:spacing w:line="240" w:lineRule="auto" w:before="9"/>
        <w:rPr>
          <w:rFonts w:ascii="宋体" w:hAnsi="宋体" w:cs="宋体" w:eastAsia="宋体" w:hint="default"/>
          <w:sz w:val="18"/>
          <w:szCs w:val="18"/>
        </w:rPr>
      </w:pPr>
      <w:r>
        <w:rPr/>
        <w:br w:type="column"/>
      </w:r>
      <w:r>
        <w:rPr>
          <w:rFonts w:ascii="宋体"/>
          <w:sz w:val="18"/>
        </w:rPr>
      </w:r>
    </w:p>
    <w:p>
      <w:pPr>
        <w:tabs>
          <w:tab w:pos="1556" w:val="left" w:leader="none"/>
        </w:tabs>
        <w:spacing w:before="0"/>
        <w:ind w:left="462" w:right="0" w:firstLine="0"/>
        <w:jc w:val="left"/>
        <w:rPr>
          <w:rFonts w:ascii="宋体" w:hAnsi="宋体" w:cs="宋体" w:eastAsia="宋体" w:hint="default"/>
          <w:sz w:val="18"/>
          <w:szCs w:val="18"/>
        </w:rPr>
      </w:pPr>
      <w:r>
        <w:rPr/>
        <w:pict>
          <v:group style="position:absolute;margin-left:429pt;margin-top:12.131835pt;width:18pt;height:.1pt;mso-position-horizontal-relative:page;mso-position-vertical-relative:paragraph;z-index:2704" coordorigin="8580,243" coordsize="360,2">
            <v:shape style="position:absolute;left:8580;top:243;width:360;height:2" coordorigin="8580,243" coordsize="360,0" path="m8580,243l8940,243e" filled="false" stroked="true" strokeweight=".47998pt" strokecolor="#000000">
              <v:path arrowok="t"/>
            </v:shape>
            <w10:wrap type="none"/>
          </v:group>
        </w:pict>
      </w:r>
      <w:r>
        <w:rPr/>
        <w:pict>
          <v:group style="position:absolute;margin-left:483.720001pt;margin-top:12.131835pt;width:36pt;height:.1pt;mso-position-horizontal-relative:page;mso-position-vertical-relative:paragraph;z-index:2728" coordorigin="9674,243" coordsize="720,2">
            <v:shape style="position:absolute;left:9674;top:243;width:720;height:2" coordorigin="9674,243" coordsize="720,0" path="m9674,243l10394,243e" filled="false" stroked="true" strokeweight=".47998pt" strokecolor="#000000">
              <v:path arrowok="t"/>
            </v:shape>
            <w10:wrap type="none"/>
          </v:group>
        </w:pict>
      </w:r>
      <w:r>
        <w:rPr>
          <w:rFonts w:ascii="宋体" w:hAnsi="宋体" w:cs="宋体" w:eastAsia="宋体" w:hint="default"/>
          <w:sz w:val="18"/>
          <w:szCs w:val="18"/>
        </w:rPr>
        <w:t>差异</w:t>
        <w:tab/>
        <w:t>原因说明</w:t>
      </w:r>
    </w:p>
    <w:p>
      <w:pPr>
        <w:spacing w:after="0"/>
        <w:jc w:val="left"/>
        <w:rPr>
          <w:rFonts w:ascii="宋体" w:hAnsi="宋体" w:cs="宋体" w:eastAsia="宋体" w:hint="default"/>
          <w:sz w:val="18"/>
          <w:szCs w:val="18"/>
        </w:rPr>
        <w:sectPr>
          <w:type w:val="continuous"/>
          <w:pgSz w:w="11910" w:h="16840"/>
          <w:pgMar w:top="980" w:bottom="1520" w:left="980" w:right="900"/>
          <w:cols w:num="4" w:equalWidth="0">
            <w:col w:w="3867" w:space="214"/>
            <w:col w:w="1227" w:space="40"/>
            <w:col w:w="1564" w:space="226"/>
            <w:col w:w="2892"/>
          </w:cols>
        </w:sectPr>
      </w:pPr>
    </w:p>
    <w:p>
      <w:pPr>
        <w:tabs>
          <w:tab w:pos="4183" w:val="left" w:leader="none"/>
          <w:tab w:pos="5719" w:val="left" w:leader="none"/>
          <w:tab w:pos="7735" w:val="left" w:leader="none"/>
        </w:tabs>
        <w:spacing w:line="233" w:lineRule="exact" w:before="0"/>
        <w:ind w:left="2135" w:right="-20" w:firstLine="0"/>
        <w:jc w:val="left"/>
        <w:rPr>
          <w:rFonts w:ascii="宋体" w:hAnsi="宋体" w:cs="宋体" w:eastAsia="宋体" w:hint="default"/>
          <w:sz w:val="18"/>
          <w:szCs w:val="18"/>
        </w:rPr>
      </w:pPr>
      <w:r>
        <w:rPr>
          <w:rFonts w:ascii="宋体" w:hAnsi="宋体" w:cs="宋体" w:eastAsia="宋体" w:hint="default"/>
          <w:sz w:val="18"/>
          <w:szCs w:val="18"/>
        </w:rPr>
        <w:t>计准则）</w:t>
        <w:tab/>
        <w:t>137,423,297.73</w:t>
        <w:tab/>
        <w:t>137,423,297.73</w:t>
        <w:tab/>
        <w:t>-</w:t>
      </w:r>
    </w:p>
    <w:p>
      <w:pPr>
        <w:spacing w:line="240" w:lineRule="auto" w:before="10"/>
        <w:rPr>
          <w:rFonts w:ascii="宋体" w:hAnsi="宋体" w:cs="宋体" w:eastAsia="宋体" w:hint="default"/>
          <w:sz w:val="17"/>
          <w:szCs w:val="17"/>
        </w:rPr>
      </w:pPr>
    </w:p>
    <w:p>
      <w:pPr>
        <w:tabs>
          <w:tab w:pos="7195" w:val="left" w:leader="none"/>
        </w:tabs>
        <w:spacing w:line="234" w:lineRule="exact" w:before="0"/>
        <w:ind w:left="4228" w:right="-20" w:firstLine="0"/>
        <w:jc w:val="left"/>
        <w:rPr>
          <w:rFonts w:ascii="宋体" w:hAnsi="宋体" w:cs="宋体" w:eastAsia="宋体" w:hint="default"/>
          <w:sz w:val="18"/>
          <w:szCs w:val="18"/>
        </w:rPr>
      </w:pPr>
      <w:r>
        <w:rPr>
          <w:rFonts w:ascii="宋体"/>
          <w:sz w:val="18"/>
        </w:rPr>
        <w:t>-9,494,991.67</w:t>
        <w:tab/>
        <w:t>-9,494,991.67</w:t>
      </w:r>
    </w:p>
    <w:p>
      <w:pPr>
        <w:tabs>
          <w:tab w:pos="1082" w:val="left" w:leader="none"/>
        </w:tabs>
        <w:spacing w:line="248" w:lineRule="exact" w:before="0"/>
        <w:ind w:left="596"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长期股权投资差额</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line="234" w:lineRule="exact" w:before="0"/>
        <w:ind w:left="1082" w:right="-20" w:firstLine="0"/>
        <w:jc w:val="left"/>
        <w:rPr>
          <w:rFonts w:ascii="宋体" w:hAnsi="宋体" w:cs="宋体" w:eastAsia="宋体" w:hint="default"/>
          <w:sz w:val="18"/>
          <w:szCs w:val="18"/>
        </w:rPr>
      </w:pPr>
      <w:r>
        <w:rPr>
          <w:rFonts w:ascii="宋体" w:hAnsi="宋体" w:cs="宋体" w:eastAsia="宋体" w:hint="default"/>
          <w:spacing w:val="-4"/>
          <w:sz w:val="18"/>
          <w:szCs w:val="18"/>
        </w:rPr>
        <w:t>其中：同一控制下企业合并形成的长</w:t>
      </w:r>
    </w:p>
    <w:p>
      <w:pPr>
        <w:tabs>
          <w:tab w:pos="4227" w:val="left" w:leader="none"/>
          <w:tab w:pos="7195" w:val="left" w:leader="none"/>
        </w:tabs>
        <w:spacing w:line="233" w:lineRule="exact" w:before="0"/>
        <w:ind w:left="1082" w:right="-20" w:firstLine="0"/>
        <w:jc w:val="left"/>
        <w:rPr>
          <w:rFonts w:ascii="宋体" w:hAnsi="宋体" w:cs="宋体" w:eastAsia="宋体" w:hint="default"/>
          <w:sz w:val="18"/>
          <w:szCs w:val="18"/>
        </w:rPr>
      </w:pPr>
      <w:r>
        <w:rPr>
          <w:rFonts w:ascii="宋体" w:hAnsi="宋体" w:cs="宋体" w:eastAsia="宋体" w:hint="default"/>
          <w:sz w:val="18"/>
          <w:szCs w:val="18"/>
        </w:rPr>
        <w:t>期股权投资差额</w:t>
        <w:tab/>
        <w:t>-9,494,991.67</w:t>
        <w:tab/>
        <w:t>-9,494,991.67</w:t>
      </w:r>
    </w:p>
    <w:p>
      <w:pPr>
        <w:spacing w:line="233" w:lineRule="exact" w:before="0"/>
        <w:ind w:left="1622" w:right="-20" w:firstLine="0"/>
        <w:jc w:val="left"/>
        <w:rPr>
          <w:rFonts w:ascii="宋体" w:hAnsi="宋体" w:cs="宋体" w:eastAsia="宋体" w:hint="default"/>
          <w:sz w:val="18"/>
          <w:szCs w:val="18"/>
        </w:rPr>
      </w:pPr>
      <w:r>
        <w:rPr>
          <w:rFonts w:ascii="宋体" w:hAnsi="宋体" w:cs="宋体" w:eastAsia="宋体" w:hint="default"/>
          <w:spacing w:val="9"/>
          <w:sz w:val="18"/>
          <w:szCs w:val="18"/>
        </w:rPr>
        <w:t>其他采用权益法核算的长期</w:t>
      </w:r>
    </w:p>
    <w:p>
      <w:pPr>
        <w:tabs>
          <w:tab w:pos="7735" w:val="left" w:leader="none"/>
        </w:tabs>
        <w:spacing w:line="233" w:lineRule="exact" w:before="0"/>
        <w:ind w:left="1082" w:right="-20" w:firstLine="0"/>
        <w:jc w:val="left"/>
        <w:rPr>
          <w:rFonts w:ascii="宋体" w:hAnsi="宋体" w:cs="宋体" w:eastAsia="宋体" w:hint="default"/>
          <w:sz w:val="18"/>
          <w:szCs w:val="18"/>
        </w:rPr>
      </w:pPr>
      <w:r>
        <w:rPr>
          <w:rFonts w:ascii="宋体" w:hAnsi="宋体" w:cs="宋体" w:eastAsia="宋体" w:hint="default"/>
          <w:sz w:val="18"/>
          <w:szCs w:val="18"/>
        </w:rPr>
        <w:t>股权投资贷方差额</w:t>
        <w:tab/>
        <w:t>-</w:t>
      </w:r>
    </w:p>
    <w:p>
      <w:pPr>
        <w:spacing w:line="177" w:lineRule="exact" w:before="0"/>
        <w:ind w:left="1082" w:right="-20" w:firstLine="0"/>
        <w:jc w:val="left"/>
        <w:rPr>
          <w:rFonts w:ascii="宋体" w:hAnsi="宋体" w:cs="宋体" w:eastAsia="宋体" w:hint="default"/>
          <w:sz w:val="18"/>
          <w:szCs w:val="18"/>
        </w:rPr>
      </w:pPr>
      <w:r>
        <w:rPr>
          <w:rFonts w:ascii="宋体" w:hAnsi="宋体" w:cs="宋体" w:eastAsia="宋体" w:hint="default"/>
          <w:spacing w:val="8"/>
          <w:sz w:val="18"/>
          <w:szCs w:val="18"/>
        </w:rPr>
        <w:t>拟以公允价值模式计量的投资性房</w:t>
      </w:r>
      <w:r>
        <w:rPr>
          <w:rFonts w:ascii="宋体" w:hAnsi="宋体" w:cs="宋体" w:eastAsia="宋体" w:hint="default"/>
          <w:sz w:val="18"/>
          <w:szCs w:val="18"/>
        </w:rPr>
      </w:r>
    </w:p>
    <w:p>
      <w:pPr>
        <w:spacing w:line="240" w:lineRule="auto" w:before="11"/>
        <w:rPr>
          <w:rFonts w:ascii="宋体" w:hAnsi="宋体" w:cs="宋体" w:eastAsia="宋体" w:hint="default"/>
          <w:sz w:val="17"/>
          <w:szCs w:val="17"/>
        </w:rPr>
      </w:pPr>
      <w:r>
        <w:rPr/>
        <w:br w:type="column"/>
      </w:r>
      <w:r>
        <w:rPr>
          <w:rFonts w:ascii="宋体"/>
          <w:sz w:val="17"/>
        </w:rPr>
      </w:r>
    </w:p>
    <w:p>
      <w:pPr>
        <w:spacing w:line="237" w:lineRule="auto" w:before="0"/>
        <w:ind w:left="198" w:right="517" w:firstLine="0"/>
        <w:jc w:val="center"/>
        <w:rPr>
          <w:rFonts w:ascii="宋体" w:hAnsi="宋体" w:cs="宋体" w:eastAsia="宋体" w:hint="default"/>
          <w:sz w:val="18"/>
          <w:szCs w:val="18"/>
        </w:rPr>
      </w:pPr>
      <w:r>
        <w:rPr>
          <w:rFonts w:ascii="宋体" w:hAnsi="宋体" w:cs="宋体" w:eastAsia="宋体" w:hint="default"/>
          <w:sz w:val="18"/>
          <w:szCs w:val="18"/>
        </w:rPr>
        <w:t>同一控制下 的企业合并 股权投资差 额调整留存 收益</w:t>
      </w:r>
    </w:p>
    <w:p>
      <w:pPr>
        <w:spacing w:after="0" w:line="237" w:lineRule="auto"/>
        <w:jc w:val="center"/>
        <w:rPr>
          <w:rFonts w:ascii="宋体" w:hAnsi="宋体" w:cs="宋体" w:eastAsia="宋体" w:hint="default"/>
          <w:sz w:val="18"/>
          <w:szCs w:val="18"/>
        </w:rPr>
        <w:sectPr>
          <w:type w:val="continuous"/>
          <w:pgSz w:w="11910" w:h="16840"/>
          <w:pgMar w:top="980" w:bottom="1520" w:left="980" w:right="900"/>
          <w:cols w:num="2" w:equalWidth="0">
            <w:col w:w="8366" w:space="40"/>
            <w:col w:w="1624"/>
          </w:cols>
        </w:sectPr>
      </w:pPr>
    </w:p>
    <w:p>
      <w:pPr>
        <w:tabs>
          <w:tab w:pos="1082" w:val="left" w:leader="none"/>
          <w:tab w:pos="7735" w:val="left" w:leader="none"/>
        </w:tabs>
        <w:spacing w:line="289" w:lineRule="exact" w:before="0"/>
        <w:ind w:left="596" w:right="212" w:firstLine="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2</w:t>
        <w:tab/>
      </w:r>
      <w:r>
        <w:rPr>
          <w:rFonts w:ascii="宋体" w:hAnsi="宋体" w:cs="宋体" w:eastAsia="宋体" w:hint="default"/>
          <w:sz w:val="18"/>
          <w:szCs w:val="18"/>
        </w:rPr>
        <w:t>地产</w:t>
        <w:tab/>
        <w:t>-</w:t>
      </w:r>
    </w:p>
    <w:p>
      <w:pPr>
        <w:spacing w:line="194" w:lineRule="exact" w:before="0"/>
        <w:ind w:left="1082" w:right="212" w:firstLine="0"/>
        <w:jc w:val="left"/>
        <w:rPr>
          <w:rFonts w:ascii="宋体" w:hAnsi="宋体" w:cs="宋体" w:eastAsia="宋体" w:hint="default"/>
          <w:sz w:val="18"/>
          <w:szCs w:val="18"/>
        </w:rPr>
      </w:pPr>
      <w:r>
        <w:rPr>
          <w:rFonts w:ascii="宋体" w:hAnsi="宋体" w:cs="宋体" w:eastAsia="宋体" w:hint="default"/>
          <w:spacing w:val="8"/>
          <w:sz w:val="18"/>
          <w:szCs w:val="18"/>
        </w:rPr>
        <w:t>因预计资产弃置费用应补提的以前</w:t>
      </w:r>
      <w:r>
        <w:rPr>
          <w:rFonts w:ascii="宋体" w:hAnsi="宋体" w:cs="宋体" w:eastAsia="宋体" w:hint="default"/>
          <w:sz w:val="18"/>
          <w:szCs w:val="18"/>
        </w:rPr>
      </w:r>
    </w:p>
    <w:p>
      <w:pPr>
        <w:tabs>
          <w:tab w:pos="1082" w:val="left" w:leader="none"/>
          <w:tab w:pos="7735" w:val="left" w:leader="none"/>
        </w:tabs>
        <w:spacing w:line="273" w:lineRule="exact" w:before="0"/>
        <w:ind w:left="596" w:right="212" w:firstLine="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3</w:t>
        <w:tab/>
      </w:r>
      <w:r>
        <w:rPr>
          <w:rFonts w:ascii="宋体" w:hAnsi="宋体" w:cs="宋体" w:eastAsia="宋体" w:hint="default"/>
          <w:sz w:val="18"/>
          <w:szCs w:val="18"/>
        </w:rPr>
        <w:t>年度折旧等</w:t>
        <w:tab/>
        <w:t>-</w:t>
      </w:r>
    </w:p>
    <w:p>
      <w:pPr>
        <w:tabs>
          <w:tab w:pos="1082" w:val="left" w:leader="none"/>
          <w:tab w:pos="7735" w:val="left" w:leader="none"/>
        </w:tabs>
        <w:spacing w:before="115"/>
        <w:ind w:left="596"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sz w:val="18"/>
          <w:szCs w:val="18"/>
        </w:rPr>
        <w:t>符合预计负债确认条件的辞退补偿</w:t>
        <w:tab/>
      </w:r>
      <w:r>
        <w:rPr>
          <w:rFonts w:ascii="宋体" w:hAnsi="宋体" w:cs="宋体" w:eastAsia="宋体" w:hint="default"/>
          <w:position w:val="-11"/>
          <w:sz w:val="18"/>
          <w:szCs w:val="18"/>
        </w:rPr>
        <w:t>-</w:t>
      </w:r>
      <w:r>
        <w:rPr>
          <w:rFonts w:ascii="宋体" w:hAnsi="宋体" w:cs="宋体" w:eastAsia="宋体" w:hint="default"/>
          <w:sz w:val="18"/>
          <w:szCs w:val="18"/>
        </w:rPr>
      </w:r>
    </w:p>
    <w:p>
      <w:pPr>
        <w:tabs>
          <w:tab w:pos="1082" w:val="left" w:leader="none"/>
          <w:tab w:pos="7735" w:val="left" w:leader="none"/>
        </w:tabs>
        <w:spacing w:before="111"/>
        <w:ind w:left="596"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tab/>
      </w:r>
      <w:r>
        <w:rPr>
          <w:rFonts w:ascii="宋体" w:hAnsi="宋体" w:cs="宋体" w:eastAsia="宋体" w:hint="default"/>
          <w:sz w:val="18"/>
          <w:szCs w:val="18"/>
        </w:rPr>
        <w:t>股份支付</w:t>
        <w:tab/>
      </w:r>
      <w:r>
        <w:rPr>
          <w:rFonts w:ascii="宋体" w:hAnsi="宋体" w:cs="宋体" w:eastAsia="宋体" w:hint="default"/>
          <w:position w:val="-11"/>
          <w:sz w:val="18"/>
          <w:szCs w:val="18"/>
        </w:rPr>
        <w:t>-</w:t>
      </w:r>
      <w:r>
        <w:rPr>
          <w:rFonts w:ascii="宋体" w:hAnsi="宋体" w:cs="宋体" w:eastAsia="宋体" w:hint="default"/>
          <w:sz w:val="18"/>
          <w:szCs w:val="18"/>
        </w:rPr>
      </w:r>
    </w:p>
    <w:p>
      <w:pPr>
        <w:tabs>
          <w:tab w:pos="1082" w:val="left" w:leader="none"/>
          <w:tab w:pos="7735" w:val="left" w:leader="none"/>
        </w:tabs>
        <w:spacing w:before="111"/>
        <w:ind w:left="596" w:right="2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tab/>
      </w:r>
      <w:r>
        <w:rPr>
          <w:rFonts w:ascii="宋体" w:hAnsi="宋体" w:cs="宋体" w:eastAsia="宋体" w:hint="default"/>
          <w:sz w:val="18"/>
          <w:szCs w:val="18"/>
        </w:rPr>
        <w:t>符合预计负债确认条件的重组义务</w:t>
        <w:tab/>
      </w:r>
      <w:r>
        <w:rPr>
          <w:rFonts w:ascii="宋体" w:hAnsi="宋体" w:cs="宋体" w:eastAsia="宋体" w:hint="default"/>
          <w:position w:val="-11"/>
          <w:sz w:val="18"/>
          <w:szCs w:val="18"/>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980" w:bottom="1520" w:left="980" w:right="9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tabs>
          <w:tab w:pos="1082" w:val="left" w:leader="none"/>
          <w:tab w:pos="7735" w:val="left" w:leader="none"/>
        </w:tabs>
        <w:spacing w:line="353" w:lineRule="exact" w:before="44"/>
        <w:ind w:left="59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tab/>
      </w:r>
      <w:r>
        <w:rPr>
          <w:rFonts w:ascii="宋体" w:hAnsi="宋体" w:cs="宋体" w:eastAsia="宋体" w:hint="default"/>
          <w:sz w:val="18"/>
          <w:szCs w:val="18"/>
        </w:rPr>
        <w:t>企业合并</w:t>
        <w:tab/>
      </w:r>
      <w:r>
        <w:rPr>
          <w:rFonts w:ascii="宋体" w:hAnsi="宋体" w:cs="宋体" w:eastAsia="宋体" w:hint="default"/>
          <w:position w:val="-11"/>
          <w:sz w:val="18"/>
          <w:szCs w:val="18"/>
        </w:rPr>
        <w:t>-</w:t>
      </w:r>
      <w:r>
        <w:rPr>
          <w:rFonts w:ascii="宋体" w:hAnsi="宋体" w:cs="宋体" w:eastAsia="宋体" w:hint="default"/>
          <w:sz w:val="18"/>
          <w:szCs w:val="18"/>
        </w:rPr>
      </w:r>
    </w:p>
    <w:p>
      <w:pPr>
        <w:spacing w:line="232" w:lineRule="exact" w:before="0"/>
        <w:ind w:left="1082" w:right="0" w:firstLine="0"/>
        <w:jc w:val="left"/>
        <w:rPr>
          <w:rFonts w:ascii="宋体" w:hAnsi="宋体" w:cs="宋体" w:eastAsia="宋体" w:hint="default"/>
          <w:sz w:val="18"/>
          <w:szCs w:val="18"/>
        </w:rPr>
      </w:pPr>
      <w:r>
        <w:rPr>
          <w:rFonts w:ascii="宋体" w:hAnsi="宋体" w:cs="宋体" w:eastAsia="宋体" w:hint="default"/>
          <w:spacing w:val="-4"/>
          <w:sz w:val="18"/>
          <w:szCs w:val="18"/>
        </w:rPr>
        <w:t>其中：同一控制下企业合并商誉的账</w:t>
      </w:r>
    </w:p>
    <w:p>
      <w:pPr>
        <w:tabs>
          <w:tab w:pos="7735" w:val="left" w:leader="none"/>
        </w:tabs>
        <w:spacing w:line="235" w:lineRule="exact" w:before="0"/>
        <w:ind w:left="1082" w:right="0" w:firstLine="0"/>
        <w:jc w:val="left"/>
        <w:rPr>
          <w:rFonts w:ascii="宋体" w:hAnsi="宋体" w:cs="宋体" w:eastAsia="宋体" w:hint="default"/>
          <w:sz w:val="18"/>
          <w:szCs w:val="18"/>
        </w:rPr>
      </w:pPr>
      <w:r>
        <w:rPr>
          <w:rFonts w:ascii="宋体" w:hAnsi="宋体" w:cs="宋体" w:eastAsia="宋体" w:hint="default"/>
          <w:sz w:val="18"/>
          <w:szCs w:val="18"/>
        </w:rPr>
        <w:t>面价值</w:t>
        <w:tab/>
        <w:t>-</w:t>
      </w:r>
    </w:p>
    <w:p>
      <w:pPr>
        <w:tabs>
          <w:tab w:pos="7735" w:val="left" w:leader="none"/>
        </w:tabs>
        <w:spacing w:line="353" w:lineRule="exact" w:before="113"/>
        <w:ind w:left="1082" w:right="0" w:firstLine="0"/>
        <w:jc w:val="left"/>
        <w:rPr>
          <w:rFonts w:ascii="宋体" w:hAnsi="宋体" w:cs="宋体" w:eastAsia="宋体" w:hint="default"/>
          <w:sz w:val="18"/>
          <w:szCs w:val="18"/>
        </w:rPr>
      </w:pPr>
      <w:r>
        <w:rPr>
          <w:rFonts w:ascii="宋体" w:hAnsi="宋体" w:cs="宋体" w:eastAsia="宋体" w:hint="default"/>
          <w:sz w:val="18"/>
          <w:szCs w:val="18"/>
        </w:rPr>
        <w:t>根据新准则计提的商誉减值准备</w:t>
        <w:tab/>
      </w:r>
      <w:r>
        <w:rPr>
          <w:rFonts w:ascii="宋体" w:hAnsi="宋体" w:cs="宋体" w:eastAsia="宋体" w:hint="default"/>
          <w:position w:val="-11"/>
          <w:sz w:val="18"/>
          <w:szCs w:val="18"/>
        </w:rPr>
        <w:t>-</w:t>
      </w:r>
      <w:r>
        <w:rPr>
          <w:rFonts w:ascii="宋体" w:hAnsi="宋体" w:cs="宋体" w:eastAsia="宋体" w:hint="default"/>
          <w:sz w:val="18"/>
          <w:szCs w:val="18"/>
        </w:rPr>
      </w:r>
    </w:p>
    <w:p>
      <w:pPr>
        <w:spacing w:line="233" w:lineRule="exact" w:before="0"/>
        <w:ind w:left="1082" w:right="0" w:firstLine="0"/>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以公允价值计量且其变动计入当期</w:t>
      </w:r>
      <w:r>
        <w:rPr>
          <w:rFonts w:ascii="宋体" w:hAnsi="宋体" w:cs="宋体" w:eastAsia="宋体" w:hint="default"/>
          <w:sz w:val="18"/>
          <w:szCs w:val="18"/>
        </w:rPr>
      </w:r>
    </w:p>
    <w:p>
      <w:pPr>
        <w:tabs>
          <w:tab w:pos="1082" w:val="left" w:leader="none"/>
          <w:tab w:pos="7735" w:val="left" w:leader="none"/>
        </w:tabs>
        <w:spacing w:line="239" w:lineRule="exact" w:before="0"/>
        <w:ind w:left="59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tab/>
      </w:r>
      <w:r>
        <w:rPr>
          <w:rFonts w:ascii="宋体" w:hAnsi="宋体" w:cs="宋体" w:eastAsia="宋体" w:hint="default"/>
          <w:spacing w:val="7"/>
          <w:sz w:val="18"/>
          <w:szCs w:val="18"/>
        </w:rPr>
        <w:t>损益的金融资产以及可供出售金融</w:t>
        <w:tab/>
      </w:r>
      <w:r>
        <w:rPr>
          <w:rFonts w:ascii="宋体" w:hAnsi="宋体" w:cs="宋体" w:eastAsia="宋体" w:hint="default"/>
          <w:sz w:val="18"/>
          <w:szCs w:val="18"/>
        </w:rPr>
        <w:t>-</w:t>
      </w:r>
    </w:p>
    <w:p>
      <w:pPr>
        <w:spacing w:line="234" w:lineRule="exact" w:before="15"/>
        <w:ind w:left="1082" w:right="6022" w:firstLine="0"/>
        <w:jc w:val="left"/>
        <w:rPr>
          <w:rFonts w:ascii="宋体" w:hAnsi="宋体" w:cs="宋体" w:eastAsia="宋体" w:hint="default"/>
          <w:sz w:val="18"/>
          <w:szCs w:val="18"/>
        </w:rPr>
      </w:pPr>
      <w:r>
        <w:rPr>
          <w:rFonts w:ascii="宋体" w:hAnsi="宋体" w:cs="宋体" w:eastAsia="宋体" w:hint="default"/>
          <w:sz w:val="18"/>
          <w:szCs w:val="18"/>
        </w:rPr>
        <w:t>资产 </w:t>
      </w:r>
      <w:r>
        <w:rPr>
          <w:rFonts w:ascii="宋体" w:hAnsi="宋体" w:cs="宋体" w:eastAsia="宋体" w:hint="default"/>
          <w:spacing w:val="8"/>
          <w:sz w:val="18"/>
          <w:szCs w:val="18"/>
        </w:rPr>
        <w:t>以公允价值计量且其变动计入当期</w:t>
      </w:r>
      <w:r>
        <w:rPr>
          <w:rFonts w:ascii="宋体" w:hAnsi="宋体" w:cs="宋体" w:eastAsia="宋体" w:hint="default"/>
          <w:sz w:val="18"/>
          <w:szCs w:val="18"/>
        </w:rPr>
      </w:r>
    </w:p>
    <w:p>
      <w:pPr>
        <w:tabs>
          <w:tab w:pos="1082" w:val="left" w:leader="none"/>
          <w:tab w:pos="7735" w:val="left" w:leader="none"/>
        </w:tabs>
        <w:spacing w:line="211" w:lineRule="exact" w:before="0"/>
        <w:ind w:left="596" w:right="0" w:firstLine="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9</w:t>
        <w:tab/>
      </w:r>
      <w:r>
        <w:rPr>
          <w:rFonts w:ascii="宋体" w:hAnsi="宋体" w:cs="宋体" w:eastAsia="宋体" w:hint="default"/>
          <w:sz w:val="18"/>
          <w:szCs w:val="18"/>
        </w:rPr>
        <w:t>损益的金融负债</w:t>
        <w:tab/>
        <w:t>-</w:t>
      </w:r>
    </w:p>
    <w:p>
      <w:pPr>
        <w:spacing w:after="0" w:line="211" w:lineRule="exact"/>
        <w:jc w:val="left"/>
        <w:rPr>
          <w:rFonts w:ascii="宋体" w:hAnsi="宋体" w:cs="宋体" w:eastAsia="宋体" w:hint="default"/>
          <w:sz w:val="18"/>
          <w:szCs w:val="18"/>
        </w:rPr>
        <w:sectPr>
          <w:footerReference w:type="default" r:id="rId28"/>
          <w:pgSz w:w="11910" w:h="16840"/>
          <w:pgMar w:footer="1339" w:header="747" w:top="980" w:bottom="1520" w:left="980" w:right="980"/>
        </w:sectPr>
      </w:pPr>
    </w:p>
    <w:p>
      <w:pPr>
        <w:tabs>
          <w:tab w:pos="1082" w:val="left" w:leader="none"/>
          <w:tab w:pos="7735" w:val="left" w:leader="none"/>
        </w:tabs>
        <w:spacing w:before="115"/>
        <w:ind w:left="5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tab/>
      </w:r>
      <w:r>
        <w:rPr>
          <w:rFonts w:ascii="宋体" w:hAnsi="宋体" w:cs="宋体" w:eastAsia="宋体" w:hint="default"/>
          <w:sz w:val="18"/>
          <w:szCs w:val="18"/>
        </w:rPr>
        <w:t>金融工具分拆增加的权益</w:t>
        <w:tab/>
      </w:r>
      <w:r>
        <w:rPr>
          <w:rFonts w:ascii="宋体" w:hAnsi="宋体" w:cs="宋体" w:eastAsia="宋体" w:hint="default"/>
          <w:position w:val="-11"/>
          <w:sz w:val="18"/>
          <w:szCs w:val="18"/>
        </w:rPr>
        <w:t>-</w:t>
      </w:r>
      <w:r>
        <w:rPr>
          <w:rFonts w:ascii="宋体" w:hAnsi="宋体" w:cs="宋体" w:eastAsia="宋体" w:hint="default"/>
          <w:sz w:val="18"/>
          <w:szCs w:val="18"/>
        </w:rPr>
      </w:r>
    </w:p>
    <w:p>
      <w:pPr>
        <w:tabs>
          <w:tab w:pos="1082" w:val="left" w:leader="none"/>
          <w:tab w:pos="7735" w:val="left" w:leader="none"/>
        </w:tabs>
        <w:spacing w:before="111"/>
        <w:ind w:left="556" w:right="-19"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衍生金融工具</w:t>
        <w:tab/>
      </w:r>
      <w:r>
        <w:rPr>
          <w:rFonts w:ascii="宋体" w:hAnsi="宋体" w:cs="宋体" w:eastAsia="宋体" w:hint="default"/>
          <w:position w:val="-11"/>
          <w:sz w:val="18"/>
          <w:szCs w:val="18"/>
        </w:rPr>
        <w:t>-</w:t>
      </w:r>
      <w:r>
        <w:rPr>
          <w:rFonts w:ascii="宋体" w:hAnsi="宋体" w:cs="宋体" w:eastAsia="宋体" w:hint="default"/>
          <w:sz w:val="18"/>
          <w:szCs w:val="18"/>
        </w:rPr>
      </w:r>
    </w:p>
    <w:p>
      <w:pPr>
        <w:tabs>
          <w:tab w:pos="7329" w:val="left" w:leader="none"/>
        </w:tabs>
        <w:spacing w:before="229"/>
        <w:ind w:left="4363" w:right="-19" w:firstLine="0"/>
        <w:jc w:val="left"/>
        <w:rPr>
          <w:rFonts w:ascii="宋体" w:hAnsi="宋体" w:cs="宋体" w:eastAsia="宋体" w:hint="default"/>
          <w:sz w:val="18"/>
          <w:szCs w:val="18"/>
        </w:rPr>
      </w:pPr>
      <w:r>
        <w:rPr>
          <w:rFonts w:ascii="宋体"/>
          <w:sz w:val="18"/>
        </w:rPr>
        <w:t>448,729.94</w:t>
        <w:tab/>
        <w:t>448,729.94</w:t>
      </w:r>
    </w:p>
    <w:p>
      <w:pPr>
        <w:tabs>
          <w:tab w:pos="1082" w:val="left" w:leader="none"/>
        </w:tabs>
        <w:spacing w:before="113"/>
        <w:ind w:left="5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tabs>
          <w:tab w:pos="1082" w:val="left" w:leader="none"/>
          <w:tab w:pos="4228" w:val="left" w:leader="none"/>
          <w:tab w:pos="5764" w:val="left" w:leader="none"/>
          <w:tab w:pos="7375" w:val="left" w:leader="none"/>
        </w:tabs>
        <w:spacing w:before="0"/>
        <w:ind w:left="552" w:right="-19" w:firstLine="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13</w:t>
        <w:tab/>
      </w:r>
      <w:r>
        <w:rPr>
          <w:rFonts w:ascii="宋体" w:hAnsi="宋体" w:cs="宋体" w:eastAsia="宋体" w:hint="default"/>
          <w:position w:val="12"/>
          <w:sz w:val="18"/>
          <w:szCs w:val="18"/>
        </w:rPr>
        <w:t>少数股东权益</w:t>
        <w:tab/>
      </w:r>
      <w:r>
        <w:rPr>
          <w:rFonts w:ascii="宋体" w:hAnsi="宋体" w:cs="宋体" w:eastAsia="宋体" w:hint="default"/>
          <w:sz w:val="18"/>
          <w:szCs w:val="18"/>
        </w:rPr>
        <w:t>27,714,062.92</w:t>
        <w:tab/>
        <w:t>27,657,912.07</w:t>
        <w:tab/>
        <w:t>56,150.85</w:t>
      </w:r>
    </w:p>
    <w:p>
      <w:pPr>
        <w:tabs>
          <w:tab w:pos="1082" w:val="left" w:leader="none"/>
          <w:tab w:pos="7735" w:val="left" w:leader="none"/>
        </w:tabs>
        <w:spacing w:before="113"/>
        <w:ind w:left="5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tab/>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股、H</w:t>
      </w:r>
      <w:r>
        <w:rPr>
          <w:rFonts w:ascii="宋体" w:hAnsi="宋体" w:cs="宋体" w:eastAsia="宋体" w:hint="default"/>
          <w:spacing w:val="-46"/>
          <w:sz w:val="18"/>
          <w:szCs w:val="18"/>
        </w:rPr>
        <w:t> </w:t>
      </w:r>
      <w:r>
        <w:rPr>
          <w:rFonts w:ascii="宋体" w:hAnsi="宋体" w:cs="宋体" w:eastAsia="宋体" w:hint="default"/>
          <w:sz w:val="18"/>
          <w:szCs w:val="18"/>
        </w:rPr>
        <w:t>股等上市公司特别追溯调整</w:t>
        <w:tab/>
      </w:r>
      <w:r>
        <w:rPr>
          <w:rFonts w:ascii="宋体" w:hAnsi="宋体" w:cs="宋体" w:eastAsia="宋体" w:hint="default"/>
          <w:position w:val="-11"/>
          <w:sz w:val="18"/>
          <w:szCs w:val="18"/>
        </w:rPr>
        <w:t>-</w:t>
      </w:r>
      <w:r>
        <w:rPr>
          <w:rFonts w:ascii="宋体" w:hAnsi="宋体" w:cs="宋体" w:eastAsia="宋体" w:hint="default"/>
          <w:sz w:val="18"/>
          <w:szCs w:val="18"/>
        </w:rPr>
      </w:r>
    </w:p>
    <w:p>
      <w:pPr>
        <w:tabs>
          <w:tab w:pos="1082" w:val="left" w:leader="none"/>
          <w:tab w:pos="4408" w:val="left" w:leader="none"/>
          <w:tab w:pos="7375" w:val="left" w:leader="none"/>
        </w:tabs>
        <w:spacing w:before="229"/>
        <w:ind w:left="5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sz w:val="18"/>
          <w:szCs w:val="18"/>
        </w:rPr>
        <w:t>其他</w:t>
        <w:tab/>
        <w:t>40,900.00</w:t>
        <w:tab/>
        <w:t>40,900.00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spacing w:line="237" w:lineRule="auto" w:before="0"/>
        <w:ind w:left="334" w:right="437" w:hanging="1"/>
        <w:jc w:val="center"/>
        <w:rPr>
          <w:rFonts w:ascii="宋体" w:hAnsi="宋体" w:cs="宋体" w:eastAsia="宋体" w:hint="default"/>
          <w:sz w:val="18"/>
          <w:szCs w:val="18"/>
        </w:rPr>
      </w:pPr>
      <w:r>
        <w:rPr>
          <w:rFonts w:ascii="宋体" w:hAnsi="宋体" w:cs="宋体" w:eastAsia="宋体" w:hint="default"/>
          <w:sz w:val="18"/>
          <w:szCs w:val="18"/>
        </w:rPr>
        <w:t>按照资产负 债表债务法 调整资产账 面价值和计 税基础间的 差异 递延所得税 影响</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line="237" w:lineRule="auto" w:before="0"/>
        <w:ind w:left="334" w:right="437" w:firstLine="0"/>
        <w:jc w:val="center"/>
        <w:rPr>
          <w:rFonts w:ascii="宋体" w:hAnsi="宋体" w:cs="宋体" w:eastAsia="宋体" w:hint="default"/>
          <w:sz w:val="18"/>
          <w:szCs w:val="18"/>
        </w:rPr>
      </w:pPr>
      <w:r>
        <w:rPr/>
        <w:pict>
          <v:group style="position:absolute;margin-left:64.5pt;margin-top:37.200508pt;width:465.9pt;height:.1pt;mso-position-horizontal-relative:page;mso-position-vertical-relative:paragraph;z-index:-419848" coordorigin="1290,744" coordsize="9318,2">
            <v:shape style="position:absolute;left:1290;top:744;width:9318;height:2" coordorigin="1290,744" coordsize="9318,0" path="m1290,744l10608,744e" filled="false" stroked="true" strokeweight="1.5pt" strokecolor="#000000">
              <v:path arrowok="t"/>
            </v:shape>
            <w10:wrap type="none"/>
          </v:group>
        </w:pict>
      </w:r>
      <w:r>
        <w:rPr>
          <w:rFonts w:ascii="宋体" w:hAnsi="宋体" w:cs="宋体" w:eastAsia="宋体" w:hint="default"/>
          <w:sz w:val="18"/>
          <w:szCs w:val="18"/>
        </w:rPr>
        <w:t>其他应收款 坏账准备影 响</w:t>
      </w:r>
    </w:p>
    <w:p>
      <w:pPr>
        <w:spacing w:after="0" w:line="237" w:lineRule="auto"/>
        <w:jc w:val="center"/>
        <w:rPr>
          <w:rFonts w:ascii="宋体" w:hAnsi="宋体" w:cs="宋体" w:eastAsia="宋体" w:hint="default"/>
          <w:sz w:val="18"/>
          <w:szCs w:val="18"/>
        </w:rPr>
        <w:sectPr>
          <w:type w:val="continuous"/>
          <w:pgSz w:w="11910" w:h="16840"/>
          <w:pgMar w:top="980" w:bottom="1520" w:left="980" w:right="980"/>
          <w:cols w:num="2" w:equalWidth="0">
            <w:col w:w="8231" w:space="40"/>
            <w:col w:w="1679"/>
          </w:cols>
        </w:sectPr>
      </w:pPr>
    </w:p>
    <w:p>
      <w:pPr>
        <w:spacing w:line="234" w:lineRule="exact" w:before="28"/>
        <w:ind w:left="1463" w:right="648" w:firstLine="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日股东权益</w:t>
      </w:r>
    </w:p>
    <w:p>
      <w:pPr>
        <w:spacing w:line="234" w:lineRule="exact" w:before="0"/>
        <w:ind w:left="1463" w:right="647" w:firstLine="0"/>
        <w:jc w:val="center"/>
        <w:rPr>
          <w:rFonts w:ascii="宋体" w:hAnsi="宋体" w:cs="宋体" w:eastAsia="宋体" w:hint="default"/>
          <w:sz w:val="18"/>
          <w:szCs w:val="18"/>
        </w:rPr>
      </w:pPr>
      <w:r>
        <w:rPr/>
        <w:pict>
          <v:group style="position:absolute;margin-left:63.029999pt;margin-top:13.148006pt;width:468.5pt;height:1.5pt;mso-position-horizontal-relative:page;mso-position-vertical-relative:paragraph;z-index:2776" coordorigin="1261,263" coordsize="9370,30">
            <v:group style="position:absolute;left:1276;top:278;width:680;height:2" coordorigin="1276,278" coordsize="680,2">
              <v:shape style="position:absolute;left:1276;top:278;width:680;height:2" coordorigin="1276,278" coordsize="680,0" path="m1276,278l1955,278e" filled="false" stroked="true" strokeweight="1.5pt" strokecolor="#000000">
                <v:path arrowok="t"/>
              </v:shape>
            </v:group>
            <v:group style="position:absolute;left:1940;top:278;width:3056;height:2" coordorigin="1940,278" coordsize="3056,2">
              <v:shape style="position:absolute;left:1940;top:278;width:3056;height:2" coordorigin="1940,278" coordsize="3056,0" path="m1940,278l4996,278e" filled="false" stroked="true" strokeweight="1.5pt" strokecolor="#000000">
                <v:path arrowok="t"/>
              </v:shape>
            </v:group>
            <v:group style="position:absolute;left:4981;top:278;width:1611;height:2" coordorigin="4981,278" coordsize="1611,2">
              <v:shape style="position:absolute;left:4981;top:278;width:1611;height:2" coordorigin="4981,278" coordsize="1611,0" path="m4981,278l6592,278e" filled="false" stroked="true" strokeweight="1.5pt" strokecolor="#000000">
                <v:path arrowok="t"/>
              </v:shape>
            </v:group>
            <v:group style="position:absolute;left:6577;top:278;width:1491;height:2" coordorigin="6577,278" coordsize="1491,2">
              <v:shape style="position:absolute;left:6577;top:278;width:1491;height:2" coordorigin="6577,278" coordsize="1491,0" path="m6577,278l8068,278e" filled="false" stroked="true" strokeweight="1.5pt" strokecolor="#000000">
                <v:path arrowok="t"/>
              </v:shape>
            </v:group>
            <v:group style="position:absolute;left:8053;top:278;width:1401;height:2" coordorigin="8053,278" coordsize="1401,2">
              <v:shape style="position:absolute;left:8053;top:278;width:1401;height:2" coordorigin="8053,278" coordsize="1401,0" path="m8053,278l9454,278e" filled="false" stroked="true" strokeweight="1.5pt" strokecolor="#000000">
                <v:path arrowok="t"/>
              </v:shape>
            </v:group>
            <v:group style="position:absolute;left:9439;top:278;width:1176;height:2" coordorigin="9439,278" coordsize="1176,2">
              <v:shape style="position:absolute;left:9439;top:278;width:1176;height:2" coordorigin="9439,278" coordsize="1176,0" path="m9439,278l10615,278e" filled="false" stroked="true" strokeweight="1.5pt" strokecolor="#000000">
                <v:path arrowok="t"/>
              </v:shape>
            </v:group>
            <w10:wrap type="none"/>
          </v:group>
        </w:pict>
      </w:r>
      <w:r>
        <w:rPr>
          <w:rFonts w:ascii="宋体" w:hAnsi="宋体" w:cs="宋体" w:eastAsia="宋体" w:hint="default"/>
          <w:sz w:val="18"/>
          <w:szCs w:val="18"/>
        </w:rPr>
        <w:t>（新会计准则）</w:t>
      </w:r>
    </w:p>
    <w:p>
      <w:pPr>
        <w:pStyle w:val="BodyText"/>
        <w:spacing w:line="240" w:lineRule="auto" w:before="130"/>
        <w:ind w:left="574" w:right="-20"/>
        <w:jc w:val="left"/>
      </w:pPr>
      <w:r>
        <w:rPr/>
        <w:t>上列年初股东权益差异调节说明：</w:t>
      </w:r>
    </w:p>
    <w:p>
      <w:pPr>
        <w:spacing w:before="28"/>
        <w:ind w:left="-31" w:right="-20" w:firstLine="0"/>
        <w:jc w:val="left"/>
        <w:rPr>
          <w:rFonts w:ascii="宋体" w:hAnsi="宋体" w:cs="宋体" w:eastAsia="宋体" w:hint="default"/>
          <w:sz w:val="18"/>
          <w:szCs w:val="18"/>
        </w:rPr>
      </w:pPr>
      <w:r>
        <w:rPr/>
        <w:br w:type="column"/>
      </w:r>
      <w:r>
        <w:rPr>
          <w:rFonts w:ascii="宋体"/>
          <w:sz w:val="18"/>
        </w:rPr>
        <w:t>156,131,998.92</w:t>
      </w:r>
    </w:p>
    <w:p>
      <w:pPr>
        <w:spacing w:line="240" w:lineRule="auto" w:before="13"/>
        <w:rPr>
          <w:rFonts w:ascii="宋体" w:hAnsi="宋体" w:cs="宋体" w:eastAsia="宋体" w:hint="default"/>
          <w:sz w:val="19"/>
          <w:szCs w:val="19"/>
        </w:rPr>
      </w:pPr>
      <w:r>
        <w:rPr/>
        <w:br w:type="column"/>
      </w:r>
      <w:r>
        <w:rPr>
          <w:rFonts w:ascii="宋体"/>
          <w:sz w:val="19"/>
        </w:rPr>
      </w:r>
    </w:p>
    <w:p>
      <w:pPr>
        <w:spacing w:before="0"/>
        <w:ind w:left="235" w:right="0" w:firstLine="0"/>
        <w:jc w:val="left"/>
        <w:rPr>
          <w:rFonts w:ascii="宋体" w:hAnsi="宋体" w:cs="宋体" w:eastAsia="宋体" w:hint="default"/>
          <w:sz w:val="18"/>
          <w:szCs w:val="18"/>
        </w:rPr>
      </w:pPr>
      <w:r>
        <w:rPr>
          <w:rFonts w:ascii="宋体"/>
          <w:sz w:val="18"/>
        </w:rPr>
        <w:t>165,081,209.80</w:t>
      </w:r>
    </w:p>
    <w:p>
      <w:pPr>
        <w:spacing w:after="0"/>
        <w:jc w:val="left"/>
        <w:rPr>
          <w:rFonts w:ascii="宋体" w:hAnsi="宋体" w:cs="宋体" w:eastAsia="宋体" w:hint="default"/>
          <w:sz w:val="18"/>
          <w:szCs w:val="18"/>
        </w:rPr>
        <w:sectPr>
          <w:type w:val="continuous"/>
          <w:pgSz w:w="11910" w:h="16840"/>
          <w:pgMar w:top="980" w:bottom="1520" w:left="980" w:right="980"/>
          <w:cols w:num="3" w:equalWidth="0">
            <w:col w:w="4175" w:space="40"/>
            <w:col w:w="1230" w:space="40"/>
            <w:col w:w="4465"/>
          </w:cols>
        </w:sectPr>
      </w:pPr>
    </w:p>
    <w:p>
      <w:pPr>
        <w:spacing w:line="240" w:lineRule="auto" w:before="9"/>
        <w:rPr>
          <w:rFonts w:ascii="宋体" w:hAnsi="宋体" w:cs="宋体" w:eastAsia="宋体" w:hint="default"/>
          <w:sz w:val="7"/>
          <w:szCs w:val="7"/>
        </w:rPr>
      </w:pPr>
    </w:p>
    <w:p>
      <w:pPr>
        <w:pStyle w:val="BodyText"/>
        <w:spacing w:line="240" w:lineRule="auto" w:before="26"/>
        <w:ind w:left="634" w:right="0"/>
        <w:jc w:val="left"/>
      </w:pPr>
      <w:r>
        <w:rPr>
          <w:rFonts w:ascii="Times New Roman" w:hAnsi="Times New Roman" w:cs="Times New Roman" w:eastAsia="Times New Roman" w:hint="default"/>
        </w:rPr>
        <w:t>1.  </w:t>
      </w:r>
      <w:r>
        <w:rPr/>
        <w:t>同一控制下企业合并形成的长期股权投资差额</w:t>
      </w:r>
    </w:p>
    <w:p>
      <w:pPr>
        <w:pStyle w:val="BodyText"/>
        <w:spacing w:line="240" w:lineRule="auto" w:before="107"/>
        <w:ind w:left="634" w:right="0"/>
        <w:jc w:val="left"/>
      </w:pPr>
      <w:r>
        <w:rPr/>
        <w:t>在</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日，属于同一控制下企业合并产生的长期股权投资，尚未摊销完毕的股</w:t>
      </w:r>
    </w:p>
    <w:p>
      <w:pPr>
        <w:pStyle w:val="BodyText"/>
        <w:spacing w:line="240" w:lineRule="auto" w:before="108"/>
        <w:ind w:right="0"/>
        <w:jc w:val="left"/>
      </w:pPr>
      <w:r>
        <w:rPr/>
        <w:t>权投资差额应全额冲销，并调整留存收益，导致减少所有者权益</w:t>
      </w:r>
      <w:r>
        <w:rPr>
          <w:spacing w:val="-60"/>
        </w:rPr>
        <w:t> </w:t>
      </w:r>
      <w:r>
        <w:rPr>
          <w:rFonts w:ascii="Times New Roman" w:hAnsi="Times New Roman" w:cs="Times New Roman" w:eastAsia="Times New Roman" w:hint="default"/>
        </w:rPr>
        <w:t>9,494,991.67 </w:t>
      </w:r>
      <w:r>
        <w:rPr/>
        <w:t>元。</w:t>
      </w:r>
    </w:p>
    <w:p>
      <w:pPr>
        <w:pStyle w:val="BodyText"/>
        <w:spacing w:line="240" w:lineRule="auto" w:before="108"/>
        <w:ind w:left="633" w:right="0"/>
        <w:jc w:val="left"/>
      </w:pPr>
      <w:r>
        <w:rPr>
          <w:rFonts w:ascii="Times New Roman" w:hAnsi="Times New Roman" w:cs="Times New Roman" w:eastAsia="Times New Roman" w:hint="default"/>
        </w:rPr>
        <w:t>2.  </w:t>
      </w:r>
      <w:r>
        <w:rPr/>
        <w:t>所得税</w:t>
      </w:r>
    </w:p>
    <w:p>
      <w:pPr>
        <w:pStyle w:val="BodyText"/>
        <w:spacing w:line="326" w:lineRule="auto" w:before="107"/>
        <w:ind w:right="148" w:firstLine="480"/>
        <w:jc w:val="both"/>
      </w:pPr>
      <w:r>
        <w:rPr/>
        <w:t>在</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日，对资产、负债的账面价值与其计税基础不同形成的暂时性差异，应</w:t>
      </w:r>
      <w:r>
        <w:rPr/>
        <w:t> 当按照相关条件确认递延所得税资产或递延所得税负债，并将影响金额调整留存收益，导致</w:t>
      </w:r>
      <w:r>
        <w:rPr>
          <w:spacing w:val="-83"/>
        </w:rPr>
        <w:t> </w:t>
      </w:r>
      <w:r>
        <w:rPr>
          <w:spacing w:val="-83"/>
        </w:rPr>
      </w:r>
      <w:r>
        <w:rPr/>
        <w:t>增加所有者权益</w:t>
      </w:r>
      <w:r>
        <w:rPr>
          <w:spacing w:val="-51"/>
        </w:rPr>
        <w:t> </w:t>
      </w:r>
      <w:r>
        <w:rPr>
          <w:rFonts w:ascii="Times New Roman" w:hAnsi="Times New Roman" w:cs="Times New Roman" w:eastAsia="Times New Roman" w:hint="default"/>
        </w:rPr>
        <w:t>504,880.79</w:t>
      </w:r>
      <w:r>
        <w:rPr>
          <w:rFonts w:ascii="Times New Roman" w:hAnsi="Times New Roman" w:cs="Times New Roman" w:eastAsia="Times New Roman" w:hint="default"/>
          <w:spacing w:val="9"/>
        </w:rPr>
        <w:t> </w:t>
      </w:r>
      <w:r>
        <w:rPr/>
        <w:t>元，其中归属于母公司所有者权益为</w:t>
      </w:r>
      <w:r>
        <w:rPr>
          <w:spacing w:val="-51"/>
        </w:rPr>
        <w:t> </w:t>
      </w:r>
      <w:r>
        <w:rPr>
          <w:rFonts w:ascii="Times New Roman" w:hAnsi="Times New Roman" w:cs="Times New Roman" w:eastAsia="Times New Roman" w:hint="default"/>
        </w:rPr>
        <w:t>448,729.94</w:t>
      </w:r>
      <w:r>
        <w:rPr>
          <w:rFonts w:ascii="Times New Roman" w:hAnsi="Times New Roman" w:cs="Times New Roman" w:eastAsia="Times New Roman" w:hint="default"/>
          <w:spacing w:val="9"/>
        </w:rPr>
        <w:t> </w:t>
      </w:r>
      <w:r>
        <w:rPr/>
        <w:t>元，归属于少数</w:t>
      </w:r>
    </w:p>
    <w:p>
      <w:pPr>
        <w:pStyle w:val="BodyText"/>
        <w:spacing w:line="240" w:lineRule="auto" w:before="11"/>
        <w:ind w:left="154" w:right="0"/>
        <w:jc w:val="left"/>
      </w:pPr>
      <w:r>
        <w:rPr/>
        <w:t>股东权益为</w:t>
      </w:r>
      <w:r>
        <w:rPr>
          <w:spacing w:val="-60"/>
        </w:rPr>
        <w:t> </w:t>
      </w:r>
      <w:r>
        <w:rPr>
          <w:rFonts w:ascii="Times New Roman" w:hAnsi="Times New Roman" w:cs="Times New Roman" w:eastAsia="Times New Roman" w:hint="default"/>
        </w:rPr>
        <w:t>56,150.85 </w:t>
      </w:r>
      <w:r>
        <w:rPr/>
        <w:t>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154" w:right="0"/>
        <w:jc w:val="left"/>
      </w:pPr>
      <w:r>
        <w:rPr/>
        <w:t>十五、财务报表的批准报出</w:t>
      </w:r>
    </w:p>
    <w:p>
      <w:pPr>
        <w:pStyle w:val="BodyText"/>
        <w:spacing w:line="240" w:lineRule="auto" w:before="125"/>
        <w:ind w:left="694" w:right="0"/>
        <w:jc w:val="left"/>
      </w:pPr>
      <w:r>
        <w:rPr/>
        <w:t>本财务报表业经公司全体董事于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27 </w:t>
      </w:r>
      <w:r>
        <w:rPr/>
        <w:t>日批准报出。</w:t>
      </w:r>
    </w:p>
    <w:p>
      <w:pPr>
        <w:spacing w:after="0" w:line="240" w:lineRule="auto"/>
        <w:jc w:val="left"/>
        <w:sectPr>
          <w:type w:val="continuous"/>
          <w:pgSz w:w="11910" w:h="16840"/>
          <w:pgMar w:top="980" w:bottom="1520" w:left="980" w:right="9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29"/>
          <w:pgSz w:w="11910" w:h="16840"/>
          <w:pgMar w:footer="1339" w:header="747" w:top="980" w:bottom="152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27"/>
          <w:szCs w:val="27"/>
        </w:rPr>
      </w:pPr>
    </w:p>
    <w:p>
      <w:pPr>
        <w:pStyle w:val="Heading1"/>
        <w:spacing w:line="240" w:lineRule="auto"/>
        <w:ind w:left="3407" w:right="0"/>
        <w:jc w:val="left"/>
        <w:rPr>
          <w:b w:val="0"/>
          <w:bCs w:val="0"/>
        </w:rPr>
      </w:pPr>
      <w:bookmarkStart w:name="_TOC_250000" w:id="9"/>
      <w:r>
        <w:rPr/>
        <w:t>第十二节、备查文件目录</w:t>
      </w:r>
      <w:bookmarkEnd w:id="9"/>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BodyText"/>
        <w:spacing w:line="336" w:lineRule="auto" w:before="0"/>
        <w:ind w:left="154" w:right="0" w:firstLine="480"/>
        <w:jc w:val="left"/>
      </w:pPr>
      <w:r>
        <w:rPr/>
        <w:t>一、载有公司法定代表人、主管会计工作负责人、会计机构负责人签名并盖章的会</w:t>
      </w:r>
      <w:r>
        <w:rPr>
          <w:spacing w:val="1"/>
        </w:rPr>
        <w:t> </w:t>
      </w:r>
      <w:r>
        <w:rPr/>
        <w:t>计报表；</w:t>
      </w:r>
    </w:p>
    <w:p>
      <w:pPr>
        <w:pStyle w:val="BodyText"/>
        <w:spacing w:line="336" w:lineRule="auto"/>
        <w:ind w:left="154" w:right="0" w:firstLine="480"/>
        <w:jc w:val="left"/>
      </w:pPr>
      <w:r>
        <w:rPr/>
        <w:t>二、载有北京立信会计师事务所有限公司盖章、注册会计师签名并盖章的审计报告</w:t>
      </w:r>
      <w:r>
        <w:rPr>
          <w:spacing w:val="1"/>
        </w:rPr>
        <w:t> </w:t>
      </w:r>
      <w:r>
        <w:rPr/>
        <w:t>原件；</w:t>
      </w:r>
    </w:p>
    <w:p>
      <w:pPr>
        <w:pStyle w:val="BodyText"/>
        <w:spacing w:line="336" w:lineRule="auto"/>
        <w:ind w:left="154" w:right="0" w:firstLine="480"/>
        <w:jc w:val="left"/>
      </w:pPr>
      <w:r>
        <w:rPr/>
        <w:t>三、报告期内在中国证监会指定信息披露报刊《证券时报》上公开披露过的所有公</w:t>
      </w:r>
      <w:r>
        <w:rPr>
          <w:spacing w:val="1"/>
        </w:rPr>
        <w:t> </w:t>
      </w:r>
      <w:r>
        <w:rPr/>
        <w:t>司文件的正本及公告的原稿。</w:t>
      </w:r>
    </w:p>
    <w:p>
      <w:pPr>
        <w:pStyle w:val="BodyText"/>
        <w:spacing w:line="240" w:lineRule="auto" w:before="29"/>
        <w:ind w:left="634" w:right="0"/>
        <w:jc w:val="left"/>
      </w:pPr>
      <w:r>
        <w:rPr/>
        <w:t>以上文件备置地：公司董事会秘书办公室。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9"/>
          <w:szCs w:val="29"/>
        </w:rPr>
      </w:pPr>
    </w:p>
    <w:p>
      <w:pPr>
        <w:pStyle w:val="BodyText"/>
        <w:spacing w:line="672" w:lineRule="auto" w:before="0"/>
        <w:ind w:left="6192" w:right="631" w:hanging="240"/>
        <w:jc w:val="right"/>
      </w:pPr>
      <w:r>
        <w:rPr/>
        <w:t>深圳市实益达科技股份有限公司 法定代表人：陈亚妹（签名）</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7"/>
        <w:ind w:left="0" w:right="631"/>
        <w:jc w:val="right"/>
      </w:pPr>
      <w:r>
        <w:rPr/>
        <w:t>二〇〇八年三月二十七日</w:t>
      </w:r>
    </w:p>
    <w:sectPr>
      <w:headerReference w:type="default" r:id="rId30"/>
      <w:footerReference w:type="default" r:id="rId31"/>
      <w:pgSz w:w="11910" w:h="16840"/>
      <w:pgMar w:header="74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华文中宋">
    <w:altName w:val="华文中宋"/>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1504" type="#_x0000_t75" stroked="false">
          <v:imagedata r:id="rId1" o:title=""/>
        </v:shape>
      </w:pict>
    </w:r>
    <w:r>
      <w:rPr/>
      <w:pict>
        <v:shape style="position:absolute;margin-left:291.160004pt;margin-top:795.457642pt;width:13pt;height:11pt;mso-position-horizontal-relative:page;mso-position-vertical-relative:page;z-index:-42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5.457642pt;width:13pt;height:11pt;mso-position-horizontal-relative:page;mso-position-vertical-relative:page;z-index:-421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0976" type="#_x0000_t75" stroked="false">
          <v:imagedata r:id="rId1" o:title=""/>
        </v:shape>
      </w:pict>
    </w:r>
    <w:r>
      <w:rPr/>
      <w:pict>
        <v:shape style="position:absolute;margin-left:291.160004pt;margin-top:795.457642pt;width:13pt;height:11pt;mso-position-horizontal-relative:page;mso-position-vertical-relative:page;z-index:-420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5.457642pt;width:13pt;height:11pt;mso-position-horizontal-relative:page;mso-position-vertical-relative:page;z-index:-420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0904" type="#_x0000_t75" stroked="false">
          <v:imagedata r:id="rId1" o:title=""/>
        </v:shape>
      </w:pict>
    </w:r>
    <w:r>
      <w:rPr/>
      <w:pict>
        <v:shape style="position:absolute;margin-left:291.160004pt;margin-top:795.457642pt;width:13pt;height:11pt;mso-position-horizontal-relative:page;mso-position-vertical-relative:page;z-index:-420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0856" type="#_x0000_t75" stroked="false">
          <v:imagedata r:id="rId1" o:title=""/>
        </v:shape>
      </w:pict>
    </w:r>
    <w:r>
      <w:rPr/>
      <w:pict>
        <v:shape style="position:absolute;margin-left:289.880005pt;margin-top:795.457642pt;width:15.5pt;height:11pt;mso-position-horizontal-relative:page;mso-position-vertical-relative:page;z-index:-420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0808" type="#_x0000_t75" stroked="false">
          <v:imagedata r:id="rId1" o:title=""/>
        </v:shape>
      </w:pict>
    </w:r>
    <w:r>
      <w:rPr/>
      <w:pict>
        <v:shape style="position:absolute;margin-left:289.880005pt;margin-top:795.457642pt;width:15.5pt;height:11pt;mso-position-horizontal-relative:page;mso-position-vertical-relative:page;z-index:-4207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420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95.457642pt;width:11pt;height:11pt;mso-position-horizontal-relative:page;mso-position-vertical-relative:page;z-index:-421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1432" type="#_x0000_t75" stroked="false">
          <v:imagedata r:id="rId1" o:title=""/>
        </v:shape>
      </w:pict>
    </w:r>
    <w:r>
      <w:rPr/>
      <w:pict>
        <v:shape style="position:absolute;margin-left:291.160004pt;margin-top:795.457642pt;width:13pt;height:11pt;mso-position-horizontal-relative:page;mso-position-vertical-relative:page;z-index:-421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95.457642pt;width:11pt;height:11pt;mso-position-horizontal-relative:page;mso-position-vertical-relative:page;z-index:-421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1360" type="#_x0000_t75" stroked="false">
          <v:imagedata r:id="rId1" o:title=""/>
        </v:shape>
      </w:pict>
    </w:r>
    <w:r>
      <w:rPr/>
      <w:pict>
        <v:shape style="position:absolute;margin-left:291.160004pt;margin-top:795.457642pt;width:13pt;height:11pt;mso-position-horizontal-relative:page;mso-position-vertical-relative:page;z-index:-42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6.450531pt;margin-top:512.039978pt;width:480pt;height:31.499998pt;mso-position-horizontal-relative:page;mso-position-vertical-relative:page;z-index:-421240" type="#_x0000_t75" stroked="false">
          <v:imagedata r:id="rId1" o:title=""/>
        </v:shape>
      </w:pict>
    </w:r>
    <w:r>
      <w:rPr/>
      <w:pict>
        <v:shape style="position:absolute;margin-left:654.4505pt;margin-top:535.297913pt;width:13pt;height:11pt;mso-position-horizontal-relative:page;mso-position-vertical-relative:page;z-index:-421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1120" type="#_x0000_t75" stroked="false">
          <v:imagedata r:id="rId1" o:title=""/>
        </v:shape>
      </w:pict>
    </w:r>
    <w:r>
      <w:rPr/>
      <w:pict>
        <v:shape style="position:absolute;margin-left:291.160004pt;margin-top:795.457642pt;width:13pt;height:11pt;mso-position-horizontal-relative:page;mso-position-vertical-relative:page;z-index:-421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004pt;margin-top:795.457642pt;width:11pt;height:11pt;mso-position-horizontal-relative:page;mso-position-vertical-relative:page;z-index:-421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59996pt;margin-top:764.039673pt;width:480pt;height:31.499998pt;mso-position-horizontal-relative:page;mso-position-vertical-relative:page;z-index:-421048" type="#_x0000_t75" stroked="false">
          <v:imagedata r:id="rId1" o:title=""/>
        </v:shape>
      </w:pict>
    </w:r>
    <w:r>
      <w:rPr/>
      <w:pict>
        <v:shape style="position:absolute;margin-left:291.160004pt;margin-top:795.457642pt;width:13pt;height:11pt;mso-position-horizontal-relative:page;mso-position-vertical-relative:page;z-index:-421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421576"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7.159698pt;margin-top:36.325325pt;width:202.4pt;height:11.5pt;mso-position-horizontal-relative:page;mso-position-vertical-relative:page;z-index:-421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55.700001pt;margin-top:36.817638pt;width:27.05pt;height:11pt;mso-position-horizontal-relative:page;mso-position-vertical-relative:page;z-index:-421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color w:val="3365FF"/>
                    <w:w w:val="99"/>
                    <w:sz w:val="18"/>
                  </w:rPr>
                </w:r>
                <w:r>
                  <w:rPr>
                    <w:rFonts w:ascii="Times New Roman"/>
                    <w:color w:val="3365FF"/>
                    <w:sz w:val="18"/>
                    <w:u w:val="single" w:color="3365FF"/>
                  </w:rPr>
                  <w:t>SeaSar</w:t>
                </w:r>
                <w:r>
                  <w:rPr>
                    <w:rFonts w:ascii="Times New Roman"/>
                    <w:color w:val="3365FF"/>
                    <w:sz w:val="18"/>
                  </w:rPr>
                </w:r>
                <w:r>
                  <w:rPr>
                    <w:rFonts w:ascii="Times New Roman"/>
                    <w:sz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421312"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55.690601pt;margin-top:43.357937pt;width:27.05pt;height:11pt;mso-position-horizontal-relative:page;mso-position-vertical-relative:page;z-index:-421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color w:val="3365FF"/>
                    <w:w w:val="99"/>
                    <w:sz w:val="18"/>
                  </w:rPr>
                </w:r>
                <w:r>
                  <w:rPr>
                    <w:rFonts w:ascii="Times New Roman"/>
                    <w:color w:val="3365FF"/>
                    <w:sz w:val="18"/>
                    <w:u w:val="single" w:color="3365FF"/>
                  </w:rPr>
                  <w:t>SeaSar</w:t>
                </w:r>
                <w:r>
                  <w:rPr>
                    <w:rFonts w:ascii="Times New Roman"/>
                    <w:color w:val="3365FF"/>
                    <w:sz w:val="18"/>
                  </w:rPr>
                </w:r>
                <w:r>
                  <w:rPr>
                    <w:rFonts w:ascii="Times New Roman"/>
                    <w:sz w:val="18"/>
                  </w:rPr>
                </w:r>
              </w:p>
            </w:txbxContent>
          </v:textbox>
          <w10:wrap type="none"/>
        </v:shape>
      </w:pict>
    </w:r>
    <w:r>
      <w:rPr/>
      <w:pict>
        <v:shape style="position:absolute;margin-left:337.150208pt;margin-top:42.865623pt;width:204.5pt;height:11.5pt;mso-position-horizontal-relative:page;mso-position-vertical-relative:page;z-index:-421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421192"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 style="position:absolute;margin-left:337.159698pt;margin-top:36.325325pt;width:202.4pt;height:11.5pt;mso-position-horizontal-relative:page;mso-position-vertical-relative:page;z-index:-421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55.700001pt;margin-top:36.817638pt;width:27.05pt;height:11pt;mso-position-horizontal-relative:page;mso-position-vertical-relative:page;z-index:-4211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color w:val="3365FF"/>
                    <w:w w:val="99"/>
                    <w:sz w:val="18"/>
                  </w:rPr>
                </w:r>
                <w:r>
                  <w:rPr>
                    <w:rFonts w:ascii="Times New Roman"/>
                    <w:color w:val="3365FF"/>
                    <w:sz w:val="18"/>
                    <w:u w:val="single" w:color="3365FF"/>
                  </w:rPr>
                  <w:t>SeaSar</w:t>
                </w:r>
                <w:r>
                  <w:rPr>
                    <w:rFonts w:ascii="Times New Roman"/>
                    <w:color w:val="3365FF"/>
                    <w:sz w:val="18"/>
                  </w:rPr>
                </w:r>
                <w:r>
                  <w:rPr>
                    <w:rFonts w:ascii="Times New Roman"/>
                    <w:sz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599998pt;margin-top:45.397537pt;width:27.05pt;height:11pt;mso-position-horizontal-relative:page;mso-position-vertical-relative:page;z-index:-420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color w:val="3365FF"/>
                    <w:w w:val="99"/>
                    <w:sz w:val="18"/>
                  </w:rPr>
                </w:r>
                <w:r>
                  <w:rPr>
                    <w:rFonts w:ascii="Times New Roman"/>
                    <w:color w:val="3365FF"/>
                    <w:sz w:val="18"/>
                    <w:u w:val="single" w:color="3365FF"/>
                  </w:rPr>
                  <w:t>SeaSar</w:t>
                </w:r>
                <w:r>
                  <w:rPr>
                    <w:rFonts w:ascii="Times New Roman"/>
                    <w:color w:val="3365FF"/>
                    <w:sz w:val="18"/>
                  </w:rPr>
                </w:r>
                <w:r>
                  <w:rPr>
                    <w:rFonts w:ascii="Times New Roman"/>
                    <w:sz w:val="18"/>
                  </w:rPr>
                </w:r>
              </w:p>
            </w:txbxContent>
          </v:textbox>
          <w10:wrap type="none"/>
        </v:shape>
      </w:pict>
    </w:r>
    <w:r>
      <w:rPr/>
      <w:pict>
        <v:shape style="position:absolute;margin-left:334.339996pt;margin-top:44.905224pt;width:204.4pt;height:11.5pt;mso-position-horizontal-relative:page;mso-position-vertical-relative:page;z-index:-420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深圳市实益达科技股份有限公司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6"/>
      <w:ind w:left="154"/>
    </w:pPr>
    <w:rPr>
      <w:rFonts w:ascii="宋体" w:hAnsi="宋体" w:eastAsia="宋体"/>
      <w:b/>
      <w:bCs/>
      <w:sz w:val="24"/>
      <w:szCs w:val="24"/>
    </w:rPr>
  </w:style>
  <w:style w:styleId="BodyText" w:type="paragraph">
    <w:name w:val="Body Text"/>
    <w:basedOn w:val="Normal"/>
    <w:uiPriority w:val="1"/>
    <w:qFormat/>
    <w:pPr>
      <w:spacing w:before="30"/>
      <w:ind w:left="153"/>
    </w:pPr>
    <w:rPr>
      <w:rFonts w:ascii="宋体" w:hAnsi="宋体" w:eastAsia="宋体"/>
      <w:sz w:val="24"/>
      <w:szCs w:val="24"/>
    </w:rPr>
  </w:style>
  <w:style w:styleId="Heading1" w:type="paragraph">
    <w:name w:val="Heading 1"/>
    <w:basedOn w:val="Normal"/>
    <w:uiPriority w:val="1"/>
    <w:qFormat/>
    <w:pPr>
      <w:spacing w:before="26"/>
      <w:ind w:left="153"/>
      <w:outlineLvl w:val="1"/>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mb@sz-seastar.com" TargetMode="External"/><Relationship Id="rId8" Type="http://schemas.openxmlformats.org/officeDocument/2006/relationships/hyperlink" Target="mailto:zanli@sz-seastar.com" TargetMode="External"/><Relationship Id="rId9" Type="http://schemas.openxmlformats.org/officeDocument/2006/relationships/hyperlink" Target="http://www.sz-seastar.com/"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irm.p5w.net/002137/" TargetMode="External"/><Relationship Id="rId18" Type="http://schemas.openxmlformats.org/officeDocument/2006/relationships/header" Target="header2.xml"/><Relationship Id="rId19" Type="http://schemas.openxmlformats.org/officeDocument/2006/relationships/footer" Target="footer6.xml"/><Relationship Id="rId20" Type="http://schemas.openxmlformats.org/officeDocument/2006/relationships/header" Target="header3.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header" Target="header4.xml"/><Relationship Id="rId31" Type="http://schemas.openxmlformats.org/officeDocument/2006/relationships/footer" Target="footer1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AR2007002137b定期报告全文_Word中文版_.DOC</dc:title>
  <dcterms:created xsi:type="dcterms:W3CDTF">2020-05-07T12:20:30Z</dcterms:created>
  <dcterms:modified xsi:type="dcterms:W3CDTF">2020-05-07T12:20:30Z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2008-03-27T00:00:00Z</vt:filetime>
  </property>
  <property fmtid="{D5CDD505-2E9C-101B-9397-08002B2CF9AE}" pid="3" name="Creator">
    <vt:lpwstr>PScript5.dll Version 5.2</vt:lpwstr>
  </property>
  <property fmtid="{D5CDD505-2E9C-101B-9397-08002B2CF9AE}" pid="4" name="LastSaved">
    <vt:filetime>2020-05-07T00:00:00Z</vt:filetime>
  </property>
</Properties>
</file>