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tabs>
          <w:tab w:pos="5452" w:val="left" w:leader="none"/>
        </w:tabs>
        <w:spacing w:line="447" w:lineRule="exact" w:before="0"/>
        <w:ind w:left="0" w:right="95" w:firstLine="0"/>
        <w:jc w:val="center"/>
        <w:rPr>
          <w:rFonts w:ascii="华文中宋" w:hAnsi="华文中宋" w:cs="华文中宋" w:eastAsia="华文中宋" w:hint="default"/>
          <w:sz w:val="32"/>
          <w:szCs w:val="32"/>
        </w:rPr>
      </w:pPr>
      <w:r>
        <w:rPr>
          <w:rFonts w:ascii="宋体" w:hAnsi="宋体" w:cs="宋体" w:eastAsia="宋体" w:hint="default"/>
          <w:b/>
          <w:bCs/>
          <w:w w:val="95"/>
          <w:sz w:val="32"/>
          <w:szCs w:val="32"/>
        </w:rPr>
        <w:t>股票简称：实益达</w:t>
        <w:tab/>
      </w:r>
      <w:r>
        <w:rPr>
          <w:rFonts w:ascii="宋体" w:hAnsi="宋体" w:cs="宋体" w:eastAsia="宋体" w:hint="default"/>
          <w:b/>
          <w:bCs/>
          <w:sz w:val="32"/>
          <w:szCs w:val="32"/>
        </w:rPr>
        <w:t>证券代码：</w:t>
      </w:r>
      <w:r>
        <w:rPr>
          <w:rFonts w:ascii="华文中宋" w:hAnsi="华文中宋" w:cs="华文中宋" w:eastAsia="华文中宋" w:hint="default"/>
          <w:b/>
          <w:bCs/>
          <w:sz w:val="32"/>
          <w:szCs w:val="32"/>
        </w:rPr>
        <w:t>002137</w:t>
      </w:r>
      <w:r>
        <w:rPr>
          <w:rFonts w:ascii="华文中宋" w:hAnsi="华文中宋" w:cs="华文中宋" w:eastAsia="华文中宋" w:hint="default"/>
          <w:sz w:val="32"/>
          <w:szCs w:val="32"/>
        </w:rPr>
      </w:r>
    </w:p>
    <w:p>
      <w:pPr>
        <w:spacing w:line="240" w:lineRule="auto" w:before="0"/>
        <w:rPr>
          <w:rFonts w:ascii="华文中宋" w:hAnsi="华文中宋" w:cs="华文中宋" w:eastAsia="华文中宋" w:hint="default"/>
          <w:b/>
          <w:bCs/>
          <w:sz w:val="34"/>
          <w:szCs w:val="34"/>
        </w:rPr>
      </w:pPr>
    </w:p>
    <w:p>
      <w:pPr>
        <w:spacing w:line="240" w:lineRule="auto" w:before="1"/>
        <w:rPr>
          <w:rFonts w:ascii="华文中宋" w:hAnsi="华文中宋" w:cs="华文中宋" w:eastAsia="华文中宋" w:hint="default"/>
          <w:b/>
          <w:bCs/>
          <w:sz w:val="21"/>
          <w:szCs w:val="21"/>
        </w:rPr>
      </w:pPr>
    </w:p>
    <w:p>
      <w:pPr>
        <w:spacing w:before="0"/>
        <w:ind w:left="96" w:right="95" w:firstLine="0"/>
        <w:jc w:val="center"/>
        <w:rPr>
          <w:rFonts w:ascii="宋体" w:hAnsi="宋体" w:cs="宋体" w:eastAsia="宋体" w:hint="default"/>
          <w:sz w:val="52"/>
          <w:szCs w:val="52"/>
        </w:rPr>
      </w:pPr>
      <w:r>
        <w:rPr>
          <w:rFonts w:ascii="宋体" w:hAnsi="宋体" w:cs="宋体" w:eastAsia="宋体" w:hint="default"/>
          <w:b/>
          <w:bCs/>
          <w:sz w:val="52"/>
          <w:szCs w:val="52"/>
        </w:rPr>
        <w:t>深圳市实益达科技股份有限公司</w:t>
      </w:r>
      <w:r>
        <w:rPr>
          <w:rFonts w:ascii="宋体" w:hAnsi="宋体" w:cs="宋体" w:eastAsia="宋体" w:hint="default"/>
          <w:sz w:val="52"/>
          <w:szCs w:val="52"/>
        </w:rPr>
      </w:r>
    </w:p>
    <w:p>
      <w:pPr>
        <w:spacing w:before="53"/>
        <w:ind w:left="96" w:right="95" w:firstLine="0"/>
        <w:jc w:val="center"/>
        <w:rPr>
          <w:rFonts w:ascii="华文中宋" w:hAnsi="华文中宋" w:cs="华文中宋" w:eastAsia="华文中宋" w:hint="default"/>
          <w:sz w:val="28"/>
          <w:szCs w:val="28"/>
        </w:rPr>
      </w:pPr>
      <w:r>
        <w:rPr>
          <w:rFonts w:ascii="华文中宋" w:hAnsi="华文中宋" w:cs="华文中宋" w:eastAsia="华文中宋" w:hint="default"/>
          <w:b/>
          <w:bCs/>
          <w:sz w:val="28"/>
          <w:szCs w:val="28"/>
        </w:rPr>
        <w:t>(</w:t>
      </w:r>
      <w:r>
        <w:rPr>
          <w:rFonts w:ascii="宋体" w:hAnsi="宋体" w:cs="宋体" w:eastAsia="宋体" w:hint="default"/>
          <w:b/>
          <w:bCs/>
          <w:sz w:val="28"/>
          <w:szCs w:val="28"/>
        </w:rPr>
        <w:t>注册地址：深圳市高新区北区清华信息港研发楼</w:t>
      </w:r>
      <w:r>
        <w:rPr>
          <w:rFonts w:ascii="宋体" w:hAnsi="宋体" w:cs="宋体" w:eastAsia="宋体" w:hint="default"/>
          <w:b/>
          <w:bCs/>
          <w:spacing w:val="-75"/>
          <w:sz w:val="28"/>
          <w:szCs w:val="28"/>
        </w:rPr>
        <w:t> </w:t>
      </w:r>
      <w:r>
        <w:rPr>
          <w:rFonts w:ascii="华文中宋" w:hAnsi="华文中宋" w:cs="华文中宋" w:eastAsia="华文中宋" w:hint="default"/>
          <w:b/>
          <w:bCs/>
          <w:sz w:val="28"/>
          <w:szCs w:val="28"/>
        </w:rPr>
        <w:t>B</w:t>
      </w:r>
      <w:r>
        <w:rPr>
          <w:rFonts w:ascii="华文中宋" w:hAnsi="华文中宋" w:cs="华文中宋" w:eastAsia="华文中宋" w:hint="default"/>
          <w:b/>
          <w:bCs/>
          <w:spacing w:val="-25"/>
          <w:sz w:val="28"/>
          <w:szCs w:val="28"/>
        </w:rPr>
        <w:t> </w:t>
      </w:r>
      <w:r>
        <w:rPr>
          <w:rFonts w:ascii="宋体" w:hAnsi="宋体" w:cs="宋体" w:eastAsia="宋体" w:hint="default"/>
          <w:b/>
          <w:bCs/>
          <w:sz w:val="28"/>
          <w:szCs w:val="28"/>
        </w:rPr>
        <w:t>栋</w:t>
      </w:r>
      <w:r>
        <w:rPr>
          <w:rFonts w:ascii="宋体" w:hAnsi="宋体" w:cs="宋体" w:eastAsia="宋体" w:hint="default"/>
          <w:b/>
          <w:bCs/>
          <w:spacing w:val="-75"/>
          <w:sz w:val="28"/>
          <w:szCs w:val="28"/>
        </w:rPr>
        <w:t> </w:t>
      </w:r>
      <w:r>
        <w:rPr>
          <w:rFonts w:ascii="华文中宋" w:hAnsi="华文中宋" w:cs="华文中宋" w:eastAsia="华文中宋" w:hint="default"/>
          <w:b/>
          <w:bCs/>
          <w:sz w:val="28"/>
          <w:szCs w:val="28"/>
        </w:rPr>
        <w:t>501)</w:t>
      </w:r>
      <w:r>
        <w:rPr>
          <w:rFonts w:ascii="华文中宋" w:hAnsi="华文中宋" w:cs="华文中宋" w:eastAsia="华文中宋" w:hint="default"/>
          <w:sz w:val="28"/>
          <w:szCs w:val="28"/>
        </w:rPr>
      </w:r>
    </w:p>
    <w:p>
      <w:pPr>
        <w:spacing w:line="240" w:lineRule="auto" w:before="0"/>
        <w:rPr>
          <w:rFonts w:ascii="华文中宋" w:hAnsi="华文中宋" w:cs="华文中宋" w:eastAsia="华文中宋" w:hint="default"/>
          <w:b/>
          <w:bCs/>
          <w:sz w:val="30"/>
          <w:szCs w:val="30"/>
        </w:rPr>
      </w:pPr>
    </w:p>
    <w:p>
      <w:pPr>
        <w:spacing w:line="240" w:lineRule="auto" w:before="10"/>
        <w:rPr>
          <w:rFonts w:ascii="华文中宋" w:hAnsi="华文中宋" w:cs="华文中宋" w:eastAsia="华文中宋" w:hint="default"/>
          <w:b/>
          <w:bCs/>
          <w:sz w:val="37"/>
          <w:szCs w:val="37"/>
        </w:rPr>
      </w:pPr>
    </w:p>
    <w:p>
      <w:pPr>
        <w:spacing w:before="0"/>
        <w:ind w:left="98" w:right="95" w:firstLine="0"/>
        <w:jc w:val="center"/>
        <w:rPr>
          <w:rFonts w:ascii="宋体" w:hAnsi="宋体" w:cs="宋体" w:eastAsia="宋体" w:hint="default"/>
          <w:sz w:val="52"/>
          <w:szCs w:val="52"/>
        </w:rPr>
      </w:pPr>
      <w:r>
        <w:rPr>
          <w:rFonts w:ascii="华文中宋" w:hAnsi="华文中宋" w:cs="华文中宋" w:eastAsia="华文中宋" w:hint="default"/>
          <w:b/>
          <w:bCs/>
          <w:sz w:val="52"/>
          <w:szCs w:val="52"/>
        </w:rPr>
        <w:t>2008</w:t>
      </w:r>
      <w:r>
        <w:rPr>
          <w:rFonts w:ascii="华文中宋" w:hAnsi="华文中宋" w:cs="华文中宋" w:eastAsia="华文中宋" w:hint="default"/>
          <w:b/>
          <w:bCs/>
          <w:spacing w:val="-4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2"/>
        <w:rPr>
          <w:rFonts w:ascii="宋体" w:hAnsi="宋体" w:cs="宋体" w:eastAsia="宋体" w:hint="default"/>
          <w:b/>
          <w:bCs/>
          <w:sz w:val="39"/>
          <w:szCs w:val="39"/>
        </w:rPr>
      </w:pPr>
    </w:p>
    <w:p>
      <w:pPr>
        <w:spacing w:line="790" w:lineRule="exact" w:before="0"/>
        <w:ind w:left="97" w:right="95" w:firstLine="0"/>
        <w:jc w:val="center"/>
        <w:rPr>
          <w:rFonts w:ascii="Arial" w:hAnsi="Arial" w:cs="Arial" w:eastAsia="Arial" w:hint="default"/>
          <w:sz w:val="72"/>
          <w:szCs w:val="72"/>
        </w:rPr>
      </w:pPr>
      <w:r>
        <w:rPr>
          <w:rFonts w:ascii="Arial"/>
          <w:b/>
          <w:color w:val="0000FF"/>
          <w:w w:val="99"/>
          <w:sz w:val="72"/>
        </w:rPr>
      </w:r>
      <w:r>
        <w:rPr>
          <w:rFonts w:ascii="Arial"/>
          <w:b/>
          <w:color w:val="0000FF"/>
          <w:spacing w:val="-4"/>
          <w:sz w:val="72"/>
          <w:u w:val="thick" w:color="0000FF"/>
        </w:rPr>
        <w:t>Sea</w:t>
      </w:r>
      <w:r>
        <w:rPr>
          <w:rFonts w:ascii="Arial"/>
          <w:b/>
          <w:color w:val="0000FF"/>
          <w:spacing w:val="-13"/>
          <w:sz w:val="72"/>
          <w:u w:val="thick" w:color="0000FF"/>
        </w:rPr>
        <w:t> </w:t>
      </w:r>
      <w:r>
        <w:rPr>
          <w:rFonts w:ascii="Arial"/>
          <w:b/>
          <w:color w:val="0000FF"/>
          <w:spacing w:val="-6"/>
          <w:sz w:val="72"/>
          <w:u w:val="thick" w:color="0000FF"/>
        </w:rPr>
        <w:t>Star</w:t>
      </w:r>
      <w:r>
        <w:rPr>
          <w:rFonts w:ascii="Arial"/>
          <w:b/>
          <w:color w:val="0000FF"/>
          <w:spacing w:val="-6"/>
          <w:sz w:val="72"/>
        </w:rPr>
      </w:r>
      <w:r>
        <w:rPr>
          <w:rFonts w:ascii="Arial"/>
          <w:sz w:val="72"/>
        </w:rPr>
      </w:r>
    </w:p>
    <w:p>
      <w:pPr>
        <w:spacing w:line="904" w:lineRule="exact" w:before="0"/>
        <w:ind w:left="0" w:right="0" w:firstLine="0"/>
        <w:jc w:val="center"/>
        <w:rPr>
          <w:rFonts w:ascii="宋体" w:hAnsi="宋体" w:cs="宋体" w:eastAsia="宋体" w:hint="default"/>
          <w:sz w:val="72"/>
          <w:szCs w:val="72"/>
        </w:rPr>
      </w:pPr>
      <w:r>
        <w:rPr>
          <w:rFonts w:ascii="宋体" w:hAnsi="宋体" w:cs="宋体" w:eastAsia="宋体" w:hint="default"/>
          <w:b/>
          <w:bCs/>
          <w:color w:val="0000FF"/>
          <w:sz w:val="72"/>
          <w:szCs w:val="72"/>
        </w:rPr>
        <w:t>实 益</w:t>
      </w:r>
      <w:r>
        <w:rPr>
          <w:rFonts w:ascii="宋体" w:hAnsi="宋体" w:cs="宋体" w:eastAsia="宋体" w:hint="default"/>
          <w:b/>
          <w:bCs/>
          <w:color w:val="0000FF"/>
          <w:spacing w:val="-9"/>
          <w:sz w:val="72"/>
          <w:szCs w:val="72"/>
        </w:rPr>
        <w:t> </w:t>
      </w:r>
      <w:r>
        <w:rPr>
          <w:rFonts w:ascii="宋体" w:hAnsi="宋体" w:cs="宋体" w:eastAsia="宋体" w:hint="default"/>
          <w:b/>
          <w:bCs/>
          <w:color w:val="0000FF"/>
          <w:sz w:val="72"/>
          <w:szCs w:val="72"/>
        </w:rPr>
        <w:t>达</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2"/>
        <w:rPr>
          <w:rFonts w:ascii="宋体" w:hAnsi="宋体" w:cs="宋体" w:eastAsia="宋体" w:hint="default"/>
          <w:b/>
          <w:bCs/>
          <w:sz w:val="65"/>
          <w:szCs w:val="65"/>
        </w:rPr>
      </w:pPr>
    </w:p>
    <w:p>
      <w:pPr>
        <w:spacing w:before="0"/>
        <w:ind w:left="96" w:right="95" w:firstLine="0"/>
        <w:jc w:val="center"/>
        <w:rPr>
          <w:rFonts w:ascii="宋体" w:hAnsi="宋体" w:cs="宋体" w:eastAsia="宋体" w:hint="default"/>
          <w:sz w:val="32"/>
          <w:szCs w:val="32"/>
        </w:rPr>
      </w:pPr>
      <w:r>
        <w:rPr>
          <w:rFonts w:ascii="宋体" w:hAnsi="宋体" w:cs="宋体" w:eastAsia="宋体" w:hint="default"/>
          <w:b/>
          <w:bCs/>
          <w:sz w:val="32"/>
          <w:szCs w:val="32"/>
        </w:rPr>
        <w:t>二</w:t>
      </w:r>
      <w:r>
        <w:rPr>
          <w:rFonts w:ascii="华文中宋" w:hAnsi="华文中宋" w:cs="华文中宋" w:eastAsia="华文中宋" w:hint="default"/>
          <w:b/>
          <w:bCs/>
          <w:sz w:val="32"/>
          <w:szCs w:val="32"/>
        </w:rPr>
        <w:t>〇〇</w:t>
      </w:r>
      <w:r>
        <w:rPr>
          <w:rFonts w:ascii="宋体" w:hAnsi="宋体" w:cs="宋体" w:eastAsia="宋体" w:hint="default"/>
          <w:b/>
          <w:bCs/>
          <w:sz w:val="32"/>
          <w:szCs w:val="32"/>
        </w:rPr>
        <w:t>九年三月十八日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339" w:top="1020" w:bottom="1520" w:left="980" w:right="980"/>
          <w:pgNumType w:start="1"/>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Heading1"/>
        <w:spacing w:line="240" w:lineRule="auto" w:before="26"/>
        <w:ind w:left="154" w:right="0"/>
        <w:jc w:val="left"/>
        <w:rPr>
          <w:b w:val="0"/>
          <w:bCs w:val="0"/>
        </w:rPr>
      </w:pPr>
      <w:r>
        <w:rPr/>
        <w:t>目录：</w:t>
      </w:r>
      <w:r>
        <w:rPr>
          <w:b w:val="0"/>
          <w:bCs w:val="0"/>
        </w:rPr>
      </w:r>
    </w:p>
    <w:sdt>
      <w:sdtPr>
        <w:docPartObj>
          <w:docPartGallery w:val="Table of Contents"/>
          <w:docPartUnique/>
        </w:docPartObj>
      </w:sdtPr>
      <w:sdtEndPr/>
      <w:sdtContent>
        <w:p>
          <w:pPr>
            <w:pStyle w:val="TOC1"/>
            <w:tabs>
              <w:tab w:pos="9431" w:val="left" w:leader="dot"/>
            </w:tabs>
            <w:spacing w:line="240" w:lineRule="auto"/>
            <w:ind w:right="0"/>
            <w:jc w:val="left"/>
            <w:rPr>
              <w:b w:val="0"/>
              <w:bCs w:val="0"/>
            </w:rPr>
          </w:pPr>
          <w:r>
            <w:rPr>
              <w:w w:val="95"/>
            </w:rPr>
            <w:t>第一节、重要提示</w:t>
          </w:r>
          <w:r>
            <w:rPr>
              <w:rFonts w:ascii="Times New Roman" w:hAnsi="Times New Roman" w:cs="Times New Roman" w:eastAsia="Times New Roman" w:hint="default"/>
              <w:b w:val="0"/>
              <w:bCs w:val="0"/>
              <w:w w:val="95"/>
            </w:rPr>
            <w:tab/>
          </w:r>
          <w:r>
            <w:rPr/>
            <w:t>3</w:t>
          </w:r>
          <w:r>
            <w:rPr>
              <w:b w:val="0"/>
              <w:bCs w:val="0"/>
            </w:rPr>
          </w:r>
        </w:p>
        <w:p>
          <w:pPr>
            <w:pStyle w:val="TOC1"/>
            <w:tabs>
              <w:tab w:pos="9431" w:val="left" w:leader="dot"/>
            </w:tabs>
            <w:spacing w:line="240" w:lineRule="auto" w:before="125"/>
            <w:ind w:left="153" w:right="0"/>
            <w:jc w:val="left"/>
            <w:rPr>
              <w:b w:val="0"/>
              <w:bCs w:val="0"/>
            </w:rPr>
          </w:pPr>
          <w:r>
            <w:rPr>
              <w:w w:val="95"/>
            </w:rPr>
            <w:t>第二节、公司基本情况简介</w:t>
          </w:r>
          <w:r>
            <w:rPr>
              <w:rFonts w:ascii="Times New Roman" w:hAnsi="Times New Roman" w:cs="Times New Roman" w:eastAsia="Times New Roman" w:hint="default"/>
              <w:b w:val="0"/>
              <w:bCs w:val="0"/>
              <w:w w:val="95"/>
            </w:rPr>
            <w:tab/>
          </w:r>
          <w:r>
            <w:rPr/>
            <w:t>4</w:t>
          </w:r>
          <w:r>
            <w:rPr>
              <w:b w:val="0"/>
              <w:bCs w:val="0"/>
            </w:rPr>
          </w:r>
        </w:p>
        <w:p>
          <w:pPr>
            <w:pStyle w:val="TOC1"/>
            <w:tabs>
              <w:tab w:pos="9431" w:val="left" w:leader="dot"/>
            </w:tabs>
            <w:spacing w:line="240" w:lineRule="auto"/>
            <w:ind w:left="153" w:right="0"/>
            <w:jc w:val="left"/>
            <w:rPr>
              <w:b w:val="0"/>
              <w:bCs w:val="0"/>
            </w:rPr>
          </w:pPr>
          <w:r>
            <w:rPr>
              <w:w w:val="95"/>
            </w:rPr>
            <w:t>第三节、会计数据和业务数据摘要</w:t>
          </w:r>
          <w:r>
            <w:rPr>
              <w:rFonts w:ascii="Times New Roman" w:hAnsi="Times New Roman" w:cs="Times New Roman" w:eastAsia="Times New Roman" w:hint="default"/>
              <w:b w:val="0"/>
              <w:bCs w:val="0"/>
              <w:w w:val="95"/>
            </w:rPr>
            <w:tab/>
          </w:r>
          <w:r>
            <w:rPr/>
            <w:t>6</w:t>
          </w:r>
          <w:r>
            <w:rPr>
              <w:b w:val="0"/>
              <w:bCs w:val="0"/>
            </w:rPr>
          </w:r>
        </w:p>
        <w:p>
          <w:pPr>
            <w:pStyle w:val="TOC1"/>
            <w:tabs>
              <w:tab w:pos="9431" w:val="left" w:leader="dot"/>
            </w:tabs>
            <w:spacing w:line="240" w:lineRule="auto"/>
            <w:ind w:left="153" w:right="0"/>
            <w:jc w:val="left"/>
            <w:rPr>
              <w:b w:val="0"/>
              <w:bCs w:val="0"/>
            </w:rPr>
          </w:pPr>
          <w:hyperlink w:history="true" w:anchor="_TOC_250006">
            <w:r>
              <w:rPr>
                <w:w w:val="95"/>
              </w:rPr>
              <w:t>第四节、股本变动及股东情况</w:t>
            </w:r>
            <w:r>
              <w:rPr>
                <w:rFonts w:ascii="Times New Roman" w:hAnsi="Times New Roman" w:cs="Times New Roman" w:eastAsia="Times New Roman" w:hint="default"/>
                <w:b w:val="0"/>
                <w:bCs w:val="0"/>
                <w:w w:val="95"/>
              </w:rPr>
              <w:tab/>
            </w:r>
            <w:r>
              <w:rPr/>
              <w:t>8</w:t>
            </w:r>
            <w:r>
              <w:rPr>
                <w:b w:val="0"/>
                <w:bCs w:val="0"/>
              </w:rPr>
            </w:r>
          </w:hyperlink>
        </w:p>
        <w:p>
          <w:pPr>
            <w:pStyle w:val="TOC1"/>
            <w:tabs>
              <w:tab w:pos="9431" w:val="left" w:leader="dot"/>
            </w:tabs>
            <w:spacing w:line="240" w:lineRule="auto" w:before="125"/>
            <w:ind w:left="153" w:right="0"/>
            <w:jc w:val="left"/>
            <w:rPr>
              <w:b w:val="0"/>
              <w:bCs w:val="0"/>
            </w:rPr>
          </w:pPr>
          <w:hyperlink w:history="true" w:anchor="_TOC_250005">
            <w:r>
              <w:rPr>
                <w:w w:val="95"/>
              </w:rPr>
              <w:t>第五节、董事、监事、高级管理人员和员工情况…</w:t>
            </w:r>
            <w:r>
              <w:rPr>
                <w:rFonts w:ascii="Times New Roman" w:hAnsi="Times New Roman" w:cs="Times New Roman" w:eastAsia="Times New Roman" w:hint="default"/>
                <w:b w:val="0"/>
                <w:bCs w:val="0"/>
                <w:w w:val="95"/>
              </w:rPr>
              <w:tab/>
            </w:r>
            <w:r>
              <w:rPr/>
              <w:t>12</w:t>
            </w:r>
            <w:r>
              <w:rPr>
                <w:b w:val="0"/>
                <w:bCs w:val="0"/>
              </w:rPr>
            </w:r>
          </w:hyperlink>
        </w:p>
        <w:p>
          <w:pPr>
            <w:pStyle w:val="TOC1"/>
            <w:tabs>
              <w:tab w:pos="9430" w:val="left" w:leader="dot"/>
            </w:tabs>
            <w:spacing w:line="240" w:lineRule="auto"/>
            <w:ind w:right="0"/>
            <w:jc w:val="left"/>
            <w:rPr>
              <w:b w:val="0"/>
              <w:bCs w:val="0"/>
            </w:rPr>
          </w:pPr>
          <w:hyperlink w:history="true" w:anchor="_TOC_250004">
            <w:r>
              <w:rPr>
                <w:w w:val="95"/>
              </w:rPr>
              <w:t>第六节、公司治理结构</w:t>
            </w:r>
            <w:r>
              <w:rPr>
                <w:rFonts w:ascii="Times New Roman" w:hAnsi="Times New Roman" w:cs="Times New Roman" w:eastAsia="Times New Roman" w:hint="default"/>
                <w:b w:val="0"/>
                <w:bCs w:val="0"/>
                <w:w w:val="95"/>
              </w:rPr>
              <w:tab/>
            </w:r>
            <w:r>
              <w:rPr/>
              <w:t>16</w:t>
            </w:r>
            <w:r>
              <w:rPr>
                <w:b w:val="0"/>
                <w:bCs w:val="0"/>
              </w:rPr>
            </w:r>
          </w:hyperlink>
        </w:p>
        <w:p>
          <w:pPr>
            <w:pStyle w:val="TOC1"/>
            <w:tabs>
              <w:tab w:pos="9430" w:val="left" w:leader="dot"/>
            </w:tabs>
            <w:spacing w:line="240" w:lineRule="auto"/>
            <w:ind w:right="0"/>
            <w:jc w:val="left"/>
            <w:rPr>
              <w:b w:val="0"/>
              <w:bCs w:val="0"/>
            </w:rPr>
          </w:pPr>
          <w:hyperlink w:history="true" w:anchor="_TOC_250003">
            <w:r>
              <w:rPr>
                <w:w w:val="95"/>
              </w:rPr>
              <w:t>第七节、股东大会情况简介</w:t>
            </w:r>
            <w:r>
              <w:rPr>
                <w:rFonts w:ascii="Times New Roman" w:hAnsi="Times New Roman" w:cs="Times New Roman" w:eastAsia="Times New Roman" w:hint="default"/>
                <w:b w:val="0"/>
                <w:bCs w:val="0"/>
                <w:w w:val="95"/>
              </w:rPr>
              <w:tab/>
            </w:r>
            <w:r>
              <w:rPr/>
              <w:t>28</w:t>
            </w:r>
            <w:r>
              <w:rPr>
                <w:b w:val="0"/>
                <w:bCs w:val="0"/>
              </w:rPr>
            </w:r>
          </w:hyperlink>
        </w:p>
        <w:p>
          <w:pPr>
            <w:pStyle w:val="TOC1"/>
            <w:tabs>
              <w:tab w:pos="9430" w:val="left" w:leader="dot"/>
            </w:tabs>
            <w:spacing w:line="240" w:lineRule="auto" w:before="125"/>
            <w:ind w:right="0"/>
            <w:jc w:val="left"/>
            <w:rPr>
              <w:b w:val="0"/>
              <w:bCs w:val="0"/>
            </w:rPr>
          </w:pPr>
          <w:hyperlink w:history="true" w:anchor="_TOC_250002">
            <w:r>
              <w:rPr>
                <w:w w:val="95"/>
              </w:rPr>
              <w:t>第八节、董事会报告</w:t>
            </w:r>
            <w:r>
              <w:rPr>
                <w:rFonts w:ascii="Times New Roman" w:hAnsi="Times New Roman" w:cs="Times New Roman" w:eastAsia="Times New Roman" w:hint="default"/>
                <w:b w:val="0"/>
                <w:bCs w:val="0"/>
                <w:w w:val="95"/>
              </w:rPr>
              <w:tab/>
            </w:r>
            <w:r>
              <w:rPr/>
              <w:t>30</w:t>
            </w:r>
            <w:r>
              <w:rPr>
                <w:b w:val="0"/>
                <w:bCs w:val="0"/>
              </w:rPr>
            </w:r>
          </w:hyperlink>
        </w:p>
        <w:p>
          <w:pPr>
            <w:pStyle w:val="TOC1"/>
            <w:tabs>
              <w:tab w:pos="9430" w:val="left" w:leader="dot"/>
            </w:tabs>
            <w:spacing w:line="240" w:lineRule="auto"/>
            <w:ind w:right="0"/>
            <w:jc w:val="left"/>
            <w:rPr>
              <w:b w:val="0"/>
              <w:bCs w:val="0"/>
            </w:rPr>
          </w:pPr>
          <w:r>
            <w:rPr>
              <w:w w:val="95"/>
            </w:rPr>
            <w:t>第九节、监事会报告</w:t>
          </w:r>
          <w:r>
            <w:rPr>
              <w:rFonts w:ascii="Times New Roman" w:hAnsi="Times New Roman" w:cs="Times New Roman" w:eastAsia="Times New Roman" w:hint="default"/>
              <w:b w:val="0"/>
              <w:bCs w:val="0"/>
              <w:w w:val="95"/>
            </w:rPr>
            <w:tab/>
          </w:r>
          <w:r>
            <w:rPr/>
            <w:t>50</w:t>
          </w:r>
          <w:r>
            <w:rPr>
              <w:b w:val="0"/>
              <w:bCs w:val="0"/>
            </w:rPr>
          </w:r>
        </w:p>
        <w:p>
          <w:pPr>
            <w:pStyle w:val="TOC1"/>
            <w:tabs>
              <w:tab w:pos="9430" w:val="left" w:leader="dot"/>
            </w:tabs>
            <w:spacing w:line="240" w:lineRule="auto" w:before="167"/>
            <w:ind w:right="0"/>
            <w:jc w:val="left"/>
            <w:rPr>
              <w:b w:val="0"/>
              <w:bCs w:val="0"/>
            </w:rPr>
          </w:pPr>
          <w:hyperlink w:history="true" w:anchor="_TOC_250001">
            <w:r>
              <w:rPr>
                <w:w w:val="95"/>
              </w:rPr>
              <w:t>第十节、重要事项</w:t>
            </w:r>
            <w:r>
              <w:rPr>
                <w:rFonts w:ascii="Times New Roman" w:hAnsi="Times New Roman" w:cs="Times New Roman" w:eastAsia="Times New Roman" w:hint="default"/>
                <w:b w:val="0"/>
                <w:bCs w:val="0"/>
                <w:w w:val="95"/>
              </w:rPr>
              <w:tab/>
            </w:r>
            <w:r>
              <w:rPr/>
              <w:t>52</w:t>
            </w:r>
            <w:r>
              <w:rPr>
                <w:b w:val="0"/>
                <w:bCs w:val="0"/>
              </w:rPr>
            </w:r>
          </w:hyperlink>
        </w:p>
        <w:p>
          <w:pPr>
            <w:pStyle w:val="TOC1"/>
            <w:tabs>
              <w:tab w:pos="9430" w:val="left" w:leader="dot"/>
            </w:tabs>
            <w:spacing w:line="240" w:lineRule="auto" w:before="166"/>
            <w:ind w:right="0"/>
            <w:jc w:val="left"/>
            <w:rPr>
              <w:b w:val="0"/>
              <w:bCs w:val="0"/>
            </w:rPr>
          </w:pPr>
          <w:hyperlink w:history="true" w:anchor="_TOC_250000">
            <w:r>
              <w:rPr>
                <w:w w:val="95"/>
              </w:rPr>
              <w:t>第十一节、财务报告</w:t>
            </w:r>
            <w:r>
              <w:rPr>
                <w:rFonts w:ascii="Times New Roman" w:hAnsi="Times New Roman" w:cs="Times New Roman" w:eastAsia="Times New Roman" w:hint="default"/>
                <w:b w:val="0"/>
                <w:bCs w:val="0"/>
                <w:w w:val="95"/>
              </w:rPr>
              <w:tab/>
            </w:r>
            <w:r>
              <w:rPr/>
              <w:t>55</w:t>
            </w:r>
            <w:r>
              <w:rPr>
                <w:b w:val="0"/>
                <w:bCs w:val="0"/>
              </w:rPr>
            </w:r>
          </w:hyperlink>
        </w:p>
        <w:p>
          <w:pPr>
            <w:pStyle w:val="TOC1"/>
            <w:tabs>
              <w:tab w:pos="9429" w:val="left" w:leader="dot"/>
            </w:tabs>
            <w:spacing w:line="240" w:lineRule="auto" w:before="166"/>
            <w:ind w:right="0"/>
            <w:jc w:val="left"/>
            <w:rPr>
              <w:b w:val="0"/>
              <w:bCs w:val="0"/>
            </w:rPr>
          </w:pPr>
          <w:r>
            <w:rPr>
              <w:spacing w:val="-1"/>
              <w:w w:val="95"/>
            </w:rPr>
            <w:t>第十二节、备查文件目录</w:t>
          </w:r>
          <w:r>
            <w:rPr>
              <w:rFonts w:ascii="Times New Roman" w:hAnsi="Times New Roman" w:cs="Times New Roman" w:eastAsia="Times New Roman" w:hint="default"/>
              <w:b w:val="0"/>
              <w:bCs w:val="0"/>
              <w:spacing w:val="-1"/>
              <w:w w:val="95"/>
            </w:rPr>
            <w:tab/>
          </w:r>
          <w:r>
            <w:rPr/>
            <w:t>106</w:t>
          </w:r>
          <w:r>
            <w:rPr>
              <w:b w:val="0"/>
              <w:bCs w:val="0"/>
            </w:rPr>
          </w:r>
        </w:p>
      </w:sdtContent>
    </w:sdt>
    <w:p>
      <w:pPr>
        <w:spacing w:after="0" w:line="240" w:lineRule="auto"/>
        <w:jc w:val="left"/>
        <w:sectPr>
          <w:pgSz w:w="11910" w:h="16840"/>
          <w:pgMar w:header="787" w:footer="1339" w:top="1020" w:bottom="1520" w:left="980" w:right="980"/>
        </w:sectPr>
      </w:pPr>
    </w:p>
    <w:p>
      <w:pPr>
        <w:spacing w:line="880" w:lineRule="exact" w:before="59"/>
        <w:ind w:left="636" w:right="132" w:firstLine="3372"/>
        <w:jc w:val="left"/>
        <w:rPr>
          <w:rFonts w:ascii="宋体" w:hAnsi="宋体" w:cs="宋体" w:eastAsia="宋体" w:hint="default"/>
          <w:sz w:val="24"/>
          <w:szCs w:val="24"/>
        </w:rPr>
      </w:pPr>
      <w:r>
        <w:rPr>
          <w:rFonts w:ascii="宋体" w:hAnsi="宋体" w:cs="宋体" w:eastAsia="宋体" w:hint="default"/>
          <w:b/>
          <w:bCs/>
          <w:sz w:val="24"/>
          <w:szCs w:val="24"/>
        </w:rPr>
        <w:t>第一节、重要提示</w:t>
      </w:r>
      <w:r>
        <w:rPr>
          <w:rFonts w:ascii="宋体" w:hAnsi="宋体" w:cs="宋体" w:eastAsia="宋体" w:hint="default"/>
          <w:b/>
          <w:bCs/>
          <w:spacing w:val="1"/>
          <w:w w:val="99"/>
          <w:sz w:val="24"/>
          <w:szCs w:val="24"/>
        </w:rPr>
        <w:t> </w:t>
      </w:r>
      <w:r>
        <w:rPr>
          <w:rFonts w:ascii="宋体" w:hAnsi="宋体" w:cs="宋体" w:eastAsia="宋体" w:hint="default"/>
          <w:b/>
          <w:bCs/>
          <w:sz w:val="24"/>
          <w:szCs w:val="24"/>
        </w:rPr>
        <w:t>一、本公司董事会、监事会及其董事、监事、高级管理人员保证本报告所载数据不存在</w:t>
      </w:r>
      <w:r>
        <w:rPr>
          <w:rFonts w:ascii="宋体" w:hAnsi="宋体" w:cs="宋体" w:eastAsia="宋体" w:hint="default"/>
          <w:sz w:val="24"/>
          <w:szCs w:val="24"/>
        </w:rPr>
      </w:r>
    </w:p>
    <w:p>
      <w:pPr>
        <w:spacing w:line="298" w:lineRule="exact" w:before="0"/>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任何虚假记载、误导性陈述或者重大遗漏，并对其内容的真实性、准确性和完整性负个别及</w:t>
      </w:r>
      <w:r>
        <w:rPr>
          <w:rFonts w:ascii="宋体" w:hAnsi="宋体" w:cs="宋体" w:eastAsia="宋体" w:hint="default"/>
          <w:sz w:val="24"/>
          <w:szCs w:val="24"/>
        </w:rPr>
      </w:r>
    </w:p>
    <w:p>
      <w:pPr>
        <w:spacing w:before="1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连带责任。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spacing w:line="336" w:lineRule="auto" w:before="0"/>
        <w:ind w:left="153" w:right="133" w:firstLine="482"/>
        <w:jc w:val="left"/>
        <w:rPr>
          <w:rFonts w:ascii="宋体" w:hAnsi="宋体" w:cs="宋体" w:eastAsia="宋体" w:hint="default"/>
          <w:sz w:val="24"/>
          <w:szCs w:val="24"/>
        </w:rPr>
      </w:pPr>
      <w:r>
        <w:rPr>
          <w:rFonts w:ascii="宋体" w:hAnsi="宋体" w:cs="宋体" w:eastAsia="宋体" w:hint="default"/>
          <w:b/>
          <w:bCs/>
          <w:sz w:val="24"/>
          <w:szCs w:val="24"/>
        </w:rPr>
        <w:t>二、不存在董事、监事、高级管理人员对年度报告内容的真实性、准确性和完整性无法</w:t>
      </w:r>
      <w:r>
        <w:rPr>
          <w:rFonts w:ascii="宋体" w:hAnsi="宋体" w:cs="宋体" w:eastAsia="宋体" w:hint="default"/>
          <w:b/>
          <w:bCs/>
          <w:spacing w:val="1"/>
          <w:w w:val="99"/>
          <w:sz w:val="24"/>
          <w:szCs w:val="24"/>
        </w:rPr>
        <w:t> </w:t>
      </w:r>
      <w:r>
        <w:rPr>
          <w:rFonts w:ascii="宋体" w:hAnsi="宋体" w:cs="宋体" w:eastAsia="宋体" w:hint="default"/>
          <w:b/>
          <w:bCs/>
          <w:sz w:val="24"/>
          <w:szCs w:val="24"/>
        </w:rPr>
        <w:t>保证或存在异议的情形。</w:t>
      </w:r>
      <w:r>
        <w:rPr>
          <w:rFonts w:ascii="宋体" w:hAnsi="宋体" w:cs="宋体" w:eastAsia="宋体" w:hint="default"/>
          <w:sz w:val="24"/>
          <w:szCs w:val="24"/>
        </w:rPr>
      </w:r>
    </w:p>
    <w:p>
      <w:pPr>
        <w:spacing w:line="880" w:lineRule="exact" w:before="46"/>
        <w:ind w:left="636" w:right="130" w:firstLine="0"/>
        <w:jc w:val="left"/>
        <w:rPr>
          <w:rFonts w:ascii="宋体" w:hAnsi="宋体" w:cs="宋体" w:eastAsia="宋体" w:hint="default"/>
          <w:sz w:val="24"/>
          <w:szCs w:val="24"/>
        </w:rPr>
      </w:pPr>
      <w:r>
        <w:rPr>
          <w:rFonts w:ascii="宋体" w:hAnsi="宋体" w:cs="宋体" w:eastAsia="宋体" w:hint="default"/>
          <w:b/>
          <w:bCs/>
          <w:sz w:val="24"/>
          <w:szCs w:val="24"/>
        </w:rPr>
        <w:t>三、公司董事吕昌荣先生因工作原因未出席现场会议，以通讯方式参加会议并表决。</w:t>
      </w:r>
      <w:r>
        <w:rPr>
          <w:rFonts w:ascii="宋体" w:hAnsi="宋体" w:cs="宋体" w:eastAsia="宋体" w:hint="default"/>
          <w:b/>
          <w:bCs/>
          <w:spacing w:val="1"/>
          <w:w w:val="99"/>
          <w:sz w:val="24"/>
          <w:szCs w:val="24"/>
        </w:rPr>
        <w:t> </w:t>
      </w:r>
      <w:r>
        <w:rPr>
          <w:rFonts w:ascii="宋体" w:hAnsi="宋体" w:cs="宋体" w:eastAsia="宋体" w:hint="default"/>
          <w:b/>
          <w:bCs/>
          <w:sz w:val="24"/>
          <w:szCs w:val="24"/>
        </w:rPr>
        <w:t>四、公司2008年度财务报告经立信会计师事务所有限公司审计并出具标准无保留意见的</w:t>
      </w:r>
      <w:r>
        <w:rPr>
          <w:rFonts w:ascii="宋体" w:hAnsi="宋体" w:cs="宋体" w:eastAsia="宋体" w:hint="default"/>
          <w:sz w:val="24"/>
          <w:szCs w:val="24"/>
        </w:rPr>
      </w:r>
    </w:p>
    <w:p>
      <w:pPr>
        <w:spacing w:line="298" w:lineRule="exact" w:before="0"/>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审计报告。</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spacing w:line="336" w:lineRule="auto" w:before="0"/>
        <w:ind w:left="153" w:right="133" w:firstLine="482"/>
        <w:jc w:val="left"/>
        <w:rPr>
          <w:rFonts w:ascii="宋体" w:hAnsi="宋体" w:cs="宋体" w:eastAsia="宋体" w:hint="default"/>
          <w:sz w:val="24"/>
          <w:szCs w:val="24"/>
        </w:rPr>
      </w:pPr>
      <w:r>
        <w:rPr>
          <w:rFonts w:ascii="宋体" w:hAnsi="宋体" w:cs="宋体" w:eastAsia="宋体" w:hint="default"/>
          <w:b/>
          <w:bCs/>
          <w:sz w:val="24"/>
          <w:szCs w:val="24"/>
        </w:rPr>
        <w:t>五、公司法定代表人、董事长陈亚妹女士，主管会计工作负责人乔昕先生及会计机构负</w:t>
      </w:r>
      <w:r>
        <w:rPr>
          <w:rFonts w:ascii="宋体" w:hAnsi="宋体" w:cs="宋体" w:eastAsia="宋体" w:hint="default"/>
          <w:b/>
          <w:bCs/>
          <w:spacing w:val="1"/>
          <w:w w:val="99"/>
          <w:sz w:val="24"/>
          <w:szCs w:val="24"/>
        </w:rPr>
        <w:t> </w:t>
      </w:r>
      <w:r>
        <w:rPr>
          <w:rFonts w:ascii="宋体" w:hAnsi="宋体" w:cs="宋体" w:eastAsia="宋体" w:hint="default"/>
          <w:b/>
          <w:bCs/>
          <w:sz w:val="24"/>
          <w:szCs w:val="24"/>
        </w:rPr>
        <w:t>责人吕培荣先生声明：保证年度报告中财务报告的真实、完整。</w:t>
      </w:r>
      <w:r>
        <w:rPr>
          <w:rFonts w:ascii="宋体" w:hAnsi="宋体" w:cs="宋体" w:eastAsia="宋体" w:hint="default"/>
          <w:sz w:val="24"/>
          <w:szCs w:val="24"/>
        </w:rPr>
      </w:r>
    </w:p>
    <w:p>
      <w:pPr>
        <w:spacing w:after="0" w:line="336" w:lineRule="auto"/>
        <w:jc w:val="left"/>
        <w:rPr>
          <w:rFonts w:ascii="宋体" w:hAnsi="宋体" w:cs="宋体" w:eastAsia="宋体" w:hint="default"/>
          <w:sz w:val="24"/>
          <w:szCs w:val="24"/>
        </w:rPr>
        <w:sectPr>
          <w:pgSz w:w="11910" w:h="16840"/>
          <w:pgMar w:header="787" w:footer="1339" w:top="1020" w:bottom="152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before="26"/>
        <w:ind w:left="4003" w:right="3330" w:firstLine="0"/>
        <w:jc w:val="left"/>
        <w:rPr>
          <w:rFonts w:ascii="宋体" w:hAnsi="宋体" w:cs="宋体" w:eastAsia="宋体" w:hint="default"/>
          <w:sz w:val="24"/>
          <w:szCs w:val="24"/>
        </w:rPr>
      </w:pPr>
      <w:r>
        <w:rPr>
          <w:rFonts w:ascii="宋体" w:hAnsi="宋体" w:cs="宋体" w:eastAsia="宋体" w:hint="default"/>
          <w:b/>
          <w:bCs/>
          <w:sz w:val="24"/>
          <w:szCs w:val="24"/>
        </w:rPr>
        <w:t>第二节、公司基本情况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16"/>
          <w:szCs w:val="16"/>
        </w:rPr>
      </w:pPr>
    </w:p>
    <w:p>
      <w:pPr>
        <w:pStyle w:val="BodyText"/>
        <w:spacing w:line="240" w:lineRule="auto" w:before="0"/>
        <w:ind w:left="624" w:right="3330"/>
        <w:jc w:val="left"/>
      </w:pPr>
      <w:r>
        <w:rPr/>
        <w:t>一、公司名称</w:t>
      </w:r>
    </w:p>
    <w:p>
      <w:pPr>
        <w:pStyle w:val="BodyText"/>
        <w:spacing w:line="304" w:lineRule="auto" w:before="86"/>
        <w:ind w:left="1114" w:right="3330"/>
        <w:jc w:val="left"/>
      </w:pPr>
      <w:r>
        <w:rPr/>
        <w:t>中文名称：深圳市实益达科技股份有限公司 英文名称：SHENZHEN SEA STAR TECHNOLOGY CO., LTD</w:t>
      </w:r>
    </w:p>
    <w:p>
      <w:pPr>
        <w:pStyle w:val="BodyText"/>
        <w:spacing w:line="307" w:lineRule="auto"/>
        <w:ind w:left="634" w:right="6348" w:hanging="240"/>
        <w:jc w:val="center"/>
      </w:pPr>
      <w:r>
        <w:rPr/>
        <w:t>中文简称：实益达 英文简称：SEASTAR</w:t>
      </w:r>
    </w:p>
    <w:p>
      <w:pPr>
        <w:spacing w:line="240" w:lineRule="auto" w:before="12"/>
        <w:rPr>
          <w:rFonts w:ascii="宋体" w:hAnsi="宋体" w:cs="宋体" w:eastAsia="宋体" w:hint="default"/>
          <w:sz w:val="31"/>
          <w:szCs w:val="31"/>
        </w:rPr>
      </w:pPr>
    </w:p>
    <w:p>
      <w:pPr>
        <w:pStyle w:val="BodyText"/>
        <w:spacing w:line="612" w:lineRule="auto" w:before="0"/>
        <w:ind w:left="634" w:right="6330"/>
        <w:jc w:val="left"/>
      </w:pPr>
      <w:r>
        <w:rPr/>
        <w:pict>
          <v:shape style="position:absolute;margin-left:83.459999pt;margin-top:57.995949pt;width:465.15pt;height:143.5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0"/>
                    <w:gridCol w:w="3485"/>
                    <w:gridCol w:w="3484"/>
                  </w:tblGrid>
                  <w:tr>
                    <w:trPr>
                      <w:trHeight w:val="41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1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0"/>
                          <w:ind w:left="12" w:right="0"/>
                          <w:jc w:val="left"/>
                          <w:rPr>
                            <w:rFonts w:ascii="宋体" w:hAnsi="宋体" w:cs="宋体" w:eastAsia="宋体" w:hint="default"/>
                            <w:sz w:val="18"/>
                            <w:szCs w:val="18"/>
                          </w:rPr>
                        </w:pPr>
                        <w:r>
                          <w:rPr>
                            <w:rFonts w:ascii="宋体" w:hAnsi="宋体" w:cs="宋体" w:eastAsia="宋体" w:hint="default"/>
                            <w:sz w:val="18"/>
                            <w:szCs w:val="18"/>
                          </w:rPr>
                          <w:t>姜帆</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李辉</w:t>
                        </w:r>
                      </w:p>
                    </w:tc>
                  </w:tr>
                  <w:tr>
                    <w:trPr>
                      <w:trHeight w:val="205" w:hRule="exact"/>
                    </w:trPr>
                    <w:tc>
                      <w:tcPr>
                        <w:tcW w:w="23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485" w:type="dxa"/>
                        <w:vMerge w:val="restart"/>
                        <w:tcBorders>
                          <w:top w:val="single" w:sz="4" w:space="0" w:color="000000"/>
                          <w:left w:val="single" w:sz="9" w:space="0" w:color="DCDCDC"/>
                          <w:right w:val="single" w:sz="4" w:space="0" w:color="000000"/>
                        </w:tcBorders>
                      </w:tcPr>
                      <w:p>
                        <w:pPr>
                          <w:pStyle w:val="TableParagraph"/>
                          <w:spacing w:line="400" w:lineRule="exact"/>
                          <w:ind w:left="17" w:right="29"/>
                          <w:jc w:val="left"/>
                          <w:rPr>
                            <w:rFonts w:ascii="宋体" w:hAnsi="宋体" w:cs="宋体" w:eastAsia="宋体" w:hint="default"/>
                            <w:sz w:val="18"/>
                            <w:szCs w:val="18"/>
                          </w:rPr>
                        </w:pPr>
                        <w:r>
                          <w:rPr>
                            <w:rFonts w:ascii="宋体" w:hAnsi="宋体" w:cs="宋体" w:eastAsia="宋体" w:hint="default"/>
                            <w:sz w:val="18"/>
                            <w:szCs w:val="18"/>
                          </w:rPr>
                          <w:t>深圳市宝安区龙华大浪华兴路龙泉科技工业 </w:t>
                        </w:r>
                        <w:r>
                          <w:rPr>
                            <w:rFonts w:ascii="宋体" w:hAnsi="宋体" w:cs="宋体" w:eastAsia="宋体" w:hint="default"/>
                            <w:spacing w:val="29"/>
                            <w:sz w:val="18"/>
                            <w:szCs w:val="18"/>
                          </w:rPr>
                          <w:t>园1栋</w:t>
                        </w:r>
                        <w:r>
                          <w:rPr>
                            <w:rFonts w:ascii="宋体" w:hAnsi="宋体" w:cs="宋体" w:eastAsia="宋体" w:hint="default"/>
                            <w:spacing w:val="-45"/>
                            <w:sz w:val="18"/>
                            <w:szCs w:val="18"/>
                          </w:rPr>
                          <w:t> </w:t>
                        </w:r>
                        <w:r>
                          <w:rPr>
                            <w:rFonts w:ascii="宋体" w:hAnsi="宋体" w:cs="宋体" w:eastAsia="宋体" w:hint="default"/>
                            <w:spacing w:val="22"/>
                            <w:sz w:val="18"/>
                            <w:szCs w:val="18"/>
                          </w:rPr>
                          <w:t>5楼</w:t>
                        </w:r>
                        <w:r>
                          <w:rPr>
                            <w:rFonts w:ascii="宋体" w:hAnsi="宋体" w:cs="宋体" w:eastAsia="宋体" w:hint="default"/>
                            <w:spacing w:val="-46"/>
                            <w:sz w:val="18"/>
                            <w:szCs w:val="18"/>
                          </w:rPr>
                          <w:t> </w:t>
                        </w:r>
                        <w:r>
                          <w:rPr>
                            <w:rFonts w:ascii="宋体" w:hAnsi="宋体" w:cs="宋体" w:eastAsia="宋体" w:hint="default"/>
                            <w:sz w:val="18"/>
                            <w:szCs w:val="18"/>
                          </w:rPr>
                        </w:r>
                      </w:p>
                    </w:tc>
                    <w:tc>
                      <w:tcPr>
                        <w:tcW w:w="3484" w:type="dxa"/>
                        <w:vMerge w:val="restart"/>
                        <w:tcBorders>
                          <w:top w:val="single" w:sz="4" w:space="0" w:color="000000"/>
                          <w:left w:val="single" w:sz="4" w:space="0" w:color="000000"/>
                          <w:right w:val="single" w:sz="4" w:space="0" w:color="000000"/>
                        </w:tcBorders>
                      </w:tcPr>
                      <w:p>
                        <w:pPr>
                          <w:pStyle w:val="TableParagraph"/>
                          <w:spacing w:line="400" w:lineRule="exact"/>
                          <w:ind w:left="22" w:right="29"/>
                          <w:jc w:val="left"/>
                          <w:rPr>
                            <w:rFonts w:ascii="宋体" w:hAnsi="宋体" w:cs="宋体" w:eastAsia="宋体" w:hint="default"/>
                            <w:sz w:val="18"/>
                            <w:szCs w:val="18"/>
                          </w:rPr>
                        </w:pPr>
                        <w:r>
                          <w:rPr>
                            <w:rFonts w:ascii="宋体" w:hAnsi="宋体" w:cs="宋体" w:eastAsia="宋体" w:hint="default"/>
                            <w:sz w:val="18"/>
                            <w:szCs w:val="18"/>
                          </w:rPr>
                          <w:t>深圳市宝安区龙华大浪华兴路龙泉科技工业 </w:t>
                        </w:r>
                        <w:r>
                          <w:rPr>
                            <w:rFonts w:ascii="宋体" w:hAnsi="宋体" w:cs="宋体" w:eastAsia="宋体" w:hint="default"/>
                            <w:spacing w:val="29"/>
                            <w:sz w:val="18"/>
                            <w:szCs w:val="18"/>
                          </w:rPr>
                          <w:t>园1栋</w:t>
                        </w:r>
                        <w:r>
                          <w:rPr>
                            <w:rFonts w:ascii="宋体" w:hAnsi="宋体" w:cs="宋体" w:eastAsia="宋体" w:hint="default"/>
                            <w:spacing w:val="-45"/>
                            <w:sz w:val="18"/>
                            <w:szCs w:val="18"/>
                          </w:rPr>
                          <w:t> </w:t>
                        </w:r>
                        <w:r>
                          <w:rPr>
                            <w:rFonts w:ascii="宋体" w:hAnsi="宋体" w:cs="宋体" w:eastAsia="宋体" w:hint="default"/>
                            <w:spacing w:val="22"/>
                            <w:sz w:val="18"/>
                            <w:szCs w:val="18"/>
                          </w:rPr>
                          <w:t>5楼</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00" w:hRule="exact"/>
                    </w:trPr>
                    <w:tc>
                      <w:tcPr>
                        <w:tcW w:w="23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485" w:type="dxa"/>
                        <w:vMerge/>
                        <w:tcBorders>
                          <w:left w:val="single" w:sz="9" w:space="0" w:color="DCDCDC"/>
                          <w:right w:val="single" w:sz="4" w:space="0" w:color="000000"/>
                        </w:tcBorders>
                      </w:tcPr>
                      <w:p>
                        <w:pPr/>
                      </w:p>
                    </w:tc>
                    <w:tc>
                      <w:tcPr>
                        <w:tcW w:w="3484" w:type="dxa"/>
                        <w:vMerge/>
                        <w:tcBorders>
                          <w:left w:val="single" w:sz="4" w:space="0" w:color="000000"/>
                          <w:right w:val="single" w:sz="4" w:space="0" w:color="000000"/>
                        </w:tcBorders>
                      </w:tcPr>
                      <w:p>
                        <w:pPr/>
                      </w:p>
                    </w:tc>
                  </w:tr>
                  <w:tr>
                    <w:trPr>
                      <w:trHeight w:val="205" w:hRule="exact"/>
                    </w:trPr>
                    <w:tc>
                      <w:tcPr>
                        <w:tcW w:w="2320" w:type="dxa"/>
                        <w:tcBorders>
                          <w:top w:val="nil" w:sz="6" w:space="0" w:color="auto"/>
                          <w:left w:val="single" w:sz="4" w:space="0" w:color="000000"/>
                          <w:bottom w:val="single" w:sz="4" w:space="0" w:color="000000"/>
                          <w:right w:val="single" w:sz="4" w:space="0" w:color="000000"/>
                        </w:tcBorders>
                        <w:shd w:val="clear" w:color="auto" w:fill="DCDCDC"/>
                      </w:tcPr>
                      <w:p>
                        <w:pPr/>
                      </w:p>
                    </w:tc>
                    <w:tc>
                      <w:tcPr>
                        <w:tcW w:w="3485" w:type="dxa"/>
                        <w:vMerge/>
                        <w:tcBorders>
                          <w:left w:val="single" w:sz="9" w:space="0" w:color="DCDCDC"/>
                          <w:bottom w:val="single" w:sz="4" w:space="0" w:color="000000"/>
                          <w:right w:val="single" w:sz="4" w:space="0" w:color="000000"/>
                        </w:tcBorders>
                      </w:tcPr>
                      <w:p>
                        <w:pPr/>
                      </w:p>
                    </w:tc>
                    <w:tc>
                      <w:tcPr>
                        <w:tcW w:w="3484" w:type="dxa"/>
                        <w:vMerge/>
                        <w:tcBorders>
                          <w:left w:val="single" w:sz="4" w:space="0" w:color="000000"/>
                          <w:bottom w:val="single" w:sz="4" w:space="0" w:color="000000"/>
                          <w:right w:val="single" w:sz="4" w:space="0" w:color="000000"/>
                        </w:tcBorders>
                      </w:tcPr>
                      <w:p>
                        <w:pPr/>
                      </w:p>
                    </w:tc>
                  </w:tr>
                  <w:tr>
                    <w:trPr>
                      <w:trHeight w:val="409"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0"/>
                          <w:ind w:left="12" w:right="0"/>
                          <w:jc w:val="left"/>
                          <w:rPr>
                            <w:rFonts w:ascii="宋体" w:hAnsi="宋体" w:cs="宋体" w:eastAsia="宋体" w:hint="default"/>
                            <w:sz w:val="18"/>
                            <w:szCs w:val="18"/>
                          </w:rPr>
                        </w:pPr>
                        <w:r>
                          <w:rPr>
                            <w:rFonts w:ascii="宋体"/>
                            <w:sz w:val="18"/>
                          </w:rPr>
                          <w:t>0755-29672878</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sz w:val="18"/>
                          </w:rPr>
                          <w:t>0755-86001058</w:t>
                        </w:r>
                      </w:p>
                    </w:tc>
                  </w:tr>
                  <w:tr>
                    <w:trPr>
                      <w:trHeight w:val="41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0"/>
                          <w:ind w:left="12" w:right="0"/>
                          <w:jc w:val="left"/>
                          <w:rPr>
                            <w:rFonts w:ascii="宋体" w:hAnsi="宋体" w:cs="宋体" w:eastAsia="宋体" w:hint="default"/>
                            <w:sz w:val="18"/>
                            <w:szCs w:val="18"/>
                          </w:rPr>
                        </w:pPr>
                        <w:r>
                          <w:rPr>
                            <w:rFonts w:ascii="宋体"/>
                            <w:sz w:val="18"/>
                          </w:rPr>
                          <w:t>0755-29672878</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sz w:val="18"/>
                          </w:rPr>
                          <w:t>0755-29672878</w:t>
                        </w:r>
                      </w:p>
                    </w:tc>
                  </w:tr>
                  <w:tr>
                    <w:trPr>
                      <w:trHeight w:val="41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0"/>
                          <w:ind w:left="12" w:right="0"/>
                          <w:jc w:val="left"/>
                          <w:rPr>
                            <w:rFonts w:ascii="宋体" w:hAnsi="宋体" w:cs="宋体" w:eastAsia="宋体" w:hint="default"/>
                            <w:sz w:val="18"/>
                            <w:szCs w:val="18"/>
                          </w:rPr>
                        </w:pPr>
                        <w:hyperlink r:id="rId7">
                          <w:r>
                            <w:rPr>
                              <w:rFonts w:ascii="宋体"/>
                              <w:sz w:val="18"/>
                            </w:rPr>
                            <w:t>dmb@sz-seastar.com</w:t>
                          </w:r>
                        </w:hyperlink>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hyperlink r:id="rId8">
                          <w:r>
                            <w:rPr>
                              <w:rFonts w:ascii="宋体"/>
                              <w:sz w:val="18"/>
                            </w:rPr>
                            <w:t>markli@sz-seastar.com</w:t>
                          </w:r>
                        </w:hyperlink>
                      </w:p>
                    </w:tc>
                  </w:tr>
                </w:tbl>
                <w:p>
                  <w:pPr/>
                </w:p>
              </w:txbxContent>
            </v:textbox>
            <w10:wrap type="none"/>
          </v:shape>
        </w:pict>
      </w:r>
      <w:r>
        <w:rPr/>
        <w:t>二、法定代表人：陈亚妹女士 三、联系人及联系方式：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04" w:lineRule="auto" w:before="26"/>
        <w:ind w:left="1114" w:right="1788" w:hanging="480"/>
        <w:jc w:val="both"/>
      </w:pPr>
      <w:r>
        <w:rPr/>
        <w:t>四、公司注册地址：深圳市南山区高新区北区清华信息港研发楼B栋501室 公司办公地址：深圳市宝安区龙华大浪华兴路龙泉科技工业园1栋5楼 注册地址邮政编码：518075</w:t>
      </w:r>
    </w:p>
    <w:p>
      <w:pPr>
        <w:pStyle w:val="BodyText"/>
        <w:spacing w:line="304" w:lineRule="auto"/>
        <w:ind w:left="1114" w:right="5628"/>
        <w:jc w:val="left"/>
      </w:pPr>
      <w:r>
        <w:rPr/>
        <w:t>办公地址邮政编码：518131 互联网址：</w:t>
      </w:r>
      <w:r>
        <w:rPr>
          <w:color w:val="0000FF"/>
        </w:rPr>
      </w:r>
      <w:hyperlink r:id="rId9">
        <w:r>
          <w:rPr>
            <w:color w:val="0000FF"/>
            <w:u w:val="single" w:color="0000FF"/>
          </w:rPr>
          <w:t>www.sz-seastar.com</w:t>
        </w:r>
        <w:r>
          <w:rPr>
            <w:color w:val="0000FF"/>
          </w:rPr>
        </w:r>
      </w:hyperlink>
      <w:r>
        <w:rPr>
          <w:color w:val="0000FF"/>
        </w:rPr>
        <w:t> </w:t>
      </w:r>
      <w:r>
        <w:rPr/>
        <w:t>电子信箱：</w:t>
      </w:r>
      <w:hyperlink r:id="rId7">
        <w:r>
          <w:rPr>
            <w:color w:val="0000FF"/>
          </w:rPr>
        </w:r>
        <w:r>
          <w:rPr>
            <w:color w:val="0000FF"/>
            <w:u w:val="single" w:color="0000FF"/>
          </w:rPr>
          <w:t>dmb@sz-seastar.com</w:t>
        </w:r>
        <w:r>
          <w:rPr>
            <w:color w:val="0000FF"/>
          </w:rPr>
        </w:r>
        <w:r>
          <w:rPr/>
        </w:r>
      </w:hyperlink>
    </w:p>
    <w:p>
      <w:pPr>
        <w:spacing w:line="240" w:lineRule="auto" w:before="0"/>
        <w:rPr>
          <w:rFonts w:ascii="宋体" w:hAnsi="宋体" w:cs="宋体" w:eastAsia="宋体" w:hint="default"/>
          <w:sz w:val="20"/>
          <w:szCs w:val="20"/>
        </w:rPr>
      </w:pPr>
    </w:p>
    <w:p>
      <w:pPr>
        <w:pStyle w:val="BodyText"/>
        <w:spacing w:line="304" w:lineRule="auto" w:before="160"/>
        <w:ind w:left="1114" w:right="1650" w:hanging="480"/>
        <w:jc w:val="left"/>
      </w:pPr>
      <w:r>
        <w:rPr/>
        <w:t>五、公司指定信息披露报刊：《证券时报》 登载年度报告的中国证监会指定网站：巨潮资讯网</w:t>
      </w:r>
      <w:r>
        <w:rPr>
          <w:color w:val="0000FF"/>
        </w:rPr>
      </w:r>
      <w:hyperlink r:id="rId10">
        <w:r>
          <w:rPr>
            <w:color w:val="0000FF"/>
            <w:u w:val="single" w:color="0000FF"/>
          </w:rPr>
          <w:t>www.cninfo.com.cn</w:t>
        </w:r>
        <w:r>
          <w:rPr>
            <w:color w:val="0000FF"/>
          </w:rPr>
        </w:r>
      </w:hyperlink>
      <w:r>
        <w:rPr>
          <w:color w:val="0000FF"/>
        </w:rPr>
        <w:t> </w:t>
      </w:r>
      <w:r>
        <w:rPr/>
        <w:t>年度报告备置地点：公司董事会秘书办公室</w:t>
      </w:r>
    </w:p>
    <w:p>
      <w:pPr>
        <w:spacing w:line="240" w:lineRule="auto" w:before="3"/>
        <w:rPr>
          <w:rFonts w:ascii="宋体" w:hAnsi="宋体" w:cs="宋体" w:eastAsia="宋体" w:hint="default"/>
          <w:sz w:val="32"/>
          <w:szCs w:val="32"/>
        </w:rPr>
      </w:pPr>
    </w:p>
    <w:p>
      <w:pPr>
        <w:pStyle w:val="BodyText"/>
        <w:spacing w:line="304" w:lineRule="auto" w:before="0"/>
        <w:ind w:left="1114" w:right="4890" w:hanging="480"/>
        <w:jc w:val="left"/>
      </w:pPr>
      <w:r>
        <w:rPr/>
        <w:t>六、公司股票上市交易所：深圳证券交易所 股票简称：实益达</w:t>
      </w:r>
    </w:p>
    <w:p>
      <w:pPr>
        <w:pStyle w:val="BodyText"/>
        <w:spacing w:line="240" w:lineRule="auto" w:before="22"/>
        <w:ind w:left="1114" w:right="3330"/>
        <w:jc w:val="left"/>
      </w:pPr>
      <w:r>
        <w:rPr/>
        <w:t>股票代码：002137</w:t>
      </w:r>
    </w:p>
    <w:p>
      <w:pPr>
        <w:spacing w:after="0" w:line="240"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pStyle w:val="BodyText"/>
        <w:spacing w:line="304" w:lineRule="auto" w:before="190"/>
        <w:ind w:left="1114" w:right="4010" w:hanging="480"/>
        <w:jc w:val="left"/>
      </w:pPr>
      <w:r>
        <w:rPr/>
        <w:t>七、其它有关资料 公司首次注册登记日期：1998年6月5日 最近一次变更注册登记日期：2008年7月17日 注册登记地点：广东省深圳市工商行政管理局 企业法人营业执照注册号：440301102743049 税务登记号码：440301708414057 组织机构代码：70841405</w:t>
      </w:r>
      <w:r>
        <w:rPr>
          <w:rFonts w:ascii="Times New Roman" w:hAnsi="Times New Roman" w:cs="Times New Roman" w:eastAsia="Times New Roman" w:hint="default"/>
        </w:rPr>
        <w:t>—</w:t>
      </w:r>
      <w:r>
        <w:rPr/>
        <w:t>7</w:t>
      </w:r>
    </w:p>
    <w:p>
      <w:pPr>
        <w:pStyle w:val="BodyText"/>
        <w:spacing w:line="307" w:lineRule="auto" w:before="0"/>
        <w:ind w:left="1113" w:right="3051"/>
        <w:jc w:val="left"/>
      </w:pPr>
      <w:r>
        <w:rPr/>
        <w:t>公司聘请的会计师事务所：立信会计师事务所有限公司 会计师事务所办公地址：上海市南京东路61号4楼</w:t>
      </w:r>
    </w:p>
    <w:p>
      <w:pPr>
        <w:spacing w:after="0" w:line="307" w:lineRule="auto"/>
        <w:jc w:val="left"/>
        <w:sectPr>
          <w:pgSz w:w="11910" w:h="16840"/>
          <w:pgMar w:header="787" w:footer="1339" w:top="102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672" w:lineRule="auto" w:before="26"/>
        <w:ind w:left="634" w:right="3063" w:firstLine="2773"/>
        <w:jc w:val="left"/>
        <w:rPr>
          <w:rFonts w:ascii="宋体" w:hAnsi="宋体" w:cs="宋体" w:eastAsia="宋体" w:hint="default"/>
          <w:sz w:val="24"/>
          <w:szCs w:val="24"/>
        </w:rPr>
      </w:pPr>
      <w:r>
        <w:rPr/>
        <w:pict>
          <v:shape style="position:absolute;margin-left:57.029995pt;margin-top:63.735874pt;width:491.55pt;height:232.3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3"/>
                    <w:gridCol w:w="2040"/>
                    <w:gridCol w:w="2028"/>
                    <w:gridCol w:w="2028"/>
                    <w:gridCol w:w="2028"/>
                  </w:tblGrid>
                  <w:tr>
                    <w:trPr>
                      <w:trHeight w:val="31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040" w:type="dxa"/>
                        <w:tcBorders>
                          <w:top w:val="single" w:sz="5" w:space="0" w:color="000000"/>
                          <w:left w:val="single" w:sz="13" w:space="0" w:color="DCDCDC"/>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883,588,041.07</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1,202,703,869.46</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w w:val="95"/>
                            <w:sz w:val="18"/>
                          </w:rPr>
                          <w:t>-26.53%</w:t>
                        </w:r>
                        <w:r>
                          <w:rPr>
                            <w:rFonts w:ascii="Times New Roman"/>
                            <w:sz w:val="18"/>
                          </w:rPr>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483,290,129.29</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33,138,525.70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62,385,835.49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-46.88%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44,786,692.81</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33,771,516.39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61,717,919.49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46,865,045.62</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18,608,708.75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59,670,556.53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46,298,850.57</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137,992,524.10</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-159,032,630.09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-186.77%</w:t>
                        </w:r>
                        <w:r>
                          <w:rPr>
                            <w:rFonts w:ascii="Times New Roman"/>
                            <w:sz w:val="18"/>
                          </w:rPr>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20,307,043.90</w:t>
                        </w:r>
                      </w:p>
                    </w:tc>
                  </w:tr>
                  <w:tr>
                    <w:trPr>
                      <w:trHeight w:val="124"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1,217,242,286.82</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pacing w:val="-1"/>
                            <w:sz w:val="18"/>
                          </w:rPr>
                          <w:t>900,562,084.26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35.16%</w:t>
                        </w:r>
                        <w:r>
                          <w:rPr>
                            <w:rFonts w:ascii="Times New Roman"/>
                            <w:sz w:val="18"/>
                          </w:rPr>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pacing w:val="-1"/>
                            <w:sz w:val="18"/>
                          </w:rPr>
                          <w:t>410,337,479.88</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70"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508,142,333.42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514,285,770.84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128,417,936.00</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200,100,000.00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133,400,000.00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100,000,000.00</w:t>
                        </w:r>
                      </w:p>
                    </w:tc>
                  </w:tr>
                </w:tbl>
                <w:p>
                  <w:pPr/>
                </w:p>
              </w:txbxContent>
            </v:textbox>
            <w10:wrap type="none"/>
          </v:shape>
        </w:pict>
      </w:r>
      <w:r>
        <w:rPr>
          <w:rFonts w:ascii="宋体" w:hAnsi="宋体" w:cs="宋体" w:eastAsia="宋体" w:hint="default"/>
          <w:b/>
          <w:bCs/>
          <w:sz w:val="24"/>
          <w:szCs w:val="24"/>
        </w:rPr>
        <w:t>第三节、会计数据和业务数据摘要</w:t>
      </w:r>
      <w:r>
        <w:rPr>
          <w:rFonts w:ascii="宋体" w:hAnsi="宋体" w:cs="宋体" w:eastAsia="宋体" w:hint="default"/>
          <w:b/>
          <w:bCs/>
          <w:w w:val="99"/>
          <w:sz w:val="24"/>
          <w:szCs w:val="24"/>
        </w:rPr>
        <w:t> </w:t>
      </w:r>
      <w:r>
        <w:rPr>
          <w:rFonts w:ascii="宋体" w:hAnsi="宋体" w:cs="宋体" w:eastAsia="宋体" w:hint="default"/>
          <w:sz w:val="24"/>
          <w:szCs w:val="24"/>
        </w:rPr>
        <w:t>一、公司主要会计数据（单位：人民币元）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26"/>
        <w:ind w:left="634" w:right="3330"/>
        <w:jc w:val="left"/>
      </w:pPr>
      <w:r>
        <w:rPr/>
        <w:t>二、公司主要财务指针（单位：人民币元）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0.1688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0.3526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-52.13%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0.4687</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0.1688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0.3526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-52.13%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0.4687</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0.0930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-68.81%</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0.4630</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425" w:val="left" w:leader="none"/>
              </w:tabs>
              <w:spacing w:line="240" w:lineRule="auto" w:before="10"/>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6.65%</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12.00%</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36.49%</w:t>
            </w:r>
            <w:r>
              <w:rPr>
                <w:rFonts w:ascii="Times New Roman"/>
                <w:sz w:val="18"/>
              </w:rPr>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tabs>
                <w:tab w:pos="1425" w:val="left" w:leader="none"/>
              </w:tabs>
              <w:spacing w:line="240" w:lineRule="auto" w:before="10"/>
              <w:ind w:left="-136"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6.69%</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19.21%</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-12.52%</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41.72%</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-7.94%</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36.05%</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18.57%</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-14.85%</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41.22%</w:t>
            </w:r>
            <w:r>
              <w:rPr>
                <w:rFonts w:ascii="Times New Roman"/>
                <w:sz w:val="18"/>
              </w:rPr>
            </w:r>
          </w:p>
        </w:tc>
      </w:tr>
      <w:tr>
        <w:trPr>
          <w:trHeight w:val="62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1924" w:type="dxa"/>
            <w:tcBorders>
              <w:top w:val="single" w:sz="4" w:space="0" w:color="000000"/>
              <w:left w:val="single" w:sz="4" w:space="0" w:color="000000"/>
              <w:bottom w:val="single" w:sz="51" w:space="0" w:color="DCDCDC"/>
              <w:right w:val="single" w:sz="13"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-1.19</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-157.98%</w:t>
            </w:r>
            <w:r>
              <w:rPr>
                <w:rFonts w:ascii="Times New Roman"/>
                <w:sz w:val="18"/>
              </w:rPr>
            </w:r>
          </w:p>
        </w:tc>
        <w:tc>
          <w:tcPr>
            <w:tcW w:w="1924" w:type="dxa"/>
            <w:tcBorders>
              <w:top w:val="single" w:sz="4" w:space="0" w:color="000000"/>
              <w:left w:val="single" w:sz="9"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r>
      <w:tr>
        <w:trPr>
          <w:trHeight w:val="4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w:t>
            </w:r>
          </w:p>
        </w:tc>
        <w:tc>
          <w:tcPr>
            <w:tcW w:w="1924"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3.86</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-34.20%</w:t>
            </w:r>
            <w:r>
              <w:rPr>
                <w:rFonts w:ascii="Times New Roman"/>
                <w:sz w:val="18"/>
              </w:rPr>
            </w:r>
          </w:p>
        </w:tc>
        <w:tc>
          <w:tcPr>
            <w:tcW w:w="1924" w:type="dxa"/>
            <w:tcBorders>
              <w:top w:val="single" w:sz="51" w:space="0" w:color="DCDCDC"/>
              <w:left w:val="single" w:sz="9"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26"/>
        <w:ind w:left="634" w:right="3330"/>
        <w:jc w:val="left"/>
      </w:pPr>
      <w:r>
        <w:rPr/>
        <w:t>三、非经常性损益项目（单位：人民币元）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200"/>
        <w:gridCol w:w="2600"/>
        <w:gridCol w:w="2021"/>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-534,997.40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34,779.42</w:t>
            </w:r>
          </w:p>
        </w:tc>
        <w:tc>
          <w:tcPr>
            <w:tcW w:w="20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5200"/>
        <w:gridCol w:w="2600"/>
        <w:gridCol w:w="2028"/>
      </w:tblGrid>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性金融资产、交易性金融负债和可供出售金融资产取得的投资收益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17,907,168.97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-474,514.99</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3,804.63</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-2,773,432.99</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15,162,807.64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1"/>
        <w:spacing w:line="240" w:lineRule="auto" w:before="26"/>
        <w:ind w:left="83" w:right="241"/>
        <w:jc w:val="center"/>
        <w:rPr>
          <w:b w:val="0"/>
          <w:bCs w:val="0"/>
        </w:rPr>
      </w:pPr>
      <w:bookmarkStart w:name="_TOC_250006" w:id="1"/>
      <w:r>
        <w:rPr/>
        <w:t>第四节、股本变动及股东情况</w:t>
      </w:r>
      <w:bookmarkEnd w:id="1"/>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87" w:footer="1339" w:top="1020" w:bottom="1520" w:left="980" w:right="820"/>
        </w:sectPr>
      </w:pPr>
    </w:p>
    <w:p>
      <w:pPr>
        <w:pStyle w:val="BodyText"/>
        <w:spacing w:line="336" w:lineRule="auto" w:before="26"/>
        <w:ind w:left="633" w:right="-19" w:hanging="3"/>
        <w:jc w:val="left"/>
      </w:pPr>
      <w:r>
        <w:rPr/>
        <w:t>一、股份变动情况</w:t>
      </w:r>
      <w:r>
        <w:rPr>
          <w:spacing w:val="-1"/>
        </w:rPr>
        <w:t> </w:t>
      </w:r>
      <w:r>
        <w:rPr/>
        <w:t>1、股份变动情况表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before="0"/>
        <w:ind w:left="631" w:right="0"/>
        <w:jc w:val="left"/>
      </w:pPr>
      <w:r>
        <w:rPr/>
        <w:t>单位：股</w:t>
      </w:r>
    </w:p>
    <w:p>
      <w:pPr>
        <w:spacing w:after="0" w:line="240" w:lineRule="auto"/>
        <w:jc w:val="left"/>
        <w:sectPr>
          <w:type w:val="continuous"/>
          <w:pgSz w:w="11910" w:h="16840"/>
          <w:pgMar w:top="1020" w:bottom="1520" w:left="980" w:right="820"/>
          <w:cols w:num="2" w:equalWidth="0">
            <w:col w:w="2675" w:space="5526"/>
            <w:col w:w="1909"/>
          </w:cols>
        </w:sectPr>
      </w:pPr>
    </w:p>
    <w:p>
      <w:pPr>
        <w:spacing w:line="240" w:lineRule="auto" w:before="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615"/>
        <w:gridCol w:w="1074"/>
        <w:gridCol w:w="758"/>
        <w:gridCol w:w="910"/>
        <w:gridCol w:w="910"/>
        <w:gridCol w:w="911"/>
        <w:gridCol w:w="910"/>
        <w:gridCol w:w="910"/>
        <w:gridCol w:w="992"/>
        <w:gridCol w:w="828"/>
      </w:tblGrid>
      <w:tr>
        <w:trPr>
          <w:trHeight w:val="324"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3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1074"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4"/>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2"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4"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100,000,000</w:t>
            </w:r>
          </w:p>
        </w:tc>
        <w:tc>
          <w:tcPr>
            <w:tcW w:w="75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74.96%</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50,000,000</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left="35" w:right="0"/>
              <w:jc w:val="center"/>
              <w:rPr>
                <w:rFonts w:ascii="Times New Roman" w:hAnsi="Times New Roman" w:cs="Times New Roman" w:eastAsia="Times New Roman" w:hint="default"/>
                <w:sz w:val="18"/>
                <w:szCs w:val="18"/>
              </w:rPr>
            </w:pPr>
            <w:r>
              <w:rPr>
                <w:rFonts w:ascii="Times New Roman"/>
                <w:sz w:val="18"/>
              </w:rPr>
              <w:t>150,000,000</w:t>
            </w:r>
          </w:p>
        </w:tc>
        <w:tc>
          <w:tcPr>
            <w:tcW w:w="8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z w:val="18"/>
              </w:rPr>
              <w:t>74.96%</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100,000,000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74.96%</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50,000,000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150,000,000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74.96%</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72.71%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48,500,000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145,500,000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72.71%</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1,500,000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5" w:right="0"/>
              <w:jc w:val="center"/>
              <w:rPr>
                <w:rFonts w:ascii="Times New Roman" w:hAnsi="Times New Roman" w:cs="Times New Roman" w:eastAsia="Times New Roman" w:hint="default"/>
                <w:sz w:val="18"/>
                <w:szCs w:val="18"/>
              </w:rPr>
            </w:pPr>
            <w:r>
              <w:rPr>
                <w:rFonts w:ascii="Times New Roman"/>
                <w:sz w:val="18"/>
              </w:rPr>
              <w:t>4,500,000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33,400,000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16,700,000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center"/>
              <w:rPr>
                <w:rFonts w:ascii="Times New Roman" w:hAnsi="Times New Roman" w:cs="Times New Roman" w:eastAsia="Times New Roman" w:hint="default"/>
                <w:sz w:val="18"/>
                <w:szCs w:val="18"/>
              </w:rPr>
            </w:pPr>
            <w:r>
              <w:rPr>
                <w:rFonts w:ascii="Times New Roman"/>
                <w:sz w:val="18"/>
              </w:rPr>
              <w:t>50,100,000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33,400,000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16,700,000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5" w:right="0"/>
              <w:jc w:val="center"/>
              <w:rPr>
                <w:rFonts w:ascii="Times New Roman" w:hAnsi="Times New Roman" w:cs="Times New Roman" w:eastAsia="Times New Roman" w:hint="default"/>
                <w:sz w:val="18"/>
                <w:szCs w:val="18"/>
              </w:rPr>
            </w:pPr>
            <w:r>
              <w:rPr>
                <w:rFonts w:ascii="Times New Roman"/>
                <w:sz w:val="18"/>
              </w:rPr>
              <w:t>50,100,000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25.04%</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13" w:space="0" w:color="DCDCDC"/>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133,400,000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66,700,000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66,700,000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200,100,000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8"/>
        <w:rPr>
          <w:rFonts w:ascii="宋体" w:hAnsi="宋体" w:cs="宋体" w:eastAsia="宋体" w:hint="default"/>
          <w:sz w:val="6"/>
          <w:szCs w:val="6"/>
        </w:rPr>
      </w:pPr>
    </w:p>
    <w:p>
      <w:pPr>
        <w:pStyle w:val="BodyText"/>
        <w:spacing w:line="240" w:lineRule="auto" w:before="26"/>
        <w:ind w:left="634" w:right="3330"/>
        <w:jc w:val="left"/>
      </w:pPr>
      <w:r>
        <w:rPr/>
        <w:t>2、限售股份变动情况表：</w:t>
      </w:r>
    </w:p>
    <w:p>
      <w:pPr>
        <w:pStyle w:val="BodyText"/>
        <w:spacing w:line="240" w:lineRule="auto" w:before="166"/>
        <w:ind w:left="0" w:right="311"/>
        <w:jc w:val="right"/>
      </w:pPr>
      <w:r>
        <w:rPr/>
        <w:t>单位：股</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9"/>
              <w:jc w:val="left"/>
              <w:rPr>
                <w:rFonts w:ascii="宋体" w:hAnsi="宋体" w:cs="宋体" w:eastAsia="宋体" w:hint="default"/>
                <w:sz w:val="18"/>
                <w:szCs w:val="18"/>
              </w:rPr>
            </w:pPr>
            <w:r>
              <w:rPr>
                <w:rFonts w:ascii="宋体" w:hAnsi="宋体" w:cs="宋体" w:eastAsia="宋体" w:hint="default"/>
                <w:sz w:val="18"/>
                <w:szCs w:val="18"/>
              </w:rPr>
              <w:t>深圳市恒顺昌投 资发展有限公司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2" w:right="109"/>
              <w:jc w:val="left"/>
              <w:rPr>
                <w:rFonts w:ascii="宋体" w:hAnsi="宋体" w:cs="宋体" w:eastAsia="宋体" w:hint="default"/>
                <w:sz w:val="18"/>
                <w:szCs w:val="18"/>
              </w:rPr>
            </w:pPr>
            <w:r>
              <w:rPr>
                <w:rFonts w:ascii="宋体" w:hAnsi="宋体" w:cs="宋体" w:eastAsia="宋体" w:hint="default"/>
                <w:sz w:val="18"/>
                <w:szCs w:val="18"/>
              </w:rPr>
              <w:t>深圳市冠德成科 技发展有限公司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1,000,000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1,500,000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2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742,000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371,000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pacing w:val="-1"/>
                <w:sz w:val="18"/>
              </w:rPr>
              <w:t>1,113,000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张淑清</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4"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4"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曾玉芳</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何慧敏</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胡罢传</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4"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杨志杰</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58,000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29,000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87,000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25,000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4"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
        </w:tc>
        <w:tc>
          <w:tcPr>
            <w:tcW w:w="14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股票上市交易之</w:t>
            </w:r>
          </w:p>
        </w:tc>
        <w:tc>
          <w:tcPr>
            <w:tcW w:w="1404" w:type="dxa"/>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14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25,000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75,000</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日起三十六个月</w:t>
            </w:r>
          </w:p>
        </w:tc>
        <w:tc>
          <w:tcPr>
            <w:tcW w:w="140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275" w:hRule="exact"/>
        </w:trPr>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内限售</w:t>
            </w:r>
          </w:p>
        </w:tc>
        <w:tc>
          <w:tcPr>
            <w:tcW w:w="1404"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636" w:right="3330"/>
        <w:jc w:val="left"/>
      </w:pPr>
      <w:r>
        <w:rPr/>
        <w:t>二、股票发行与上市情况</w:t>
      </w:r>
    </w:p>
    <w:p>
      <w:pPr>
        <w:pStyle w:val="BodyText"/>
        <w:spacing w:line="307" w:lineRule="auto" w:before="85"/>
        <w:ind w:right="230" w:firstLine="482"/>
        <w:jc w:val="both"/>
      </w:pPr>
      <w:r>
        <w:rPr/>
        <w:t>1、经中国证券监督管理委员会证监发行字[2007]116 号文核准，本公司于</w:t>
      </w:r>
      <w:r>
        <w:rPr>
          <w:spacing w:val="-79"/>
        </w:rPr>
        <w:t> </w:t>
      </w:r>
      <w:r>
        <w:rPr>
          <w:spacing w:val="33"/>
        </w:rPr>
        <w:t>2007年6月</w:t>
      </w:r>
      <w:r>
        <w:rPr>
          <w:spacing w:val="-41"/>
        </w:rPr>
        <w:t> </w:t>
      </w:r>
      <w:r>
        <w:rPr/>
        <w:t>首次公开发行人民币普通股 3,340</w:t>
      </w:r>
      <w:r>
        <w:rPr>
          <w:spacing w:val="-82"/>
        </w:rPr>
        <w:t> </w:t>
      </w:r>
      <w:r>
        <w:rPr/>
        <w:t>万股。本次发行采用网下向询价对象询价配售与网上资金</w:t>
      </w:r>
    </w:p>
    <w:p>
      <w:pPr>
        <w:pStyle w:val="BodyText"/>
        <w:spacing w:line="240" w:lineRule="auto" w:before="18"/>
        <w:ind w:right="173"/>
        <w:jc w:val="left"/>
      </w:pPr>
      <w:r>
        <w:rPr/>
        <w:t>申购定价发行相结合的方式，其中，网下配售</w:t>
      </w:r>
      <w:r>
        <w:rPr>
          <w:spacing w:val="-51"/>
        </w:rPr>
        <w:t> </w:t>
      </w:r>
      <w:r>
        <w:rPr/>
        <w:t>668</w:t>
      </w:r>
      <w:r>
        <w:rPr>
          <w:spacing w:val="-51"/>
        </w:rPr>
        <w:t> </w:t>
      </w:r>
      <w:r>
        <w:rPr/>
        <w:t>万股，网上发行</w:t>
      </w:r>
      <w:r>
        <w:rPr>
          <w:spacing w:val="-51"/>
        </w:rPr>
        <w:t> </w:t>
      </w:r>
      <w:r>
        <w:rPr/>
        <w:t>2,672</w:t>
      </w:r>
      <w:r>
        <w:rPr>
          <w:spacing w:val="-51"/>
        </w:rPr>
        <w:t> </w:t>
      </w:r>
      <w:r>
        <w:rPr/>
        <w:t>万股，发行价格为</w:t>
      </w:r>
    </w:p>
    <w:p>
      <w:pPr>
        <w:pStyle w:val="BodyText"/>
        <w:spacing w:line="240" w:lineRule="auto" w:before="85"/>
        <w:ind w:right="3330"/>
        <w:jc w:val="left"/>
      </w:pPr>
      <w:r>
        <w:rPr/>
        <w:t>10.30</w:t>
      </w:r>
      <w:r>
        <w:rPr>
          <w:spacing w:val="-60"/>
        </w:rPr>
        <w:t> </w:t>
      </w:r>
      <w:r>
        <w:rPr/>
        <w:t>元/股。</w:t>
      </w:r>
    </w:p>
    <w:p>
      <w:pPr>
        <w:pStyle w:val="BodyText"/>
        <w:spacing w:line="304" w:lineRule="auto" w:before="86"/>
        <w:ind w:right="309" w:firstLine="482"/>
        <w:jc w:val="both"/>
      </w:pPr>
      <w:r>
        <w:rPr>
          <w:spacing w:val="-3"/>
        </w:rPr>
        <w:t>2、经深圳证券交易所《关于深圳市实益达科技股份有限公司人民币普通股股票上市的通</w:t>
      </w:r>
      <w:r>
        <w:rPr/>
        <w:t> 知》(深证上[2007]87</w:t>
      </w:r>
      <w:r>
        <w:rPr>
          <w:spacing w:val="-67"/>
        </w:rPr>
        <w:t> </w:t>
      </w:r>
      <w:r>
        <w:rPr/>
        <w:t>号)同意，本公司首次公开发行的</w:t>
      </w:r>
      <w:r>
        <w:rPr>
          <w:spacing w:val="-67"/>
        </w:rPr>
        <w:t> </w:t>
      </w:r>
      <w:r>
        <w:rPr/>
        <w:t>3,340</w:t>
      </w:r>
      <w:r>
        <w:rPr>
          <w:spacing w:val="-67"/>
        </w:rPr>
        <w:t> </w:t>
      </w:r>
      <w:r>
        <w:rPr/>
        <w:t>万股人民币普通股股票在深圳</w:t>
      </w:r>
      <w:r>
        <w:rPr/>
        <w:t> 证券交易所上市，股票简称“实益达”，股票代码“002137”，其中首次公开发行中网上定</w:t>
      </w:r>
      <w:r>
        <w:rPr>
          <w:spacing w:val="-96"/>
        </w:rPr>
        <w:t> </w:t>
      </w:r>
      <w:r>
        <w:rPr>
          <w:spacing w:val="-96"/>
        </w:rPr>
      </w:r>
      <w:r>
        <w:rPr/>
        <w:t>价发行的</w:t>
      </w:r>
      <w:r>
        <w:rPr>
          <w:spacing w:val="-57"/>
        </w:rPr>
        <w:t> </w:t>
      </w:r>
      <w:r>
        <w:rPr/>
        <w:t>2,672</w:t>
      </w:r>
      <w:r>
        <w:rPr>
          <w:spacing w:val="-57"/>
        </w:rPr>
        <w:t> </w:t>
      </w:r>
      <w:r>
        <w:rPr/>
        <w:t>万股于</w:t>
      </w:r>
      <w:r>
        <w:rPr>
          <w:spacing w:val="-57"/>
        </w:rPr>
        <w:t> </w:t>
      </w:r>
      <w:r>
        <w:rPr>
          <w:spacing w:val="27"/>
        </w:rPr>
        <w:t>2007年6月</w:t>
      </w:r>
      <w:r>
        <w:rPr>
          <w:spacing w:val="-57"/>
        </w:rPr>
        <w:t> </w:t>
      </w:r>
      <w:r>
        <w:rPr/>
        <w:t>13</w:t>
      </w:r>
      <w:r>
        <w:rPr>
          <w:spacing w:val="-57"/>
        </w:rPr>
        <w:t> </w:t>
      </w:r>
      <w:r>
        <w:rPr/>
        <w:t>日起上市交易，网下询价对象配售的</w:t>
      </w:r>
      <w:r>
        <w:rPr>
          <w:spacing w:val="-57"/>
        </w:rPr>
        <w:t> </w:t>
      </w:r>
      <w:r>
        <w:rPr/>
        <w:t>668</w:t>
      </w:r>
      <w:r>
        <w:rPr>
          <w:spacing w:val="-57"/>
        </w:rPr>
        <w:t> </w:t>
      </w:r>
      <w:r>
        <w:rPr/>
        <w:t>万股股票自</w:t>
      </w:r>
    </w:p>
    <w:p>
      <w:pPr>
        <w:pStyle w:val="BodyText"/>
        <w:spacing w:line="240" w:lineRule="auto"/>
        <w:ind w:right="1650"/>
        <w:jc w:val="left"/>
      </w:pPr>
      <w:r>
        <w:rPr>
          <w:spacing w:val="25"/>
        </w:rPr>
        <w:t>2007年6月</w:t>
      </w:r>
      <w:r>
        <w:rPr>
          <w:spacing w:val="-58"/>
        </w:rPr>
        <w:t> </w:t>
      </w:r>
      <w:r>
        <w:rPr/>
        <w:t>13</w:t>
      </w:r>
      <w:r>
        <w:rPr>
          <w:spacing w:val="-58"/>
        </w:rPr>
        <w:t> </w:t>
      </w:r>
      <w:r>
        <w:rPr/>
        <w:t>日起锁定三个月，于</w:t>
      </w:r>
      <w:r>
        <w:rPr>
          <w:spacing w:val="-58"/>
        </w:rPr>
        <w:t> </w:t>
      </w:r>
      <w:r>
        <w:rPr>
          <w:spacing w:val="25"/>
        </w:rPr>
        <w:t>2007年9月</w:t>
      </w:r>
      <w:r>
        <w:rPr>
          <w:spacing w:val="-58"/>
        </w:rPr>
        <w:t> </w:t>
      </w:r>
      <w:r>
        <w:rPr/>
        <w:t>13</w:t>
      </w:r>
      <w:r>
        <w:rPr>
          <w:spacing w:val="-58"/>
        </w:rPr>
        <w:t> </w:t>
      </w:r>
      <w:r>
        <w:rPr/>
        <w:t>日起上市流通。</w:t>
      </w:r>
    </w:p>
    <w:p>
      <w:pPr>
        <w:pStyle w:val="BodyText"/>
        <w:spacing w:line="240" w:lineRule="auto" w:before="85"/>
        <w:ind w:left="636" w:right="3330"/>
        <w:jc w:val="left"/>
      </w:pPr>
      <w:r>
        <w:rPr/>
        <w:t>3、报告期内，公司无限售股份解除限售上市流通。</w:t>
      </w:r>
    </w:p>
    <w:p>
      <w:pPr>
        <w:pStyle w:val="BodyText"/>
        <w:spacing w:line="240" w:lineRule="auto" w:before="86"/>
        <w:ind w:left="636" w:right="3330"/>
        <w:jc w:val="left"/>
      </w:pPr>
      <w:r>
        <w:rPr/>
        <w:t>4、本公司无内部职工股。</w:t>
      </w:r>
    </w:p>
    <w:p>
      <w:pPr>
        <w:spacing w:after="0" w:line="240"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87" w:footer="1339" w:top="1020" w:bottom="1520" w:left="980" w:right="800"/>
        </w:sectPr>
      </w:pPr>
    </w:p>
    <w:p>
      <w:pPr>
        <w:pStyle w:val="BodyText"/>
        <w:spacing w:line="304" w:lineRule="auto" w:before="190"/>
        <w:ind w:left="636" w:right="-20"/>
        <w:jc w:val="left"/>
      </w:pPr>
      <w:r>
        <w:rPr/>
        <w:t>三、股东和实际控制人情况介绍 1、股东数量和持股情况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20" w:bottom="1520" w:left="980" w:right="800"/>
          <w:cols w:num="2" w:equalWidth="0">
            <w:col w:w="3997" w:space="4439"/>
            <w:col w:w="1694"/>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6"/>
        <w:gridCol w:w="1304"/>
        <w:gridCol w:w="1301"/>
        <w:gridCol w:w="1300"/>
        <w:gridCol w:w="520"/>
        <w:gridCol w:w="1301"/>
        <w:gridCol w:w="1768"/>
      </w:tblGrid>
      <w:tr>
        <w:trPr>
          <w:trHeight w:val="323"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800"/>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492"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17,905</w:t>
            </w:r>
          </w:p>
        </w:tc>
      </w:tr>
      <w:tr>
        <w:trPr>
          <w:trHeight w:val="382"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800"/>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1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5" w:hRule="exact"/>
        </w:trPr>
        <w:tc>
          <w:tcPr>
            <w:tcW w:w="233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left="22" w:right="141"/>
              <w:jc w:val="left"/>
              <w:rPr>
                <w:rFonts w:ascii="宋体" w:hAnsi="宋体" w:cs="宋体" w:eastAsia="宋体" w:hint="default"/>
                <w:sz w:val="18"/>
                <w:szCs w:val="18"/>
              </w:rPr>
            </w:pPr>
            <w:r>
              <w:rPr>
                <w:rFonts w:ascii="宋体" w:hAnsi="宋体" w:cs="宋体" w:eastAsia="宋体" w:hint="default"/>
                <w:sz w:val="18"/>
                <w:szCs w:val="18"/>
              </w:rPr>
              <w:t>深圳市恒顺昌投资发展有限 公司</w:t>
            </w:r>
          </w:p>
        </w:tc>
        <w:tc>
          <w:tcPr>
            <w:tcW w:w="130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left="26"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52.74%</w:t>
            </w:r>
            <w:r>
              <w:rPr>
                <w:rFonts w:ascii="Times New Roman"/>
                <w:sz w:val="18"/>
              </w:rPr>
            </w:r>
          </w:p>
        </w:tc>
        <w:tc>
          <w:tcPr>
            <w:tcW w:w="1300"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105,000,000</w:t>
            </w:r>
          </w:p>
        </w:tc>
        <w:tc>
          <w:tcPr>
            <w:tcW w:w="1820" w:type="dxa"/>
            <w:gridSpan w:val="2"/>
            <w:tcBorders>
              <w:top w:val="single" w:sz="4" w:space="0" w:color="000000"/>
              <w:left w:val="single" w:sz="9" w:space="0" w:color="DCDCDC"/>
              <w:bottom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105,000,000</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深圳市冠德成科技发展有限 公司</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20.24%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75" w:right="0"/>
              <w:jc w:val="left"/>
              <w:rPr>
                <w:rFonts w:ascii="Times New Roman" w:hAnsi="Times New Roman" w:cs="Times New Roman" w:eastAsia="Times New Roman" w:hint="default"/>
                <w:sz w:val="18"/>
                <w:szCs w:val="18"/>
              </w:rPr>
            </w:pPr>
            <w:r>
              <w:rPr>
                <w:rFonts w:ascii="Times New Roman"/>
                <w:sz w:val="18"/>
              </w:rPr>
              <w:t>40,500,000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1,500,000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1,113,000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2" w:right="0"/>
              <w:jc w:val="left"/>
              <w:rPr>
                <w:rFonts w:ascii="Times New Roman" w:hAnsi="Times New Roman" w:cs="Times New Roman" w:eastAsia="Times New Roman" w:hint="default"/>
                <w:sz w:val="18"/>
                <w:szCs w:val="18"/>
              </w:rPr>
            </w:pPr>
            <w:r>
              <w:rPr>
                <w:rFonts w:ascii="Times New Roman"/>
                <w:sz w:val="18"/>
              </w:rPr>
              <w:t>1,113,000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白姝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472,555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张淑清</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450,000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300,000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曾玉芳</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300,000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300,000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王银仙</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217,500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白姝</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472,555</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王银仙</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217,500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张艳红</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180,480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赵莲</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167,850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施云权</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154,409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郭宝林</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154,306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麦翠芳</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樊文彪</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149,739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陆歆</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142,560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丁华根</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1" w:hRule="exact"/>
        </w:trPr>
        <w:tc>
          <w:tcPr>
            <w:tcW w:w="23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803" w:right="80"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6" w:right="73"/>
              <w:jc w:val="both"/>
              <w:rPr>
                <w:rFonts w:ascii="宋体" w:hAnsi="宋体" w:cs="宋体" w:eastAsia="宋体" w:hint="default"/>
                <w:sz w:val="18"/>
                <w:szCs w:val="18"/>
              </w:rPr>
            </w:pPr>
            <w:r>
              <w:rPr>
                <w:rFonts w:ascii="宋体" w:hAnsi="宋体" w:cs="宋体" w:eastAsia="宋体" w:hint="default"/>
                <w:sz w:val="18"/>
                <w:szCs w:val="18"/>
              </w:rPr>
              <w:t>上述股东中：乔昕先生与陈亚妹女士为夫妻关系；深圳市恒顺昌投资发展有限公司及深圳市冠 德成科技发展有限公司均为乔昕先生和陈亚妹女士共同控制的企业；其他股东之间是否存在关 联关系，以及是否构成《上市公司持股变动信息披露管理办法》中一致行动人关系不详。</w:t>
            </w:r>
          </w:p>
        </w:tc>
      </w:tr>
    </w:tbl>
    <w:p>
      <w:pPr>
        <w:pStyle w:val="BodyText"/>
        <w:spacing w:line="304" w:lineRule="auto" w:before="40"/>
        <w:ind w:left="633" w:right="315" w:firstLine="2"/>
        <w:jc w:val="left"/>
      </w:pPr>
      <w:r>
        <w:rPr/>
        <w:t>2、公司控股股东及实际控制人情况 </w:t>
      </w:r>
      <w:r>
        <w:rPr>
          <w:spacing w:val="-8"/>
        </w:rPr>
        <w:t>公司控股股东为深圳市恒顺昌投资发展有限公司（以下简称“恒顺昌”）。恒顺昌于</w:t>
      </w:r>
      <w:r>
        <w:rPr>
          <w:spacing w:val="-28"/>
        </w:rPr>
        <w:t> </w:t>
      </w:r>
      <w:r>
        <w:rPr/>
        <w:t>2005</w:t>
      </w:r>
    </w:p>
    <w:p>
      <w:pPr>
        <w:pStyle w:val="BodyText"/>
        <w:spacing w:line="307" w:lineRule="auto"/>
        <w:ind w:right="313"/>
        <w:jc w:val="left"/>
      </w:pPr>
      <w:r>
        <w:rPr>
          <w:spacing w:val="40"/>
        </w:rPr>
        <w:t>年3月</w:t>
      </w:r>
      <w:r>
        <w:rPr>
          <w:spacing w:val="-60"/>
        </w:rPr>
        <w:t> </w:t>
      </w:r>
      <w:r>
        <w:rPr/>
        <w:t>31</w:t>
      </w:r>
      <w:r>
        <w:rPr>
          <w:spacing w:val="-60"/>
        </w:rPr>
        <w:t> </w:t>
      </w:r>
      <w:r>
        <w:rPr/>
        <w:t>日在深圳市注册成立，注册资本人民币</w:t>
      </w:r>
      <w:r>
        <w:rPr>
          <w:spacing w:val="-60"/>
        </w:rPr>
        <w:t> </w:t>
      </w:r>
      <w:r>
        <w:rPr/>
        <w:t>1,000</w:t>
      </w:r>
      <w:r>
        <w:rPr>
          <w:spacing w:val="-60"/>
        </w:rPr>
        <w:t> </w:t>
      </w:r>
      <w:r>
        <w:rPr/>
        <w:t>万元，其中陈亚妹女士出资比例为</w:t>
      </w:r>
      <w:r>
        <w:rPr/>
        <w:t> 80%，乔昕先生出资比例为</w:t>
      </w:r>
      <w:r>
        <w:rPr>
          <w:spacing w:val="-82"/>
        </w:rPr>
        <w:t> </w:t>
      </w:r>
      <w:r>
        <w:rPr/>
        <w:t>20%，注册地和主要经营场所为深圳市南山区南油大道西海岸大厦</w:t>
      </w:r>
    </w:p>
    <w:p>
      <w:pPr>
        <w:pStyle w:val="BodyText"/>
        <w:spacing w:line="304" w:lineRule="auto" w:before="18"/>
        <w:ind w:left="633" w:right="591" w:hanging="480"/>
        <w:jc w:val="left"/>
      </w:pPr>
      <w:r>
        <w:rPr/>
        <w:t>6A，主营业务为兴办实业。目前恒顺昌除投资本公司外未经营其它业务，亦无其它投资。 公司实际控制人为乔昕、陈亚妹夫妇。</w:t>
      </w:r>
    </w:p>
    <w:p>
      <w:pPr>
        <w:pStyle w:val="BodyText"/>
        <w:spacing w:line="240" w:lineRule="auto" w:before="22"/>
        <w:ind w:left="633" w:right="315"/>
        <w:jc w:val="left"/>
      </w:pPr>
      <w:r>
        <w:rPr/>
        <w:t>乔昕先生， 45</w:t>
      </w:r>
      <w:r>
        <w:rPr>
          <w:spacing w:val="-60"/>
        </w:rPr>
        <w:t> </w:t>
      </w:r>
      <w:r>
        <w:rPr/>
        <w:t>岁，中国国籍，无境外居留权，硕士学历。乔昕先生大学毕业后曾先后</w:t>
      </w:r>
    </w:p>
    <w:p>
      <w:pPr>
        <w:spacing w:after="0" w:line="240" w:lineRule="auto"/>
        <w:jc w:val="left"/>
        <w:sectPr>
          <w:type w:val="continuous"/>
          <w:pgSz w:w="11910" w:h="16840"/>
          <w:pgMar w:top="1020" w:bottom="1520" w:left="980" w:right="800"/>
        </w:sectPr>
      </w:pPr>
    </w:p>
    <w:p>
      <w:pPr>
        <w:spacing w:line="240" w:lineRule="auto" w:before="0"/>
        <w:rPr>
          <w:rFonts w:ascii="宋体" w:hAnsi="宋体" w:cs="宋体" w:eastAsia="宋体" w:hint="default"/>
          <w:sz w:val="20"/>
          <w:szCs w:val="20"/>
        </w:rPr>
      </w:pPr>
    </w:p>
    <w:p>
      <w:pPr>
        <w:pStyle w:val="BodyText"/>
        <w:spacing w:line="304" w:lineRule="auto" w:before="190"/>
        <w:ind w:left="154" w:right="168"/>
        <w:jc w:val="both"/>
      </w:pPr>
      <w:r>
        <w:rPr/>
        <w:t>在无锡机床研究所、日本北陆电气工业株式会社深圳办事处工作，1998</w:t>
      </w:r>
      <w:r>
        <w:rPr>
          <w:spacing w:val="-60"/>
        </w:rPr>
        <w:t> </w:t>
      </w:r>
      <w:r>
        <w:rPr/>
        <w:t>年创办实益达实业，</w:t>
      </w:r>
      <w:r>
        <w:rPr/>
        <w:t> 现任公司董事、总经理，同时任深圳市冠德成科技发展有限公司执行董事、恒顺昌监事、百 华科技发展有限公司执行董事等职务。</w:t>
      </w:r>
    </w:p>
    <w:p>
      <w:pPr>
        <w:pStyle w:val="BodyText"/>
        <w:spacing w:line="304" w:lineRule="auto"/>
        <w:ind w:left="154" w:right="210" w:firstLine="480"/>
        <w:jc w:val="left"/>
      </w:pPr>
      <w:r>
        <w:rPr/>
        <w:t>陈亚妹女士，33</w:t>
      </w:r>
      <w:r>
        <w:rPr>
          <w:spacing w:val="-60"/>
        </w:rPr>
        <w:t> </w:t>
      </w:r>
      <w:r>
        <w:rPr/>
        <w:t>岁，中国国籍，无境外居留权，大专学历。陈亚妹女士</w:t>
      </w:r>
      <w:r>
        <w:rPr>
          <w:spacing w:val="-60"/>
        </w:rPr>
        <w:t> </w:t>
      </w:r>
      <w:r>
        <w:rPr/>
        <w:t>1998</w:t>
      </w:r>
      <w:r>
        <w:rPr>
          <w:spacing w:val="-60"/>
        </w:rPr>
        <w:t> </w:t>
      </w:r>
      <w:r>
        <w:rPr/>
        <w:t>年与乔昕</w:t>
      </w:r>
      <w:r>
        <w:rPr/>
        <w:t> 先生一起创办实益达实业，现任本公司董事长，同时任恒顺昌执行董事、冠德成监事职务。</w:t>
      </w:r>
    </w:p>
    <w:p>
      <w:pPr>
        <w:pStyle w:val="BodyText"/>
        <w:spacing w:line="240" w:lineRule="auto" w:before="22"/>
        <w:ind w:left="636" w:right="210"/>
        <w:jc w:val="left"/>
      </w:pPr>
      <w:r>
        <w:rPr/>
        <w:t>3、公司与实际控制人的产权和控制关系如下图：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76"/>
        <w:ind w:left="2227" w:right="210" w:firstLine="0"/>
        <w:jc w:val="left"/>
        <w:rPr>
          <w:rFonts w:ascii="Times New Roman" w:hAnsi="Times New Roman" w:cs="Times New Roman" w:eastAsia="Times New Roman" w:hint="default"/>
          <w:sz w:val="18"/>
          <w:szCs w:val="18"/>
        </w:rPr>
      </w:pPr>
      <w:r>
        <w:rPr/>
        <w:pict>
          <v:group style="position:absolute;margin-left:139.320007pt;margin-top:-42.412338pt;width:249pt;height:180pt;mso-position-horizontal-relative:page;mso-position-vertical-relative:paragraph;z-index:-626512" coordorigin="2786,-848" coordsize="4980,3600">
            <v:group style="position:absolute;left:5738;top:-841;width:1800;height:467" coordorigin="5738,-841" coordsize="1800,467">
              <v:shape style="position:absolute;left:5738;top:-841;width:1800;height:467" coordorigin="5738,-841" coordsize="1800,467" path="m7538,-841l5738,-841,5738,-374,7538,-374,7538,-841xe" filled="false" stroked="true" strokeweight=".75pt" strokecolor="#000000">
                <v:path arrowok="t"/>
              </v:shape>
            </v:group>
            <v:group style="position:absolute;left:6654;top:-373;width:3;height:314" coordorigin="6654,-373" coordsize="3,314">
              <v:shape style="position:absolute;left:6654;top:-373;width:3;height:314" coordorigin="6654,-373" coordsize="3,314" path="m6654,-373l6656,-60e" filled="false" stroked="true" strokeweight="1pt" strokecolor="#000000">
                <v:path arrowok="t"/>
                <v:stroke dashstyle="dash"/>
              </v:shape>
            </v:group>
            <v:group style="position:absolute;left:3594;top:-841;width:1800;height:468" coordorigin="3594,-841" coordsize="1800,468">
              <v:shape style="position:absolute;left:3594;top:-841;width:1800;height:468" coordorigin="3594,-841" coordsize="1800,468" path="m5394,-841l3594,-841,3594,-373,5394,-373,5394,-841xe" filled="false" stroked="true" strokeweight=".75pt" strokecolor="#000000">
                <v:path arrowok="t"/>
              </v:shape>
            </v:group>
            <v:group style="position:absolute;left:4584;top:-374;width:3;height:314" coordorigin="4584,-374" coordsize="3,314">
              <v:shape style="position:absolute;left:4584;top:-374;width:3;height:314" coordorigin="4584,-374" coordsize="3,314" path="m4584,-374l4586,-61e" filled="false" stroked="true" strokeweight="1pt" strokecolor="#000000">
                <v:path arrowok="t"/>
                <v:stroke dashstyle="dash"/>
              </v:shape>
            </v:group>
            <v:group style="position:absolute;left:4584;top:-61;width:2070;height:2" coordorigin="4584,-61" coordsize="2070,2">
              <v:shape style="position:absolute;left:4584;top:-61;width:2070;height:2" coordorigin="4584,-61" coordsize="2070,2" path="m4584,-60l6654,-61e" filled="false" stroked="true" strokeweight="1pt" strokecolor="#000000">
                <v:path arrowok="t"/>
                <v:stroke dashstyle="dash"/>
              </v:shape>
            </v:group>
            <v:group style="position:absolute;left:5677;top:-61;width:120;height:622" coordorigin="5677,-61" coordsize="120,622">
              <v:shape style="position:absolute;left:5677;top:-61;width:120;height:622" coordorigin="5677,-61" coordsize="120,622" path="m5746,-61l5726,-61,5726,-42,5746,-42,5746,-61xe" filled="true" fillcolor="#000000" stroked="false">
                <v:path arrowok="t"/>
                <v:fill type="solid"/>
              </v:shape>
              <v:shape style="position:absolute;left:5677;top:-61;width:120;height:622" coordorigin="5677,-61" coordsize="120,622" path="m5746,-21l5726,-21,5726,-1,5746,-1,5746,-21xe" filled="true" fillcolor="#000000" stroked="false">
                <v:path arrowok="t"/>
                <v:fill type="solid"/>
              </v:shape>
              <v:shape style="position:absolute;left:5677;top:-61;width:120;height:622" coordorigin="5677,-61" coordsize="120,622" path="m5747,18l5726,18,5726,39,5747,39,5747,18xe" filled="true" fillcolor="#000000" stroked="false">
                <v:path arrowok="t"/>
                <v:fill type="solid"/>
              </v:shape>
              <v:shape style="position:absolute;left:5677;top:-61;width:120;height:622" coordorigin="5677,-61" coordsize="120,622" path="m5747,59l5726,59,5726,78,5747,78,5747,59xe" filled="true" fillcolor="#000000" stroked="false">
                <v:path arrowok="t"/>
                <v:fill type="solid"/>
              </v:shape>
              <v:shape style="position:absolute;left:5677;top:-61;width:120;height:622" coordorigin="5677,-61" coordsize="120,622" path="m5747,99l5726,99,5726,119,5747,119,5747,99xe" filled="true" fillcolor="#000000" stroked="false">
                <v:path arrowok="t"/>
                <v:fill type="solid"/>
              </v:shape>
              <v:shape style="position:absolute;left:5677;top:-61;width:120;height:622" coordorigin="5677,-61" coordsize="120,622" path="m5747,138l5726,138,5726,159,5747,159,5747,138xe" filled="true" fillcolor="#000000" stroked="false">
                <v:path arrowok="t"/>
                <v:fill type="solid"/>
              </v:shape>
              <v:shape style="position:absolute;left:5677;top:-61;width:120;height:622" coordorigin="5677,-61" coordsize="120,622" path="m5747,179l5726,179,5726,198,5747,198,5747,179xe" filled="true" fillcolor="#000000" stroked="false">
                <v:path arrowok="t"/>
                <v:fill type="solid"/>
              </v:shape>
              <v:shape style="position:absolute;left:5677;top:-61;width:120;height:622" coordorigin="5677,-61" coordsize="120,622" path="m5747,219l5726,219,5726,239,5747,239,5747,219xe" filled="true" fillcolor="#000000" stroked="false">
                <v:path arrowok="t"/>
                <v:fill type="solid"/>
              </v:shape>
              <v:shape style="position:absolute;left:5677;top:-61;width:120;height:622" coordorigin="5677,-61" coordsize="120,622" path="m5747,258l5726,258,5728,279,5747,279,5747,258xe" filled="true" fillcolor="#000000" stroked="false">
                <v:path arrowok="t"/>
                <v:fill type="solid"/>
              </v:shape>
              <v:shape style="position:absolute;left:5677;top:-61;width:120;height:622" coordorigin="5677,-61" coordsize="120,622" path="m5747,299l5728,299,5728,318,5747,318,5747,299xe" filled="true" fillcolor="#000000" stroked="false">
                <v:path arrowok="t"/>
                <v:fill type="solid"/>
              </v:shape>
              <v:shape style="position:absolute;left:5677;top:-61;width:120;height:622" coordorigin="5677,-61" coordsize="120,622" path="m5747,339l5728,339,5728,359,5747,359,5747,339xe" filled="true" fillcolor="#000000" stroked="false">
                <v:path arrowok="t"/>
                <v:fill type="solid"/>
              </v:shape>
              <v:shape style="position:absolute;left:5677;top:-61;width:120;height:622" coordorigin="5677,-61" coordsize="120,622" path="m5747,378l5728,378,5728,399,5748,399,5747,378xe" filled="true" fillcolor="#000000" stroked="false">
                <v:path arrowok="t"/>
                <v:fill type="solid"/>
              </v:shape>
              <v:shape style="position:absolute;left:5677;top:-61;width:120;height:622" coordorigin="5677,-61" coordsize="120,622" path="m5748,419l5728,419,5728,438,5748,438,5748,419xe" filled="true" fillcolor="#000000" stroked="false">
                <v:path arrowok="t"/>
                <v:fill type="solid"/>
              </v:shape>
              <v:shape style="position:absolute;left:5677;top:-61;width:120;height:622" coordorigin="5677,-61" coordsize="120,622" path="m5797,441l5677,441,5738,561,5787,461,5728,461,5728,459,5788,459,5797,441xe" filled="true" fillcolor="#000000" stroked="false">
                <v:path arrowok="t"/>
                <v:fill type="solid"/>
              </v:shape>
              <v:shape style="position:absolute;left:5677;top:-61;width:120;height:622" coordorigin="5677,-61" coordsize="120,622" path="m5748,459l5728,459,5728,461,5748,461,5748,459xe" filled="true" fillcolor="#000000" stroked="false">
                <v:path arrowok="t"/>
                <v:fill type="solid"/>
              </v:shape>
              <v:shape style="position:absolute;left:5677;top:-61;width:120;height:622" coordorigin="5677,-61" coordsize="120,622" path="m5788,459l5748,459,5748,461,5787,461,5788,459xe" filled="true" fillcolor="#000000" stroked="false">
                <v:path arrowok="t"/>
                <v:fill type="solid"/>
              </v:shape>
            </v:group>
            <v:group style="position:absolute;left:6114;top:-374;width:2;height:578" coordorigin="6114,-374" coordsize="2,578">
              <v:shape style="position:absolute;left:6114;top:-374;width:2;height:578" coordorigin="6114,-374" coordsize="2,578" path="m6114,-374l6115,203e" filled="false" stroked="true" strokeweight=".06pt" strokecolor="#000000">
                <v:path arrowok="t"/>
              </v:shape>
            </v:group>
            <v:group style="position:absolute;left:3788;top:-374;width:2;height:578" coordorigin="3788,-374" coordsize="2,578">
              <v:shape style="position:absolute;left:3788;top:-374;width:2;height:578" coordorigin="3788,-374" coordsize="0,578" path="m3788,-374l3788,203e" filled="false" stroked="true" strokeweight=".06pt" strokecolor="#000000">
                <v:path arrowok="t"/>
              </v:shape>
            </v:group>
            <v:group style="position:absolute;left:3787;top:202;width:2327;height:2" coordorigin="3787,202" coordsize="2327,2">
              <v:shape style="position:absolute;left:3787;top:202;width:2327;height:2" coordorigin="3787,202" coordsize="2327,0" path="m3787,202l6114,202e" filled="false" stroked="true" strokeweight=".06pt" strokecolor="#000000">
                <v:path arrowok="t"/>
              </v:shape>
              <v:shape style="position:absolute;left:4094;top:202;width:120;height:361" type="#_x0000_t75" stroked="false">
                <v:imagedata r:id="rId11" o:title=""/>
              </v:shape>
            </v:group>
            <v:group style="position:absolute;left:4810;top:-373;width:120;height:2654" coordorigin="4810,-373" coordsize="120,2654">
              <v:shape style="position:absolute;left:4810;top:-373;width:120;height:2654" coordorigin="4810,-373" coordsize="120,2654" path="m4879,-373l4859,-373,4859,-292,4879,-292,4879,-373xe" filled="true" fillcolor="#000000" stroked="false">
                <v:path arrowok="t"/>
                <v:fill type="solid"/>
              </v:shape>
              <v:shape style="position:absolute;left:4810;top:-373;width:120;height:2654" coordorigin="4810,-373" coordsize="120,2654" path="m4879,-232l4859,-232,4859,-152,4879,-152,4879,-232xe" filled="true" fillcolor="#000000" stroked="false">
                <v:path arrowok="t"/>
                <v:fill type="solid"/>
              </v:shape>
              <v:shape style="position:absolute;left:4810;top:-373;width:120;height:2654" coordorigin="4810,-373" coordsize="120,2654" path="m4879,-92l4859,-92,4859,-13,4879,-13,4879,-92xe" filled="true" fillcolor="#000000" stroked="false">
                <v:path arrowok="t"/>
                <v:fill type="solid"/>
              </v:shape>
              <v:shape style="position:absolute;left:4810;top:-373;width:120;height:2654" coordorigin="4810,-373" coordsize="120,2654" path="m4879,47l4859,47,4859,128,4879,128,4879,47xe" filled="true" fillcolor="#000000" stroked="false">
                <v:path arrowok="t"/>
                <v:fill type="solid"/>
              </v:shape>
              <v:shape style="position:absolute;left:4810;top:-373;width:120;height:2654" coordorigin="4810,-373" coordsize="120,2654" path="m4879,188l4859,188,4859,268,4879,268,4879,188xe" filled="true" fillcolor="#000000" stroked="false">
                <v:path arrowok="t"/>
                <v:fill type="solid"/>
              </v:shape>
              <v:shape style="position:absolute;left:4810;top:-373;width:120;height:2654" coordorigin="4810,-373" coordsize="120,2654" path="m4879,328l4859,328,4859,407,4879,407,4879,328xe" filled="true" fillcolor="#000000" stroked="false">
                <v:path arrowok="t"/>
                <v:fill type="solid"/>
              </v:shape>
              <v:shape style="position:absolute;left:4810;top:-373;width:120;height:2654" coordorigin="4810,-373" coordsize="120,2654" path="m4879,467l4859,467,4859,548,4879,548,4879,467xe" filled="true" fillcolor="#000000" stroked="false">
                <v:path arrowok="t"/>
                <v:fill type="solid"/>
              </v:shape>
              <v:shape style="position:absolute;left:4810;top:-373;width:120;height:2654" coordorigin="4810,-373" coordsize="120,2654" path="m4879,608l4859,608,4859,688,4879,688,4879,608xe" filled="true" fillcolor="#000000" stroked="false">
                <v:path arrowok="t"/>
                <v:fill type="solid"/>
              </v:shape>
              <v:shape style="position:absolute;left:4810;top:-373;width:120;height:2654" coordorigin="4810,-373" coordsize="120,2654" path="m4879,748l4859,748,4860,827,4879,827,4879,748xe" filled="true" fillcolor="#000000" stroked="false">
                <v:path arrowok="t"/>
                <v:fill type="solid"/>
              </v:shape>
              <v:shape style="position:absolute;left:4810;top:-373;width:120;height:2654" coordorigin="4810,-373" coordsize="120,2654" path="m4879,887l4860,887,4860,968,4879,968,4879,887xe" filled="true" fillcolor="#000000" stroked="false">
                <v:path arrowok="t"/>
                <v:fill type="solid"/>
              </v:shape>
              <v:shape style="position:absolute;left:4810;top:-373;width:120;height:2654" coordorigin="4810,-373" coordsize="120,2654" path="m4879,1028l4860,1028,4860,1108,4879,1108,4879,1028xe" filled="true" fillcolor="#000000" stroked="false">
                <v:path arrowok="t"/>
                <v:fill type="solid"/>
              </v:shape>
              <v:shape style="position:absolute;left:4810;top:-373;width:120;height:2654" coordorigin="4810,-373" coordsize="120,2654" path="m4879,1168l4860,1168,4860,1247,4879,1247,4879,1168xe" filled="true" fillcolor="#000000" stroked="false">
                <v:path arrowok="t"/>
                <v:fill type="solid"/>
              </v:shape>
              <v:shape style="position:absolute;left:4810;top:-373;width:120;height:2654" coordorigin="4810,-373" coordsize="120,2654" path="m4879,1307l4860,1307,4860,1388,4879,1388,4879,1307xe" filled="true" fillcolor="#000000" stroked="false">
                <v:path arrowok="t"/>
                <v:fill type="solid"/>
              </v:shape>
              <v:shape style="position:absolute;left:4810;top:-373;width:120;height:2654" coordorigin="4810,-373" coordsize="120,2654" path="m4879,1448l4860,1448,4860,1528,4879,1528,4879,1448xe" filled="true" fillcolor="#000000" stroked="false">
                <v:path arrowok="t"/>
                <v:fill type="solid"/>
              </v:shape>
              <v:shape style="position:absolute;left:4810;top:-373;width:120;height:2654" coordorigin="4810,-373" coordsize="120,2654" path="m4879,1588l4860,1588,4860,1667,4879,1667,4879,1588xe" filled="true" fillcolor="#000000" stroked="false">
                <v:path arrowok="t"/>
                <v:fill type="solid"/>
              </v:shape>
              <v:shape style="position:absolute;left:4810;top:-373;width:120;height:2654" coordorigin="4810,-373" coordsize="120,2654" path="m4879,1727l4860,1727,4860,1808,4879,1808,4879,1727xe" filled="true" fillcolor="#000000" stroked="false">
                <v:path arrowok="t"/>
                <v:fill type="solid"/>
              </v:shape>
              <v:shape style="position:absolute;left:4810;top:-373;width:120;height:2654" coordorigin="4810,-373" coordsize="120,2654" path="m4880,1868l4860,1868,4860,1948,4880,1948,4880,1868xe" filled="true" fillcolor="#000000" stroked="false">
                <v:path arrowok="t"/>
                <v:fill type="solid"/>
              </v:shape>
              <v:shape style="position:absolute;left:4810;top:-373;width:120;height:2654" coordorigin="4810,-373" coordsize="120,2654" path="m4880,2008l4860,2008,4860,2087,4880,2087,4880,2008xe" filled="true" fillcolor="#000000" stroked="false">
                <v:path arrowok="t"/>
                <v:fill type="solid"/>
              </v:shape>
              <v:shape style="position:absolute;left:4810;top:-373;width:120;height:2654" coordorigin="4810,-373" coordsize="120,2654" path="m4860,2160l4810,2160,4870,2280,4919,2181,4860,2181,4860,2160xe" filled="true" fillcolor="#000000" stroked="false">
                <v:path arrowok="t"/>
                <v:fill type="solid"/>
              </v:shape>
              <v:shape style="position:absolute;left:4810;top:-373;width:120;height:2654" coordorigin="4810,-373" coordsize="120,2654" path="m4880,2147l4860,2147,4860,2181,4880,2181,4880,2147xe" filled="true" fillcolor="#000000" stroked="false">
                <v:path arrowok="t"/>
                <v:fill type="solid"/>
              </v:shape>
              <v:shape style="position:absolute;left:4810;top:-373;width:120;height:2654" coordorigin="4810,-373" coordsize="120,2654" path="m4930,2160l4880,2160,4880,2181,4919,2181,4930,2160xe" filled="true" fillcolor="#000000" stroked="false">
                <v:path arrowok="t"/>
                <v:fill type="solid"/>
              </v:shape>
            </v:group>
            <v:group style="position:absolute;left:7091;top:-374;width:120;height:2654" coordorigin="7091,-374" coordsize="120,2654">
              <v:shape style="position:absolute;left:7091;top:-374;width:120;height:2654" coordorigin="7091,-374" coordsize="120,2654" path="m7188,-374l7168,-374,7168,-295,7187,-294,7188,-374xe" filled="true" fillcolor="#000000" stroked="false">
                <v:path arrowok="t"/>
                <v:fill type="solid"/>
              </v:shape>
              <v:shape style="position:absolute;left:7091;top:-374;width:120;height:2654" coordorigin="7091,-374" coordsize="120,2654" path="m7166,-235l7165,-154,7186,-154,7187,-234,7166,-235xe" filled="true" fillcolor="#000000" stroked="false">
                <v:path arrowok="t"/>
                <v:fill type="solid"/>
              </v:shape>
              <v:shape style="position:absolute;left:7091;top:-374;width:120;height:2654" coordorigin="7091,-374" coordsize="120,2654" path="m7184,-94l7165,-94,7164,-14,7184,-14,7184,-94xe" filled="true" fillcolor="#000000" stroked="false">
                <v:path arrowok="t"/>
                <v:fill type="solid"/>
              </v:shape>
              <v:shape style="position:absolute;left:7091;top:-374;width:120;height:2654" coordorigin="7091,-374" coordsize="120,2654" path="m7183,46l7163,46,7163,125,7182,126,7183,46xe" filled="true" fillcolor="#000000" stroked="false">
                <v:path arrowok="t"/>
                <v:fill type="solid"/>
              </v:shape>
              <v:shape style="position:absolute;left:7091;top:-374;width:120;height:2654" coordorigin="7091,-374" coordsize="120,2654" path="m7162,185l7160,266,7181,266,7182,186,7162,185xe" filled="true" fillcolor="#000000" stroked="false">
                <v:path arrowok="t"/>
                <v:fill type="solid"/>
              </v:shape>
              <v:shape style="position:absolute;left:7091;top:-374;width:120;height:2654" coordorigin="7091,-374" coordsize="120,2654" path="m7181,326l7160,326,7159,406,7180,406,7181,326xe" filled="true" fillcolor="#000000" stroked="false">
                <v:path arrowok="t"/>
                <v:fill type="solid"/>
              </v:shape>
              <v:shape style="position:absolute;left:7091;top:-374;width:120;height:2654" coordorigin="7091,-374" coordsize="120,2654" path="m7178,466l7159,466,7158,545,7178,546,7178,466xe" filled="true" fillcolor="#000000" stroked="false">
                <v:path arrowok="t"/>
                <v:fill type="solid"/>
              </v:shape>
              <v:shape style="position:absolute;left:7091;top:-374;width:120;height:2654" coordorigin="7091,-374" coordsize="120,2654" path="m7157,605l7157,686,7176,686,7177,606,7157,605xe" filled="true" fillcolor="#000000" stroked="false">
                <v:path arrowok="t"/>
                <v:fill type="solid"/>
              </v:shape>
              <v:shape style="position:absolute;left:7091;top:-374;width:120;height:2654" coordorigin="7091,-374" coordsize="120,2654" path="m7176,746l7156,746,7154,826,7175,826,7176,746xe" filled="true" fillcolor="#000000" stroked="false">
                <v:path arrowok="t"/>
                <v:fill type="solid"/>
              </v:shape>
              <v:shape style="position:absolute;left:7091;top:-374;width:120;height:2654" coordorigin="7091,-374" coordsize="120,2654" path="m7174,886l7154,886,7153,965,7174,965,7174,886xe" filled="true" fillcolor="#000000" stroked="false">
                <v:path arrowok="t"/>
                <v:fill type="solid"/>
              </v:shape>
              <v:shape style="position:absolute;left:7091;top:-374;width:120;height:2654" coordorigin="7091,-374" coordsize="120,2654" path="m7172,1025l7153,1025,7152,1106,7171,1106,7172,1025xe" filled="true" fillcolor="#000000" stroked="false">
                <v:path arrowok="t"/>
                <v:fill type="solid"/>
              </v:shape>
              <v:shape style="position:absolute;left:7091;top:-374;width:120;height:2654" coordorigin="7091,-374" coordsize="120,2654" path="m7171,1166l7151,1166,7151,1246,7170,1246,7171,1166xe" filled="true" fillcolor="#000000" stroked="false">
                <v:path arrowok="t"/>
                <v:fill type="solid"/>
              </v:shape>
              <v:shape style="position:absolute;left:7091;top:-374;width:120;height:2654" coordorigin="7091,-374" coordsize="120,2654" path="m7170,1306l7150,1306,7148,1385,7169,1385,7170,1306xe" filled="true" fillcolor="#000000" stroked="false">
                <v:path arrowok="t"/>
                <v:fill type="solid"/>
              </v:shape>
              <v:shape style="position:absolute;left:7091;top:-374;width:120;height:2654" coordorigin="7091,-374" coordsize="120,2654" path="m7168,1445l7148,1445,7147,1526,7168,1526,7168,1445xe" filled="true" fillcolor="#000000" stroked="false">
                <v:path arrowok="t"/>
                <v:fill type="solid"/>
              </v:shape>
              <v:shape style="position:absolute;left:7091;top:-374;width:120;height:2654" coordorigin="7091,-374" coordsize="120,2654" path="m7166,1586l7146,1586,7146,1666,7165,1666,7166,1586xe" filled="true" fillcolor="#000000" stroked="false">
                <v:path arrowok="t"/>
                <v:fill type="solid"/>
              </v:shape>
              <v:shape style="position:absolute;left:7091;top:-374;width:120;height:2654" coordorigin="7091,-374" coordsize="120,2654" path="m7165,1726l7145,1726,7144,1805,7164,1805,7165,1726xe" filled="true" fillcolor="#000000" stroked="false">
                <v:path arrowok="t"/>
                <v:fill type="solid"/>
              </v:shape>
              <v:shape style="position:absolute;left:7091;top:-374;width:120;height:2654" coordorigin="7091,-374" coordsize="120,2654" path="m7164,1865l7144,1865,7142,1946,7163,1946,7164,1865xe" filled="true" fillcolor="#000000" stroked="false">
                <v:path arrowok="t"/>
                <v:fill type="solid"/>
              </v:shape>
              <v:shape style="position:absolute;left:7091;top:-374;width:120;height:2654" coordorigin="7091,-374" coordsize="120,2654" path="m7162,2006l7142,2006,7141,2086,7162,2086,7162,2006xe" filled="true" fillcolor="#000000" stroked="false">
                <v:path arrowok="t"/>
                <v:fill type="solid"/>
              </v:shape>
              <v:shape style="position:absolute;left:7091;top:-374;width:120;height:2654" coordorigin="7091,-374" coordsize="120,2654" path="m7091,2158l7148,2279,7201,2178,7140,2178,7140,2159,7091,2158xe" filled="true" fillcolor="#000000" stroked="false">
                <v:path arrowok="t"/>
                <v:fill type="solid"/>
              </v:shape>
              <v:shape style="position:absolute;left:7091;top:-374;width:120;height:2654" coordorigin="7091,-374" coordsize="120,2654" path="m7140,2159l7140,2178,7160,2178,7160,2159,7140,2159xe" filled="true" fillcolor="#000000" stroked="false">
                <v:path arrowok="t"/>
                <v:fill type="solid"/>
              </v:shape>
              <v:shape style="position:absolute;left:7091;top:-374;width:120;height:2654" coordorigin="7091,-374" coordsize="120,2654" path="m7160,2159l7160,2178,7201,2178,7211,2159,7160,2159xe" filled="true" fillcolor="#000000" stroked="false">
                <v:path arrowok="t"/>
                <v:fill type="solid"/>
              </v:shape>
              <v:shape style="position:absolute;left:7091;top:-374;width:120;height:2654" coordorigin="7091,-374" coordsize="120,2654" path="m7160,2146l7140,2146,7140,2159,7160,2159,7160,2146xe" filled="true" fillcolor="#000000" stroked="false">
                <v:path arrowok="t"/>
                <v:fill type="solid"/>
              </v:shape>
            </v:group>
            <v:group style="position:absolute;left:4088;top:1342;width:120;height:936" coordorigin="4088,1342" coordsize="120,936">
              <v:shape style="position:absolute;left:4088;top:1342;width:120;height:936" coordorigin="4088,1342" coordsize="120,936" path="m4148,2158l4088,2158,4148,2278,4173,2229,4148,2229,4148,2158xe" filled="true" fillcolor="#000000" stroked="false">
                <v:path arrowok="t"/>
                <v:fill type="solid"/>
              </v:shape>
              <v:shape style="position:absolute;left:4088;top:1342;width:120;height:936" coordorigin="4088,1342" coordsize="120,936" path="m4150,1342l4148,1342,4148,2229,4150,2229,4150,1342xe" filled="true" fillcolor="#000000" stroked="false">
                <v:path arrowok="t"/>
                <v:fill type="solid"/>
              </v:shape>
              <v:shape style="position:absolute;left:4088;top:1342;width:120;height:936" coordorigin="4088,1342" coordsize="120,936" path="m4208,2158l4150,2158,4150,2229,4173,2229,4208,2158xe" filled="true" fillcolor="#000000" stroked="false">
                <v:path arrowok="t"/>
                <v:fill type="solid"/>
              </v:shape>
            </v:group>
            <v:group style="position:absolute;left:5678;top:1343;width:120;height:936" coordorigin="5678,1343" coordsize="120,936">
              <v:shape style="position:absolute;left:5678;top:1343;width:120;height:936" coordorigin="5678,1343" coordsize="120,936" path="m5748,1343l5728,1343,5728,1362,5748,1362,5748,1343xe" filled="true" fillcolor="#000000" stroked="false">
                <v:path arrowok="t"/>
                <v:fill type="solid"/>
              </v:shape>
              <v:shape style="position:absolute;left:5678;top:1343;width:120;height:936" coordorigin="5678,1343" coordsize="120,936" path="m5748,1383l5728,1383,5728,1403,5748,1403,5748,1383xe" filled="true" fillcolor="#000000" stroked="false">
                <v:path arrowok="t"/>
                <v:fill type="solid"/>
              </v:shape>
              <v:shape style="position:absolute;left:5678;top:1343;width:120;height:936" coordorigin="5678,1343" coordsize="120,936" path="m5748,1422l5728,1422,5728,1443,5748,1443,5748,1422xe" filled="true" fillcolor="#000000" stroked="false">
                <v:path arrowok="t"/>
                <v:fill type="solid"/>
              </v:shape>
              <v:shape style="position:absolute;left:5678;top:1343;width:120;height:936" coordorigin="5678,1343" coordsize="120,936" path="m5748,1463l5728,1463,5728,1482,5748,1482,5748,1463xe" filled="true" fillcolor="#000000" stroked="false">
                <v:path arrowok="t"/>
                <v:fill type="solid"/>
              </v:shape>
              <v:shape style="position:absolute;left:5678;top:1343;width:120;height:936" coordorigin="5678,1343" coordsize="120,936" path="m5748,1503l5728,1503,5728,1523,5748,1523,5748,1503xe" filled="true" fillcolor="#000000" stroked="false">
                <v:path arrowok="t"/>
                <v:fill type="solid"/>
              </v:shape>
              <v:shape style="position:absolute;left:5678;top:1343;width:120;height:936" coordorigin="5678,1343" coordsize="120,936" path="m5748,1542l5728,1542,5728,1563,5748,1563,5748,1542xe" filled="true" fillcolor="#000000" stroked="false">
                <v:path arrowok="t"/>
                <v:fill type="solid"/>
              </v:shape>
              <v:shape style="position:absolute;left:5678;top:1343;width:120;height:936" coordorigin="5678,1343" coordsize="120,936" path="m5748,1583l5729,1583,5729,1602,5748,1602,5748,1583xe" filled="true" fillcolor="#000000" stroked="false">
                <v:path arrowok="t"/>
                <v:fill type="solid"/>
              </v:shape>
              <v:shape style="position:absolute;left:5678;top:1343;width:120;height:936" coordorigin="5678,1343" coordsize="120,936" path="m5748,1623l5729,1623,5729,1643,5748,1643,5748,1623xe" filled="true" fillcolor="#000000" stroked="false">
                <v:path arrowok="t"/>
                <v:fill type="solid"/>
              </v:shape>
              <v:shape style="position:absolute;left:5678;top:1343;width:120;height:936" coordorigin="5678,1343" coordsize="120,936" path="m5748,1662l5729,1662,5729,1683,5748,1683,5748,1662xe" filled="true" fillcolor="#000000" stroked="false">
                <v:path arrowok="t"/>
                <v:fill type="solid"/>
              </v:shape>
              <v:shape style="position:absolute;left:5678;top:1343;width:120;height:936" coordorigin="5678,1343" coordsize="120,936" path="m5748,1703l5729,1703,5729,1722,5748,1722,5748,1703xe" filled="true" fillcolor="#000000" stroked="false">
                <v:path arrowok="t"/>
                <v:fill type="solid"/>
              </v:shape>
              <v:shape style="position:absolute;left:5678;top:1343;width:120;height:936" coordorigin="5678,1343" coordsize="120,936" path="m5748,1743l5729,1743,5729,1763,5748,1763,5748,1743xe" filled="true" fillcolor="#000000" stroked="false">
                <v:path arrowok="t"/>
                <v:fill type="solid"/>
              </v:shape>
              <v:shape style="position:absolute;left:5678;top:1343;width:120;height:936" coordorigin="5678,1343" coordsize="120,936" path="m5748,1782l5729,1782,5729,1803,5748,1803,5748,1782xe" filled="true" fillcolor="#000000" stroked="false">
                <v:path arrowok="t"/>
                <v:fill type="solid"/>
              </v:shape>
              <v:shape style="position:absolute;left:5678;top:1343;width:120;height:936" coordorigin="5678,1343" coordsize="120,936" path="m5748,1823l5729,1823,5729,1842,5748,1842,5748,1823xe" filled="true" fillcolor="#000000" stroked="false">
                <v:path arrowok="t"/>
                <v:fill type="solid"/>
              </v:shape>
              <v:shape style="position:absolute;left:5678;top:1343;width:120;height:936" coordorigin="5678,1343" coordsize="120,936" path="m5748,1863l5729,1863,5729,1883,5748,1883,5748,1863xe" filled="true" fillcolor="#000000" stroked="false">
                <v:path arrowok="t"/>
                <v:fill type="solid"/>
              </v:shape>
              <v:shape style="position:absolute;left:5678;top:1343;width:120;height:936" coordorigin="5678,1343" coordsize="120,936" path="m5748,1902l5729,1902,5729,1923,5748,1923,5748,1902xe" filled="true" fillcolor="#000000" stroked="false">
                <v:path arrowok="t"/>
                <v:fill type="solid"/>
              </v:shape>
              <v:shape style="position:absolute;left:5678;top:1343;width:120;height:936" coordorigin="5678,1343" coordsize="120,936" path="m5748,1943l5729,1943,5729,1962,5749,1962,5748,1943xe" filled="true" fillcolor="#000000" stroked="false">
                <v:path arrowok="t"/>
                <v:fill type="solid"/>
              </v:shape>
              <v:shape style="position:absolute;left:5678;top:1343;width:120;height:936" coordorigin="5678,1343" coordsize="120,936" path="m5749,1983l5729,1983,5729,2003,5749,2003,5749,1983xe" filled="true" fillcolor="#000000" stroked="false">
                <v:path arrowok="t"/>
                <v:fill type="solid"/>
              </v:shape>
              <v:shape style="position:absolute;left:5678;top:1343;width:120;height:936" coordorigin="5678,1343" coordsize="120,936" path="m5749,2022l5729,2022,5729,2043,5749,2043,5749,2022xe" filled="true" fillcolor="#000000" stroked="false">
                <v:path arrowok="t"/>
                <v:fill type="solid"/>
              </v:shape>
              <v:shape style="position:absolute;left:5678;top:1343;width:120;height:936" coordorigin="5678,1343" coordsize="120,936" path="m5749,2063l5729,2063,5729,2082,5749,2082,5749,2063xe" filled="true" fillcolor="#000000" stroked="false">
                <v:path arrowok="t"/>
                <v:fill type="solid"/>
              </v:shape>
              <v:shape style="position:absolute;left:5678;top:1343;width:120;height:936" coordorigin="5678,1343" coordsize="120,936" path="m5749,2103l5729,2103,5729,2123,5749,2123,5749,2103xe" filled="true" fillcolor="#000000" stroked="false">
                <v:path arrowok="t"/>
                <v:fill type="solid"/>
              </v:shape>
              <v:shape style="position:absolute;left:5678;top:1343;width:120;height:936" coordorigin="5678,1343" coordsize="120,936" path="m5729,2159l5678,2159,5738,2279,5797,2163,5729,2163,5729,2159xe" filled="true" fillcolor="#000000" stroked="false">
                <v:path arrowok="t"/>
                <v:fill type="solid"/>
              </v:shape>
              <v:shape style="position:absolute;left:5678;top:1343;width:120;height:936" coordorigin="5678,1343" coordsize="120,936" path="m5749,2142l5729,2142,5729,2163,5749,2163,5749,2142xe" filled="true" fillcolor="#000000" stroked="false">
                <v:path arrowok="t"/>
                <v:fill type="solid"/>
              </v:shape>
              <v:shape style="position:absolute;left:5678;top:1343;width:120;height:936" coordorigin="5678,1343" coordsize="120,936" path="m5798,2159l5749,2159,5749,2163,5797,2163,5798,2159xe" filled="true" fillcolor="#000000" stroked="false">
                <v:path arrowok="t"/>
                <v:fill type="solid"/>
              </v:shape>
              <v:shape style="position:absolute;left:3594;top:-841;width:1800;height:468" type="#_x0000_t202" filled="false" stroked="false">
                <v:textbox inset="0,0,0,0">
                  <w:txbxContent>
                    <w:p>
                      <w:pPr>
                        <w:tabs>
                          <w:tab w:pos="962" w:val="left" w:leader="none"/>
                        </w:tabs>
                        <w:spacing w:before="89"/>
                        <w:ind w:left="422" w:right="0" w:firstLine="0"/>
                        <w:jc w:val="left"/>
                        <w:rPr>
                          <w:rFonts w:ascii="宋体" w:hAnsi="宋体" w:cs="宋体" w:eastAsia="宋体" w:hint="default"/>
                          <w:sz w:val="18"/>
                          <w:szCs w:val="18"/>
                        </w:rPr>
                      </w:pPr>
                      <w:r>
                        <w:rPr>
                          <w:rFonts w:ascii="宋体" w:hAnsi="宋体" w:cs="宋体" w:eastAsia="宋体" w:hint="default"/>
                          <w:sz w:val="18"/>
                          <w:szCs w:val="18"/>
                        </w:rPr>
                        <w:t>乔</w:t>
                        <w:tab/>
                        <w:t>昕</w:t>
                      </w:r>
                    </w:p>
                  </w:txbxContent>
                </v:textbox>
                <w10:wrap type="none"/>
              </v:shape>
              <v:shape style="position:absolute;left:5738;top:-841;width:1800;height:468" type="#_x0000_t202" filled="false" stroked="false">
                <v:textbox inset="0,0,0,0">
                  <w:txbxContent>
                    <w:p>
                      <w:pPr>
                        <w:spacing w:before="89"/>
                        <w:ind w:left="331" w:right="0" w:firstLine="0"/>
                        <w:jc w:val="left"/>
                        <w:rPr>
                          <w:rFonts w:ascii="宋体" w:hAnsi="宋体" w:cs="宋体" w:eastAsia="宋体" w:hint="default"/>
                          <w:sz w:val="18"/>
                          <w:szCs w:val="18"/>
                        </w:rPr>
                      </w:pPr>
                      <w:r>
                        <w:rPr>
                          <w:rFonts w:ascii="宋体" w:hAnsi="宋体" w:cs="宋体" w:eastAsia="宋体" w:hint="default"/>
                          <w:sz w:val="18"/>
                          <w:szCs w:val="18"/>
                        </w:rPr>
                        <w:t>陈  亚  妹</w:t>
                      </w:r>
                    </w:p>
                  </w:txbxContent>
                </v:textbox>
                <w10:wrap type="none"/>
              </v:shape>
              <v:shape style="position:absolute;left:4032;top:-201;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6758;top:-198;width:2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3298;top:99;width:3239;height:180" type="#_x0000_t202" filled="false" stroked="false">
                <v:textbox inset="0,0,0,0">
                  <w:txbxContent>
                    <w:p>
                      <w:pPr>
                        <w:tabs>
                          <w:tab w:pos="290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tab/>
                        <w:t>80%</w:t>
                      </w:r>
                    </w:p>
                  </w:txbxContent>
                </v:textbox>
                <w10:wrap type="none"/>
              </v:shape>
              <v:shape style="position:absolute;left:4992;top:1494;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0.75%</w:t>
                      </w:r>
                    </w:p>
                  </w:txbxContent>
                </v:textbox>
                <w10:wrap type="none"/>
              </v:shape>
              <v:shape style="position:absolute;left:7301;top:1494;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0.56%</w:t>
                      </w:r>
                    </w:p>
                  </w:txbxContent>
                </v:textbox>
                <w10:wrap type="none"/>
              </v:shape>
              <v:shape style="position:absolute;left:3342;top:179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52.47%</w:t>
                      </w:r>
                    </w:p>
                  </w:txbxContent>
                </v:textbox>
                <w10:wrap type="none"/>
              </v:shape>
              <v:shape style="position:absolute;left:5860;top:179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19.84%</w:t>
                      </w:r>
                    </w:p>
                  </w:txbxContent>
                </v:textbox>
                <w10:wrap type="none"/>
              </v:shape>
              <v:shape style="position:absolute;left:2786;top:563;width:1800;height:780" type="#_x0000_t202" filled="false" stroked="true" strokeweight=".75pt" strokecolor="#000000">
                <v:textbox inset="0,0,0,0">
                  <w:txbxContent>
                    <w:p>
                      <w:pPr>
                        <w:spacing w:before="81"/>
                        <w:ind w:left="143" w:right="133" w:firstLine="0"/>
                        <w:jc w:val="left"/>
                        <w:rPr>
                          <w:rFonts w:ascii="宋体" w:hAnsi="宋体" w:cs="宋体" w:eastAsia="宋体" w:hint="default"/>
                          <w:sz w:val="18"/>
                          <w:szCs w:val="18"/>
                        </w:rPr>
                      </w:pPr>
                      <w:r>
                        <w:rPr>
                          <w:rFonts w:ascii="宋体" w:hAnsi="宋体" w:cs="宋体" w:eastAsia="宋体" w:hint="default"/>
                          <w:spacing w:val="7"/>
                          <w:sz w:val="18"/>
                          <w:szCs w:val="18"/>
                        </w:rPr>
                        <w:t>深圳市恒顺昌投资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发展有限公司</w:t>
                      </w:r>
                    </w:p>
                  </w:txbxContent>
                </v:textbox>
                <w10:wrap type="none"/>
              </v:shape>
              <v:shape style="position:absolute;left:5096;top:563;width:1799;height:780" type="#_x0000_t202" filled="false" stroked="true" strokeweight=".75pt" strokecolor="#000000">
                <v:textbox inset="0,0,0,0">
                  <w:txbxContent>
                    <w:p>
                      <w:pPr>
                        <w:spacing w:before="81"/>
                        <w:ind w:left="144" w:right="141" w:firstLine="0"/>
                        <w:jc w:val="left"/>
                        <w:rPr>
                          <w:rFonts w:ascii="宋体" w:hAnsi="宋体" w:cs="宋体" w:eastAsia="宋体" w:hint="default"/>
                          <w:sz w:val="18"/>
                          <w:szCs w:val="18"/>
                        </w:rPr>
                      </w:pPr>
                      <w:r>
                        <w:rPr>
                          <w:rFonts w:ascii="宋体" w:hAnsi="宋体" w:cs="宋体" w:eastAsia="宋体" w:hint="default"/>
                          <w:spacing w:val="6"/>
                          <w:sz w:val="18"/>
                          <w:szCs w:val="18"/>
                        </w:rPr>
                        <w:t>深圳市冠德成科技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发展有限公司</w:t>
                      </w:r>
                    </w:p>
                  </w:txbxContent>
                </v:textbox>
                <w10:wrap type="none"/>
              </v:shape>
              <v:shape style="position:absolute;left:3865;top:2280;width:3419;height:471" type="#_x0000_t202" filled="false" stroked="true" strokeweight=".75pt" strokecolor="#000000">
                <v:textbox inset="0,0,0,0">
                  <w:txbxContent>
                    <w:p>
                      <w:pPr>
                        <w:spacing w:before="83"/>
                        <w:ind w:left="234"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p>
                  </w:txbxContent>
                </v:textbox>
                <w10:wrap type="none"/>
              </v:shape>
            </v:group>
            <w10:wrap type="none"/>
          </v:group>
        </w:pict>
      </w:r>
      <w:r>
        <w:rPr>
          <w:rFonts w:ascii="Times New Roman"/>
          <w:sz w:val="18"/>
        </w:rPr>
        <w:t>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BodyText"/>
        <w:spacing w:line="307" w:lineRule="auto" w:before="26"/>
        <w:ind w:left="634" w:right="212"/>
        <w:jc w:val="left"/>
      </w:pPr>
      <w:r>
        <w:rPr/>
        <w:t>4、其它持股在</w:t>
      </w:r>
      <w:r>
        <w:rPr>
          <w:spacing w:val="-60"/>
        </w:rPr>
        <w:t> </w:t>
      </w:r>
      <w:r>
        <w:rPr/>
        <w:t>10%以上的法人股东：</w:t>
      </w:r>
      <w:r>
        <w:rPr/>
        <w:t> 深圳市冠德成科技发展有限公司（以下简称“冠德成”），于</w:t>
      </w:r>
      <w:r>
        <w:rPr>
          <w:spacing w:val="-59"/>
        </w:rPr>
        <w:t> </w:t>
      </w:r>
      <w:r>
        <w:rPr>
          <w:spacing w:val="25"/>
        </w:rPr>
        <w:t>2005年3月</w:t>
      </w:r>
      <w:r>
        <w:rPr>
          <w:spacing w:val="-59"/>
        </w:rPr>
        <w:t> </w:t>
      </w:r>
      <w:r>
        <w:rPr/>
        <w:t>31</w:t>
      </w:r>
      <w:r>
        <w:rPr>
          <w:spacing w:val="-59"/>
        </w:rPr>
        <w:t> </w:t>
      </w:r>
      <w:r>
        <w:rPr/>
        <w:t>日注册成</w:t>
      </w:r>
    </w:p>
    <w:p>
      <w:pPr>
        <w:pStyle w:val="BodyText"/>
        <w:spacing w:line="304" w:lineRule="auto" w:before="18"/>
        <w:ind w:right="91"/>
        <w:jc w:val="left"/>
      </w:pPr>
      <w:r>
        <w:rPr/>
        <w:t>立，注册资本人民币</w:t>
      </w:r>
      <w:r>
        <w:rPr>
          <w:spacing w:val="-60"/>
        </w:rPr>
        <w:t> </w:t>
      </w:r>
      <w:r>
        <w:rPr/>
        <w:t>550</w:t>
      </w:r>
      <w:r>
        <w:rPr>
          <w:spacing w:val="-60"/>
        </w:rPr>
        <w:t> </w:t>
      </w:r>
      <w:r>
        <w:rPr/>
        <w:t>万元，其中本公司董事、总经理乔昕先生出资比例</w:t>
      </w:r>
      <w:r>
        <w:rPr>
          <w:spacing w:val="-60"/>
        </w:rPr>
        <w:t> </w:t>
      </w:r>
      <w:r>
        <w:rPr/>
        <w:t>90%，本公司董</w:t>
      </w:r>
      <w:r>
        <w:rPr/>
        <w:t> 事长陈亚妹女士出资比例</w:t>
      </w:r>
      <w:r>
        <w:rPr>
          <w:spacing w:val="-60"/>
        </w:rPr>
        <w:t> </w:t>
      </w:r>
      <w:r>
        <w:rPr/>
        <w:t>8%，本公司董事陈熙亚先生出资比例</w:t>
      </w:r>
      <w:r>
        <w:rPr>
          <w:spacing w:val="-60"/>
        </w:rPr>
        <w:t> </w:t>
      </w:r>
      <w:r>
        <w:rPr/>
        <w:t>2%，法定代表人为乔昕先生，</w:t>
      </w:r>
      <w:r>
        <w:rPr/>
        <w:t> 注册地址和主要经营场所为深圳市南山区南新路苏豪名厦</w:t>
      </w:r>
      <w:r>
        <w:rPr>
          <w:spacing w:val="-58"/>
        </w:rPr>
        <w:t> </w:t>
      </w:r>
      <w:r>
        <w:rPr/>
        <w:t>27F2</w:t>
      </w:r>
      <w:r>
        <w:rPr>
          <w:spacing w:val="-58"/>
        </w:rPr>
        <w:t> </w:t>
      </w:r>
      <w:r>
        <w:rPr>
          <w:spacing w:val="-7"/>
        </w:rPr>
        <w:t>室，主营业务为兴办实业。目</w:t>
      </w:r>
      <w:r>
        <w:rPr>
          <w:spacing w:val="-117"/>
        </w:rPr>
        <w:t> </w:t>
      </w:r>
      <w:r>
        <w:rPr>
          <w:spacing w:val="-117"/>
        </w:rPr>
      </w:r>
      <w:r>
        <w:rPr/>
        <w:t>前冠德成除投资本公司外未经营其它业务，亦无其它投资，其主要收益是投资本公司产生的 投资收益。</w:t>
      </w:r>
    </w:p>
    <w:p>
      <w:pPr>
        <w:pStyle w:val="BodyText"/>
        <w:spacing w:line="240" w:lineRule="auto" w:before="22"/>
        <w:ind w:left="633" w:right="210"/>
        <w:jc w:val="left"/>
      </w:pPr>
      <w:r>
        <w:rPr/>
        <w:t>5、报告期内，公司无控股股东及实际控制人发生变化的情况。</w:t>
      </w:r>
    </w:p>
    <w:p>
      <w:pPr>
        <w:spacing w:after="0" w:line="240" w:lineRule="auto"/>
        <w:jc w:val="left"/>
        <w:sectPr>
          <w:pgSz w:w="11910" w:h="16840"/>
          <w:pgMar w:header="787" w:footer="1339" w:top="1020" w:bottom="15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9"/>
        <w:ind w:left="2442" w:right="1650"/>
        <w:jc w:val="left"/>
        <w:rPr>
          <w:b w:val="0"/>
          <w:bCs w:val="0"/>
        </w:rPr>
      </w:pPr>
      <w:bookmarkStart w:name="_TOC_250005" w:id="2"/>
      <w:r>
        <w:rPr/>
        <w:t>第五节、董事、监事、高级管理人员和员工情况</w:t>
      </w:r>
      <w:bookmarkEnd w:id="2"/>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BodyText"/>
        <w:spacing w:line="367" w:lineRule="auto" w:before="0"/>
        <w:ind w:left="634" w:right="5610"/>
        <w:jc w:val="left"/>
      </w:pPr>
      <w:r>
        <w:rPr/>
        <w:pict>
          <v:shape style="position:absolute;margin-left:56.459999pt;margin-top:44.376057pt;width:492.15pt;height:539.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25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1"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0" w:right="89"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2" w:right="68" w:firstLine="46"/>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w:t>
                        </w:r>
                        <w:r>
                          <w:rPr>
                            <w:rFonts w:ascii="宋体" w:hAnsi="宋体" w:cs="宋体" w:eastAsia="宋体" w:hint="default"/>
                            <w:spacing w:val="-36"/>
                            <w:sz w:val="18"/>
                            <w:szCs w:val="18"/>
                          </w:rPr>
                          <w:t>元）（税前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p>
                        <w:pPr>
                          <w:pStyle w:val="TableParagraph"/>
                          <w:spacing w:line="233"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薪酬</w:t>
                        </w:r>
                      </w:p>
                    </w:tc>
                  </w:tr>
                  <w:tr>
                    <w:trPr>
                      <w:trHeight w:val="79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2"/>
                          <w:jc w:val="left"/>
                          <w:rPr>
                            <w:rFonts w:ascii="宋体" w:hAnsi="宋体" w:cs="宋体" w:eastAsia="宋体" w:hint="default"/>
                            <w:sz w:val="18"/>
                            <w:szCs w:val="18"/>
                          </w:rPr>
                        </w:pPr>
                        <w:r>
                          <w:rPr>
                            <w:rFonts w:ascii="宋体" w:hAnsi="宋体" w:cs="宋体" w:eastAsia="宋体" w:hint="default"/>
                            <w:spacing w:val="16"/>
                            <w:sz w:val="18"/>
                            <w:szCs w:val="18"/>
                          </w:rPr>
                          <w:t>董事、总经</w:t>
                        </w:r>
                        <w:r>
                          <w:rPr>
                            <w:rFonts w:ascii="宋体" w:hAnsi="宋体" w:cs="宋体" w:eastAsia="宋体" w:hint="default"/>
                            <w:sz w:val="18"/>
                            <w:szCs w:val="18"/>
                          </w:rPr>
                          <w:t> 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2"/>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z w:val="18"/>
                            <w:szCs w:val="18"/>
                          </w:rPr>
                          <w:t> 经</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李秉心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薛桂香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97"/>
                          <w:jc w:val="both"/>
                          <w:rPr>
                            <w:rFonts w:ascii="宋体" w:hAnsi="宋体" w:cs="宋体" w:eastAsia="宋体" w:hint="default"/>
                            <w:sz w:val="18"/>
                            <w:szCs w:val="18"/>
                          </w:rPr>
                        </w:pPr>
                        <w:r>
                          <w:rPr>
                            <w:rFonts w:ascii="宋体" w:hAnsi="宋体" w:cs="宋体" w:eastAsia="宋体" w:hint="default"/>
                            <w:sz w:val="18"/>
                            <w:szCs w:val="18"/>
                          </w:rPr>
                          <w:t>实施资本公 积金转赠股 本方案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姜帆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2,242,000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3,363,000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386.18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一、董事、监事和高级管理人员情况 1、基本情况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636" w:right="3330"/>
        <w:jc w:val="left"/>
      </w:pPr>
      <w:r>
        <w:rPr/>
        <w:t>2、公司董事、监事在股东单位任职情况：</w:t>
      </w:r>
    </w:p>
    <w:p>
      <w:pPr>
        <w:spacing w:after="0" w:line="240"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pStyle w:val="BodyText"/>
        <w:spacing w:line="304" w:lineRule="auto" w:before="190"/>
        <w:ind w:right="228" w:firstLine="482"/>
        <w:jc w:val="both"/>
      </w:pPr>
      <w:r>
        <w:rPr/>
        <w:t>公司董事长陈亚妹女士同时担任本公司控股股东恒顺昌执行董事、本公司主要股东冠德</w:t>
      </w:r>
      <w:r>
        <w:rPr>
          <w:spacing w:val="1"/>
        </w:rPr>
        <w:t> </w:t>
      </w:r>
      <w:r>
        <w:rPr/>
        <w:t>成监事职务。</w:t>
      </w:r>
    </w:p>
    <w:p>
      <w:pPr>
        <w:pStyle w:val="BodyText"/>
        <w:spacing w:line="304" w:lineRule="auto" w:before="22"/>
        <w:ind w:right="228" w:firstLine="482"/>
        <w:jc w:val="both"/>
      </w:pPr>
      <w:r>
        <w:rPr/>
        <w:t>本公司董事、总经理乔昕先生同时担任本公司控股股东恒顺昌监事、本公司股东冠德成</w:t>
      </w:r>
      <w:r>
        <w:rPr>
          <w:spacing w:val="1"/>
        </w:rPr>
        <w:t> </w:t>
      </w:r>
      <w:r>
        <w:rPr/>
        <w:t>执行董事、本公司关联企业百华科技发展有限公司执行董事职务。</w:t>
      </w:r>
    </w:p>
    <w:p>
      <w:pPr>
        <w:pStyle w:val="BodyText"/>
        <w:spacing w:line="240" w:lineRule="auto"/>
        <w:ind w:left="636" w:right="95"/>
        <w:jc w:val="left"/>
      </w:pPr>
      <w:r>
        <w:rPr/>
        <w:t>3、现任董事、监事、高级管理人员最近五年主要工作经历：</w:t>
      </w:r>
    </w:p>
    <w:p>
      <w:pPr>
        <w:pStyle w:val="BodyText"/>
        <w:spacing w:line="240" w:lineRule="auto" w:before="86"/>
        <w:ind w:left="636" w:right="95"/>
        <w:jc w:val="left"/>
      </w:pPr>
      <w:r>
        <w:rPr/>
        <w:t>（1）董事会成员</w:t>
      </w:r>
    </w:p>
    <w:p>
      <w:pPr>
        <w:pStyle w:val="BodyText"/>
        <w:spacing w:line="304" w:lineRule="auto" w:before="85"/>
        <w:ind w:right="229" w:firstLine="482"/>
        <w:jc w:val="both"/>
      </w:pPr>
      <w:r>
        <w:rPr/>
        <w:t>陈亚妹女士：1998</w:t>
      </w:r>
      <w:r>
        <w:rPr>
          <w:spacing w:val="-83"/>
        </w:rPr>
        <w:t> </w:t>
      </w:r>
      <w:r>
        <w:rPr/>
        <w:t>年创办本公司前身深圳市实益达实业有限公司，历任执行董事、总经</w:t>
      </w:r>
      <w:r>
        <w:rPr/>
        <w:t> 理等职务，现任本公司董事长。截止报告期末，陈亚妹女士个人持有本公司股票</w:t>
      </w:r>
      <w:r>
        <w:rPr>
          <w:spacing w:val="20"/>
        </w:rPr>
        <w:t> </w:t>
      </w:r>
      <w:r>
        <w:rPr/>
        <w:t>1,113,000</w:t>
      </w:r>
      <w:r>
        <w:rPr>
          <w:spacing w:val="-117"/>
        </w:rPr>
        <w:t> </w:t>
      </w:r>
      <w:r>
        <w:rPr>
          <w:spacing w:val="-117"/>
        </w:rPr>
      </w:r>
      <w:r>
        <w:rPr/>
        <w:t>股，未受到中国证监会及其他有关部门的处罚和证券交易所惩戒。</w:t>
      </w:r>
    </w:p>
    <w:p>
      <w:pPr>
        <w:pStyle w:val="BodyText"/>
        <w:spacing w:line="304" w:lineRule="auto"/>
        <w:ind w:right="231" w:firstLine="482"/>
        <w:jc w:val="both"/>
      </w:pPr>
      <w:r>
        <w:rPr/>
        <w:t>乔昕先生：1998</w:t>
      </w:r>
      <w:r>
        <w:rPr>
          <w:spacing w:val="-83"/>
        </w:rPr>
        <w:t> </w:t>
      </w:r>
      <w:r>
        <w:rPr/>
        <w:t>年创办本公司前身深圳市实益达实业有限公司，现任本公司董事、总经</w:t>
      </w:r>
      <w:r>
        <w:rPr/>
        <w:t> 理。截止报告期末，乔昕先生个人持有本公司股票 1,500,000</w:t>
      </w:r>
      <w:r>
        <w:rPr>
          <w:spacing w:val="-82"/>
        </w:rPr>
        <w:t> </w:t>
      </w:r>
      <w:r>
        <w:rPr/>
        <w:t>股，未受到中国证监会及其他</w:t>
      </w:r>
      <w:r>
        <w:rPr/>
        <w:t> 有关部门的处罚和证券交易所惩戒。</w:t>
      </w:r>
    </w:p>
    <w:p>
      <w:pPr>
        <w:pStyle w:val="BodyText"/>
        <w:spacing w:line="304" w:lineRule="auto"/>
        <w:ind w:left="154" w:right="228" w:firstLine="482"/>
        <w:jc w:val="both"/>
      </w:pPr>
      <w:r>
        <w:rPr/>
        <w:t>宋东红先生：曾先后工作于现代电子深圳实业有限公司、深圳三星视界有限公司，2004 年加入本公司，现任本公司董事、副总经理。截止报告期末，宋东红先生个人持有本公司股</w:t>
      </w:r>
      <w:r>
        <w:rPr>
          <w:spacing w:val="-83"/>
        </w:rPr>
        <w:t> </w:t>
      </w:r>
      <w:r>
        <w:rPr>
          <w:spacing w:val="-83"/>
        </w:rPr>
      </w:r>
      <w:r>
        <w:rPr/>
        <w:t>票</w:t>
      </w:r>
      <w:r>
        <w:rPr>
          <w:spacing w:val="-60"/>
        </w:rPr>
        <w:t> </w:t>
      </w:r>
      <w:r>
        <w:rPr/>
        <w:t>300,000</w:t>
      </w:r>
      <w:r>
        <w:rPr>
          <w:spacing w:val="-60"/>
        </w:rPr>
        <w:t> </w:t>
      </w:r>
      <w:r>
        <w:rPr/>
        <w:t>股，未受到中国证监会及其他有关部门的处罚和证券交易所惩戒。</w:t>
      </w:r>
    </w:p>
    <w:p>
      <w:pPr>
        <w:pStyle w:val="BodyText"/>
        <w:spacing w:line="304" w:lineRule="auto"/>
        <w:ind w:left="154" w:right="95" w:firstLine="482"/>
        <w:jc w:val="left"/>
      </w:pPr>
      <w:r>
        <w:rPr>
          <w:spacing w:val="-5"/>
        </w:rPr>
        <w:t>吕昌荣先生：曾先后工作于精电电子有限公司、博威电子有限公司，2004</w:t>
      </w:r>
      <w:r>
        <w:rPr>
          <w:spacing w:val="-37"/>
        </w:rPr>
        <w:t> </w:t>
      </w:r>
      <w:r>
        <w:rPr/>
        <w:t>年加入本公司，</w:t>
      </w:r>
      <w:r>
        <w:rPr/>
        <w:t> 现任本公司董事、本公司控股子公司无锡实益达电子有限公司运营总监。截止报告期末，吕</w:t>
      </w:r>
      <w:r>
        <w:rPr>
          <w:spacing w:val="-83"/>
        </w:rPr>
        <w:t> </w:t>
      </w:r>
      <w:r>
        <w:rPr>
          <w:spacing w:val="-83"/>
        </w:rPr>
      </w:r>
      <w:r>
        <w:rPr/>
        <w:t>昌荣先生个人持有本公司股票 300,000</w:t>
      </w:r>
      <w:r>
        <w:rPr>
          <w:spacing w:val="-82"/>
        </w:rPr>
        <w:t> </w:t>
      </w:r>
      <w:r>
        <w:rPr/>
        <w:t>股，未受到中国证监会及其他有关部门的处罚和证券</w:t>
      </w:r>
      <w:r>
        <w:rPr/>
        <w:t> 交易所惩戒。</w:t>
      </w:r>
    </w:p>
    <w:p>
      <w:pPr>
        <w:pStyle w:val="BodyText"/>
        <w:spacing w:line="307" w:lineRule="auto"/>
        <w:ind w:left="154" w:right="231" w:firstLine="482"/>
        <w:jc w:val="both"/>
      </w:pPr>
      <w:r>
        <w:rPr/>
        <w:t>陈熙亚先生：1998</w:t>
      </w:r>
      <w:r>
        <w:rPr>
          <w:spacing w:val="-83"/>
        </w:rPr>
        <w:t> </w:t>
      </w:r>
      <w:r>
        <w:rPr/>
        <w:t>年加入本公司，现任本公司董事、工务部经理。截止报告期末，陈熙</w:t>
      </w:r>
      <w:r>
        <w:rPr/>
        <w:t> 亚先生未持有本公司股票，未受到中国证监会及其他有关部门的处罚和证券交易所惩戒。</w:t>
      </w:r>
    </w:p>
    <w:p>
      <w:pPr>
        <w:pStyle w:val="BodyText"/>
        <w:spacing w:line="304" w:lineRule="auto" w:before="18"/>
        <w:ind w:left="154" w:right="228" w:firstLine="482"/>
        <w:jc w:val="both"/>
      </w:pPr>
      <w:r>
        <w:rPr/>
        <w:t>李秉心先生：曾任职于上海财经大学、上海财大索飞软件公司，现任深圳大华天诚会计</w:t>
      </w:r>
      <w:r>
        <w:rPr>
          <w:spacing w:val="1"/>
        </w:rPr>
        <w:t> </w:t>
      </w:r>
      <w:r>
        <w:rPr/>
        <w:t>师事务所高级合伙人、本公司独立董事。李秉心先生与公司、控股股东及实际控制人之间无</w:t>
      </w:r>
      <w:r>
        <w:rPr>
          <w:spacing w:val="-83"/>
        </w:rPr>
        <w:t> </w:t>
      </w:r>
      <w:r>
        <w:rPr>
          <w:spacing w:val="-83"/>
        </w:rPr>
      </w:r>
      <w:r>
        <w:rPr/>
        <w:t>关联关系，未持有本公司股票。</w:t>
      </w:r>
    </w:p>
    <w:p>
      <w:pPr>
        <w:pStyle w:val="BodyText"/>
        <w:spacing w:line="304" w:lineRule="auto"/>
        <w:ind w:left="154" w:right="228" w:firstLine="482"/>
        <w:jc w:val="both"/>
      </w:pPr>
      <w:r>
        <w:rPr/>
        <w:t>刘震国先生：曾任职于深圳市地方税务局，现任北京德恒律师事务所深圳分所合伙人、</w:t>
      </w:r>
      <w:r>
        <w:rPr>
          <w:spacing w:val="1"/>
        </w:rPr>
        <w:t> </w:t>
      </w:r>
      <w:r>
        <w:rPr/>
        <w:t>本公司独立董事。刘震国先生与公司、控股股东及实际控制人之间无关联关系，未持有本公</w:t>
      </w:r>
      <w:r>
        <w:rPr>
          <w:spacing w:val="-83"/>
        </w:rPr>
        <w:t> </w:t>
      </w:r>
      <w:r>
        <w:rPr>
          <w:spacing w:val="-83"/>
        </w:rPr>
      </w:r>
      <w:r>
        <w:rPr/>
        <w:t>司股票，未受到中国证监会及其他有关部门的处罚和证券交易所惩戒。</w:t>
      </w:r>
    </w:p>
    <w:p>
      <w:pPr>
        <w:pStyle w:val="BodyText"/>
        <w:spacing w:line="304" w:lineRule="auto"/>
        <w:ind w:left="154" w:right="228" w:firstLine="482"/>
        <w:jc w:val="both"/>
      </w:pPr>
      <w:r>
        <w:rPr/>
        <w:t>赵志坚先生：曾任职于四川长虹电子集团、深圳先科电子股份有限公司，现任深圳市锐</w:t>
      </w:r>
      <w:r>
        <w:rPr>
          <w:spacing w:val="1"/>
        </w:rPr>
        <w:t> </w:t>
      </w:r>
      <w:r>
        <w:rPr/>
        <w:t>明视讯技术有限公司董事长、本公司独立董事。赵志坚先生与公司、控股股东及实际控制人</w:t>
      </w:r>
      <w:r>
        <w:rPr>
          <w:spacing w:val="-83"/>
        </w:rPr>
        <w:t> </w:t>
      </w:r>
      <w:r>
        <w:rPr>
          <w:spacing w:val="-83"/>
        </w:rPr>
      </w:r>
      <w:r>
        <w:rPr/>
        <w:t>之间无关联关系，未持有本公司股票，未受到中国证监会及其他有关部门的处罚和证券交易</w:t>
      </w:r>
      <w:r>
        <w:rPr>
          <w:spacing w:val="-83"/>
        </w:rPr>
        <w:t> </w:t>
      </w:r>
      <w:r>
        <w:rPr>
          <w:spacing w:val="-83"/>
        </w:rPr>
      </w:r>
      <w:r>
        <w:rPr/>
        <w:t>所惩戒。</w:t>
      </w:r>
    </w:p>
    <w:p>
      <w:pPr>
        <w:pStyle w:val="BodyText"/>
        <w:spacing w:line="304" w:lineRule="auto"/>
        <w:ind w:left="154" w:right="228" w:firstLine="482"/>
        <w:jc w:val="both"/>
      </w:pPr>
      <w:r>
        <w:rPr/>
        <w:t>李汉国先生：曾任江西财经学院会计系副主任、教授、会计专业硕士研究生导师；江西</w:t>
      </w:r>
      <w:r>
        <w:rPr>
          <w:spacing w:val="1"/>
        </w:rPr>
        <w:t> </w:t>
      </w:r>
      <w:r>
        <w:rPr/>
        <w:t>瑞奇期货公司总裁；闽发证券有限公司副总裁等职务，现任江西财经大学证券期货研究所所</w:t>
      </w:r>
      <w:r>
        <w:rPr>
          <w:spacing w:val="-83"/>
        </w:rPr>
        <w:t> </w:t>
      </w:r>
      <w:r>
        <w:rPr>
          <w:spacing w:val="-83"/>
        </w:rPr>
      </w:r>
      <w:r>
        <w:rPr/>
        <w:t>长、金融专业硕士研究生导师、本公司独立董事。李汉国先生与公司、控股股东及实际控制</w:t>
      </w:r>
    </w:p>
    <w:p>
      <w:pPr>
        <w:spacing w:after="0" w:line="304" w:lineRule="auto"/>
        <w:jc w:val="both"/>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right="95"/>
        <w:jc w:val="left"/>
      </w:pPr>
      <w:r>
        <w:rPr/>
        <w:t>人之间无关联关系，未持有本公司股票，未受到中国证监会及其他有关部门的处罚和证券交</w:t>
      </w:r>
      <w:r>
        <w:rPr>
          <w:spacing w:val="-83"/>
        </w:rPr>
        <w:t> </w:t>
      </w:r>
      <w:r>
        <w:rPr>
          <w:spacing w:val="-83"/>
        </w:rPr>
      </w:r>
      <w:r>
        <w:rPr/>
        <w:t>易所惩戒。</w:t>
      </w:r>
    </w:p>
    <w:p>
      <w:pPr>
        <w:pStyle w:val="BodyText"/>
        <w:spacing w:line="240" w:lineRule="auto" w:before="22"/>
        <w:ind w:left="636" w:right="95"/>
        <w:jc w:val="left"/>
      </w:pPr>
      <w:r>
        <w:rPr/>
        <w:t>（2）监事会成员</w:t>
      </w:r>
    </w:p>
    <w:p>
      <w:pPr>
        <w:pStyle w:val="BodyText"/>
        <w:spacing w:line="304" w:lineRule="auto" w:before="85"/>
        <w:ind w:right="93" w:firstLine="482"/>
        <w:jc w:val="left"/>
      </w:pPr>
      <w:r>
        <w:rPr>
          <w:spacing w:val="-4"/>
        </w:rPr>
        <w:t>薛桂香女士：2001</w:t>
      </w:r>
      <w:r>
        <w:rPr>
          <w:spacing w:val="-43"/>
        </w:rPr>
        <w:t> </w:t>
      </w:r>
      <w:r>
        <w:rPr>
          <w:spacing w:val="-4"/>
        </w:rPr>
        <w:t>年加入本公司，现任本公司监事会主席、采购部经理。截止报告期末，</w:t>
      </w:r>
      <w:r>
        <w:rPr/>
        <w:t> </w:t>
      </w:r>
      <w:r>
        <w:rPr>
          <w:spacing w:val="-2"/>
        </w:rPr>
        <w:t>薛桂香女士未持有本公司股票，未受到中国证监会及其他有关部门的处罚和证券交易所惩戒。</w:t>
      </w:r>
    </w:p>
    <w:p>
      <w:pPr>
        <w:pStyle w:val="BodyText"/>
        <w:spacing w:line="304" w:lineRule="auto" w:before="22"/>
        <w:ind w:left="154" w:right="207" w:firstLine="482"/>
        <w:jc w:val="both"/>
      </w:pPr>
      <w:r>
        <w:rPr/>
        <w:t>王雁航先生：曾任职于东强奥力电子厂、北京飞利浦深圳分公司，2000</w:t>
      </w:r>
      <w:r>
        <w:rPr>
          <w:spacing w:val="-60"/>
        </w:rPr>
        <w:t> </w:t>
      </w:r>
      <w:r>
        <w:rPr/>
        <w:t>年加入本公司，</w:t>
      </w:r>
      <w:r>
        <w:rPr/>
        <w:t> 现任本公司监事、制造部经理。截止报告期末，王雁航先生持有本公司股票</w:t>
      </w:r>
      <w:r>
        <w:rPr>
          <w:spacing w:val="-84"/>
        </w:rPr>
        <w:t> </w:t>
      </w:r>
      <w:r>
        <w:rPr/>
        <w:t>75,000</w:t>
      </w:r>
      <w:r>
        <w:rPr>
          <w:spacing w:val="-84"/>
        </w:rPr>
        <w:t> </w:t>
      </w:r>
      <w:r>
        <w:rPr>
          <w:spacing w:val="-6"/>
        </w:rPr>
        <w:t>股，未受</w:t>
      </w:r>
      <w:r>
        <w:rPr/>
        <w:t> 到中国证监会及其他有关部门的处罚和证券交易所惩戒。</w:t>
      </w:r>
    </w:p>
    <w:p>
      <w:pPr>
        <w:pStyle w:val="BodyText"/>
        <w:spacing w:line="304" w:lineRule="auto" w:before="22"/>
        <w:ind w:left="154" w:right="231" w:firstLine="482"/>
        <w:jc w:val="both"/>
      </w:pPr>
      <w:r>
        <w:rPr/>
        <w:t>季国永先生：2000</w:t>
      </w:r>
      <w:r>
        <w:rPr>
          <w:spacing w:val="-82"/>
        </w:rPr>
        <w:t> </w:t>
      </w:r>
      <w:r>
        <w:rPr/>
        <w:t>年加入本公司，现任本公司监事、客户服务部经理职务。截止报告期</w:t>
      </w:r>
      <w:r>
        <w:rPr/>
        <w:t> </w:t>
      </w:r>
      <w:r>
        <w:rPr>
          <w:spacing w:val="-3"/>
        </w:rPr>
        <w:t>末，季国永先生持有本公司股票</w:t>
      </w:r>
      <w:r>
        <w:rPr>
          <w:spacing w:val="-79"/>
        </w:rPr>
        <w:t> </w:t>
      </w:r>
      <w:r>
        <w:rPr/>
        <w:t>75,000</w:t>
      </w:r>
      <w:r>
        <w:rPr>
          <w:spacing w:val="-79"/>
        </w:rPr>
        <w:t> </w:t>
      </w:r>
      <w:r>
        <w:rPr/>
        <w:t>股，未受到中国证监会及其他有关部门的处罚和证券</w:t>
      </w:r>
      <w:r>
        <w:rPr/>
        <w:t> 交易所惩戒。</w:t>
      </w:r>
    </w:p>
    <w:p>
      <w:pPr>
        <w:pStyle w:val="BodyText"/>
        <w:spacing w:line="304" w:lineRule="auto" w:before="22"/>
        <w:ind w:left="636" w:right="3608"/>
        <w:jc w:val="left"/>
      </w:pPr>
      <w:r>
        <w:rPr/>
        <w:t>（3）高级管理人员 乔昕先生：本公司董事、总经理，其他情况见上。 宋东红先生：本公司董事、副总经理，其他情况见上。</w:t>
      </w:r>
    </w:p>
    <w:p>
      <w:pPr>
        <w:pStyle w:val="BodyText"/>
        <w:spacing w:line="304" w:lineRule="auto" w:before="22"/>
        <w:ind w:left="154" w:right="228" w:firstLine="482"/>
        <w:jc w:val="both"/>
      </w:pPr>
      <w:r>
        <w:rPr/>
        <w:t>姜帆先生：曾任职于航空证券有限公司、河北湖大科技教育发展股份有限公司，2006</w:t>
      </w:r>
      <w:r>
        <w:rPr>
          <w:spacing w:val="-83"/>
        </w:rPr>
        <w:t> </w:t>
      </w:r>
      <w:r>
        <w:rPr/>
        <w:t>年</w:t>
      </w:r>
      <w:r>
        <w:rPr/>
        <w:t> 加入本公司，现任本公司董事会秘书。截止报告期末，姜帆先生未持有本公司股票，未受到</w:t>
      </w:r>
      <w:r>
        <w:rPr>
          <w:spacing w:val="-83"/>
        </w:rPr>
        <w:t> </w:t>
      </w:r>
      <w:r>
        <w:rPr>
          <w:spacing w:val="-83"/>
        </w:rPr>
      </w:r>
      <w:r>
        <w:rPr/>
        <w:t>中国证监会及其他有关部门的处罚和证券交易所惩戒。</w:t>
      </w:r>
    </w:p>
    <w:p>
      <w:pPr>
        <w:pStyle w:val="BodyText"/>
        <w:spacing w:line="304" w:lineRule="auto" w:before="22"/>
        <w:ind w:left="154" w:right="95" w:firstLine="482"/>
        <w:jc w:val="left"/>
      </w:pPr>
      <w:r>
        <w:rPr>
          <w:spacing w:val="-12"/>
        </w:rPr>
        <w:t>吕培荣先生：2004</w:t>
      </w:r>
      <w:r>
        <w:rPr>
          <w:spacing w:val="-72"/>
        </w:rPr>
        <w:t> </w:t>
      </w:r>
      <w:r>
        <w:rPr>
          <w:spacing w:val="-15"/>
        </w:rPr>
        <w:t>年大学毕业后加入本公司，现任本公司财务部副经理、财务负责人（代）。</w:t>
      </w:r>
      <w:r>
        <w:rPr/>
        <w:t> 截止报告期末，吕培荣先生未持有本公司股票，未受到中国证监会及其他有关部门的处罚和</w:t>
      </w:r>
      <w:r>
        <w:rPr>
          <w:spacing w:val="-83"/>
        </w:rPr>
        <w:t> </w:t>
      </w:r>
      <w:r>
        <w:rPr>
          <w:spacing w:val="-83"/>
        </w:rPr>
      </w:r>
      <w:r>
        <w:rPr/>
        <w:t>证券交易所惩戒。</w:t>
      </w:r>
    </w:p>
    <w:p>
      <w:pPr>
        <w:pStyle w:val="BodyText"/>
        <w:spacing w:line="304" w:lineRule="auto" w:before="22"/>
        <w:ind w:left="636" w:right="95"/>
        <w:jc w:val="left"/>
      </w:pPr>
      <w:r>
        <w:rPr/>
        <w:t>4、董事、监事、高级管理人员年度报酬情况： 公司现任董事、监事、高级管理人员按照各自职务根据公司现行薪酬制度领取报酬，经</w:t>
      </w:r>
    </w:p>
    <w:p>
      <w:pPr>
        <w:pStyle w:val="BodyText"/>
        <w:spacing w:line="307" w:lineRule="auto"/>
        <w:ind w:left="636" w:right="213" w:hanging="483"/>
        <w:jc w:val="left"/>
      </w:pPr>
      <w:r>
        <w:rPr/>
        <w:t>董事会授权，根据公司年度经营业绩按照考核评定程序确定年度奖金。 </w:t>
      </w:r>
      <w:r>
        <w:rPr>
          <w:spacing w:val="-5"/>
        </w:rPr>
        <w:t>独立董事津贴按照股东大会决议执行。于</w:t>
      </w:r>
      <w:r>
        <w:rPr>
          <w:spacing w:val="-58"/>
        </w:rPr>
        <w:t> </w:t>
      </w:r>
      <w:r>
        <w:rPr>
          <w:spacing w:val="25"/>
        </w:rPr>
        <w:t>2008年4月</w:t>
      </w:r>
      <w:r>
        <w:rPr>
          <w:spacing w:val="-58"/>
        </w:rPr>
        <w:t> </w:t>
      </w:r>
      <w:r>
        <w:rPr/>
        <w:t>18</w:t>
      </w:r>
      <w:r>
        <w:rPr>
          <w:spacing w:val="-58"/>
        </w:rPr>
        <w:t> </w:t>
      </w:r>
      <w:r>
        <w:rPr/>
        <w:t>日召开的公司</w:t>
      </w:r>
      <w:r>
        <w:rPr>
          <w:spacing w:val="-58"/>
        </w:rPr>
        <w:t> </w:t>
      </w:r>
      <w:r>
        <w:rPr/>
        <w:t>2007</w:t>
      </w:r>
      <w:r>
        <w:rPr>
          <w:spacing w:val="-58"/>
        </w:rPr>
        <w:t> </w:t>
      </w:r>
      <w:r>
        <w:rPr/>
        <w:t>年度股东大</w:t>
      </w:r>
    </w:p>
    <w:p>
      <w:pPr>
        <w:pStyle w:val="BodyText"/>
        <w:spacing w:line="304" w:lineRule="auto" w:before="18"/>
        <w:ind w:left="154" w:right="96"/>
        <w:jc w:val="left"/>
      </w:pPr>
      <w:r>
        <w:rPr>
          <w:spacing w:val="-3"/>
        </w:rPr>
        <w:t>会审议通过了关于调整独立董事津贴的议案，独立董事津贴为每年 </w:t>
      </w:r>
      <w:r>
        <w:rPr/>
        <w:t>5.01</w:t>
      </w:r>
      <w:r>
        <w:rPr>
          <w:spacing w:val="-96"/>
        </w:rPr>
        <w:t> </w:t>
      </w:r>
      <w:r>
        <w:rPr>
          <w:spacing w:val="-14"/>
        </w:rPr>
        <w:t>万元（人民币，税前，</w:t>
      </w:r>
      <w:r>
        <w:rPr/>
        <w:t> 按月发放）。</w:t>
      </w:r>
    </w:p>
    <w:p>
      <w:pPr>
        <w:pStyle w:val="BodyText"/>
        <w:spacing w:line="304" w:lineRule="auto" w:before="22"/>
        <w:ind w:left="636" w:right="4088"/>
        <w:jc w:val="left"/>
      </w:pPr>
      <w:r>
        <w:rPr/>
        <w:t>截止报告期末，公司未制定、实行股权激励计划。 5、董事、监事、高级管理人员变动情况：</w:t>
      </w:r>
    </w:p>
    <w:p>
      <w:pPr>
        <w:pStyle w:val="BodyText"/>
        <w:spacing w:line="304" w:lineRule="auto"/>
        <w:ind w:left="154" w:right="228" w:firstLine="480"/>
        <w:jc w:val="both"/>
      </w:pPr>
      <w:r>
        <w:rPr/>
        <w:t>于</w:t>
      </w:r>
      <w:r>
        <w:rPr>
          <w:spacing w:val="-71"/>
        </w:rPr>
        <w:t> </w:t>
      </w:r>
      <w:r>
        <w:rPr/>
        <w:t>2008</w:t>
      </w:r>
      <w:r>
        <w:rPr>
          <w:spacing w:val="-71"/>
        </w:rPr>
        <w:t> </w:t>
      </w:r>
      <w:r>
        <w:rPr/>
        <w:t>年</w:t>
      </w:r>
      <w:r>
        <w:rPr>
          <w:spacing w:val="-70"/>
        </w:rPr>
        <w:t> </w:t>
      </w:r>
      <w:r>
        <w:rPr/>
        <w:t>6</w:t>
      </w:r>
      <w:r>
        <w:rPr>
          <w:spacing w:val="-71"/>
        </w:rPr>
        <w:t> </w:t>
      </w:r>
      <w:r>
        <w:rPr/>
        <w:t>月</w:t>
      </w:r>
      <w:r>
        <w:rPr>
          <w:spacing w:val="-71"/>
        </w:rPr>
        <w:t> </w:t>
      </w:r>
      <w:r>
        <w:rPr/>
        <w:t>20</w:t>
      </w:r>
      <w:r>
        <w:rPr>
          <w:spacing w:val="-71"/>
        </w:rPr>
        <w:t> </w:t>
      </w:r>
      <w:r>
        <w:rPr/>
        <w:t>日召开的公司</w:t>
      </w:r>
      <w:r>
        <w:rPr>
          <w:spacing w:val="-71"/>
        </w:rPr>
        <w:t> </w:t>
      </w:r>
      <w:r>
        <w:rPr/>
        <w:t>2008</w:t>
      </w:r>
      <w:r>
        <w:rPr>
          <w:spacing w:val="-71"/>
        </w:rPr>
        <w:t> </w:t>
      </w:r>
      <w:r>
        <w:rPr/>
        <w:t>年度第一次临时股东大会以累积投票制选举产生了</w:t>
      </w:r>
      <w:r>
        <w:rPr/>
        <w:t> 本公司第二届董事会董事成员，其中非独立董事陈亚妹女士、乔昕先生、宋东红先生、陈熙</w:t>
      </w:r>
      <w:r>
        <w:rPr>
          <w:spacing w:val="-83"/>
        </w:rPr>
        <w:t> </w:t>
      </w:r>
      <w:r>
        <w:rPr>
          <w:spacing w:val="-83"/>
        </w:rPr>
      </w:r>
      <w:r>
        <w:rPr/>
        <w:t>亚先生、吕昌荣先生；独立董事李秉心先生、刘震国先生、赵志坚先生、李汉国先生。公司</w:t>
      </w:r>
      <w:r>
        <w:rPr>
          <w:spacing w:val="-83"/>
        </w:rPr>
        <w:t> </w:t>
      </w:r>
      <w:r>
        <w:rPr>
          <w:spacing w:val="-83"/>
        </w:rPr>
      </w:r>
      <w:r>
        <w:rPr/>
        <w:t>第一届董事会独立董事李海军先生因其他工作繁忙，以书面形式提出辞去本公司独立董事职</w:t>
      </w:r>
      <w:r>
        <w:rPr>
          <w:spacing w:val="-83"/>
        </w:rPr>
        <w:t> </w:t>
      </w:r>
      <w:r>
        <w:rPr>
          <w:spacing w:val="-83"/>
        </w:rPr>
      </w:r>
      <w:r>
        <w:rPr/>
        <w:t>务。</w:t>
      </w:r>
    </w:p>
    <w:p>
      <w:pPr>
        <w:pStyle w:val="BodyText"/>
        <w:spacing w:line="240" w:lineRule="auto"/>
        <w:ind w:left="634" w:right="95"/>
        <w:jc w:val="left"/>
      </w:pPr>
      <w:r>
        <w:rPr/>
        <w:t>2008</w:t>
      </w:r>
      <w:r>
        <w:rPr>
          <w:spacing w:val="-60"/>
        </w:rPr>
        <w:t> </w:t>
      </w:r>
      <w:r>
        <w:rPr/>
        <w:t>年度第一次临时股东大会以累积投票制选举产生了本公司第二届监事会监事成员，</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240" w:lineRule="auto" w:before="190"/>
        <w:ind w:left="214" w:right="219"/>
        <w:jc w:val="left"/>
      </w:pPr>
      <w:r>
        <w:rPr/>
        <w:t>薛桂香女士、王雁航先生当选本公司第二届监事会监事。</w:t>
      </w:r>
    </w:p>
    <w:p>
      <w:pPr>
        <w:pStyle w:val="BodyText"/>
        <w:spacing w:line="307" w:lineRule="auto" w:before="85"/>
        <w:ind w:left="213" w:right="219" w:firstLine="480"/>
        <w:jc w:val="left"/>
      </w:pPr>
      <w:r>
        <w:rPr/>
        <w:t>于</w:t>
      </w:r>
      <w:r>
        <w:rPr>
          <w:spacing w:val="-56"/>
        </w:rPr>
        <w:t> </w:t>
      </w:r>
      <w:r>
        <w:rPr>
          <w:spacing w:val="32"/>
        </w:rPr>
        <w:t>2008年6月2</w:t>
      </w:r>
      <w:r>
        <w:rPr>
          <w:spacing w:val="-56"/>
        </w:rPr>
        <w:t> </w:t>
      </w:r>
      <w:r>
        <w:rPr/>
        <w:t>日召开的本公司</w:t>
      </w:r>
      <w:r>
        <w:rPr>
          <w:spacing w:val="-56"/>
        </w:rPr>
        <w:t> </w:t>
      </w:r>
      <w:r>
        <w:rPr/>
        <w:t>2008</w:t>
      </w:r>
      <w:r>
        <w:rPr>
          <w:spacing w:val="-56"/>
        </w:rPr>
        <w:t> </w:t>
      </w:r>
      <w:r>
        <w:rPr/>
        <w:t>年职工代表会议决议，选举季国永先生为本公司</w:t>
      </w:r>
      <w:r>
        <w:rPr/>
        <w:t> 第二届监事会职工监事。</w:t>
      </w:r>
    </w:p>
    <w:p>
      <w:pPr>
        <w:spacing w:line="240" w:lineRule="auto" w:before="12"/>
        <w:rPr>
          <w:rFonts w:ascii="宋体" w:hAnsi="宋体" w:cs="宋体" w:eastAsia="宋体" w:hint="default"/>
          <w:sz w:val="31"/>
          <w:szCs w:val="31"/>
        </w:rPr>
      </w:pPr>
    </w:p>
    <w:p>
      <w:pPr>
        <w:pStyle w:val="BodyText"/>
        <w:spacing w:line="240" w:lineRule="auto" w:before="0"/>
        <w:ind w:left="696" w:right="219"/>
        <w:jc w:val="left"/>
      </w:pPr>
      <w:r>
        <w:rPr/>
        <w:t>二、公司员工情况</w:t>
      </w:r>
    </w:p>
    <w:p>
      <w:pPr>
        <w:pStyle w:val="BodyText"/>
        <w:spacing w:line="304" w:lineRule="auto" w:before="86"/>
        <w:ind w:left="213" w:right="219" w:firstLine="482"/>
        <w:jc w:val="left"/>
      </w:pPr>
      <w:r>
        <w:rPr/>
        <w:t>截止</w:t>
      </w:r>
      <w:r>
        <w:rPr>
          <w:spacing w:val="-60"/>
        </w:rPr>
        <w:t> </w:t>
      </w:r>
      <w:r>
        <w:rPr/>
        <w:t>2008</w:t>
      </w:r>
      <w:r>
        <w:rPr>
          <w:spacing w:val="-61"/>
        </w:rPr>
        <w:t> </w:t>
      </w:r>
      <w:r>
        <w:rPr/>
        <w:t>年</w:t>
      </w:r>
      <w:r>
        <w:rPr>
          <w:spacing w:val="-60"/>
        </w:rPr>
        <w:t> </w:t>
      </w:r>
      <w:r>
        <w:rPr/>
        <w:t>12</w:t>
      </w:r>
      <w:r>
        <w:rPr>
          <w:spacing w:val="-60"/>
        </w:rPr>
        <w:t> </w:t>
      </w:r>
      <w:r>
        <w:rPr/>
        <w:t>月</w:t>
      </w:r>
      <w:r>
        <w:rPr>
          <w:spacing w:val="-60"/>
        </w:rPr>
        <w:t> </w:t>
      </w:r>
      <w:r>
        <w:rPr/>
        <w:t>31</w:t>
      </w:r>
      <w:r>
        <w:rPr>
          <w:spacing w:val="-61"/>
        </w:rPr>
        <w:t> </w:t>
      </w:r>
      <w:r>
        <w:rPr/>
        <w:t>日，本公司无离退休人员，共有员工</w:t>
      </w:r>
      <w:r>
        <w:rPr>
          <w:spacing w:val="-60"/>
        </w:rPr>
        <w:t> </w:t>
      </w:r>
      <w:r>
        <w:rPr/>
        <w:t>1022</w:t>
      </w:r>
      <w:r>
        <w:rPr>
          <w:spacing w:val="-60"/>
        </w:rPr>
        <w:t> </w:t>
      </w:r>
      <w:r>
        <w:rPr/>
        <w:t>人，专业构成、教育程</w:t>
      </w:r>
      <w:r>
        <w:rPr>
          <w:spacing w:val="-1"/>
        </w:rPr>
        <w:t> </w:t>
      </w:r>
      <w:r>
        <w:rPr/>
        <w:t>度如下表：</w:t>
      </w:r>
    </w:p>
    <w:tbl>
      <w:tblPr>
        <w:tblW w:w="0" w:type="auto"/>
        <w:jc w:val="left"/>
        <w:tblInd w:w="101" w:type="dxa"/>
        <w:tblLayout w:type="fixed"/>
        <w:tblCellMar>
          <w:top w:w="0" w:type="dxa"/>
          <w:left w:w="0" w:type="dxa"/>
          <w:bottom w:w="0" w:type="dxa"/>
          <w:right w:w="0" w:type="dxa"/>
        </w:tblCellMar>
        <w:tblLook w:val="01E0"/>
      </w:tblPr>
      <w:tblGrid>
        <w:gridCol w:w="2464"/>
        <w:gridCol w:w="2462"/>
        <w:gridCol w:w="2464"/>
        <w:gridCol w:w="2465"/>
      </w:tblGrid>
      <w:tr>
        <w:trPr>
          <w:trHeight w:val="450" w:hRule="exact"/>
        </w:trPr>
        <w:tc>
          <w:tcPr>
            <w:tcW w:w="24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2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4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1" w:right="0"/>
              <w:jc w:val="left"/>
              <w:rPr>
                <w:rFonts w:ascii="宋体" w:hAnsi="宋体" w:cs="宋体" w:eastAsia="宋体" w:hint="default"/>
                <w:sz w:val="18"/>
                <w:szCs w:val="18"/>
              </w:rPr>
            </w:pPr>
            <w:r>
              <w:rPr>
                <w:rFonts w:ascii="宋体"/>
                <w:sz w:val="18"/>
              </w:rPr>
              <w:t>122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sz w:val="18"/>
              </w:rPr>
              <w:t>11.94%</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1" w:right="0"/>
              <w:jc w:val="left"/>
              <w:rPr>
                <w:rFonts w:ascii="宋体" w:hAnsi="宋体" w:cs="宋体" w:eastAsia="宋体" w:hint="default"/>
                <w:sz w:val="18"/>
                <w:szCs w:val="18"/>
              </w:rPr>
            </w:pPr>
            <w:r>
              <w:rPr>
                <w:rFonts w:ascii="宋体"/>
                <w:sz w:val="18"/>
              </w:rPr>
              <w:t>116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sz w:val="18"/>
              </w:rPr>
              <w:t>11.35%</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36" w:right="0"/>
              <w:jc w:val="left"/>
              <w:rPr>
                <w:rFonts w:ascii="宋体" w:hAnsi="宋体" w:cs="宋体" w:eastAsia="宋体" w:hint="default"/>
                <w:sz w:val="18"/>
                <w:szCs w:val="18"/>
              </w:rPr>
            </w:pPr>
            <w:r>
              <w:rPr>
                <w:rFonts w:ascii="宋体"/>
                <w:sz w:val="18"/>
              </w:rPr>
              <w:t>14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sz w:val="18"/>
              </w:rPr>
              <w:t>1.37%</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36" w:right="0"/>
              <w:jc w:val="left"/>
              <w:rPr>
                <w:rFonts w:ascii="宋体" w:hAnsi="宋体" w:cs="宋体" w:eastAsia="宋体" w:hint="default"/>
                <w:sz w:val="18"/>
                <w:szCs w:val="18"/>
              </w:rPr>
            </w:pPr>
            <w:r>
              <w:rPr>
                <w:rFonts w:ascii="宋体"/>
                <w:sz w:val="18"/>
              </w:rPr>
              <w:t>25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sz w:val="18"/>
              </w:rPr>
              <w:t>2.45%</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行政后勤人员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36" w:right="0"/>
              <w:jc w:val="left"/>
              <w:rPr>
                <w:rFonts w:ascii="宋体" w:hAnsi="宋体" w:cs="宋体" w:eastAsia="宋体" w:hint="default"/>
                <w:sz w:val="18"/>
                <w:szCs w:val="18"/>
              </w:rPr>
            </w:pPr>
            <w:r>
              <w:rPr>
                <w:rFonts w:ascii="宋体"/>
                <w:sz w:val="18"/>
              </w:rPr>
              <w:t>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sz w:val="18"/>
              </w:rPr>
              <w:t>6.07%</w:t>
            </w:r>
          </w:p>
        </w:tc>
      </w:tr>
      <w:tr>
        <w:trPr>
          <w:trHeight w:val="450" w:hRule="exact"/>
        </w:trPr>
        <w:tc>
          <w:tcPr>
            <w:tcW w:w="2464" w:type="dxa"/>
            <w:vMerge/>
            <w:tcBorders>
              <w:left w:val="single" w:sz="4" w:space="0" w:color="000000"/>
              <w:bottom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2" w:right="0"/>
              <w:jc w:val="left"/>
              <w:rPr>
                <w:rFonts w:ascii="宋体" w:hAnsi="宋体" w:cs="宋体" w:eastAsia="宋体" w:hint="default"/>
                <w:sz w:val="18"/>
                <w:szCs w:val="18"/>
              </w:rPr>
            </w:pPr>
            <w:r>
              <w:rPr>
                <w:rFonts w:ascii="宋体"/>
                <w:sz w:val="18"/>
              </w:rPr>
              <w:t>683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sz w:val="18"/>
              </w:rPr>
              <w:t>66.82%</w:t>
            </w:r>
          </w:p>
        </w:tc>
      </w:tr>
      <w:tr>
        <w:trPr>
          <w:trHeight w:val="450" w:hRule="exact"/>
        </w:trPr>
        <w:tc>
          <w:tcPr>
            <w:tcW w:w="24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4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占总人数比例</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1" w:right="0"/>
              <w:jc w:val="left"/>
              <w:rPr>
                <w:rFonts w:ascii="宋体" w:hAnsi="宋体" w:cs="宋体" w:eastAsia="宋体" w:hint="default"/>
                <w:sz w:val="18"/>
                <w:szCs w:val="18"/>
              </w:rPr>
            </w:pPr>
            <w:r>
              <w:rPr>
                <w:rFonts w:ascii="宋体"/>
                <w:sz w:val="18"/>
              </w:rPr>
              <w:t>109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sz w:val="18"/>
              </w:rPr>
              <w:t>10.67%</w:t>
            </w:r>
          </w:p>
        </w:tc>
      </w:tr>
      <w:tr>
        <w:trPr>
          <w:trHeight w:val="450" w:hRule="exact"/>
        </w:trPr>
        <w:tc>
          <w:tcPr>
            <w:tcW w:w="2464" w:type="dxa"/>
            <w:vMerge/>
            <w:tcBorders>
              <w:left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1" w:right="0"/>
              <w:jc w:val="left"/>
              <w:rPr>
                <w:rFonts w:ascii="宋体" w:hAnsi="宋体" w:cs="宋体" w:eastAsia="宋体" w:hint="default"/>
                <w:sz w:val="18"/>
                <w:szCs w:val="18"/>
              </w:rPr>
            </w:pPr>
            <w:r>
              <w:rPr>
                <w:rFonts w:ascii="宋体"/>
                <w:sz w:val="18"/>
              </w:rPr>
              <w:t>101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sz w:val="18"/>
              </w:rPr>
              <w:t>9.88%</w:t>
            </w:r>
          </w:p>
        </w:tc>
      </w:tr>
      <w:tr>
        <w:trPr>
          <w:trHeight w:val="451" w:hRule="exact"/>
        </w:trPr>
        <w:tc>
          <w:tcPr>
            <w:tcW w:w="2464" w:type="dxa"/>
            <w:vMerge/>
            <w:tcBorders>
              <w:left w:val="single" w:sz="4" w:space="0" w:color="000000"/>
              <w:bottom w:val="single" w:sz="4" w:space="0" w:color="000000"/>
              <w:right w:val="single" w:sz="4" w:space="0" w:color="000000"/>
            </w:tcBorders>
            <w:shd w:val="clear" w:color="auto" w:fill="D9D9D9"/>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92" w:right="0"/>
              <w:jc w:val="left"/>
              <w:rPr>
                <w:rFonts w:ascii="宋体" w:hAnsi="宋体" w:cs="宋体" w:eastAsia="宋体" w:hint="default"/>
                <w:sz w:val="18"/>
                <w:szCs w:val="18"/>
              </w:rPr>
            </w:pPr>
            <w:r>
              <w:rPr>
                <w:rFonts w:ascii="宋体"/>
                <w:sz w:val="18"/>
              </w:rPr>
              <w:t>812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sz w:val="18"/>
              </w:rPr>
              <w:t>79.45%</w:t>
            </w:r>
          </w:p>
        </w:tc>
      </w:tr>
    </w:tbl>
    <w:p>
      <w:pPr>
        <w:spacing w:after="0" w:line="240" w:lineRule="auto"/>
        <w:jc w:val="center"/>
        <w:rPr>
          <w:rFonts w:ascii="宋体" w:hAnsi="宋体" w:cs="宋体" w:eastAsia="宋体" w:hint="default"/>
          <w:sz w:val="18"/>
          <w:szCs w:val="18"/>
        </w:rPr>
        <w:sectPr>
          <w:pgSz w:w="11910" w:h="16840"/>
          <w:pgMar w:header="787" w:footer="1339" w:top="1020" w:bottom="152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1"/>
        <w:spacing w:line="240" w:lineRule="auto" w:before="26"/>
        <w:ind w:left="3768" w:right="95"/>
        <w:jc w:val="left"/>
        <w:rPr>
          <w:b w:val="0"/>
          <w:bCs w:val="0"/>
        </w:rPr>
      </w:pPr>
      <w:bookmarkStart w:name="_TOC_250004" w:id="3"/>
      <w:r>
        <w:rPr/>
        <w:t>第六节、公司治理结构</w:t>
      </w:r>
      <w:bookmarkEnd w:id="3"/>
      <w:r>
        <w:rPr>
          <w:b w:val="0"/>
          <w:bCs w:val="0"/>
        </w:rPr>
      </w:r>
    </w:p>
    <w:p>
      <w:pPr>
        <w:spacing w:line="240" w:lineRule="auto" w:before="0"/>
        <w:rPr>
          <w:rFonts w:ascii="宋体" w:hAnsi="宋体" w:cs="宋体" w:eastAsia="宋体" w:hint="default"/>
          <w:b/>
          <w:bCs/>
          <w:sz w:val="24"/>
          <w:szCs w:val="24"/>
        </w:rPr>
      </w:pPr>
    </w:p>
    <w:p>
      <w:pPr>
        <w:pStyle w:val="BodyText"/>
        <w:spacing w:line="304" w:lineRule="auto" w:before="172"/>
        <w:ind w:left="634" w:right="6010"/>
        <w:jc w:val="left"/>
      </w:pPr>
      <w:r>
        <w:rPr/>
        <w:t>一、公司治理及监督、检查情况 1、公司治理情况</w:t>
      </w:r>
    </w:p>
    <w:p>
      <w:pPr>
        <w:pStyle w:val="BodyText"/>
        <w:spacing w:line="304" w:lineRule="auto"/>
        <w:ind w:left="154" w:right="228" w:firstLine="480"/>
        <w:jc w:val="both"/>
      </w:pPr>
      <w:r>
        <w:rPr/>
        <w:t>报告期内公司严格按照《公司法》、《证券法》和《上市公司治理准则》、《深圳证券</w:t>
      </w:r>
      <w:r>
        <w:rPr>
          <w:spacing w:val="1"/>
        </w:rPr>
        <w:t> </w:t>
      </w:r>
      <w:r>
        <w:rPr/>
        <w:t>交易所股票上市规则》及中国证券监督管理委员会有关法律、法规和公司规章制度的要求，</w:t>
      </w:r>
      <w:r>
        <w:rPr>
          <w:spacing w:val="-83"/>
        </w:rPr>
        <w:t> </w:t>
      </w:r>
      <w:r>
        <w:rPr>
          <w:spacing w:val="-83"/>
        </w:rPr>
      </w:r>
      <w:r>
        <w:rPr/>
        <w:t>不断完善公司的法人治理结构，健全内部管理、规范公司运作。报告期内，根据中国证监会</w:t>
      </w:r>
      <w:r>
        <w:rPr>
          <w:spacing w:val="-83"/>
        </w:rPr>
        <w:t> </w:t>
      </w:r>
      <w:r>
        <w:rPr>
          <w:spacing w:val="-83"/>
        </w:rPr>
      </w:r>
      <w:r>
        <w:rPr/>
        <w:t>有关文件并结合公司实际情况，公司董事会、股东大会审议修改了《公司章程》、《独立董</w:t>
      </w:r>
      <w:r>
        <w:rPr>
          <w:spacing w:val="-83"/>
        </w:rPr>
        <w:t> </w:t>
      </w:r>
      <w:r>
        <w:rPr>
          <w:spacing w:val="-83"/>
        </w:rPr>
      </w:r>
      <w:r>
        <w:rPr/>
        <w:t>事工作细则》等制度，制定了《审计委员会年报工作制度》、《独立董事年报工作制度》等</w:t>
      </w:r>
      <w:r>
        <w:rPr>
          <w:spacing w:val="-83"/>
        </w:rPr>
        <w:t> </w:t>
      </w:r>
      <w:r>
        <w:rPr>
          <w:spacing w:val="-83"/>
        </w:rPr>
      </w:r>
      <w:r>
        <w:rPr/>
        <w:t>相关制度性文件。截止报告期末，与公司治理相关的各项规章制度基本完善，并与中国证监</w:t>
      </w:r>
      <w:r>
        <w:rPr>
          <w:spacing w:val="-83"/>
        </w:rPr>
        <w:t> </w:t>
      </w:r>
      <w:r>
        <w:rPr>
          <w:spacing w:val="-83"/>
        </w:rPr>
      </w:r>
      <w:r>
        <w:rPr/>
        <w:t>会发布的有关上市公司治理的规范性文件要求基本符合。</w:t>
      </w:r>
    </w:p>
    <w:p>
      <w:pPr>
        <w:pStyle w:val="BodyText"/>
        <w:spacing w:line="304" w:lineRule="auto" w:before="22"/>
        <w:ind w:left="154" w:right="228" w:firstLine="480"/>
        <w:jc w:val="both"/>
      </w:pPr>
      <w:r>
        <w:rPr>
          <w:spacing w:val="-3"/>
        </w:rPr>
        <w:t>（1）关于股东与股东大会：公司按照《上市公司股东大会规范意见》及本公司《股东大</w:t>
      </w:r>
      <w:r>
        <w:rPr/>
        <w:t> 会议事规则》的要求，规范股东大会召集、召开、表决程序，平等对待所有股东，确保全体</w:t>
      </w:r>
      <w:r>
        <w:rPr>
          <w:spacing w:val="-83"/>
        </w:rPr>
        <w:t> </w:t>
      </w:r>
      <w:r>
        <w:rPr>
          <w:spacing w:val="-83"/>
        </w:rPr>
      </w:r>
      <w:r>
        <w:rPr/>
        <w:t>股东，特别是中小股东能充分行使其权利。</w:t>
      </w:r>
    </w:p>
    <w:p>
      <w:pPr>
        <w:pStyle w:val="BodyText"/>
        <w:spacing w:line="304" w:lineRule="auto" w:before="22"/>
        <w:ind w:left="154" w:right="130" w:firstLine="480"/>
        <w:jc w:val="left"/>
      </w:pPr>
      <w:r>
        <w:rPr/>
        <w:t>（2）关于控股股东与上市公司的关系：公司拥有独立的经营自主能力，在业务、人员、 资产、机构、财务上独立于控股股东；控股股东依法行使其权利并承担相应义务，没有超越</w:t>
      </w:r>
      <w:r>
        <w:rPr>
          <w:spacing w:val="-83"/>
        </w:rPr>
        <w:t> </w:t>
      </w:r>
      <w:r>
        <w:rPr>
          <w:spacing w:val="-83"/>
        </w:rPr>
      </w:r>
      <w:r>
        <w:rPr/>
        <w:t>股东大会直接或者简介干预公司的决策和经营活动；公司董事会、监事会和内部各职能部门</w:t>
      </w:r>
      <w:r>
        <w:rPr>
          <w:spacing w:val="-83"/>
        </w:rPr>
        <w:t> </w:t>
      </w:r>
      <w:r>
        <w:rPr>
          <w:spacing w:val="-83"/>
        </w:rPr>
      </w:r>
      <w:r>
        <w:rPr/>
        <w:t>能够独立运作；截止报告期末，本公司不存在控股股东占用上市公司资金的情况。</w:t>
      </w:r>
    </w:p>
    <w:p>
      <w:pPr>
        <w:pStyle w:val="BodyText"/>
        <w:spacing w:line="304" w:lineRule="auto"/>
        <w:ind w:left="154" w:right="95" w:firstLine="480"/>
        <w:jc w:val="left"/>
      </w:pPr>
      <w:r>
        <w:rPr>
          <w:spacing w:val="-6"/>
        </w:rPr>
        <w:t>（3）关于董事和董事会：本公司董事会的人数和人员构成符合《公司法》和《公司章程》</w:t>
      </w:r>
      <w:r>
        <w:rPr/>
        <w:t> 的规定；董事会严格按照《公司法》、《公司章程》和《董事会议事规则》的有关规定召开</w:t>
      </w:r>
      <w:r>
        <w:rPr>
          <w:spacing w:val="-83"/>
        </w:rPr>
        <w:t> </w:t>
      </w:r>
      <w:r>
        <w:rPr>
          <w:spacing w:val="-83"/>
        </w:rPr>
      </w:r>
      <w:r>
        <w:rPr/>
        <w:t>会议，依法行使职权；本公司全体董事能够依照《公司章程》、《董事会议事规则》和《独</w:t>
      </w:r>
      <w:r>
        <w:rPr>
          <w:spacing w:val="-83"/>
        </w:rPr>
        <w:t> </w:t>
      </w:r>
      <w:r>
        <w:rPr>
          <w:spacing w:val="-83"/>
        </w:rPr>
      </w:r>
      <w:r>
        <w:rPr/>
        <w:t>立董事工作细则》的规定，勤勉履行作为董事的权利、义务的责任；报告期内公司董事会进</w:t>
      </w:r>
      <w:r>
        <w:rPr>
          <w:spacing w:val="-83"/>
        </w:rPr>
        <w:t> </w:t>
      </w:r>
      <w:r>
        <w:rPr>
          <w:spacing w:val="-83"/>
        </w:rPr>
      </w:r>
      <w:r>
        <w:rPr/>
        <w:t>行了换届选举，并成了第二届董事会战略、薪酬、提名、审计四个专门委员会，董事会和董</w:t>
      </w:r>
      <w:r>
        <w:rPr>
          <w:spacing w:val="-83"/>
        </w:rPr>
        <w:t> </w:t>
      </w:r>
      <w:r>
        <w:rPr>
          <w:spacing w:val="-83"/>
        </w:rPr>
      </w:r>
      <w:r>
        <w:rPr/>
        <w:t>事会专门委员会运作状况良好。</w:t>
      </w:r>
    </w:p>
    <w:p>
      <w:pPr>
        <w:pStyle w:val="BodyText"/>
        <w:spacing w:line="304" w:lineRule="auto"/>
        <w:ind w:left="154" w:right="130" w:firstLine="480"/>
        <w:jc w:val="left"/>
      </w:pPr>
      <w:r>
        <w:rPr/>
        <w:t>（4）关于监事和监事会：本公司监事会人数和人员构成符合《公司法》和《公司章程》 的规定；监事会严格按照《公司法》、《公司章程》和《监事会议事规则》的有关规定召开</w:t>
      </w:r>
      <w:r>
        <w:rPr>
          <w:spacing w:val="-83"/>
        </w:rPr>
        <w:t> </w:t>
      </w:r>
      <w:r>
        <w:rPr>
          <w:spacing w:val="-83"/>
        </w:rPr>
      </w:r>
      <w:r>
        <w:rPr/>
        <w:t>会议，依法行使职权；公司全体监事认真履行职责，诚信、勤勉、尽责地对公司财务以及董</w:t>
      </w:r>
      <w:r>
        <w:rPr>
          <w:spacing w:val="-83"/>
        </w:rPr>
        <w:t> </w:t>
      </w:r>
      <w:r>
        <w:rPr>
          <w:spacing w:val="-83"/>
        </w:rPr>
      </w:r>
      <w:r>
        <w:rPr/>
        <w:t>事、高级管理人员履行职责的合法、合规性进行监督，维护公司及全体股东的合法权益；报</w:t>
      </w:r>
      <w:r>
        <w:rPr>
          <w:spacing w:val="-83"/>
        </w:rPr>
        <w:t> </w:t>
      </w:r>
      <w:r>
        <w:rPr>
          <w:spacing w:val="-83"/>
        </w:rPr>
      </w:r>
      <w:r>
        <w:rPr/>
        <w:t>告期内公司监事会进行了换届选举，第二届监事会运作状况良好。</w:t>
      </w:r>
    </w:p>
    <w:p>
      <w:pPr>
        <w:pStyle w:val="BodyText"/>
        <w:spacing w:line="304" w:lineRule="auto" w:before="22"/>
        <w:ind w:left="154" w:right="130" w:firstLine="480"/>
        <w:jc w:val="left"/>
      </w:pPr>
      <w:r>
        <w:rPr/>
        <w:t>（5）关于绩效评价与激励约束机制：公司董事、监事、高级管理人员的任免程序公开、 透明，依照法律、法规及《公司章程》的有关规定进行；公司正在逐步建立和完善公正透明</w:t>
      </w:r>
      <w:r>
        <w:rPr>
          <w:spacing w:val="-83"/>
        </w:rPr>
        <w:t> </w:t>
      </w:r>
      <w:r>
        <w:rPr>
          <w:spacing w:val="-83"/>
        </w:rPr>
      </w:r>
      <w:r>
        <w:rPr/>
        <w:t>的董事、监事、高级管理人员绩效评价标准和激励约束机制。</w:t>
      </w:r>
    </w:p>
    <w:p>
      <w:pPr>
        <w:spacing w:after="0" w:line="304"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right="228" w:firstLine="480"/>
        <w:jc w:val="both"/>
      </w:pPr>
      <w:r>
        <w:rPr>
          <w:spacing w:val="-3"/>
        </w:rPr>
        <w:t>（6）关于信息披露与透明度：公司制定并严格执行了《信息披露制度》、《投资者关系</w:t>
      </w:r>
      <w:r>
        <w:rPr>
          <w:spacing w:val="-1"/>
        </w:rPr>
        <w:t> </w:t>
      </w:r>
      <w:r>
        <w:rPr/>
        <w:t>管理制度》；指定董事会秘书全面负责公司投资者关系管理和信息披露工作，接待股东及相</w:t>
      </w:r>
      <w:r>
        <w:rPr>
          <w:spacing w:val="-83"/>
        </w:rPr>
        <w:t> </w:t>
      </w:r>
      <w:r>
        <w:rPr>
          <w:spacing w:val="-83"/>
        </w:rPr>
      </w:r>
      <w:r>
        <w:rPr/>
        <w:t>关人员来访和咨询；公司依照有关规定真实、准确、完整、及时地披露有关信息，确保公司</w:t>
      </w:r>
      <w:r>
        <w:rPr>
          <w:spacing w:val="-83"/>
        </w:rPr>
        <w:t> </w:t>
      </w:r>
      <w:r>
        <w:rPr>
          <w:spacing w:val="-83"/>
        </w:rPr>
      </w:r>
      <w:r>
        <w:rPr/>
        <w:t>所有投资者公平的享有知情权。</w:t>
      </w:r>
    </w:p>
    <w:p>
      <w:pPr>
        <w:pStyle w:val="BodyText"/>
        <w:spacing w:line="304" w:lineRule="auto"/>
        <w:ind w:right="228" w:firstLine="480"/>
        <w:jc w:val="both"/>
      </w:pPr>
      <w:r>
        <w:rPr>
          <w:spacing w:val="-3"/>
        </w:rPr>
        <w:t>（7）关于相关利益者：公司充分尊重和维护包括员工、债权人和客户在内的所有相关利</w:t>
      </w:r>
      <w:r>
        <w:rPr/>
        <w:t> 益者的合法权益，积极与相关利益者合作，加强沟通和交流，实现股东、员工、社会各方利</w:t>
      </w:r>
      <w:r>
        <w:rPr>
          <w:spacing w:val="-83"/>
        </w:rPr>
        <w:t> </w:t>
      </w:r>
      <w:r>
        <w:rPr>
          <w:spacing w:val="-83"/>
        </w:rPr>
      </w:r>
      <w:r>
        <w:rPr/>
        <w:t>益的均衡，以推动公司持续、稳定、健康地发展。</w:t>
      </w:r>
    </w:p>
    <w:p>
      <w:pPr>
        <w:pStyle w:val="BodyText"/>
        <w:spacing w:line="307" w:lineRule="auto"/>
        <w:ind w:left="633" w:right="95"/>
        <w:jc w:val="left"/>
      </w:pPr>
      <w:r>
        <w:rPr/>
        <w:t>2、关于开展“公司治理专项活动”的情况说明 根据中国证监会《关于加强上市公司治理专项活动有关事项的通知》、深圳证监局《关</w:t>
      </w:r>
    </w:p>
    <w:p>
      <w:pPr>
        <w:pStyle w:val="BodyText"/>
        <w:spacing w:line="304" w:lineRule="auto" w:before="18"/>
        <w:ind w:right="95"/>
        <w:jc w:val="left"/>
      </w:pPr>
      <w:r>
        <w:rPr/>
        <w:t>于做好深圳辖区上市公司治理专项活动有关工作的通知》等文件精神，公司自2007年8月起切 实开展了公司治理专项活动。组织公司董事、监事、高级管理人员认真学习中国证监会、深</w:t>
      </w:r>
      <w:r>
        <w:rPr>
          <w:spacing w:val="-83"/>
        </w:rPr>
        <w:t> </w:t>
      </w:r>
      <w:r>
        <w:rPr>
          <w:spacing w:val="-83"/>
        </w:rPr>
      </w:r>
      <w:r>
        <w:rPr>
          <w:spacing w:val="-3"/>
        </w:rPr>
        <w:t>圳证监局关于此次活动的相关档；严格对照《公司法》、《证券法》等有关法律、行政法规，</w:t>
      </w:r>
      <w:r>
        <w:rPr>
          <w:spacing w:val="-81"/>
        </w:rPr>
        <w:t> </w:t>
      </w:r>
      <w:r>
        <w:rPr>
          <w:spacing w:val="-81"/>
        </w:rPr>
      </w:r>
      <w:r>
        <w:rPr/>
        <w:t>以及《公司章程》、《股东大会议事规则》、《董事会议事规则》、《监事会议事规则》等</w:t>
      </w:r>
      <w:r>
        <w:rPr>
          <w:spacing w:val="-83"/>
        </w:rPr>
        <w:t> </w:t>
      </w:r>
      <w:r>
        <w:rPr>
          <w:spacing w:val="-83"/>
        </w:rPr>
      </w:r>
      <w:r>
        <w:rPr/>
        <w:t>内部规章制度，对公司治理情况进行自查，并在公司指定信息披露媒体公告自查报告和整改</w:t>
      </w:r>
      <w:r>
        <w:rPr>
          <w:spacing w:val="-83"/>
        </w:rPr>
        <w:t> </w:t>
      </w:r>
      <w:r>
        <w:rPr>
          <w:spacing w:val="-83"/>
        </w:rPr>
      </w:r>
      <w:r>
        <w:rPr>
          <w:spacing w:val="-3"/>
        </w:rPr>
        <w:t>计划；公布中国证监会、深圳证监局、深圳证券交易所及本公司联系方式，接受投资者评议；</w:t>
      </w:r>
      <w:r>
        <w:rPr>
          <w:spacing w:val="-81"/>
        </w:rPr>
        <w:t> </w:t>
      </w:r>
      <w:r>
        <w:rPr>
          <w:spacing w:val="-81"/>
        </w:rPr>
      </w:r>
      <w:r>
        <w:rPr/>
        <w:t>针对在公司治理专项活动中发现的各类问题，成立以公司董事长为第一责任人的专项工作小</w:t>
      </w:r>
      <w:r>
        <w:rPr>
          <w:spacing w:val="-83"/>
        </w:rPr>
        <w:t> </w:t>
      </w:r>
      <w:r>
        <w:rPr>
          <w:spacing w:val="-83"/>
        </w:rPr>
      </w:r>
      <w:r>
        <w:rPr/>
        <w:t>组，明确整改计划和时间表，切实落实整改措施。</w:t>
      </w:r>
    </w:p>
    <w:p>
      <w:pPr>
        <w:pStyle w:val="BodyText"/>
        <w:spacing w:line="304" w:lineRule="auto" w:before="22"/>
        <w:ind w:right="95" w:firstLine="480"/>
        <w:jc w:val="left"/>
      </w:pPr>
      <w:r>
        <w:rPr/>
        <w:t>经过公司自查和公众评议阶段后，深圳证监局于2007年9月25日对本公司进行现场检查， 并下发了深证局公司字[2007]72号《关于对深圳市实益达科技股份有限公司治理情况的监管</w:t>
      </w:r>
      <w:r>
        <w:rPr>
          <w:spacing w:val="-93"/>
        </w:rPr>
        <w:t> </w:t>
      </w:r>
      <w:r>
        <w:rPr>
          <w:spacing w:val="-93"/>
        </w:rPr>
      </w:r>
      <w:r>
        <w:rPr/>
        <w:t>意见》，针对公司治理的状况提出了“三会运作不规范”等整改意见。公司及时组织董事、</w:t>
      </w:r>
      <w:r>
        <w:rPr>
          <w:spacing w:val="-83"/>
        </w:rPr>
        <w:t> </w:t>
      </w:r>
      <w:r>
        <w:rPr>
          <w:spacing w:val="-83"/>
        </w:rPr>
      </w:r>
      <w:r>
        <w:rPr/>
        <w:t>监事、高级管理人员和各部门相关人员针对自查、公众评议以及监管意见中发现的问题制定</w:t>
      </w:r>
      <w:r>
        <w:rPr>
          <w:spacing w:val="-83"/>
        </w:rPr>
        <w:t> </w:t>
      </w:r>
      <w:r>
        <w:rPr>
          <w:spacing w:val="-83"/>
        </w:rPr>
      </w:r>
      <w:r>
        <w:rPr>
          <w:spacing w:val="-6"/>
        </w:rPr>
        <w:t>了《公司治理整改报告》，制定了详尽可行的整改措施和整改计划时间表，并于2007</w:t>
      </w:r>
      <w:r>
        <w:rPr>
          <w:spacing w:val="9"/>
        </w:rPr>
        <w:t> </w:t>
      </w:r>
      <w:r>
        <w:rPr/>
        <w:t>年10</w:t>
      </w:r>
      <w:r>
        <w:rPr>
          <w:spacing w:val="9"/>
        </w:rPr>
        <w:t> </w:t>
      </w:r>
      <w:r>
        <w:rPr/>
        <w:t>月</w:t>
      </w:r>
      <w:r>
        <w:rPr>
          <w:spacing w:val="-110"/>
        </w:rPr>
        <w:t> </w:t>
      </w:r>
      <w:r>
        <w:rPr>
          <w:spacing w:val="-110"/>
        </w:rPr>
      </w:r>
      <w:r>
        <w:rPr/>
        <w:t>22</w:t>
      </w:r>
      <w:r>
        <w:rPr>
          <w:spacing w:val="16"/>
        </w:rPr>
        <w:t> </w:t>
      </w:r>
      <w:r>
        <w:rPr>
          <w:spacing w:val="-5"/>
        </w:rPr>
        <w:t>日提交公司第一届董事会第十九次会议审议通过。详见刊登于2007年10月23日《证券时报》</w:t>
      </w:r>
      <w:r>
        <w:rPr/>
        <w:t> 及“巨潮资讯网”的《深圳市实益达科技股份有限公司公司治理专项活动整改报告》。</w:t>
      </w:r>
    </w:p>
    <w:p>
      <w:pPr>
        <w:pStyle w:val="BodyText"/>
        <w:spacing w:line="304" w:lineRule="auto"/>
        <w:ind w:left="634" w:right="220"/>
        <w:jc w:val="left"/>
      </w:pPr>
      <w:r>
        <w:rPr/>
        <w:t>3、关于接受深圳证监局现场检查及整改情况的说明 </w:t>
      </w:r>
      <w:r>
        <w:rPr>
          <w:spacing w:val="-2"/>
        </w:rPr>
        <w:t>公司于2008年3月6日起接受了深圳证监局的现场检查，并于2008年5月26日收到《限期整</w:t>
      </w:r>
    </w:p>
    <w:p>
      <w:pPr>
        <w:pStyle w:val="BodyText"/>
        <w:spacing w:line="304" w:lineRule="auto" w:before="22"/>
        <w:ind w:left="154" w:right="111"/>
        <w:jc w:val="left"/>
      </w:pPr>
      <w:r>
        <w:rPr>
          <w:spacing w:val="-5"/>
        </w:rPr>
        <w:t>改通知》，针对本公司在公司治理、信息披露、会计处理和财务管理等方面存在的问题提出整</w:t>
      </w:r>
      <w:r>
        <w:rPr/>
        <w:t> 改要求。公司董事会、监事会在收到上述《限期整改通知》后即召集有关部门和相关责任人 </w:t>
      </w:r>
      <w:r>
        <w:rPr>
          <w:spacing w:val="-8"/>
        </w:rPr>
        <w:t>认真学习通知要求，对照《中华人民共和国公司法》、《中华人民共和国公司法》等法律法规，</w:t>
      </w:r>
      <w:r>
        <w:rPr>
          <w:spacing w:val="-108"/>
        </w:rPr>
        <w:t> </w:t>
      </w:r>
      <w:r>
        <w:rPr>
          <w:spacing w:val="-108"/>
        </w:rPr>
      </w:r>
      <w:r>
        <w:rPr/>
        <w:t>以及本公司《公司章程》等规章制度，查找问题根源并制定详尽可行的整改方案（详见刊登 </w:t>
      </w:r>
      <w:r>
        <w:rPr>
          <w:spacing w:val="-5"/>
        </w:rPr>
        <w:t>于指定信息披露媒体《证券时报》及“巨潮资讯网”的2008-021号公告），并分别经公司第一</w:t>
      </w:r>
      <w:r>
        <w:rPr>
          <w:spacing w:val="-100"/>
        </w:rPr>
        <w:t> </w:t>
      </w:r>
      <w:r>
        <w:rPr>
          <w:spacing w:val="-100"/>
        </w:rPr>
      </w:r>
      <w:r>
        <w:rPr/>
        <w:t>届董事会第二十六次会议、第一届监事会第六次会议审议通过。2008年8月27日，在切实落实</w:t>
      </w:r>
      <w:r>
        <w:rPr/>
        <w:t> </w:t>
      </w:r>
      <w:r>
        <w:rPr>
          <w:spacing w:val="-10"/>
        </w:rPr>
        <w:t>各项整改措施的基础上，公司在指定信息披露媒体刊登了《限期整改总结报告》（详见2008-032</w:t>
      </w:r>
      <w:r>
        <w:rPr>
          <w:spacing w:val="-101"/>
        </w:rPr>
        <w:t> </w:t>
      </w:r>
      <w:r>
        <w:rPr>
          <w:spacing w:val="-101"/>
        </w:rPr>
      </w:r>
      <w:r>
        <w:rPr>
          <w:spacing w:val="-24"/>
        </w:rPr>
        <w:t>号公告）。</w:t>
      </w:r>
    </w:p>
    <w:p>
      <w:pPr>
        <w:spacing w:after="0" w:line="304"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right="228" w:firstLine="480"/>
        <w:jc w:val="both"/>
      </w:pPr>
      <w:r>
        <w:rPr/>
        <w:t>截止报告期末，针对公司接受深圳证监局现场检查过程中发现的各项问题，公司制定并</w:t>
      </w:r>
      <w:r>
        <w:rPr>
          <w:spacing w:val="1"/>
        </w:rPr>
        <w:t> </w:t>
      </w:r>
      <w:r>
        <w:rPr/>
        <w:t>落实了整改方案。公司将以此次深圳证监局现场检查活动为契机，按照中国证监会等证券监</w:t>
      </w:r>
      <w:r>
        <w:rPr>
          <w:spacing w:val="-83"/>
        </w:rPr>
        <w:t> </w:t>
      </w:r>
      <w:r>
        <w:rPr>
          <w:spacing w:val="-83"/>
        </w:rPr>
      </w:r>
      <w:r>
        <w:rPr/>
        <w:t>管部门的要求，建立健全并严格执行内部控制制度，规范股东大会、董事会和监事会运作，</w:t>
      </w:r>
      <w:r>
        <w:rPr>
          <w:spacing w:val="-83"/>
        </w:rPr>
        <w:t> </w:t>
      </w:r>
      <w:r>
        <w:rPr>
          <w:spacing w:val="-83"/>
        </w:rPr>
      </w:r>
      <w:r>
        <w:rPr/>
        <w:t>强化董事、监事和高级管理人员的勤勉尽责意识， 以进一步提高公司治理水平。</w:t>
      </w:r>
    </w:p>
    <w:p>
      <w:pPr>
        <w:spacing w:line="240" w:lineRule="auto" w:before="3"/>
        <w:rPr>
          <w:rFonts w:ascii="宋体" w:hAnsi="宋体" w:cs="宋体" w:eastAsia="宋体" w:hint="default"/>
          <w:sz w:val="32"/>
          <w:szCs w:val="32"/>
        </w:rPr>
      </w:pPr>
    </w:p>
    <w:p>
      <w:pPr>
        <w:pStyle w:val="BodyText"/>
        <w:spacing w:line="304" w:lineRule="auto" w:before="0"/>
        <w:ind w:left="633" w:right="95"/>
        <w:jc w:val="left"/>
      </w:pPr>
      <w:r>
        <w:rPr/>
        <w:t>二、公司董事长、独立董事及其它董事履职情况的说明： </w:t>
      </w:r>
      <w:r>
        <w:rPr>
          <w:spacing w:val="-3"/>
        </w:rPr>
        <w:t>1、报告期内，公司董事会全体成员严格按照《深圳证券交易所中小企业板块上市公司董</w:t>
      </w:r>
    </w:p>
    <w:p>
      <w:pPr>
        <w:pStyle w:val="BodyText"/>
        <w:spacing w:line="304" w:lineRule="auto"/>
        <w:ind w:right="228"/>
        <w:jc w:val="both"/>
      </w:pPr>
      <w:r>
        <w:rPr/>
        <w:t>事行为指引》及其它法律、法规和本公司《公司章程》的规定和要求，勤勉尽责履行董事职</w:t>
      </w:r>
      <w:r>
        <w:rPr>
          <w:spacing w:val="-83"/>
        </w:rPr>
        <w:t> </w:t>
      </w:r>
      <w:r>
        <w:rPr>
          <w:spacing w:val="-83"/>
        </w:rPr>
      </w:r>
      <w:r>
        <w:rPr/>
        <w:t>责、遵守董事行为规范；积极参加深圳证监局组织的上市公司董事培训学习，以提高公司规</w:t>
      </w:r>
      <w:r>
        <w:rPr>
          <w:spacing w:val="-83"/>
        </w:rPr>
        <w:t> </w:t>
      </w:r>
      <w:r>
        <w:rPr>
          <w:spacing w:val="-83"/>
        </w:rPr>
      </w:r>
      <w:r>
        <w:rPr/>
        <w:t>范运作水平，切实维护公司整体利益及全体股东，特别是中小股东的利益。</w:t>
      </w:r>
    </w:p>
    <w:p>
      <w:pPr>
        <w:pStyle w:val="BodyText"/>
        <w:spacing w:line="307" w:lineRule="auto"/>
        <w:ind w:left="633" w:right="95"/>
        <w:jc w:val="left"/>
      </w:pPr>
      <w:r>
        <w:rPr/>
        <w:t>2、公司董事长履行职责情况： </w:t>
      </w:r>
      <w:r>
        <w:rPr>
          <w:spacing w:val="-3"/>
        </w:rPr>
        <w:t>报告期内，公司董事长严格按照《深圳证券交易所中小企业板块上市公司董事行为指引》</w:t>
      </w:r>
    </w:p>
    <w:p>
      <w:pPr>
        <w:pStyle w:val="BodyText"/>
        <w:spacing w:line="304" w:lineRule="auto" w:before="18"/>
        <w:ind w:right="228"/>
        <w:jc w:val="both"/>
      </w:pPr>
      <w:r>
        <w:rPr/>
        <w:t>及其它法律、法规和本公司《公司章程》的规定和要求，行使董事长职权，遵守董事会集体</w:t>
      </w:r>
      <w:r>
        <w:rPr>
          <w:spacing w:val="-83"/>
        </w:rPr>
        <w:t> </w:t>
      </w:r>
      <w:r>
        <w:rPr>
          <w:spacing w:val="-83"/>
        </w:rPr>
      </w:r>
      <w:r>
        <w:rPr/>
        <w:t>决策机制，积极推动公司内部管理制度制定和完善，履行并督促股东大会、董事会决议的执</w:t>
      </w:r>
      <w:r>
        <w:rPr>
          <w:spacing w:val="-83"/>
        </w:rPr>
        <w:t> </w:t>
      </w:r>
      <w:r>
        <w:rPr>
          <w:spacing w:val="-83"/>
        </w:rPr>
      </w:r>
      <w:r>
        <w:rPr/>
        <w:t>行。</w:t>
      </w:r>
    </w:p>
    <w:p>
      <w:pPr>
        <w:pStyle w:val="BodyText"/>
        <w:spacing w:line="304" w:lineRule="auto"/>
        <w:ind w:right="231" w:firstLine="480"/>
        <w:jc w:val="both"/>
      </w:pPr>
      <w:r>
        <w:rPr>
          <w:spacing w:val="-6"/>
        </w:rPr>
        <w:t>报告期内公司接受深圳证监局现场检查，并收到《限期整改通知》，针对其中所提到的公</w:t>
      </w:r>
      <w:r>
        <w:rPr/>
        <w:t> 司董事长、总经理职责划分不清晰的问题，公司已经切实落实相关整改方案。</w:t>
      </w:r>
    </w:p>
    <w:p>
      <w:pPr>
        <w:pStyle w:val="BodyText"/>
        <w:spacing w:line="240" w:lineRule="auto" w:before="22"/>
        <w:ind w:left="633" w:right="95"/>
        <w:jc w:val="left"/>
      </w:pPr>
      <w:r>
        <w:rPr/>
        <w:t>3、独立董事履行职责情况：</w:t>
      </w:r>
    </w:p>
    <w:p>
      <w:pPr>
        <w:pStyle w:val="BodyText"/>
        <w:spacing w:line="304" w:lineRule="auto" w:before="85"/>
        <w:ind w:right="227" w:firstLine="480"/>
        <w:jc w:val="both"/>
      </w:pPr>
      <w:r>
        <w:rPr>
          <w:spacing w:val="-3"/>
        </w:rPr>
        <w:t>（1）报告期内，公司第一届董事会独立董事李秉心先生、刘震国先生、赵志坚先生、李</w:t>
      </w:r>
      <w:r>
        <w:rPr/>
        <w:t> 海军先生和第二届董事会独立董事李秉心先生、刘震国先生、赵志坚先生、李汉国严格遵守</w:t>
      </w:r>
      <w:r>
        <w:rPr>
          <w:spacing w:val="-83"/>
        </w:rPr>
        <w:t> </w:t>
      </w:r>
      <w:r>
        <w:rPr>
          <w:spacing w:val="-83"/>
        </w:rPr>
      </w:r>
      <w:r>
        <w:rPr>
          <w:spacing w:val="-6"/>
        </w:rPr>
        <w:t>法律法规及本公司《公司章程》、《独立董事工作细则》的有关规定，勤勉尽责、忠实履行职</w:t>
      </w:r>
      <w:r>
        <w:rPr>
          <w:spacing w:val="-99"/>
        </w:rPr>
        <w:t> </w:t>
      </w:r>
      <w:r>
        <w:rPr>
          <w:spacing w:val="-99"/>
        </w:rPr>
      </w:r>
      <w:r>
        <w:rPr/>
        <w:t>权，积极出席相关会议，认真审议各项议案，利用自己的专业知识做出独立、客观判断，对</w:t>
      </w:r>
      <w:r>
        <w:rPr>
          <w:spacing w:val="-83"/>
        </w:rPr>
        <w:t> </w:t>
      </w:r>
      <w:r>
        <w:rPr>
          <w:spacing w:val="-83"/>
        </w:rPr>
      </w:r>
      <w:r>
        <w:rPr/>
        <w:t>有关事项发表独立意见，为公司的发展、经营管理出谋划策，为公司的持续、稳定、健康发</w:t>
      </w:r>
      <w:r>
        <w:rPr>
          <w:spacing w:val="-83"/>
        </w:rPr>
        <w:t> </w:t>
      </w:r>
      <w:r>
        <w:rPr>
          <w:spacing w:val="-83"/>
        </w:rPr>
      </w:r>
      <w:r>
        <w:rPr/>
        <w:t>展做出积极贡献。</w:t>
      </w:r>
    </w:p>
    <w:p>
      <w:pPr>
        <w:pStyle w:val="BodyText"/>
        <w:spacing w:line="304" w:lineRule="auto"/>
        <w:ind w:left="633" w:right="1931"/>
        <w:jc w:val="left"/>
      </w:pPr>
      <w:r>
        <w:rPr/>
        <w:t>（2）独立董事发表独立意见的情况： 在公司第一届董事会第二十四次会议上就下列事项分别发表独立意见：</w:t>
      </w:r>
    </w:p>
    <w:p>
      <w:pPr>
        <w:pStyle w:val="BodyText"/>
        <w:spacing w:line="304" w:lineRule="auto" w:before="22"/>
        <w:ind w:left="633" w:right="93"/>
        <w:jc w:val="left"/>
      </w:pPr>
      <w:r>
        <w:rPr/>
        <w:t>（一）关于2007年度关联交易事项的独立意见 </w:t>
      </w:r>
      <w:r>
        <w:rPr>
          <w:spacing w:val="-2"/>
        </w:rPr>
        <w:t>“经核查，深圳市实益达科技股份有限公司2007年度未发生经常性或偶发性关联交易”。</w:t>
      </w:r>
    </w:p>
    <w:p>
      <w:pPr>
        <w:pStyle w:val="BodyText"/>
        <w:spacing w:line="307" w:lineRule="auto"/>
        <w:ind w:left="633" w:right="371"/>
        <w:jc w:val="left"/>
      </w:pPr>
      <w:r>
        <w:rPr/>
        <w:t>（二）关于续聘会计师事务所的独立意见 “于2007年3月23日召开的公司2006年度股东大会审议通过了关于聘任北京立信会计师</w:t>
      </w:r>
    </w:p>
    <w:p>
      <w:pPr>
        <w:pStyle w:val="BodyText"/>
        <w:spacing w:line="304" w:lineRule="auto" w:before="18"/>
        <w:ind w:right="268"/>
        <w:jc w:val="both"/>
      </w:pPr>
      <w:r>
        <w:rPr/>
        <w:t>事务所有限公司为本公司2007年度财务审计机构的议案。北京立信会计师事务所有限公司在 担任公司财务审计机构的过程中，坚持独立审计准则，较好地履行了双方签订的《业务约定 书》所规定的责任和义务，同意续聘北京立信会计师事务所有限公司为公司2008年度审计机 构”。</w:t>
      </w:r>
    </w:p>
    <w:p>
      <w:pPr>
        <w:spacing w:after="0" w:line="304" w:lineRule="auto"/>
        <w:jc w:val="both"/>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634" w:right="95"/>
        <w:jc w:val="left"/>
      </w:pPr>
      <w:r>
        <w:rPr/>
        <w:t>（三）对公司与关联方资金往来、公司累计和当期对外担保的独立意见 </w:t>
      </w:r>
      <w:r>
        <w:rPr>
          <w:spacing w:val="-3"/>
        </w:rPr>
        <w:t>“1、公司控股股东、实际控制人及其他关联方不存在占用公司资金的情况，也不存在以</w:t>
      </w:r>
    </w:p>
    <w:p>
      <w:pPr>
        <w:pStyle w:val="BodyText"/>
        <w:spacing w:line="304" w:lineRule="auto" w:before="22"/>
        <w:ind w:left="154" w:right="130"/>
        <w:jc w:val="left"/>
      </w:pPr>
      <w:r>
        <w:rPr/>
        <w:t>前年度发生并累计至2007年12月31日的违规关联方占用资金情况；2、截至2007年12月31日， 公司未进行任何担保行为”。</w:t>
      </w:r>
    </w:p>
    <w:p>
      <w:pPr>
        <w:pStyle w:val="BodyText"/>
        <w:spacing w:line="307" w:lineRule="auto"/>
        <w:ind w:left="634" w:right="250"/>
        <w:jc w:val="left"/>
      </w:pPr>
      <w:r>
        <w:rPr/>
        <w:t>（四）关于更改募集资金投资项目的独意见 “此次更改募集资金投资项目，一方面满足目标客户对原项目实施地调整的要求，另一</w:t>
      </w:r>
    </w:p>
    <w:p>
      <w:pPr>
        <w:pStyle w:val="BodyText"/>
        <w:spacing w:line="304" w:lineRule="auto" w:before="18"/>
        <w:ind w:left="154" w:right="92"/>
        <w:jc w:val="left"/>
      </w:pPr>
      <w:r>
        <w:rPr/>
        <w:t>方面确保了募集资金使用更加公平、高效；此次更改募集资金投资项目，符合上市公司及全 </w:t>
      </w:r>
      <w:r>
        <w:rPr>
          <w:spacing w:val="-2"/>
        </w:rPr>
        <w:t>体股东的利益；此次更改募集资金投资项目已经公司第一届董事会第二十四次会议审议通过，</w:t>
      </w:r>
      <w:r>
        <w:rPr/>
        <w:t> 尚需提交公司2007年度股东大会审议，决策程序和审议程序合法、合规。我们同意此次更改 </w:t>
      </w:r>
      <w:r>
        <w:rPr>
          <w:spacing w:val="-12"/>
        </w:rPr>
        <w:t>募集资金投资项目”。</w:t>
      </w:r>
    </w:p>
    <w:p>
      <w:pPr>
        <w:pStyle w:val="BodyText"/>
        <w:spacing w:line="304" w:lineRule="auto"/>
        <w:ind w:right="228" w:firstLine="480"/>
        <w:jc w:val="right"/>
      </w:pPr>
      <w:r>
        <w:rPr/>
        <w:t>在第一届董事会第二十六次会议上发表关于提名第二届董事会董事候选人的独立意见： “一、经主要股东单位及公司董事会提名、经公司第一届董事会第二十六次会议审议，</w:t>
      </w:r>
      <w:r>
        <w:rPr>
          <w:spacing w:val="1"/>
        </w:rPr>
        <w:t> </w:t>
      </w:r>
      <w:r>
        <w:rPr/>
        <w:t>提名陈亚妹女士、乔昕先生、宋东红先生、陈熙亚先生、吕昌荣先生为第二届董事会非独立</w:t>
      </w:r>
      <w:r>
        <w:rPr>
          <w:spacing w:val="-94"/>
        </w:rPr>
        <w:t> </w:t>
      </w:r>
      <w:r>
        <w:rPr>
          <w:spacing w:val="-94"/>
        </w:rPr>
      </w:r>
      <w:r>
        <w:rPr/>
        <w:t>董事候选人，提名李秉心先生、刘震国先生、赵志坚先生、李汉国先生为第二届董事会独立</w:t>
      </w:r>
      <w:r>
        <w:rPr>
          <w:spacing w:val="-94"/>
        </w:rPr>
        <w:t> </w:t>
      </w:r>
      <w:r>
        <w:rPr>
          <w:spacing w:val="-94"/>
        </w:rPr>
      </w:r>
      <w:r>
        <w:rPr/>
        <w:t>董事候选人；二、第二届董事会董事候选人的提名、审核及表决程序合法有效；各候选人的</w:t>
      </w:r>
      <w:r>
        <w:rPr>
          <w:spacing w:val="-94"/>
        </w:rPr>
        <w:t> </w:t>
      </w:r>
      <w:r>
        <w:rPr>
          <w:spacing w:val="-94"/>
        </w:rPr>
      </w:r>
      <w:r>
        <w:rPr/>
        <w:t>任职资格符合法律法规及《公司章程》的要求，并具备相关专业知识和履职能力；独立董事</w:t>
      </w:r>
      <w:r>
        <w:rPr>
          <w:spacing w:val="-94"/>
        </w:rPr>
        <w:t> </w:t>
      </w:r>
      <w:r>
        <w:rPr>
          <w:spacing w:val="-94"/>
        </w:rPr>
      </w:r>
      <w:r>
        <w:rPr/>
        <w:t>候选人符合《关于在上市公司建立独立董事制度的指导意见》所规定的任职条件；三、我们</w:t>
      </w:r>
      <w:r>
        <w:rPr>
          <w:spacing w:val="-94"/>
        </w:rPr>
        <w:t> </w:t>
      </w:r>
      <w:r>
        <w:rPr>
          <w:spacing w:val="-94"/>
        </w:rPr>
      </w:r>
      <w:r>
        <w:rPr/>
        <w:t>同意第一届董事会第二十六次会议关于第二届董事会董事候选人提名的议案，同意提交</w:t>
      </w:r>
      <w:r>
        <w:rPr>
          <w:spacing w:val="-82"/>
        </w:rPr>
        <w:t> </w:t>
      </w:r>
      <w:r>
        <w:rPr/>
        <w:t>2008</w:t>
      </w:r>
    </w:p>
    <w:p>
      <w:pPr>
        <w:pStyle w:val="BodyText"/>
        <w:spacing w:line="304" w:lineRule="auto"/>
        <w:ind w:left="633" w:right="95" w:hanging="480"/>
        <w:jc w:val="left"/>
      </w:pPr>
      <w:r>
        <w:rPr/>
        <w:t>年度第一次临时股东大会审议”。 在第二届董事会第三次会议上就公司与关联方资金往来及对外担保情况的独立意见： </w:t>
      </w:r>
      <w:r>
        <w:rPr>
          <w:spacing w:val="-3"/>
        </w:rPr>
        <w:t>“1、公司控股股东、实际控制人及其他关联方不存在占用公司资金的情况，也不存在以</w:t>
      </w:r>
    </w:p>
    <w:p>
      <w:pPr>
        <w:pStyle w:val="BodyText"/>
        <w:spacing w:line="304" w:lineRule="auto"/>
        <w:ind w:right="231"/>
        <w:jc w:val="both"/>
      </w:pPr>
      <w:r>
        <w:rPr>
          <w:spacing w:val="-2"/>
        </w:rPr>
        <w:t>前年度发生并累计至2008年6月30日的违规关联方占用资金情况；2、截至2008年6月30日，公</w:t>
      </w:r>
      <w:r>
        <w:rPr>
          <w:spacing w:val="-108"/>
        </w:rPr>
        <w:t> </w:t>
      </w:r>
      <w:r>
        <w:rPr>
          <w:spacing w:val="-108"/>
        </w:rPr>
      </w:r>
      <w:r>
        <w:rPr>
          <w:spacing w:val="-2"/>
        </w:rPr>
        <w:t>司以及控股子公司未发生任何担保行为，也不存在以前年度发生并累计至2008年6月30日的对</w:t>
      </w:r>
      <w:r>
        <w:rPr>
          <w:spacing w:val="-114"/>
        </w:rPr>
        <w:t> </w:t>
      </w:r>
      <w:r>
        <w:rPr>
          <w:spacing w:val="-114"/>
        </w:rPr>
      </w:r>
      <w:r>
        <w:rPr/>
        <w:t>外担保情况”。</w:t>
      </w:r>
    </w:p>
    <w:p>
      <w:pPr>
        <w:pStyle w:val="BodyText"/>
        <w:spacing w:line="240" w:lineRule="auto"/>
        <w:ind w:left="633" w:right="95"/>
        <w:jc w:val="left"/>
      </w:pPr>
      <w:r>
        <w:rPr/>
        <w:t>在第二届董事会第四次会议上就下列事项分别发表独立意见：</w:t>
      </w:r>
    </w:p>
    <w:p>
      <w:pPr>
        <w:pStyle w:val="BodyText"/>
        <w:spacing w:line="307" w:lineRule="auto" w:before="85"/>
        <w:ind w:left="633" w:right="251"/>
        <w:jc w:val="left"/>
      </w:pPr>
      <w:r>
        <w:rPr/>
        <w:t>（一）关于运用部分暂时闲置的募集资金暂时补充流动资金的独立意见 “鉴于公司部分募集资金处于闲置状态，在不会影响募集资金投资计划的正常进行、不</w:t>
      </w:r>
    </w:p>
    <w:p>
      <w:pPr>
        <w:pStyle w:val="BodyText"/>
        <w:spacing w:line="304" w:lineRule="auto" w:before="18"/>
        <w:ind w:right="221"/>
        <w:jc w:val="left"/>
      </w:pPr>
      <w:r>
        <w:rPr/>
        <w:t>会变相改变募集资金用途的前提下，使用其中部分暂时闲置的募集资金补充公司流动资金， </w:t>
      </w:r>
      <w:r>
        <w:rPr>
          <w:spacing w:val="-2"/>
        </w:rPr>
        <w:t>总额人民币9,000.00万元，使用期限自股东大会批准之日起不超过3个月，有助于公司降低财</w:t>
      </w:r>
      <w:r>
        <w:rPr>
          <w:spacing w:val="-112"/>
        </w:rPr>
        <w:t> </w:t>
      </w:r>
      <w:r>
        <w:rPr>
          <w:spacing w:val="-112"/>
        </w:rPr>
      </w:r>
      <w:r>
        <w:rPr>
          <w:spacing w:val="-3"/>
        </w:rPr>
        <w:t>务费用、提高募集资金的使用效率，符合《中小企业板上市公司募集资金管理细则》（2008</w:t>
      </w:r>
      <w:r>
        <w:rPr>
          <w:spacing w:val="-114"/>
        </w:rPr>
        <w:t> </w:t>
      </w:r>
      <w:r>
        <w:rPr>
          <w:spacing w:val="-114"/>
        </w:rPr>
      </w:r>
      <w:r>
        <w:rPr>
          <w:spacing w:val="-4"/>
        </w:rPr>
        <w:t>年修订）及公司《募集资金管理办法》的有关规定，本人对该议案表示同意”。</w:t>
      </w:r>
    </w:p>
    <w:p>
      <w:pPr>
        <w:pStyle w:val="BodyText"/>
        <w:spacing w:line="307" w:lineRule="auto"/>
        <w:ind w:left="633" w:right="251"/>
        <w:jc w:val="left"/>
      </w:pPr>
      <w:r>
        <w:rPr/>
        <w:t>（二）关于对控股子公司无锡实益达提供对外担保的独立意见（注） “上述对外担保行为批准程序符合《公司章程》的有关规定，公司目前的对外担保风险</w:t>
      </w:r>
    </w:p>
    <w:p>
      <w:pPr>
        <w:pStyle w:val="BodyText"/>
        <w:spacing w:line="240" w:lineRule="auto" w:before="18"/>
        <w:ind w:right="95"/>
        <w:jc w:val="left"/>
      </w:pPr>
      <w:r>
        <w:rPr/>
        <w:t>可控，本次对外担保行为不会对公司的正常运营和业务发展造成影响，不会损害上市公司及</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154" w:right="348"/>
        <w:jc w:val="both"/>
      </w:pPr>
      <w:r>
        <w:rPr/>
        <w:t>全体股东的利益，我们对公司为控股子公司无锡实益达电子有限公司提供贷款担保事宜表示 同意”。</w:t>
      </w:r>
    </w:p>
    <w:p>
      <w:pPr>
        <w:pStyle w:val="BodyText"/>
        <w:spacing w:line="304" w:lineRule="auto" w:before="22"/>
        <w:ind w:left="154" w:right="348" w:firstLine="480"/>
        <w:jc w:val="both"/>
      </w:pPr>
      <w:r>
        <w:rPr/>
        <w:t>注：在其后召开的第二届董事会第五次会议上，董事会通过对无锡实益达2008年经营状 况以及2009年业务发展实际需要的综合考量，经审议通过了撤销原定为无锡实益达提供对外 担保的议案，无锡实益达生产经营所需流动资金由其自筹解决。</w:t>
      </w:r>
    </w:p>
    <w:p>
      <w:pPr>
        <w:pStyle w:val="BodyText"/>
        <w:spacing w:line="304" w:lineRule="auto" w:before="22"/>
        <w:ind w:left="634" w:right="173"/>
        <w:jc w:val="left"/>
      </w:pPr>
      <w:r>
        <w:rPr/>
        <w:t>（3）独立董事对公司有关事项提出异议的情况： 报告期内，没有出现公司独立董事对董事会各项议案和其它事项提出异议的情况。 4、其他董事履行职责情况： 报告期内，公司其他董事严格按照《深圳证券交易所中小企业板块上市公司董事行为指</w:t>
      </w:r>
    </w:p>
    <w:p>
      <w:pPr>
        <w:pStyle w:val="BodyText"/>
        <w:spacing w:line="304" w:lineRule="auto"/>
        <w:ind w:right="308"/>
        <w:jc w:val="both"/>
      </w:pPr>
      <w:r>
        <w:rPr/>
        <w:t>引》及其它法律、法规和本公司《公司章程》的规定和要求履行董事职责，仔细研究和讨论</w:t>
      </w:r>
      <w:r>
        <w:rPr>
          <w:spacing w:val="-83"/>
        </w:rPr>
        <w:t> </w:t>
      </w:r>
      <w:r>
        <w:rPr>
          <w:spacing w:val="-83"/>
        </w:rPr>
      </w:r>
      <w:r>
        <w:rPr/>
        <w:t>董事会会议各项议案，深入了解公司生产经营情况；积极参加深圳证监局组织的上市公司董</w:t>
      </w:r>
      <w:r>
        <w:rPr>
          <w:spacing w:val="-83"/>
        </w:rPr>
        <w:t> </w:t>
      </w:r>
      <w:r>
        <w:rPr>
          <w:spacing w:val="-83"/>
        </w:rPr>
      </w:r>
      <w:r>
        <w:rPr/>
        <w:t>事培训学习，以提高公司规范运作水平，切实维护公司整体利益及全体股东，特别是中小股</w:t>
      </w:r>
      <w:r>
        <w:rPr>
          <w:spacing w:val="-83"/>
        </w:rPr>
        <w:t> </w:t>
      </w:r>
      <w:r>
        <w:rPr>
          <w:spacing w:val="-83"/>
        </w:rPr>
      </w:r>
      <w:r>
        <w:rPr/>
        <w:t>东的利益。</w:t>
      </w:r>
    </w:p>
    <w:p>
      <w:pPr>
        <w:pStyle w:val="BodyText"/>
        <w:spacing w:line="240" w:lineRule="auto" w:before="52"/>
        <w:ind w:left="633" w:right="3330"/>
        <w:jc w:val="left"/>
      </w:pPr>
      <w:r>
        <w:rPr/>
        <w:t>5、董事出席董事会会议情况：</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李秉心</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李汉国</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6838"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w:t>
            </w:r>
          </w:p>
        </w:tc>
      </w:tr>
      <w:tr>
        <w:trPr>
          <w:trHeight w:val="323"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6838"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6838"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r>
      <w:tr>
        <w:trPr>
          <w:trHeight w:val="324" w:hRule="exact"/>
        </w:trPr>
        <w:tc>
          <w:tcPr>
            <w:tcW w:w="299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6838"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04" w:lineRule="auto" w:before="26"/>
        <w:ind w:left="634" w:right="5610"/>
        <w:jc w:val="left"/>
      </w:pPr>
      <w:r>
        <w:rPr/>
        <w:t>三、公司与控股股东“五分开”情况 1、业务方面</w:t>
      </w:r>
    </w:p>
    <w:p>
      <w:pPr>
        <w:pStyle w:val="BodyText"/>
        <w:spacing w:line="307" w:lineRule="auto"/>
        <w:ind w:right="173" w:firstLine="480"/>
        <w:jc w:val="left"/>
      </w:pPr>
      <w:r>
        <w:rPr/>
        <w:t>公司与控股股东在业务方面完全分开。公司有独立的研发、采购、生产、销售、物流机</w:t>
      </w:r>
      <w:r>
        <w:rPr>
          <w:spacing w:val="1"/>
        </w:rPr>
        <w:t> </w:t>
      </w:r>
      <w:r>
        <w:rPr/>
        <w:t>构，并在业务上与控股股东不存在同业竞争关系。</w:t>
      </w:r>
    </w:p>
    <w:p>
      <w:pPr>
        <w:pStyle w:val="BodyText"/>
        <w:spacing w:line="240" w:lineRule="auto" w:before="18"/>
        <w:ind w:left="633" w:right="3330"/>
        <w:jc w:val="left"/>
      </w:pPr>
      <w:r>
        <w:rPr/>
        <w:t>2、人员方面</w:t>
      </w:r>
    </w:p>
    <w:p>
      <w:pPr>
        <w:spacing w:after="0" w:line="240"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pStyle w:val="BodyText"/>
        <w:spacing w:line="304" w:lineRule="auto" w:before="190"/>
        <w:ind w:right="230" w:firstLine="480"/>
        <w:jc w:val="both"/>
      </w:pPr>
      <w:r>
        <w:rPr/>
        <w:t>公司与控股股东在劳动、人事、用工管理、薪酬体系等方面已完全分开，不存在合署办</w:t>
      </w:r>
      <w:r>
        <w:rPr>
          <w:spacing w:val="1"/>
        </w:rPr>
        <w:t> </w:t>
      </w:r>
      <w:r>
        <w:rPr/>
        <w:t>公情况。</w:t>
      </w:r>
    </w:p>
    <w:p>
      <w:pPr>
        <w:pStyle w:val="BodyText"/>
        <w:spacing w:line="304" w:lineRule="auto" w:before="22"/>
        <w:ind w:left="633" w:right="95"/>
        <w:jc w:val="left"/>
      </w:pPr>
      <w:r>
        <w:rPr/>
        <w:t>3、资产方面 公司与控股股东在资产方面完全分开。公司拥有独立的生产系统、辅助生产系统和配套</w:t>
      </w:r>
    </w:p>
    <w:p>
      <w:pPr>
        <w:pStyle w:val="BodyText"/>
        <w:spacing w:line="304" w:lineRule="auto"/>
        <w:ind w:right="228"/>
        <w:jc w:val="both"/>
      </w:pPr>
      <w:r>
        <w:rPr/>
        <w:t>设施，采购和销售系统亦为公司独立拥有，商标、土地使用权等无形资产由公司拥有。公司</w:t>
      </w:r>
      <w:r>
        <w:rPr>
          <w:spacing w:val="-83"/>
        </w:rPr>
        <w:t> </w:t>
      </w:r>
      <w:r>
        <w:rPr>
          <w:spacing w:val="-83"/>
        </w:rPr>
      </w:r>
      <w:r>
        <w:rPr/>
        <w:t>对所有资产拥有完全的控制和支配权，不存在资产、资金被控股股东或其它关联企业占用而</w:t>
      </w:r>
      <w:r>
        <w:rPr>
          <w:spacing w:val="-83"/>
        </w:rPr>
        <w:t> </w:t>
      </w:r>
      <w:r>
        <w:rPr>
          <w:spacing w:val="-83"/>
        </w:rPr>
      </w:r>
      <w:r>
        <w:rPr/>
        <w:t>损害公司利益的情况。</w:t>
      </w:r>
    </w:p>
    <w:p>
      <w:pPr>
        <w:pStyle w:val="BodyText"/>
        <w:spacing w:line="304" w:lineRule="auto"/>
        <w:ind w:left="633" w:right="95"/>
        <w:jc w:val="left"/>
      </w:pPr>
      <w:r>
        <w:rPr/>
        <w:t>4、机构方面 </w:t>
      </w:r>
      <w:r>
        <w:rPr>
          <w:spacing w:val="-3"/>
        </w:rPr>
        <w:t>公司有健全的组织机构体系，各部门独立运作，不存在与控股股东各部门间的从属关系。</w:t>
      </w:r>
      <w:r>
        <w:rPr>
          <w:spacing w:val="-85"/>
        </w:rPr>
        <w:t> </w:t>
      </w:r>
      <w:r>
        <w:rPr>
          <w:spacing w:val="-85"/>
        </w:rPr>
      </w:r>
      <w:r>
        <w:rPr/>
        <w:t>5、财务方面 公司设有独立的财务部门和独立的会计核算体系、财务管理制度，独立在银行开户，独</w:t>
      </w:r>
    </w:p>
    <w:p>
      <w:pPr>
        <w:pStyle w:val="BodyText"/>
        <w:spacing w:line="304" w:lineRule="auto" w:before="22"/>
        <w:ind w:left="633" w:right="5411" w:hanging="480"/>
        <w:jc w:val="left"/>
      </w:pPr>
      <w:r>
        <w:rPr/>
        <w:t>立依法纳税，独立做出财务决策。 6、接受深圳证监局现场检查整改情况</w:t>
      </w:r>
    </w:p>
    <w:p>
      <w:pPr>
        <w:pStyle w:val="BodyText"/>
        <w:spacing w:line="304" w:lineRule="auto"/>
        <w:ind w:right="228" w:firstLine="480"/>
        <w:jc w:val="both"/>
      </w:pPr>
      <w:r>
        <w:rPr/>
        <w:t>报告期内公司接受了深圳证监局的现场检查，并《限期整改通知》，针对本公司在独立</w:t>
      </w:r>
      <w:r>
        <w:rPr>
          <w:spacing w:val="1"/>
        </w:rPr>
        <w:t> </w:t>
      </w:r>
      <w:r>
        <w:rPr/>
        <w:t>性不足等方面存在的问题提出整改要求。公司在收到《限期整改通知》后已对存在问题进行</w:t>
      </w:r>
      <w:r>
        <w:rPr>
          <w:spacing w:val="-83"/>
        </w:rPr>
        <w:t> </w:t>
      </w:r>
      <w:r>
        <w:rPr>
          <w:spacing w:val="-83"/>
        </w:rPr>
      </w:r>
      <w:r>
        <w:rPr/>
        <w:t>切实整改，并明确声明本公司今后将不再为股东单位等其他公司提供任何形式的服务。</w:t>
      </w:r>
    </w:p>
    <w:p>
      <w:pPr>
        <w:spacing w:line="240" w:lineRule="auto" w:before="3"/>
        <w:rPr>
          <w:rFonts w:ascii="宋体" w:hAnsi="宋体" w:cs="宋体" w:eastAsia="宋体" w:hint="default"/>
          <w:sz w:val="32"/>
          <w:szCs w:val="32"/>
        </w:rPr>
      </w:pPr>
    </w:p>
    <w:p>
      <w:pPr>
        <w:pStyle w:val="BodyText"/>
        <w:spacing w:line="304" w:lineRule="auto" w:before="0"/>
        <w:ind w:left="633" w:right="95"/>
        <w:jc w:val="left"/>
      </w:pPr>
      <w:r>
        <w:rPr/>
        <w:t>四、公司对高级管理人员的考评和激励机制 公司高级管理人员直接对董事会负责，接受董事会的考核。 公司高级管理人员按照各自职务根据公司现行薪酬制度领取报酬，经董事会授权，根据</w:t>
      </w:r>
    </w:p>
    <w:p>
      <w:pPr>
        <w:pStyle w:val="BodyText"/>
        <w:spacing w:line="304" w:lineRule="auto" w:before="22"/>
        <w:ind w:left="633" w:right="95" w:hanging="480"/>
        <w:jc w:val="left"/>
      </w:pPr>
      <w:r>
        <w:rPr/>
        <w:t>公司年度经营业绩按照考核评定程序确定年度奖金。 公司董事会设薪酬委员会，负责审查公司高级管理人员履行职责的情况并对其进行年度</w:t>
      </w:r>
    </w:p>
    <w:p>
      <w:pPr>
        <w:pStyle w:val="BodyText"/>
        <w:spacing w:line="304" w:lineRule="auto"/>
        <w:ind w:left="633" w:right="95" w:hanging="480"/>
        <w:jc w:val="left"/>
      </w:pPr>
      <w:r>
        <w:rPr/>
        <w:t>绩效考评，同时对其薪酬制度执行情况进行监督。 </w:t>
      </w:r>
      <w:r>
        <w:rPr>
          <w:spacing w:val="-3"/>
        </w:rPr>
        <w:t>报告期内，公司高级管理人员认真履行了各自职责，较好的完成了本年度各项工作任务。</w:t>
      </w:r>
      <w:r>
        <w:rPr/>
        <w:t> 五、公司内部控制制度的建立及健全情况</w:t>
      </w:r>
    </w:p>
    <w:p>
      <w:pPr>
        <w:pStyle w:val="BodyText"/>
        <w:spacing w:line="307" w:lineRule="auto"/>
        <w:ind w:left="633" w:right="251"/>
        <w:jc w:val="left"/>
      </w:pPr>
      <w:r>
        <w:rPr/>
        <w:t>1、公司内部控制制度建设、完善情况 公司严格按照《公司法》、《证券法》等法律法规的有关规定，根据自身实际情况和经</w:t>
      </w:r>
    </w:p>
    <w:p>
      <w:pPr>
        <w:pStyle w:val="BodyText"/>
        <w:spacing w:line="304" w:lineRule="auto" w:before="18"/>
        <w:ind w:right="231"/>
        <w:jc w:val="both"/>
      </w:pPr>
      <w:r>
        <w:rPr/>
        <w:t>营目标制定了公司内部管理控制制度，并随着公司经营发展不断完善。特别是2008年3月6日 起公司接受了深圳证监局的现场检查，并根据深圳证监局《关于要求深圳市实益达科技股份 有限公司限期整改的通知》的要求，针对本公司在公司治理、信息披露、会计处理和财务管 </w:t>
      </w:r>
      <w:r>
        <w:rPr>
          <w:spacing w:val="-2"/>
        </w:rPr>
        <w:t>理等方面存在的问题进行了深入整改,从而实现进一步健全法人治理机构、完善内部控制制度</w:t>
      </w:r>
      <w:r>
        <w:rPr/>
        <w:t> 体系的目标。目前公司已建立起一套相对完整且符合公司实际情况的内部控制制度，并得到 基本有效地执行。</w:t>
      </w:r>
    </w:p>
    <w:p>
      <w:pPr>
        <w:pStyle w:val="BodyText"/>
        <w:spacing w:line="240" w:lineRule="auto"/>
        <w:ind w:left="633" w:right="95"/>
        <w:jc w:val="left"/>
      </w:pPr>
      <w:r>
        <w:rPr/>
        <w:t>（1）公司法人治理结构</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154" w:right="95" w:firstLine="480"/>
        <w:jc w:val="left"/>
      </w:pPr>
      <w:r>
        <w:rPr/>
        <w:t>公司根据《公司法》、《证券法》等法律法规的要求，建立了以《公司章程》为基础、 </w:t>
      </w:r>
      <w:r>
        <w:rPr>
          <w:spacing w:val="-3"/>
        </w:rPr>
        <w:t>以《股东大会议事规则》、《董事会议事规则》、《监事会议事规则》、《总经理工作细则》</w:t>
      </w:r>
      <w:r>
        <w:rPr>
          <w:spacing w:val="-84"/>
        </w:rPr>
        <w:t> </w:t>
      </w:r>
      <w:r>
        <w:rPr>
          <w:spacing w:val="-84"/>
        </w:rPr>
      </w:r>
      <w:r>
        <w:rPr/>
        <w:t>等为主要架构的规章制度，同时，公司制定并完善了《董事会战略委员会工作细则》、《董 事会提名委员会工作细则》、《董事会审计委员会工作细则》、《董事会薪酬委员会工作细 则》，进一步规范了董事会各专业委员会的工作流程，并在各专业委员会的工作中得以遵照 执行。形成了以股东大会、董事会、监事会及管理层为架构的决策、经营管理及监督体系。 股东大会、董事会、监事会及管理层授权明晰、操作规范、运作有效，维护了投资者和公司 利益。</w:t>
      </w:r>
    </w:p>
    <w:p>
      <w:pPr>
        <w:pStyle w:val="BodyText"/>
        <w:spacing w:line="304" w:lineRule="auto" w:before="22"/>
        <w:ind w:left="154" w:right="268" w:firstLine="480"/>
        <w:jc w:val="both"/>
      </w:pPr>
      <w:r>
        <w:rPr/>
        <w:t>公司“三会”按照《公司章程》和相关制度的规定，履行相应职责，进行决策。股东大 会是公司最高权力机构；董事会对股东大会负责，对公司经营活动中的重大决策问题进行审 议并做出决定，必要时提交股东大会审议；监事会独立运作，负责对公司经营、财务及高管 人员的履职进行监督。</w:t>
      </w:r>
    </w:p>
    <w:p>
      <w:pPr>
        <w:pStyle w:val="BodyText"/>
        <w:spacing w:line="304" w:lineRule="auto"/>
        <w:ind w:left="154" w:right="231" w:firstLine="480"/>
        <w:jc w:val="both"/>
      </w:pPr>
      <w:r>
        <w:rPr>
          <w:spacing w:val="-6"/>
        </w:rPr>
        <w:t>报告期内，公司按照有关法律、法规及《公司章程》的规定按时召开“三会”会议，“三</w:t>
      </w:r>
      <w:r>
        <w:rPr/>
        <w:t> 会”的召集、召开程序、会议内容及会议做出的决议合法、有效。“三会”文件完备并已归 档保存，“三会”决议均得到了良好的执行。</w:t>
      </w:r>
    </w:p>
    <w:p>
      <w:pPr>
        <w:pStyle w:val="BodyText"/>
        <w:spacing w:line="304" w:lineRule="auto"/>
        <w:ind w:left="154" w:right="268" w:firstLine="480"/>
        <w:jc w:val="both"/>
      </w:pPr>
      <w:r>
        <w:rPr/>
        <w:t>报告期内，公司顺利完成了董事会、监事会的换届选举，工作流程符合有关法律、法规 和公司章程的规定。截止报告期末，公司第二届董事会、第二届监事会各项工作进行情况良 好。</w:t>
      </w:r>
    </w:p>
    <w:p>
      <w:pPr>
        <w:pStyle w:val="BodyText"/>
        <w:spacing w:line="304" w:lineRule="auto"/>
        <w:ind w:left="634" w:right="250"/>
        <w:jc w:val="left"/>
      </w:pPr>
      <w:r>
        <w:rPr/>
        <w:t>（2）财务会计系统内部控制 在机构设置方面，公司设立了财务部，在总经理直接领导下，全面地处理公司会计、财</w:t>
      </w:r>
    </w:p>
    <w:p>
      <w:pPr>
        <w:pStyle w:val="BodyText"/>
        <w:spacing w:line="304" w:lineRule="auto" w:before="22"/>
        <w:ind w:left="154" w:right="250"/>
        <w:jc w:val="left"/>
      </w:pPr>
      <w:r>
        <w:rPr/>
        <w:t>务管理业务；在人员配备方面，财务部设有总账、出纳、成本核算、税务统计、财务管理等 岗位。</w:t>
      </w:r>
    </w:p>
    <w:p>
      <w:pPr>
        <w:pStyle w:val="BodyText"/>
        <w:spacing w:line="304" w:lineRule="auto"/>
        <w:ind w:left="154" w:right="92" w:firstLine="480"/>
        <w:jc w:val="left"/>
      </w:pPr>
      <w:r>
        <w:rPr>
          <w:spacing w:val="-6"/>
        </w:rPr>
        <w:t>公司及控股子公司统一执行财政部《企业会计制度》，通过公司《货币管理办法》、《存</w:t>
      </w:r>
      <w:r>
        <w:rPr/>
        <w:t> </w:t>
      </w:r>
      <w:r>
        <w:rPr>
          <w:spacing w:val="-3"/>
        </w:rPr>
        <w:t>货管理办法》等内部管理制度，对销售、财务管理等各环节产生的凭证和记录进行有效控制，</w:t>
      </w:r>
      <w:r>
        <w:rPr>
          <w:spacing w:val="-81"/>
        </w:rPr>
        <w:t> </w:t>
      </w:r>
      <w:r>
        <w:rPr>
          <w:spacing w:val="-81"/>
        </w:rPr>
      </w:r>
      <w:r>
        <w:rPr>
          <w:spacing w:val="-2"/>
        </w:rPr>
        <w:t>会计电算化的应用及其相关制度的制定和有效执行，确保会计凭证与记录的准确性和可靠性。</w:t>
      </w:r>
    </w:p>
    <w:p>
      <w:pPr>
        <w:pStyle w:val="BodyText"/>
        <w:spacing w:line="307" w:lineRule="auto"/>
        <w:ind w:left="154" w:right="268" w:firstLine="480"/>
        <w:jc w:val="both"/>
      </w:pPr>
      <w:r>
        <w:rPr/>
        <w:t>公司对全资或控股子公司的财务实行垂直管理，子公司财务部门对重要财务会计事项的 处理均需向本公司财务部报告，其业务接受总公司财务部指导。</w:t>
      </w:r>
    </w:p>
    <w:p>
      <w:pPr>
        <w:pStyle w:val="BodyText"/>
        <w:spacing w:line="304" w:lineRule="auto" w:before="18"/>
        <w:ind w:left="154" w:right="231" w:firstLine="480"/>
        <w:jc w:val="both"/>
      </w:pPr>
      <w:r>
        <w:rPr/>
        <w:t>公司目前使用用友财务软件系统，实行电算化核算。各部门和子公司指定有专门的系统 管理员，负责公司帐套的维护及安全工作，并给各使用人员设置权限，相应人员通过加密来 </w:t>
      </w:r>
      <w:r>
        <w:rPr>
          <w:spacing w:val="-2"/>
        </w:rPr>
        <w:t>行使自己的权限。报告期内公司与中介机构签署协议，已经正式开始SAP系统的建设工作，作</w:t>
      </w:r>
      <w:r>
        <w:rPr/>
        <w:t> 为ERP系统的先驱，SAP系统的建设将有效提升包括财务在内各部门的管理水平。</w:t>
      </w:r>
    </w:p>
    <w:p>
      <w:pPr>
        <w:pStyle w:val="BodyText"/>
        <w:spacing w:line="307" w:lineRule="auto"/>
        <w:ind w:left="634" w:right="215"/>
        <w:jc w:val="left"/>
      </w:pPr>
      <w:r>
        <w:rPr/>
        <w:t>（3）募集资金管理 </w:t>
      </w:r>
      <w:r>
        <w:rPr>
          <w:spacing w:val="-5"/>
        </w:rPr>
        <w:t>公司根据深圳证券交易所《中小企业板上市公司募集资金管理细则》的有关规定，经2007</w:t>
      </w:r>
    </w:p>
    <w:p>
      <w:pPr>
        <w:pStyle w:val="BodyText"/>
        <w:spacing w:line="240" w:lineRule="auto" w:before="18"/>
        <w:ind w:left="154" w:right="95"/>
        <w:jc w:val="left"/>
      </w:pPr>
      <w:r>
        <w:rPr/>
        <w:t>年度第一次临时股东大会审议通过了《募集资金管理办法》，对募集资金实行专户管理，资</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154" w:right="231"/>
        <w:jc w:val="both"/>
      </w:pPr>
      <w:r>
        <w:rPr>
          <w:spacing w:val="-2"/>
        </w:rPr>
        <w:t>金按照项目募集资金的使用计划拨付使用，保证了募集资金的正常使用。2007年6月18日公司</w:t>
      </w:r>
      <w:r>
        <w:rPr>
          <w:spacing w:val="-114"/>
        </w:rPr>
        <w:t> </w:t>
      </w:r>
      <w:r>
        <w:rPr>
          <w:spacing w:val="-114"/>
        </w:rPr>
      </w:r>
      <w:r>
        <w:rPr/>
        <w:t>与保荐机构和开户银行签订了《募集资金三方监管协议》，约定本公司开设唯一募集资金专 用账户，并由保荐机构指派专人对募集资金的使用情况进行监管。报告期内公司主动配合保 荐机构的监管工作，配合保荐代表人到专户银行查询募集资金支取情况及提供其他必要的资 料。</w:t>
      </w:r>
    </w:p>
    <w:p>
      <w:pPr>
        <w:pStyle w:val="BodyText"/>
        <w:spacing w:line="304" w:lineRule="auto" w:before="22"/>
        <w:ind w:left="154" w:right="268" w:firstLine="480"/>
        <w:jc w:val="both"/>
      </w:pPr>
      <w:r>
        <w:rPr/>
        <w:t>报告期内，公司没有违反《上市公司内部控制指引》及《募集资金管理办法》的情况发 生。</w:t>
      </w:r>
    </w:p>
    <w:p>
      <w:pPr>
        <w:pStyle w:val="BodyText"/>
        <w:spacing w:line="307" w:lineRule="auto"/>
        <w:ind w:left="634" w:right="250"/>
        <w:jc w:val="left"/>
      </w:pPr>
      <w:r>
        <w:rPr/>
        <w:t>（4）对外投资管理 公司2006年度第三次临时股东大会审议通过了《对外投资管理制度》，规范公司的对外</w:t>
      </w:r>
    </w:p>
    <w:p>
      <w:pPr>
        <w:pStyle w:val="BodyText"/>
        <w:spacing w:line="304" w:lineRule="auto" w:before="18"/>
        <w:ind w:left="154" w:right="250"/>
        <w:jc w:val="left"/>
      </w:pPr>
      <w:r>
        <w:rPr/>
        <w:t>投资行为，以求达到降低对外投资风险、提高对外投资收益、保证资产的有效监管、安全运 营和保值增值的目标。</w:t>
      </w:r>
    </w:p>
    <w:p>
      <w:pPr>
        <w:pStyle w:val="BodyText"/>
        <w:spacing w:line="304" w:lineRule="auto" w:before="22"/>
        <w:ind w:right="231" w:firstLine="480"/>
        <w:jc w:val="both"/>
      </w:pPr>
      <w:r>
        <w:rPr/>
        <w:t>本公司《对外投资管理制度》规定：总经理运用公司资产对外投资权限为单项投资资金 </w:t>
      </w:r>
      <w:r>
        <w:rPr>
          <w:spacing w:val="-2"/>
        </w:rPr>
        <w:t>总额在经审计的前一会计年度公司净资产的10%以下；董事会运用公司资产对外投资权限单项</w:t>
      </w:r>
      <w:r>
        <w:rPr>
          <w:spacing w:val="-118"/>
        </w:rPr>
        <w:t> </w:t>
      </w:r>
      <w:r>
        <w:rPr>
          <w:spacing w:val="-118"/>
        </w:rPr>
      </w:r>
      <w:r>
        <w:rPr/>
        <w:t>投资资金总额在经审计的前一会计年度公司净资产的10%以上，30%以下；超过上述金额的投 资项目应报股东大会批准。上述对外投资权限的规定与《公司章程》的有关条款一致。</w:t>
      </w:r>
    </w:p>
    <w:p>
      <w:pPr>
        <w:pStyle w:val="BodyText"/>
        <w:spacing w:line="304" w:lineRule="auto"/>
        <w:ind w:right="231" w:firstLine="480"/>
        <w:jc w:val="both"/>
      </w:pPr>
      <w:r>
        <w:rPr>
          <w:spacing w:val="-3"/>
        </w:rPr>
        <w:t>报告期内公司控股子公司实益达科技（香港）有限公司发生对外投资一笔，以1.12美元/</w:t>
      </w:r>
      <w:r>
        <w:rPr/>
        <w:t> 股的价格购买美国C2</w:t>
      </w:r>
      <w:r>
        <w:rPr>
          <w:spacing w:val="-50"/>
        </w:rPr>
        <w:t> </w:t>
      </w:r>
      <w:r>
        <w:rPr/>
        <w:t>MICROSYSTEMS</w:t>
      </w:r>
      <w:r>
        <w:rPr>
          <w:spacing w:val="-50"/>
        </w:rPr>
        <w:t> </w:t>
      </w:r>
      <w:r>
        <w:rPr>
          <w:spacing w:val="-7"/>
        </w:rPr>
        <w:t>INC公司200万股份，总投资额224万美元，未达到公司2007</w:t>
      </w:r>
      <w:r>
        <w:rPr/>
        <w:t> 年度经审计净资产的10%。</w:t>
      </w:r>
    </w:p>
    <w:p>
      <w:pPr>
        <w:pStyle w:val="BodyText"/>
        <w:spacing w:line="304" w:lineRule="auto"/>
        <w:ind w:left="634" w:right="95"/>
        <w:jc w:val="left"/>
      </w:pPr>
      <w:r>
        <w:rPr/>
        <w:t>（5）对外担保管理 </w:t>
      </w:r>
      <w:r>
        <w:rPr>
          <w:spacing w:val="-3"/>
        </w:rPr>
        <w:t>公司遵循合法、安全的原则严格控制担保风险，在《公司章程》进行相关约定的基础上，</w:t>
      </w:r>
    </w:p>
    <w:p>
      <w:pPr>
        <w:pStyle w:val="BodyText"/>
        <w:spacing w:line="304" w:lineRule="auto" w:before="22"/>
        <w:ind w:left="154" w:right="250"/>
        <w:jc w:val="left"/>
      </w:pPr>
      <w:r>
        <w:rPr/>
        <w:t>经2006年度第三次临时股东大会审议通过了《对外担保决策制度》明确了对外担保的条件、 审批权限、程序等事项。</w:t>
      </w:r>
    </w:p>
    <w:p>
      <w:pPr>
        <w:pStyle w:val="BodyText"/>
        <w:spacing w:line="304" w:lineRule="auto"/>
        <w:ind w:left="154" w:right="231" w:firstLine="480"/>
        <w:jc w:val="both"/>
      </w:pPr>
      <w:r>
        <w:rPr/>
        <w:t>2008年10月29日召开的公司第二届董事会第四次会议审议通过了《关于为控股子公司无 锡实益达提供对外担保的议案》（详见本公司刊登于指定信息披露媒体《证券时报》及“巨 潮资讯网”的2008-036号“关于为控股子公司无锡实益达提供对外担保的公告”），但其后 董事会通过对无锡实益达2008年经营状况以及2009年业务发展实际需要的综合考量，于2009 年1月6日以第二届董事会第五次会议决议的形式撤销了上述议案。截止2008</w:t>
      </w:r>
      <w:r>
        <w:rPr>
          <w:spacing w:val="-35"/>
        </w:rPr>
        <w:t> </w:t>
      </w:r>
      <w:r>
        <w:rPr>
          <w:spacing w:val="-5"/>
        </w:rPr>
        <w:t>年12月31日，公</w:t>
      </w:r>
      <w:r>
        <w:rPr/>
        <w:t> 司及控股子公司没有任何形式的对外担保行为。</w:t>
      </w:r>
    </w:p>
    <w:p>
      <w:pPr>
        <w:pStyle w:val="BodyText"/>
        <w:spacing w:line="307" w:lineRule="auto"/>
        <w:ind w:left="634" w:right="95"/>
        <w:jc w:val="left"/>
      </w:pPr>
      <w:r>
        <w:rPr/>
        <w:t>（6）关联交易管理 </w:t>
      </w:r>
      <w:r>
        <w:rPr>
          <w:spacing w:val="-4"/>
        </w:rPr>
        <w:t>公司根据《中华人民共和国公司法》、中国证券监督管理委员会《上市公司治理准则》,</w:t>
      </w:r>
    </w:p>
    <w:p>
      <w:pPr>
        <w:pStyle w:val="BodyText"/>
        <w:spacing w:line="304" w:lineRule="auto" w:before="18"/>
        <w:ind w:left="154" w:right="95"/>
        <w:jc w:val="left"/>
      </w:pPr>
      <w:r>
        <w:rPr>
          <w:spacing w:val="-3"/>
        </w:rPr>
        <w:t>《深圳证券交易所股票上市规则》等有关法律、法规和规范性文件以及《公司章程》的规定，</w:t>
      </w:r>
      <w:r>
        <w:rPr>
          <w:spacing w:val="-81"/>
        </w:rPr>
        <w:t> </w:t>
      </w:r>
      <w:r>
        <w:rPr>
          <w:spacing w:val="-81"/>
        </w:rPr>
      </w:r>
      <w:r>
        <w:rPr>
          <w:spacing w:val="-5"/>
        </w:rPr>
        <w:t>经2006年度第三次临时股东大会审议通过了《关联交易决策制度》，对公司股东大会、董事会</w:t>
      </w:r>
      <w:r>
        <w:rPr>
          <w:spacing w:val="-109"/>
        </w:rPr>
        <w:t> </w:t>
      </w:r>
      <w:r>
        <w:rPr>
          <w:spacing w:val="-109"/>
        </w:rPr>
      </w:r>
      <w:r>
        <w:rPr/>
        <w:t>对关联交易事项的审批权限进行了进一步明确的划分，保证公司与各关联人所发生的关联交 易的合法性、公允性、合理性，保证公司各项业务通过必要的关联交易顺利地开展，保障股</w:t>
      </w:r>
    </w:p>
    <w:p>
      <w:pPr>
        <w:spacing w:after="0" w:line="304"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634" w:right="3130" w:hanging="480"/>
        <w:jc w:val="left"/>
      </w:pPr>
      <w:r>
        <w:rPr/>
        <w:t>东和公司的合法权益。 截止2008年12月31日，本公司无任何形式的关联交易行为。</w:t>
      </w:r>
    </w:p>
    <w:p>
      <w:pPr>
        <w:pStyle w:val="BodyText"/>
        <w:spacing w:line="304" w:lineRule="auto" w:before="22"/>
        <w:ind w:left="634" w:right="95"/>
        <w:jc w:val="left"/>
      </w:pPr>
      <w:r>
        <w:rPr/>
        <w:t>（7）信息披露管理 </w:t>
      </w:r>
      <w:r>
        <w:rPr>
          <w:spacing w:val="-3"/>
        </w:rPr>
        <w:t>公司在严格遵守中国证监会、深圳证券交易所关于上市公司信息披露有关规定的基础上，</w:t>
      </w:r>
    </w:p>
    <w:p>
      <w:pPr>
        <w:pStyle w:val="BodyText"/>
        <w:spacing w:line="304" w:lineRule="auto"/>
        <w:ind w:right="231"/>
        <w:jc w:val="both"/>
      </w:pPr>
      <w:r>
        <w:rPr>
          <w:spacing w:val="-11"/>
        </w:rPr>
        <w:t>制定并执行了《信息披露制度》（经第一届董事会第十五次会议审议通过）、《重大信息内部报</w:t>
      </w:r>
      <w:r>
        <w:rPr>
          <w:spacing w:val="-102"/>
        </w:rPr>
        <w:t> </w:t>
      </w:r>
      <w:r>
        <w:rPr>
          <w:spacing w:val="-102"/>
        </w:rPr>
      </w:r>
      <w:r>
        <w:rPr>
          <w:spacing w:val="-12"/>
        </w:rPr>
        <w:t>告制度》（经第一届董事会第九次会议审议通过）、《投资者关系管理制度》（经第一届董事会</w:t>
      </w:r>
      <w:r>
        <w:rPr>
          <w:spacing w:val="-96"/>
        </w:rPr>
        <w:t> </w:t>
      </w:r>
      <w:r>
        <w:rPr>
          <w:spacing w:val="-96"/>
        </w:rPr>
      </w:r>
      <w:r>
        <w:rPr/>
        <w:t>第十八次会议审议通过）等内部管理制度。公司董事长为信息披露工作第一责任人；董事会 秘书为信息披露工作主要责任人，负责管理信息披露事务；董事会秘书负责组织和协调公司 信息披露事务，负责办理上市公司信息对外公布等相关事宜，为信息披露事务的日常管理部 门，由董事会秘书直接领导。</w:t>
      </w:r>
    </w:p>
    <w:p>
      <w:pPr>
        <w:pStyle w:val="BodyText"/>
        <w:spacing w:line="307" w:lineRule="auto"/>
        <w:ind w:right="95" w:firstLine="480"/>
        <w:jc w:val="left"/>
      </w:pPr>
      <w:r>
        <w:rPr>
          <w:spacing w:val="-3"/>
        </w:rPr>
        <w:t>报告期内，公司的信息披露符合法律、法规及各项内部管理制度的规定，基本做到及时、</w:t>
      </w:r>
      <w:r>
        <w:rPr/>
        <w:t> 准确、完整。</w:t>
      </w:r>
    </w:p>
    <w:p>
      <w:pPr>
        <w:pStyle w:val="BodyText"/>
        <w:spacing w:line="304" w:lineRule="auto" w:before="18"/>
        <w:ind w:left="633" w:right="251"/>
        <w:jc w:val="left"/>
      </w:pPr>
      <w:r>
        <w:rPr/>
        <w:t>（8）业务控制 公司自成立以来不存在因违反工商、税务、环保、质量监督、海关等部门法律、法规而</w:t>
      </w:r>
    </w:p>
    <w:p>
      <w:pPr>
        <w:pStyle w:val="BodyText"/>
        <w:spacing w:line="304" w:lineRule="auto" w:before="22"/>
        <w:ind w:left="633" w:right="95" w:hanging="480"/>
        <w:jc w:val="left"/>
      </w:pPr>
      <w:r>
        <w:rPr/>
        <w:t>受到处罚的情况，无因风险控制问题而造成重大损失的情况。 </w:t>
      </w:r>
      <w:r>
        <w:rPr>
          <w:spacing w:val="-3"/>
        </w:rPr>
        <w:t>2、为了规范公司经营行为、控制经营风险、建立健全有效的内部审计监督体系、维护投</w:t>
      </w:r>
    </w:p>
    <w:p>
      <w:pPr>
        <w:pStyle w:val="BodyText"/>
        <w:spacing w:line="304" w:lineRule="auto"/>
        <w:ind w:right="95"/>
        <w:jc w:val="left"/>
      </w:pPr>
      <w:r>
        <w:rPr>
          <w:spacing w:val="-3"/>
        </w:rPr>
        <w:t>资者权益，经公司第一届董事会第九次会议审议通过，公司制定并执行了《内部审计制度》。</w:t>
      </w:r>
      <w:r>
        <w:rPr>
          <w:spacing w:val="-81"/>
        </w:rPr>
        <w:t> </w:t>
      </w:r>
      <w:r>
        <w:rPr>
          <w:spacing w:val="-81"/>
        </w:rPr>
      </w:r>
      <w:r>
        <w:rPr/>
        <w:t>公司董事会下设内部审计部门，直接接受董事会领导，承担审计委员会日常工作，并向董事</w:t>
      </w:r>
      <w:r>
        <w:rPr>
          <w:spacing w:val="-83"/>
        </w:rPr>
        <w:t> </w:t>
      </w:r>
      <w:r>
        <w:rPr>
          <w:spacing w:val="-83"/>
        </w:rPr>
      </w:r>
      <w:r>
        <w:rPr/>
        <w:t>会审计委员会汇报。报告期内，公司第二届董事会第二次会议审议通过了关于任命卢晓梅女</w:t>
      </w:r>
      <w:r>
        <w:rPr>
          <w:spacing w:val="-83"/>
        </w:rPr>
        <w:t> </w:t>
      </w:r>
      <w:r>
        <w:rPr>
          <w:spacing w:val="-83"/>
        </w:rPr>
      </w:r>
      <w:r>
        <w:rPr/>
        <w:t>士担任公司审计部经理的决议。报告期内，审计部门执行了公司及下属控股子公司内部控制</w:t>
      </w:r>
      <w:r>
        <w:rPr>
          <w:spacing w:val="-83"/>
        </w:rPr>
        <w:t> </w:t>
      </w:r>
      <w:r>
        <w:rPr>
          <w:spacing w:val="-83"/>
        </w:rPr>
      </w:r>
      <w:r>
        <w:rPr/>
        <w:t>制度执行情况的检查监督职责，对各单位的财务、内部控制及其他业务进行审计，切实保障</w:t>
      </w:r>
      <w:r>
        <w:rPr>
          <w:spacing w:val="-83"/>
        </w:rPr>
        <w:t> </w:t>
      </w:r>
      <w:r>
        <w:rPr>
          <w:spacing w:val="-83"/>
        </w:rPr>
      </w:r>
      <w:r>
        <w:rPr/>
        <w:t>公司内部控制制度的贯彻执行。</w:t>
      </w:r>
    </w:p>
    <w:p>
      <w:pPr>
        <w:pStyle w:val="BodyText"/>
        <w:spacing w:line="307" w:lineRule="auto"/>
        <w:ind w:left="633" w:right="251"/>
        <w:jc w:val="left"/>
      </w:pPr>
      <w:r>
        <w:rPr/>
        <w:t>3、董事会对公司内部控制的自我评价 公司董事会、董事会审计委员会认为，公司根据国家有关法律、法规及证券监管机关的</w:t>
      </w:r>
    </w:p>
    <w:p>
      <w:pPr>
        <w:pStyle w:val="BodyText"/>
        <w:spacing w:line="240" w:lineRule="auto" w:before="18"/>
        <w:ind w:right="95"/>
        <w:jc w:val="left"/>
      </w:pPr>
      <w:r>
        <w:rPr/>
        <w:t>要求，制定了各项内部控制制度，内部控制系统基本良好、健全；公司的法人治理结构符合</w:t>
      </w:r>
    </w:p>
    <w:p>
      <w:pPr>
        <w:pStyle w:val="BodyText"/>
        <w:spacing w:line="304" w:lineRule="auto" w:before="85"/>
        <w:ind w:right="93"/>
        <w:jc w:val="left"/>
      </w:pPr>
      <w:r>
        <w:rPr/>
        <w:t>《公司法》、《证券法》及《公司章程》的有关规定，决策程序和议事规则科学、有效；公 </w:t>
      </w:r>
      <w:r>
        <w:rPr>
          <w:spacing w:val="-3"/>
        </w:rPr>
        <w:t>司在财务会计系统内部控制、募集资金管理、对外投资管理、对外担保管理、关联交易管理、</w:t>
      </w:r>
      <w:r>
        <w:rPr>
          <w:spacing w:val="-81"/>
        </w:rPr>
        <w:t> </w:t>
      </w:r>
      <w:r>
        <w:rPr>
          <w:spacing w:val="-81"/>
        </w:rPr>
      </w:r>
      <w:r>
        <w:rPr/>
        <w:t>信息披露管理、业务控制等各个方面做出了明确的规定，保证了公司内部控制系统完整、合 理，有效地控制经营活动可能产生的风险；公司的各项内部控制制度在生产经营等公司营运 的各个环节中得到了一贯的、顺畅的和严格的执行，基本达到了内部控制的整体目标；包括 </w:t>
      </w:r>
      <w:r>
        <w:rPr>
          <w:spacing w:val="-2"/>
        </w:rPr>
        <w:t>财务会计信息在内的各项信息披露的内容和格式符合相关法律、法规及公司内部制度的规定，</w:t>
      </w:r>
      <w:r>
        <w:rPr/>
        <w:t> 所披露信息真实、准确、完整，确保公开、公平、公正地对待所有投资者，切实保护了广大 投资者的利益。</w:t>
      </w:r>
    </w:p>
    <w:p>
      <w:pPr>
        <w:pStyle w:val="BodyText"/>
        <w:spacing w:line="240" w:lineRule="auto"/>
        <w:ind w:left="633" w:right="95"/>
        <w:jc w:val="left"/>
      </w:pPr>
      <w:r>
        <w:rPr/>
        <w:t>公司董事会和董事会审计委员会亦认为，公司在内部控制方面还存在问题和不足，随着</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154" w:right="188"/>
        <w:jc w:val="both"/>
      </w:pPr>
      <w:r>
        <w:rPr/>
        <w:t>国家法律法规的逐步深化完善，以及应对现阶段特定经营环境的需要，公司将进一步完善、 强化内部控制度，更好的发挥董事会审计委员会和审计部门的作用，加强内部控制制度的执 行和监督、检查工作，不断提高内部控制制度的效率和效益。</w:t>
      </w:r>
    </w:p>
    <w:p>
      <w:pPr>
        <w:pStyle w:val="BodyText"/>
        <w:spacing w:line="240" w:lineRule="auto"/>
        <w:ind w:left="634" w:right="0"/>
        <w:jc w:val="left"/>
      </w:pPr>
      <w:r>
        <w:rPr/>
        <w:t>4、2008</w:t>
      </w:r>
      <w:r>
        <w:rPr>
          <w:spacing w:val="-60"/>
        </w:rPr>
        <w:t> </w:t>
      </w:r>
      <w:r>
        <w:rPr/>
        <w:t>年内部控制相关情况披露表</w:t>
      </w: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500"/>
        <w:gridCol w:w="900"/>
        <w:gridCol w:w="4212"/>
      </w:tblGrid>
      <w:tr>
        <w:trPr>
          <w:trHeight w:val="372" w:hRule="exact"/>
        </w:trPr>
        <w:tc>
          <w:tcPr>
            <w:tcW w:w="4500" w:type="dxa"/>
            <w:vMerge w:val="restart"/>
            <w:tcBorders>
              <w:top w:val="single" w:sz="4" w:space="0" w:color="000000"/>
              <w:left w:val="single" w:sz="4" w:space="0" w:color="000000"/>
              <w:right w:val="single" w:sz="4" w:space="0" w:color="000000"/>
            </w:tcBorders>
            <w:shd w:val="clear" w:color="auto" w:fill="E6E6E6"/>
          </w:tcPr>
          <w:p>
            <w:pPr/>
          </w:p>
        </w:tc>
        <w:tc>
          <w:tcPr>
            <w:tcW w:w="900"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0" w:lineRule="auto" w:before="101"/>
              <w:ind w:right="128"/>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210" w:hRule="exact"/>
        </w:trPr>
        <w:tc>
          <w:tcPr>
            <w:tcW w:w="4500" w:type="dxa"/>
            <w:vMerge/>
            <w:tcBorders>
              <w:left w:val="single" w:sz="4" w:space="0" w:color="000000"/>
              <w:right w:val="single" w:sz="4" w:space="0" w:color="000000"/>
            </w:tcBorders>
            <w:shd w:val="clear" w:color="auto" w:fill="E6E6E6"/>
          </w:tcPr>
          <w:p>
            <w:pPr/>
          </w:p>
        </w:tc>
        <w:tc>
          <w:tcPr>
            <w:tcW w:w="90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212" w:type="dxa"/>
            <w:tcBorders>
              <w:top w:val="nil" w:sz="6" w:space="0" w:color="auto"/>
              <w:left w:val="single" w:sz="4" w:space="0" w:color="000000"/>
              <w:bottom w:val="nil" w:sz="6" w:space="0" w:color="auto"/>
              <w:right w:val="single" w:sz="4" w:space="0" w:color="000000"/>
            </w:tcBorders>
            <w:shd w:val="clear" w:color="auto" w:fill="E6E6E6"/>
          </w:tcPr>
          <w:p>
            <w:pPr/>
          </w:p>
        </w:tc>
      </w:tr>
      <w:tr>
        <w:trPr>
          <w:trHeight w:val="180" w:hRule="exact"/>
        </w:trPr>
        <w:tc>
          <w:tcPr>
            <w:tcW w:w="4500" w:type="dxa"/>
            <w:vMerge/>
            <w:tcBorders>
              <w:left w:val="single" w:sz="4" w:space="0" w:color="000000"/>
              <w:right w:val="single" w:sz="4" w:space="0" w:color="000000"/>
            </w:tcBorders>
            <w:shd w:val="clear" w:color="auto" w:fill="E6E6E6"/>
          </w:tcPr>
          <w:p>
            <w:pPr/>
          </w:p>
        </w:tc>
        <w:tc>
          <w:tcPr>
            <w:tcW w:w="900" w:type="dxa"/>
            <w:tcBorders>
              <w:top w:val="nil" w:sz="6" w:space="0" w:color="auto"/>
              <w:left w:val="single" w:sz="4" w:space="0" w:color="000000"/>
              <w:bottom w:val="nil" w:sz="6" w:space="0" w:color="auto"/>
              <w:right w:val="single" w:sz="4" w:space="0" w:color="000000"/>
            </w:tcBorders>
            <w:shd w:val="clear" w:color="auto" w:fill="E6E6E6"/>
          </w:tcPr>
          <w:p>
            <w:pPr/>
          </w:p>
        </w:tc>
        <w:tc>
          <w:tcPr>
            <w:tcW w:w="4212"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180" w:lineRule="exact"/>
              <w:ind w:left="360"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10" w:hRule="exact"/>
        </w:trPr>
        <w:tc>
          <w:tcPr>
            <w:tcW w:w="4500" w:type="dxa"/>
            <w:vMerge/>
            <w:tcBorders>
              <w:left w:val="single" w:sz="4" w:space="0" w:color="000000"/>
              <w:right w:val="single" w:sz="4" w:space="0" w:color="000000"/>
            </w:tcBorders>
            <w:shd w:val="clear" w:color="auto" w:fill="E6E6E6"/>
          </w:tcPr>
          <w:p>
            <w:pPr/>
          </w:p>
        </w:tc>
        <w:tc>
          <w:tcPr>
            <w:tcW w:w="900"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180" w:lineRule="exact"/>
              <w:ind w:right="173"/>
              <w:jc w:val="right"/>
              <w:rPr>
                <w:rFonts w:ascii="宋体" w:hAnsi="宋体" w:cs="宋体" w:eastAsia="宋体" w:hint="default"/>
                <w:sz w:val="18"/>
                <w:szCs w:val="18"/>
              </w:rPr>
            </w:pPr>
            <w:r>
              <w:rPr>
                <w:rFonts w:ascii="宋体" w:hAnsi="宋体" w:cs="宋体" w:eastAsia="宋体" w:hint="default"/>
                <w:sz w:val="18"/>
                <w:szCs w:val="18"/>
              </w:rPr>
              <w:t>不</w:t>
            </w:r>
          </w:p>
        </w:tc>
        <w:tc>
          <w:tcPr>
            <w:tcW w:w="4212" w:type="dxa"/>
            <w:tcBorders>
              <w:top w:val="nil" w:sz="6" w:space="0" w:color="auto"/>
              <w:left w:val="single" w:sz="4" w:space="0" w:color="000000"/>
              <w:bottom w:val="nil" w:sz="6" w:space="0" w:color="auto"/>
              <w:right w:val="single" w:sz="4" w:space="0" w:color="000000"/>
            </w:tcBorders>
            <w:shd w:val="clear" w:color="auto" w:fill="E6E6E6"/>
          </w:tcPr>
          <w:p>
            <w:pPr/>
          </w:p>
        </w:tc>
      </w:tr>
      <w:tr>
        <w:trPr>
          <w:trHeight w:val="359" w:hRule="exact"/>
        </w:trPr>
        <w:tc>
          <w:tcPr>
            <w:tcW w:w="4500" w:type="dxa"/>
            <w:vMerge/>
            <w:tcBorders>
              <w:left w:val="single" w:sz="4" w:space="0" w:color="000000"/>
              <w:bottom w:val="single" w:sz="4" w:space="0" w:color="000000"/>
              <w:right w:val="single" w:sz="4" w:space="0" w:color="000000"/>
            </w:tcBorders>
            <w:shd w:val="clear" w:color="auto" w:fill="E6E6E6"/>
          </w:tcPr>
          <w:p>
            <w:pPr/>
          </w:p>
        </w:tc>
        <w:tc>
          <w:tcPr>
            <w:tcW w:w="90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10" w:lineRule="exact"/>
              <w:ind w:left="265" w:right="0"/>
              <w:jc w:val="left"/>
              <w:rPr>
                <w:rFonts w:ascii="宋体" w:hAnsi="宋体" w:cs="宋体" w:eastAsia="宋体" w:hint="default"/>
                <w:sz w:val="18"/>
                <w:szCs w:val="18"/>
              </w:rPr>
            </w:pPr>
            <w:r>
              <w:rPr>
                <w:rFonts w:ascii="宋体" w:hAnsi="宋体" w:cs="宋体" w:eastAsia="宋体" w:hint="default"/>
                <w:sz w:val="18"/>
                <w:szCs w:val="18"/>
              </w:rPr>
              <w:t>适用</w:t>
            </w:r>
          </w:p>
        </w:tc>
        <w:tc>
          <w:tcPr>
            <w:tcW w:w="4212" w:type="dxa"/>
            <w:tcBorders>
              <w:top w:val="nil" w:sz="6" w:space="0" w:color="auto"/>
              <w:left w:val="single" w:sz="4" w:space="0" w:color="000000"/>
              <w:bottom w:val="single" w:sz="4" w:space="0" w:color="000000"/>
              <w:right w:val="single" w:sz="4" w:space="0" w:color="000000"/>
            </w:tcBorders>
            <w:shd w:val="clear" w:color="auto" w:fill="E6E6E6"/>
          </w:tcPr>
          <w:p>
            <w:pP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一、内部审计制度的建立情况以及内审工作指引落</w:t>
            </w:r>
            <w:r>
              <w:rPr>
                <w:rFonts w:ascii="宋体" w:hAnsi="宋体" w:cs="宋体" w:eastAsia="宋体" w:hint="default"/>
                <w:sz w:val="18"/>
                <w:szCs w:val="18"/>
              </w:rPr>
              <w:t> 实情况</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8"/>
              <w:jc w:val="right"/>
              <w:rPr>
                <w:rFonts w:ascii="宋体" w:hAnsi="宋体" w:cs="宋体" w:eastAsia="宋体" w:hint="default"/>
                <w:sz w:val="18"/>
                <w:szCs w:val="18"/>
              </w:rPr>
            </w:pPr>
            <w:r>
              <w:rPr>
                <w:rFonts w:ascii="宋体"/>
                <w:sz w:val="18"/>
              </w:rPr>
              <w:t>-</w:t>
            </w:r>
          </w:p>
        </w:tc>
        <w:tc>
          <w:tcPr>
            <w:tcW w:w="42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8" w:right="0"/>
              <w:jc w:val="center"/>
              <w:rPr>
                <w:rFonts w:ascii="宋体" w:hAnsi="宋体" w:cs="宋体" w:eastAsia="宋体" w:hint="default"/>
                <w:sz w:val="18"/>
                <w:szCs w:val="18"/>
              </w:rPr>
            </w:pPr>
            <w:r>
              <w:rPr>
                <w:rFonts w:ascii="宋体"/>
                <w:sz w:val="18"/>
              </w:rPr>
              <w:t>-</w:t>
            </w: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18"/>
                <w:szCs w:val="18"/>
              </w:rPr>
            </w:pPr>
            <w:r>
              <w:rPr>
                <w:rFonts w:ascii="宋体" w:hAnsi="宋体" w:cs="宋体" w:eastAsia="宋体" w:hint="default"/>
                <w:sz w:val="18"/>
                <w:szCs w:val="18"/>
              </w:rPr>
              <w:t>1、内部审计制度建立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8"/>
              <w:jc w:val="right"/>
              <w:rPr>
                <w:rFonts w:ascii="宋体" w:hAnsi="宋体" w:cs="宋体" w:eastAsia="宋体" w:hint="default"/>
                <w:sz w:val="18"/>
                <w:szCs w:val="18"/>
              </w:rPr>
            </w:pPr>
            <w:r>
              <w:rPr>
                <w:rFonts w:ascii="宋体"/>
                <w:sz w:val="18"/>
              </w:rPr>
              <w:t>-</w:t>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8" w:right="0"/>
              <w:jc w:val="center"/>
              <w:rPr>
                <w:rFonts w:ascii="宋体" w:hAnsi="宋体" w:cs="宋体" w:eastAsia="宋体" w:hint="default"/>
                <w:sz w:val="18"/>
                <w:szCs w:val="18"/>
              </w:rPr>
            </w:pPr>
            <w:r>
              <w:rPr>
                <w:rFonts w:ascii="宋体"/>
                <w:sz w:val="18"/>
              </w:rPr>
              <w:t>-</w:t>
            </w:r>
          </w:p>
        </w:tc>
      </w:tr>
      <w:tr>
        <w:trPr>
          <w:trHeight w:val="73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63" w:right="95"/>
              <w:jc w:val="left"/>
              <w:rPr>
                <w:rFonts w:ascii="宋体" w:hAnsi="宋体" w:cs="宋体" w:eastAsia="宋体" w:hint="default"/>
                <w:sz w:val="18"/>
                <w:szCs w:val="18"/>
              </w:rPr>
            </w:pPr>
            <w:r>
              <w:rPr>
                <w:rFonts w:ascii="宋体" w:hAnsi="宋体" w:cs="宋体" w:eastAsia="宋体" w:hint="default"/>
                <w:spacing w:val="7"/>
                <w:sz w:val="18"/>
                <w:szCs w:val="18"/>
              </w:rPr>
              <w:t>公司是否在股票上市后六个月内建立内部审计制 </w:t>
            </w:r>
            <w:r>
              <w:rPr>
                <w:rFonts w:ascii="宋体" w:hAnsi="宋体" w:cs="宋体" w:eastAsia="宋体" w:hint="default"/>
                <w:sz w:val="18"/>
                <w:szCs w:val="18"/>
              </w:rPr>
              <w:t>度，内部审计制度是否经公司董事会审议通过</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18"/>
                <w:szCs w:val="18"/>
              </w:rPr>
            </w:pPr>
            <w:r>
              <w:rPr>
                <w:rFonts w:ascii="宋体" w:hAnsi="宋体" w:cs="宋体" w:eastAsia="宋体" w:hint="default"/>
                <w:sz w:val="18"/>
                <w:szCs w:val="18"/>
              </w:rPr>
              <w:t>2、机构设置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8"/>
              <w:jc w:val="right"/>
              <w:rPr>
                <w:rFonts w:ascii="宋体" w:hAnsi="宋体" w:cs="宋体" w:eastAsia="宋体" w:hint="default"/>
                <w:sz w:val="18"/>
                <w:szCs w:val="18"/>
              </w:rPr>
            </w:pPr>
            <w:r>
              <w:rPr>
                <w:rFonts w:ascii="宋体"/>
                <w:sz w:val="18"/>
              </w:rPr>
              <w:t>-</w:t>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8" w:right="0"/>
              <w:jc w:val="center"/>
              <w:rPr>
                <w:rFonts w:ascii="宋体" w:hAnsi="宋体" w:cs="宋体" w:eastAsia="宋体" w:hint="default"/>
                <w:sz w:val="18"/>
                <w:szCs w:val="18"/>
              </w:rPr>
            </w:pPr>
            <w:r>
              <w:rPr>
                <w:rFonts w:ascii="宋体"/>
                <w:sz w:val="18"/>
              </w:rPr>
              <w:t>-</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hAnsi="宋体" w:cs="宋体" w:eastAsia="宋体" w:hint="default"/>
                <w:spacing w:val="-2"/>
                <w:sz w:val="18"/>
                <w:szCs w:val="18"/>
              </w:rPr>
              <w:t>公司董事会是否设立审计委员会，公司在股票上市</w:t>
            </w:r>
          </w:p>
        </w:tc>
        <w:tc>
          <w:tcPr>
            <w:tcW w:w="900" w:type="dxa"/>
            <w:tcBorders>
              <w:top w:val="single" w:sz="4" w:space="0" w:color="000000"/>
              <w:left w:val="single" w:sz="4" w:space="0" w:color="000000"/>
              <w:bottom w:val="nil" w:sz="6" w:space="0" w:color="auto"/>
              <w:right w:val="single" w:sz="4" w:space="0" w:color="000000"/>
            </w:tcBorders>
          </w:tcPr>
          <w:p>
            <w:pPr/>
          </w:p>
        </w:tc>
        <w:tc>
          <w:tcPr>
            <w:tcW w:w="4212" w:type="dxa"/>
            <w:vMerge w:val="restart"/>
            <w:tcBorders>
              <w:top w:val="single" w:sz="4" w:space="0" w:color="000000"/>
              <w:left w:val="single" w:sz="4" w:space="0" w:color="000000"/>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95"/>
              <w:jc w:val="right"/>
              <w:rPr>
                <w:rFonts w:ascii="宋体" w:hAnsi="宋体" w:cs="宋体" w:eastAsia="宋体" w:hint="default"/>
                <w:sz w:val="18"/>
                <w:szCs w:val="18"/>
              </w:rPr>
            </w:pPr>
            <w:r>
              <w:rPr>
                <w:rFonts w:ascii="宋体" w:hAnsi="宋体" w:cs="宋体" w:eastAsia="宋体" w:hint="default"/>
                <w:spacing w:val="7"/>
                <w:w w:val="95"/>
                <w:sz w:val="18"/>
                <w:szCs w:val="18"/>
              </w:rPr>
              <w:t>后六个月内是否设立独立于财务部门的内部审计</w:t>
            </w:r>
            <w:r>
              <w:rPr>
                <w:rFonts w:ascii="宋体" w:hAnsi="宋体" w:cs="宋体" w:eastAsia="宋体" w:hint="default"/>
                <w:w w:val="95"/>
                <w:sz w:val="18"/>
                <w:szCs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vMerge/>
            <w:tcBorders>
              <w:left w:val="single" w:sz="4" w:space="0" w:color="000000"/>
              <w:right w:val="single" w:sz="4" w:space="0" w:color="000000"/>
            </w:tcBorders>
          </w:tcPr>
          <w:p>
            <w:pPr/>
          </w:p>
        </w:tc>
      </w:tr>
      <w:tr>
        <w:trPr>
          <w:trHeight w:val="358"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部门，内部审计部门是否对审计委员会负责</w:t>
            </w:r>
          </w:p>
        </w:tc>
        <w:tc>
          <w:tcPr>
            <w:tcW w:w="900" w:type="dxa"/>
            <w:tcBorders>
              <w:top w:val="nil" w:sz="6" w:space="0" w:color="auto"/>
              <w:left w:val="single" w:sz="4" w:space="0" w:color="000000"/>
              <w:bottom w:val="single" w:sz="4" w:space="0" w:color="000000"/>
              <w:right w:val="single" w:sz="4" w:space="0" w:color="000000"/>
            </w:tcBorders>
          </w:tcPr>
          <w:p>
            <w:pPr/>
          </w:p>
        </w:tc>
        <w:tc>
          <w:tcPr>
            <w:tcW w:w="4212" w:type="dxa"/>
            <w:vMerge/>
            <w:tcBorders>
              <w:left w:val="single" w:sz="4" w:space="0" w:color="000000"/>
              <w:bottom w:val="single" w:sz="4" w:space="0" w:color="000000"/>
              <w:right w:val="single" w:sz="4" w:space="0" w:color="000000"/>
            </w:tcBorders>
          </w:tcPr>
          <w:p>
            <w:pPr/>
          </w:p>
        </w:tc>
      </w:tr>
      <w:tr>
        <w:trPr>
          <w:trHeight w:val="49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3、人员安排</w:t>
            </w:r>
          </w:p>
        </w:tc>
        <w:tc>
          <w:tcPr>
            <w:tcW w:w="900" w:type="dxa"/>
            <w:tcBorders>
              <w:top w:val="single" w:sz="4" w:space="0" w:color="000000"/>
              <w:left w:val="single" w:sz="4" w:space="0" w:color="000000"/>
              <w:bottom w:val="single" w:sz="4" w:space="0" w:color="000000"/>
              <w:right w:val="single" w:sz="4" w:space="0" w:color="000000"/>
            </w:tcBorders>
          </w:tcPr>
          <w:p>
            <w:pP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6"/>
                <w:sz w:val="18"/>
                <w:szCs w:val="18"/>
              </w:rPr>
              <w:t> </w:t>
            </w:r>
            <w:r>
              <w:rPr>
                <w:rFonts w:ascii="宋体" w:hAnsi="宋体" w:cs="宋体" w:eastAsia="宋体" w:hint="default"/>
                <w:spacing w:val="2"/>
                <w:sz w:val="18"/>
                <w:szCs w:val="18"/>
              </w:rPr>
              <w:t>审计委员会成员是否全部由董事组成，独立董</w:t>
            </w:r>
            <w:r>
              <w:rPr>
                <w:rFonts w:ascii="宋体" w:hAnsi="宋体" w:cs="宋体" w:eastAsia="宋体" w:hint="default"/>
                <w:sz w:val="18"/>
                <w:szCs w:val="18"/>
              </w:rPr>
            </w:r>
          </w:p>
        </w:tc>
        <w:tc>
          <w:tcPr>
            <w:tcW w:w="900" w:type="dxa"/>
            <w:tcBorders>
              <w:top w:val="single" w:sz="4" w:space="0" w:color="000000"/>
              <w:left w:val="single" w:sz="4" w:space="0" w:color="000000"/>
              <w:bottom w:val="nil" w:sz="6" w:space="0" w:color="auto"/>
              <w:right w:val="single" w:sz="4" w:space="0" w:color="000000"/>
            </w:tcBorders>
          </w:tcPr>
          <w:p>
            <w:pPr/>
          </w:p>
        </w:tc>
        <w:tc>
          <w:tcPr>
            <w:tcW w:w="4212" w:type="dxa"/>
            <w:vMerge w:val="restart"/>
            <w:tcBorders>
              <w:top w:val="single" w:sz="4" w:space="0" w:color="000000"/>
              <w:left w:val="single" w:sz="4" w:space="0" w:color="000000"/>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hAnsi="宋体" w:cs="宋体" w:eastAsia="宋体" w:hint="default"/>
                <w:spacing w:val="2"/>
                <w:sz w:val="18"/>
                <w:szCs w:val="18"/>
              </w:rPr>
              <w:t>事占半数以上并担任召集人，且至少有一名独</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vMerge/>
            <w:tcBorders>
              <w:left w:val="single" w:sz="4" w:space="0" w:color="000000"/>
              <w:right w:val="single" w:sz="4" w:space="0" w:color="000000"/>
            </w:tcBorders>
          </w:tcPr>
          <w:p>
            <w:pPr/>
          </w:p>
        </w:tc>
      </w:tr>
      <w:tr>
        <w:trPr>
          <w:trHeight w:val="358"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733" w:right="0"/>
              <w:jc w:val="left"/>
              <w:rPr>
                <w:rFonts w:ascii="宋体" w:hAnsi="宋体" w:cs="宋体" w:eastAsia="宋体" w:hint="default"/>
                <w:sz w:val="18"/>
                <w:szCs w:val="18"/>
              </w:rPr>
            </w:pPr>
            <w:r>
              <w:rPr>
                <w:rFonts w:ascii="宋体" w:hAnsi="宋体" w:cs="宋体" w:eastAsia="宋体" w:hint="default"/>
                <w:sz w:val="18"/>
                <w:szCs w:val="18"/>
              </w:rPr>
              <w:t>立董事为会计专业人士</w:t>
            </w:r>
          </w:p>
        </w:tc>
        <w:tc>
          <w:tcPr>
            <w:tcW w:w="900" w:type="dxa"/>
            <w:tcBorders>
              <w:top w:val="nil" w:sz="6" w:space="0" w:color="auto"/>
              <w:left w:val="single" w:sz="4" w:space="0" w:color="000000"/>
              <w:bottom w:val="single" w:sz="4" w:space="0" w:color="000000"/>
              <w:right w:val="single" w:sz="4" w:space="0" w:color="000000"/>
            </w:tcBorders>
          </w:tcPr>
          <w:p>
            <w:pPr/>
          </w:p>
        </w:tc>
        <w:tc>
          <w:tcPr>
            <w:tcW w:w="4212" w:type="dxa"/>
            <w:vMerge/>
            <w:tcBorders>
              <w:left w:val="single" w:sz="4" w:space="0" w:color="000000"/>
              <w:bottom w:val="single" w:sz="4" w:space="0" w:color="000000"/>
              <w:right w:val="single" w:sz="4" w:space="0" w:color="000000"/>
            </w:tcBorders>
          </w:tcPr>
          <w:p>
            <w:pP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733" w:right="98" w:hanging="27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6"/>
                <w:sz w:val="18"/>
                <w:szCs w:val="18"/>
              </w:rPr>
              <w:t> </w:t>
            </w:r>
            <w:r>
              <w:rPr>
                <w:rFonts w:ascii="宋体" w:hAnsi="宋体" w:cs="宋体" w:eastAsia="宋体" w:hint="default"/>
                <w:spacing w:val="2"/>
                <w:sz w:val="18"/>
                <w:szCs w:val="18"/>
              </w:rPr>
              <w:t>内部审计部门是否配置三名以上（含三名）专</w:t>
            </w:r>
            <w:r>
              <w:rPr>
                <w:rFonts w:ascii="宋体" w:hAnsi="宋体" w:cs="宋体" w:eastAsia="宋体" w:hint="default"/>
                <w:spacing w:val="2"/>
                <w:sz w:val="18"/>
                <w:szCs w:val="18"/>
              </w:rPr>
              <w:t> </w:t>
            </w:r>
            <w:r>
              <w:rPr>
                <w:rFonts w:ascii="宋体" w:hAnsi="宋体" w:cs="宋体" w:eastAsia="宋体" w:hint="default"/>
                <w:sz w:val="18"/>
                <w:szCs w:val="18"/>
              </w:rPr>
              <w:t>职人员从事内部审计工作</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733" w:right="98" w:hanging="27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6"/>
                <w:sz w:val="18"/>
                <w:szCs w:val="18"/>
              </w:rPr>
              <w:t> </w:t>
            </w:r>
            <w:r>
              <w:rPr>
                <w:rFonts w:ascii="宋体" w:hAnsi="宋体" w:cs="宋体" w:eastAsia="宋体" w:hint="default"/>
                <w:spacing w:val="2"/>
                <w:sz w:val="18"/>
                <w:szCs w:val="18"/>
              </w:rPr>
              <w:t>内部审计部门负责人是否专职，由审计委员会</w:t>
            </w:r>
            <w:r>
              <w:rPr>
                <w:rFonts w:ascii="宋体" w:hAnsi="宋体" w:cs="宋体" w:eastAsia="宋体" w:hint="default"/>
                <w:spacing w:val="2"/>
                <w:sz w:val="18"/>
                <w:szCs w:val="18"/>
              </w:rPr>
              <w:t> </w:t>
            </w:r>
            <w:r>
              <w:rPr>
                <w:rFonts w:ascii="宋体" w:hAnsi="宋体" w:cs="宋体" w:eastAsia="宋体" w:hint="default"/>
                <w:sz w:val="18"/>
                <w:szCs w:val="18"/>
              </w:rPr>
              <w:t>提名，董事会任免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right="218"/>
              <w:jc w:val="right"/>
              <w:rPr>
                <w:rFonts w:ascii="宋体" w:hAnsi="宋体" w:cs="宋体" w:eastAsia="宋体" w:hint="default"/>
                <w:sz w:val="18"/>
                <w:szCs w:val="18"/>
              </w:rPr>
            </w:pPr>
            <w:r>
              <w:rPr>
                <w:rFonts w:ascii="宋体"/>
                <w:sz w:val="18"/>
              </w:rPr>
              <w:t>-</w:t>
            </w:r>
          </w:p>
        </w:tc>
        <w:tc>
          <w:tcPr>
            <w:tcW w:w="421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358" w:right="0"/>
              <w:jc w:val="center"/>
              <w:rPr>
                <w:rFonts w:ascii="宋体" w:hAnsi="宋体" w:cs="宋体" w:eastAsia="宋体" w:hint="default"/>
                <w:sz w:val="18"/>
                <w:szCs w:val="18"/>
              </w:rPr>
            </w:pPr>
            <w:r>
              <w:rPr>
                <w:rFonts w:ascii="宋体"/>
                <w:sz w:val="18"/>
              </w:rPr>
              <w:t>-</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283" w:right="0"/>
              <w:jc w:val="left"/>
              <w:rPr>
                <w:rFonts w:ascii="宋体" w:hAnsi="宋体" w:cs="宋体" w:eastAsia="宋体" w:hint="default"/>
                <w:sz w:val="18"/>
                <w:szCs w:val="18"/>
              </w:rPr>
            </w:pPr>
            <w:r>
              <w:rPr>
                <w:rFonts w:ascii="宋体" w:hAnsi="宋体" w:cs="宋体" w:eastAsia="宋体" w:hint="default"/>
                <w:sz w:val="18"/>
                <w:szCs w:val="18"/>
              </w:rPr>
              <w:t>1、审计委员会是否根据内部审计部门出具的评价报</w:t>
            </w:r>
          </w:p>
        </w:tc>
        <w:tc>
          <w:tcPr>
            <w:tcW w:w="900" w:type="dxa"/>
            <w:tcBorders>
              <w:top w:val="single" w:sz="4" w:space="0" w:color="000000"/>
              <w:left w:val="single" w:sz="4" w:space="0" w:color="000000"/>
              <w:bottom w:val="nil" w:sz="6" w:space="0" w:color="auto"/>
              <w:right w:val="single" w:sz="4" w:space="0" w:color="000000"/>
            </w:tcBorders>
          </w:tcPr>
          <w:p>
            <w:pPr/>
          </w:p>
        </w:tc>
        <w:tc>
          <w:tcPr>
            <w:tcW w:w="4212" w:type="dxa"/>
            <w:vMerge w:val="restart"/>
            <w:tcBorders>
              <w:top w:val="single" w:sz="4" w:space="0" w:color="000000"/>
              <w:left w:val="single" w:sz="4" w:space="0" w:color="000000"/>
              <w:right w:val="single" w:sz="4" w:space="0" w:color="000000"/>
            </w:tcBorders>
          </w:tcPr>
          <w:p>
            <w:pPr/>
          </w:p>
        </w:tc>
      </w:tr>
      <w:tr>
        <w:trPr>
          <w:trHeight w:val="48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553" w:right="0"/>
              <w:jc w:val="left"/>
              <w:rPr>
                <w:rFonts w:ascii="宋体" w:hAnsi="宋体" w:cs="宋体" w:eastAsia="宋体" w:hint="default"/>
                <w:sz w:val="18"/>
                <w:szCs w:val="18"/>
              </w:rPr>
            </w:pPr>
            <w:r>
              <w:rPr>
                <w:rFonts w:ascii="宋体" w:hAnsi="宋体" w:cs="宋体" w:eastAsia="宋体" w:hint="default"/>
                <w:spacing w:val="2"/>
                <w:sz w:val="18"/>
                <w:szCs w:val="18"/>
              </w:rPr>
              <w:t>告及相关资料，对财务报告和信息披露事务相关</w:t>
            </w:r>
          </w:p>
          <w:p>
            <w:pPr>
              <w:pStyle w:val="TableParagraph"/>
              <w:spacing w:line="240" w:lineRule="auto" w:before="4"/>
              <w:ind w:left="553" w:right="0"/>
              <w:jc w:val="left"/>
              <w:rPr>
                <w:rFonts w:ascii="宋体" w:hAnsi="宋体" w:cs="宋体" w:eastAsia="宋体" w:hint="default"/>
                <w:sz w:val="18"/>
                <w:szCs w:val="18"/>
              </w:rPr>
            </w:pPr>
            <w:r>
              <w:rPr>
                <w:rFonts w:ascii="宋体" w:hAnsi="宋体" w:cs="宋体" w:eastAsia="宋体" w:hint="default"/>
                <w:spacing w:val="2"/>
                <w:sz w:val="18"/>
                <w:szCs w:val="18"/>
              </w:rPr>
              <w:t>的内部控制制度的建立和实施情况出具年度内部</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vMerge/>
            <w:tcBorders>
              <w:left w:val="single" w:sz="4" w:space="0" w:color="000000"/>
              <w:right w:val="single" w:sz="4" w:space="0" w:color="000000"/>
            </w:tcBorders>
          </w:tcPr>
          <w:p>
            <w:pPr/>
          </w:p>
        </w:tc>
      </w:tr>
      <w:tr>
        <w:trPr>
          <w:trHeight w:val="358"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553" w:right="0"/>
              <w:jc w:val="left"/>
              <w:rPr>
                <w:rFonts w:ascii="宋体" w:hAnsi="宋体" w:cs="宋体" w:eastAsia="宋体" w:hint="default"/>
                <w:sz w:val="18"/>
                <w:szCs w:val="18"/>
              </w:rPr>
            </w:pPr>
            <w:r>
              <w:rPr>
                <w:rFonts w:ascii="宋体" w:hAnsi="宋体" w:cs="宋体" w:eastAsia="宋体" w:hint="default"/>
                <w:sz w:val="18"/>
                <w:szCs w:val="18"/>
              </w:rPr>
              <w:t>控制自我评价报告</w:t>
            </w:r>
          </w:p>
        </w:tc>
        <w:tc>
          <w:tcPr>
            <w:tcW w:w="900" w:type="dxa"/>
            <w:tcBorders>
              <w:top w:val="nil" w:sz="6" w:space="0" w:color="auto"/>
              <w:left w:val="single" w:sz="4" w:space="0" w:color="000000"/>
              <w:bottom w:val="single" w:sz="4" w:space="0" w:color="000000"/>
              <w:right w:val="single" w:sz="4" w:space="0" w:color="000000"/>
            </w:tcBorders>
          </w:tcPr>
          <w:p>
            <w:pPr/>
          </w:p>
        </w:tc>
        <w:tc>
          <w:tcPr>
            <w:tcW w:w="4212" w:type="dxa"/>
            <w:vMerge/>
            <w:tcBorders>
              <w:left w:val="single" w:sz="4" w:space="0" w:color="000000"/>
              <w:bottom w:val="single" w:sz="4" w:space="0" w:color="000000"/>
              <w:right w:val="single" w:sz="4" w:space="0" w:color="000000"/>
            </w:tcBorders>
          </w:tcPr>
          <w:p>
            <w:pPr/>
          </w:p>
        </w:tc>
      </w:tr>
      <w:tr>
        <w:trPr>
          <w:trHeight w:val="43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hAnsi="宋体" w:cs="宋体" w:eastAsia="宋体" w:hint="default"/>
                <w:spacing w:val="-2"/>
                <w:sz w:val="18"/>
                <w:szCs w:val="18"/>
              </w:rPr>
              <w:t>2、本年度内部控制自我评价报告是否包括以下内容：</w:t>
            </w:r>
          </w:p>
        </w:tc>
        <w:tc>
          <w:tcPr>
            <w:tcW w:w="900" w:type="dxa"/>
            <w:tcBorders>
              <w:top w:val="single" w:sz="4" w:space="0" w:color="000000"/>
              <w:left w:val="single" w:sz="4" w:space="0" w:color="000000"/>
              <w:bottom w:val="nil" w:sz="6" w:space="0" w:color="auto"/>
              <w:right w:val="single" w:sz="4" w:space="0" w:color="000000"/>
            </w:tcBorders>
          </w:tcPr>
          <w:p>
            <w:pPr/>
          </w:p>
        </w:tc>
        <w:tc>
          <w:tcPr>
            <w:tcW w:w="4212" w:type="dxa"/>
            <w:vMerge w:val="restart"/>
            <w:tcBorders>
              <w:top w:val="single" w:sz="4" w:space="0" w:color="000000"/>
              <w:left w:val="single" w:sz="4" w:space="0" w:color="000000"/>
              <w:right w:val="single" w:sz="4" w:space="0" w:color="000000"/>
            </w:tcBorders>
          </w:tcPr>
          <w:p>
            <w:pPr/>
          </w:p>
        </w:tc>
      </w:tr>
      <w:tr>
        <w:trPr>
          <w:trHeight w:val="30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7"/>
              <w:jc w:val="right"/>
              <w:rPr>
                <w:rFonts w:ascii="宋体" w:hAnsi="宋体" w:cs="宋体" w:eastAsia="宋体" w:hint="default"/>
                <w:sz w:val="18"/>
                <w:szCs w:val="18"/>
              </w:rPr>
            </w:pPr>
            <w:r>
              <w:rPr>
                <w:rFonts w:ascii="宋体" w:hAnsi="宋体" w:cs="宋体" w:eastAsia="宋体" w:hint="default"/>
                <w:sz w:val="18"/>
                <w:szCs w:val="18"/>
              </w:rPr>
              <w:t>① 内部控制制度是否建立健全和有效实施；</w:t>
            </w:r>
          </w:p>
        </w:tc>
        <w:tc>
          <w:tcPr>
            <w:tcW w:w="900" w:type="dxa"/>
            <w:tcBorders>
              <w:top w:val="nil" w:sz="6" w:space="0" w:color="auto"/>
              <w:left w:val="single" w:sz="4" w:space="0" w:color="000000"/>
              <w:bottom w:val="nil" w:sz="6" w:space="0" w:color="auto"/>
              <w:right w:val="single" w:sz="4" w:space="0" w:color="000000"/>
            </w:tcBorders>
          </w:tcPr>
          <w:p>
            <w:pPr/>
          </w:p>
        </w:tc>
        <w:tc>
          <w:tcPr>
            <w:tcW w:w="4212" w:type="dxa"/>
            <w:vMerge/>
            <w:tcBorders>
              <w:left w:val="single" w:sz="4" w:space="0" w:color="000000"/>
              <w:right w:val="single" w:sz="4" w:space="0" w:color="000000"/>
            </w:tcBorders>
          </w:tcPr>
          <w:p>
            <w:pPr/>
          </w:p>
        </w:tc>
      </w:tr>
      <w:tr>
        <w:trPr>
          <w:trHeight w:val="21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93"/>
              <w:jc w:val="righ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21"/>
                <w:sz w:val="18"/>
                <w:szCs w:val="18"/>
              </w:rPr>
              <w:t> </w:t>
            </w:r>
            <w:r>
              <w:rPr>
                <w:rFonts w:ascii="宋体" w:hAnsi="宋体" w:cs="宋体" w:eastAsia="宋体" w:hint="default"/>
                <w:spacing w:val="8"/>
                <w:sz w:val="18"/>
                <w:szCs w:val="18"/>
              </w:rPr>
              <w:t>内部控制存在的缺陷和异常事项及其处理情</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single" w:sz="4" w:space="0" w:color="000000"/>
            </w:tcBorders>
          </w:tcPr>
          <w:p>
            <w:pPr/>
          </w:p>
        </w:tc>
        <w:tc>
          <w:tcPr>
            <w:tcW w:w="4212" w:type="dxa"/>
            <w:vMerge/>
            <w:tcBorders>
              <w:left w:val="single" w:sz="4" w:space="0" w:color="000000"/>
              <w:right w:val="single" w:sz="4" w:space="0" w:color="000000"/>
            </w:tcBorders>
          </w:tcPr>
          <w:p>
            <w:pPr/>
          </w:p>
        </w:tc>
      </w:tr>
      <w:tr>
        <w:trPr>
          <w:trHeight w:val="27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98"/>
              <w:jc w:val="right"/>
              <w:rPr>
                <w:rFonts w:ascii="宋体" w:hAnsi="宋体" w:cs="宋体" w:eastAsia="宋体" w:hint="default"/>
                <w:sz w:val="18"/>
                <w:szCs w:val="18"/>
              </w:rPr>
            </w:pPr>
            <w:r>
              <w:rPr>
                <w:rFonts w:ascii="宋体" w:hAnsi="宋体" w:cs="宋体" w:eastAsia="宋体" w:hint="default"/>
                <w:spacing w:val="3"/>
                <w:sz w:val="18"/>
                <w:szCs w:val="18"/>
              </w:rPr>
              <w:t>况（</w:t>
            </w:r>
            <w:r>
              <w:rPr>
                <w:rFonts w:ascii="宋体" w:hAnsi="宋体" w:cs="宋体" w:eastAsia="宋体" w:hint="default"/>
                <w:spacing w:val="4"/>
                <w:sz w:val="18"/>
                <w:szCs w:val="18"/>
              </w:rPr>
              <w:t>如</w:t>
            </w:r>
            <w:r>
              <w:rPr>
                <w:rFonts w:ascii="宋体" w:hAnsi="宋体" w:cs="宋体" w:eastAsia="宋体" w:hint="default"/>
                <w:spacing w:val="3"/>
                <w:sz w:val="18"/>
                <w:szCs w:val="18"/>
              </w:rPr>
              <w:t>适用</w:t>
            </w:r>
            <w:r>
              <w:rPr>
                <w:rFonts w:ascii="宋体" w:hAnsi="宋体" w:cs="宋体" w:eastAsia="宋体" w:hint="default"/>
                <w:spacing w:val="-86"/>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③</w:t>
            </w:r>
            <w:r>
              <w:rPr>
                <w:rFonts w:ascii="宋体" w:hAnsi="宋体" w:cs="宋体" w:eastAsia="宋体" w:hint="default"/>
                <w:spacing w:val="7"/>
                <w:sz w:val="18"/>
                <w:szCs w:val="18"/>
              </w:rPr>
              <w:t> </w:t>
            </w:r>
            <w:r>
              <w:rPr>
                <w:rFonts w:ascii="宋体" w:hAnsi="宋体" w:cs="宋体" w:eastAsia="宋体" w:hint="default"/>
                <w:spacing w:val="4"/>
                <w:sz w:val="18"/>
                <w:szCs w:val="18"/>
              </w:rPr>
              <w:t>改</w:t>
            </w:r>
            <w:r>
              <w:rPr>
                <w:rFonts w:ascii="宋体" w:hAnsi="宋体" w:cs="宋体" w:eastAsia="宋体" w:hint="default"/>
                <w:spacing w:val="3"/>
                <w:sz w:val="18"/>
                <w:szCs w:val="18"/>
              </w:rPr>
              <w:t>进和</w:t>
            </w:r>
            <w:r>
              <w:rPr>
                <w:rFonts w:ascii="宋体" w:hAnsi="宋体" w:cs="宋体" w:eastAsia="宋体" w:hint="default"/>
                <w:spacing w:val="4"/>
                <w:sz w:val="18"/>
                <w:szCs w:val="18"/>
              </w:rPr>
              <w:t>完善</w:t>
            </w:r>
            <w:r>
              <w:rPr>
                <w:rFonts w:ascii="宋体" w:hAnsi="宋体" w:cs="宋体" w:eastAsia="宋体" w:hint="default"/>
                <w:spacing w:val="3"/>
                <w:sz w:val="18"/>
                <w:szCs w:val="18"/>
              </w:rPr>
              <w:t>内部</w:t>
            </w:r>
            <w:r>
              <w:rPr>
                <w:rFonts w:ascii="宋体" w:hAnsi="宋体" w:cs="宋体" w:eastAsia="宋体" w:hint="default"/>
                <w:spacing w:val="4"/>
                <w:sz w:val="18"/>
                <w:szCs w:val="18"/>
              </w:rPr>
              <w:t>控</w:t>
            </w:r>
            <w:r>
              <w:rPr>
                <w:rFonts w:ascii="宋体" w:hAnsi="宋体" w:cs="宋体" w:eastAsia="宋体" w:hint="default"/>
                <w:spacing w:val="3"/>
                <w:sz w:val="18"/>
                <w:szCs w:val="18"/>
              </w:rPr>
              <w:t>制制</w:t>
            </w:r>
            <w:r>
              <w:rPr>
                <w:rFonts w:ascii="宋体" w:hAnsi="宋体" w:cs="宋体" w:eastAsia="宋体" w:hint="default"/>
                <w:spacing w:val="4"/>
                <w:sz w:val="18"/>
                <w:szCs w:val="18"/>
              </w:rPr>
              <w:t>度</w:t>
            </w:r>
            <w:r>
              <w:rPr>
                <w:rFonts w:ascii="宋体" w:hAnsi="宋体" w:cs="宋体" w:eastAsia="宋体" w:hint="default"/>
                <w:spacing w:val="3"/>
                <w:sz w:val="18"/>
                <w:szCs w:val="18"/>
              </w:rPr>
              <w:t>建立</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vMerge/>
            <w:tcBorders>
              <w:left w:val="single" w:sz="4" w:space="0" w:color="000000"/>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z w:val="18"/>
                <w:szCs w:val="18"/>
              </w:rPr>
              <w:t>及其实施的有关措施；④</w:t>
            </w:r>
            <w:r>
              <w:rPr>
                <w:rFonts w:ascii="宋体" w:hAnsi="宋体" w:cs="宋体" w:eastAsia="宋体" w:hint="default"/>
                <w:spacing w:val="-4"/>
                <w:sz w:val="18"/>
                <w:szCs w:val="18"/>
              </w:rPr>
              <w:t> </w:t>
            </w:r>
            <w:r>
              <w:rPr>
                <w:rFonts w:ascii="宋体" w:hAnsi="宋体" w:cs="宋体" w:eastAsia="宋体" w:hint="default"/>
                <w:sz w:val="18"/>
                <w:szCs w:val="18"/>
              </w:rPr>
              <w:t>上一年度内部控制存在</w:t>
            </w:r>
          </w:p>
        </w:tc>
        <w:tc>
          <w:tcPr>
            <w:tcW w:w="900" w:type="dxa"/>
            <w:tcBorders>
              <w:top w:val="nil" w:sz="6" w:space="0" w:color="auto"/>
              <w:left w:val="single" w:sz="4" w:space="0" w:color="000000"/>
              <w:bottom w:val="nil" w:sz="6" w:space="0" w:color="auto"/>
              <w:right w:val="single" w:sz="4" w:space="0" w:color="000000"/>
            </w:tcBorders>
          </w:tcPr>
          <w:p>
            <w:pPr/>
          </w:p>
        </w:tc>
        <w:tc>
          <w:tcPr>
            <w:tcW w:w="4212" w:type="dxa"/>
            <w:vMerge/>
            <w:tcBorders>
              <w:left w:val="single" w:sz="4" w:space="0" w:color="000000"/>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hAnsi="宋体" w:cs="宋体" w:eastAsia="宋体" w:hint="default"/>
                <w:spacing w:val="3"/>
                <w:sz w:val="18"/>
                <w:szCs w:val="18"/>
              </w:rPr>
              <w:t>的缺</w:t>
            </w:r>
            <w:r>
              <w:rPr>
                <w:rFonts w:ascii="宋体" w:hAnsi="宋体" w:cs="宋体" w:eastAsia="宋体" w:hint="default"/>
                <w:spacing w:val="4"/>
                <w:sz w:val="18"/>
                <w:szCs w:val="18"/>
              </w:rPr>
              <w:t>陷</w:t>
            </w:r>
            <w:r>
              <w:rPr>
                <w:rFonts w:ascii="宋体" w:hAnsi="宋体" w:cs="宋体" w:eastAsia="宋体" w:hint="default"/>
                <w:spacing w:val="3"/>
                <w:sz w:val="18"/>
                <w:szCs w:val="18"/>
              </w:rPr>
              <w:t>和异</w:t>
            </w:r>
            <w:r>
              <w:rPr>
                <w:rFonts w:ascii="宋体" w:hAnsi="宋体" w:cs="宋体" w:eastAsia="宋体" w:hint="default"/>
                <w:spacing w:val="4"/>
                <w:sz w:val="18"/>
                <w:szCs w:val="18"/>
              </w:rPr>
              <w:t>常</w:t>
            </w:r>
            <w:r>
              <w:rPr>
                <w:rFonts w:ascii="宋体" w:hAnsi="宋体" w:cs="宋体" w:eastAsia="宋体" w:hint="default"/>
                <w:spacing w:val="3"/>
                <w:sz w:val="18"/>
                <w:szCs w:val="18"/>
              </w:rPr>
              <w:t>事项</w:t>
            </w:r>
            <w:r>
              <w:rPr>
                <w:rFonts w:ascii="宋体" w:hAnsi="宋体" w:cs="宋体" w:eastAsia="宋体" w:hint="default"/>
                <w:spacing w:val="4"/>
                <w:sz w:val="18"/>
                <w:szCs w:val="18"/>
              </w:rPr>
              <w:t>的</w:t>
            </w:r>
            <w:r>
              <w:rPr>
                <w:rFonts w:ascii="宋体" w:hAnsi="宋体" w:cs="宋体" w:eastAsia="宋体" w:hint="default"/>
                <w:spacing w:val="3"/>
                <w:sz w:val="18"/>
                <w:szCs w:val="18"/>
              </w:rPr>
              <w:t>改进</w:t>
            </w:r>
            <w:r>
              <w:rPr>
                <w:rFonts w:ascii="宋体" w:hAnsi="宋体" w:cs="宋体" w:eastAsia="宋体" w:hint="default"/>
                <w:spacing w:val="4"/>
                <w:sz w:val="18"/>
                <w:szCs w:val="18"/>
              </w:rPr>
              <w:t>情</w:t>
            </w:r>
            <w:r>
              <w:rPr>
                <w:rFonts w:ascii="宋体" w:hAnsi="宋体" w:cs="宋体" w:eastAsia="宋体" w:hint="default"/>
                <w:spacing w:val="3"/>
                <w:sz w:val="18"/>
                <w:szCs w:val="18"/>
              </w:rPr>
              <w:t>况（</w:t>
            </w:r>
            <w:r>
              <w:rPr>
                <w:rFonts w:ascii="宋体" w:hAnsi="宋体" w:cs="宋体" w:eastAsia="宋体" w:hint="default"/>
                <w:spacing w:val="4"/>
                <w:sz w:val="18"/>
                <w:szCs w:val="18"/>
              </w:rPr>
              <w:t>如</w:t>
            </w:r>
            <w:r>
              <w:rPr>
                <w:rFonts w:ascii="宋体" w:hAnsi="宋体" w:cs="宋体" w:eastAsia="宋体" w:hint="default"/>
                <w:spacing w:val="3"/>
                <w:sz w:val="18"/>
                <w:szCs w:val="18"/>
              </w:rPr>
              <w:t>适用</w:t>
            </w:r>
            <w:r>
              <w:rPr>
                <w:rFonts w:ascii="宋体" w:hAnsi="宋体" w:cs="宋体" w:eastAsia="宋体" w:hint="default"/>
                <w:spacing w:val="-86"/>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⑤</w:t>
            </w:r>
            <w:r>
              <w:rPr>
                <w:rFonts w:ascii="宋体" w:hAnsi="宋体" w:cs="宋体" w:eastAsia="宋体" w:hint="default"/>
                <w:spacing w:val="7"/>
                <w:sz w:val="18"/>
                <w:szCs w:val="18"/>
              </w:rPr>
              <w:t> </w:t>
            </w:r>
            <w:r>
              <w:rPr>
                <w:rFonts w:ascii="宋体" w:hAnsi="宋体" w:cs="宋体" w:eastAsia="宋体" w:hint="default"/>
                <w:sz w:val="18"/>
                <w:szCs w:val="18"/>
              </w:rPr>
              <w:t>本</w:t>
            </w:r>
          </w:p>
        </w:tc>
        <w:tc>
          <w:tcPr>
            <w:tcW w:w="900" w:type="dxa"/>
            <w:tcBorders>
              <w:top w:val="nil" w:sz="6" w:space="0" w:color="auto"/>
              <w:left w:val="single" w:sz="4" w:space="0" w:color="000000"/>
              <w:bottom w:val="nil" w:sz="6" w:space="0" w:color="auto"/>
              <w:right w:val="single" w:sz="4" w:space="0" w:color="000000"/>
            </w:tcBorders>
          </w:tcPr>
          <w:p>
            <w:pPr/>
          </w:p>
        </w:tc>
        <w:tc>
          <w:tcPr>
            <w:tcW w:w="4212" w:type="dxa"/>
            <w:vMerge/>
            <w:tcBorders>
              <w:left w:val="single" w:sz="4" w:space="0" w:color="000000"/>
              <w:right w:val="single" w:sz="4" w:space="0" w:color="000000"/>
            </w:tcBorders>
          </w:tcPr>
          <w:p>
            <w:pPr/>
          </w:p>
        </w:tc>
      </w:tr>
      <w:tr>
        <w:trPr>
          <w:trHeight w:val="359"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520" w:right="0"/>
              <w:jc w:val="left"/>
              <w:rPr>
                <w:rFonts w:ascii="宋体" w:hAnsi="宋体" w:cs="宋体" w:eastAsia="宋体" w:hint="default"/>
                <w:sz w:val="18"/>
                <w:szCs w:val="18"/>
              </w:rPr>
            </w:pPr>
            <w:r>
              <w:rPr>
                <w:rFonts w:ascii="宋体" w:hAnsi="宋体" w:cs="宋体" w:eastAsia="宋体" w:hint="default"/>
                <w:sz w:val="18"/>
                <w:szCs w:val="18"/>
              </w:rPr>
              <w:t>年度内部控制审查与评价工作完成情况的说明</w:t>
            </w:r>
          </w:p>
        </w:tc>
        <w:tc>
          <w:tcPr>
            <w:tcW w:w="900" w:type="dxa"/>
            <w:tcBorders>
              <w:top w:val="nil" w:sz="6" w:space="0" w:color="auto"/>
              <w:left w:val="single" w:sz="4" w:space="0" w:color="000000"/>
              <w:bottom w:val="single" w:sz="4" w:space="0" w:color="000000"/>
              <w:right w:val="single" w:sz="4" w:space="0" w:color="000000"/>
            </w:tcBorders>
          </w:tcPr>
          <w:p>
            <w:pPr/>
          </w:p>
        </w:tc>
        <w:tc>
          <w:tcPr>
            <w:tcW w:w="4212" w:type="dxa"/>
            <w:vMerge/>
            <w:tcBorders>
              <w:left w:val="single" w:sz="4" w:space="0" w:color="000000"/>
              <w:bottom w:val="single" w:sz="4" w:space="0" w:color="000000"/>
              <w:right w:val="single" w:sz="4" w:space="0" w:color="000000"/>
            </w:tcBorders>
          </w:tcPr>
          <w:p>
            <w:pPr/>
          </w:p>
        </w:tc>
      </w:tr>
      <w:tr>
        <w:trPr>
          <w:trHeight w:val="61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53" w:right="101" w:hanging="270"/>
              <w:jc w:val="left"/>
              <w:rPr>
                <w:rFonts w:ascii="宋体" w:hAnsi="宋体" w:cs="宋体" w:eastAsia="宋体" w:hint="default"/>
                <w:sz w:val="18"/>
                <w:szCs w:val="18"/>
              </w:rPr>
            </w:pPr>
            <w:r>
              <w:rPr>
                <w:rFonts w:ascii="宋体" w:hAnsi="宋体" w:cs="宋体" w:eastAsia="宋体" w:hint="default"/>
                <w:spacing w:val="-2"/>
                <w:sz w:val="18"/>
                <w:szCs w:val="18"/>
              </w:rPr>
              <w:t>3、内部控制自我评价报告结论是否为内部控制有效,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如为内部控制无效请说明内部控制存在的重大缺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500"/>
        <w:gridCol w:w="900"/>
        <w:gridCol w:w="4212"/>
      </w:tblGrid>
      <w:tr>
        <w:trPr>
          <w:trHeight w:val="37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53" w:right="0"/>
              <w:jc w:val="left"/>
              <w:rPr>
                <w:rFonts w:ascii="宋体" w:hAnsi="宋体" w:cs="宋体" w:eastAsia="宋体" w:hint="default"/>
                <w:sz w:val="18"/>
                <w:szCs w:val="18"/>
              </w:rPr>
            </w:pPr>
            <w:r>
              <w:rPr>
                <w:rFonts w:ascii="宋体" w:hAnsi="宋体" w:cs="宋体" w:eastAsia="宋体" w:hint="default"/>
                <w:sz w:val="18"/>
                <w:szCs w:val="18"/>
              </w:rPr>
              <w:t>陷</w:t>
            </w:r>
          </w:p>
        </w:tc>
        <w:tc>
          <w:tcPr>
            <w:tcW w:w="900" w:type="dxa"/>
            <w:tcBorders>
              <w:top w:val="single" w:sz="4" w:space="0" w:color="000000"/>
              <w:left w:val="single" w:sz="4" w:space="0" w:color="000000"/>
              <w:bottom w:val="single" w:sz="4" w:space="0" w:color="000000"/>
              <w:right w:val="single" w:sz="4" w:space="0" w:color="000000"/>
            </w:tcBorders>
          </w:tcPr>
          <w:p>
            <w:pP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53" w:right="100" w:hanging="270"/>
              <w:jc w:val="left"/>
              <w:rPr>
                <w:rFonts w:ascii="宋体" w:hAnsi="宋体" w:cs="宋体" w:eastAsia="宋体" w:hint="default"/>
                <w:sz w:val="18"/>
                <w:szCs w:val="18"/>
              </w:rPr>
            </w:pPr>
            <w:r>
              <w:rPr>
                <w:rFonts w:ascii="宋体" w:hAnsi="宋体" w:cs="宋体" w:eastAsia="宋体" w:hint="default"/>
                <w:sz w:val="18"/>
                <w:szCs w:val="18"/>
              </w:rPr>
              <w:t>4、本年度是否聘请会计师事务所对内部控制有效性</w:t>
            </w:r>
            <w:r>
              <w:rPr>
                <w:rFonts w:ascii="宋体" w:hAnsi="宋体" w:cs="宋体" w:eastAsia="宋体" w:hint="default"/>
                <w:spacing w:val="-45"/>
                <w:sz w:val="18"/>
                <w:szCs w:val="18"/>
              </w:rPr>
              <w:t> </w:t>
            </w:r>
            <w:r>
              <w:rPr>
                <w:rFonts w:ascii="宋体" w:hAnsi="宋体" w:cs="宋体" w:eastAsia="宋体" w:hint="default"/>
                <w:sz w:val="18"/>
                <w:szCs w:val="18"/>
              </w:rPr>
              <w:t>出具鉴证报告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否</w:t>
            </w:r>
          </w:p>
        </w:tc>
        <w:tc>
          <w:tcPr>
            <w:tcW w:w="42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228"/>
              <w:jc w:val="left"/>
              <w:rPr>
                <w:rFonts w:ascii="宋体" w:hAnsi="宋体" w:cs="宋体" w:eastAsia="宋体" w:hint="default"/>
                <w:sz w:val="18"/>
                <w:szCs w:val="18"/>
              </w:rPr>
            </w:pPr>
            <w:r>
              <w:rPr>
                <w:rFonts w:ascii="宋体" w:hAnsi="宋体" w:cs="宋体" w:eastAsia="宋体" w:hint="default"/>
                <w:sz w:val="18"/>
                <w:szCs w:val="18"/>
              </w:rPr>
              <w:t>拟聘请会计师事务所就公司</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年度内部控制出</w:t>
            </w:r>
            <w:r>
              <w:rPr>
                <w:rFonts w:ascii="宋体" w:hAnsi="宋体" w:cs="宋体" w:eastAsia="宋体" w:hint="default"/>
                <w:sz w:val="18"/>
                <w:szCs w:val="18"/>
              </w:rPr>
              <w:t> 具鉴证报告</w:t>
            </w: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53" w:right="100" w:hanging="270"/>
              <w:jc w:val="left"/>
              <w:rPr>
                <w:rFonts w:ascii="宋体" w:hAnsi="宋体" w:cs="宋体" w:eastAsia="宋体" w:hint="default"/>
                <w:sz w:val="18"/>
                <w:szCs w:val="18"/>
              </w:rPr>
            </w:pPr>
            <w:r>
              <w:rPr>
                <w:rFonts w:ascii="宋体" w:hAnsi="宋体" w:cs="宋体" w:eastAsia="宋体" w:hint="default"/>
                <w:sz w:val="18"/>
                <w:szCs w:val="18"/>
              </w:rPr>
              <w:t>5、会计师事务所对公司内部控制有效性是否出具非</w:t>
            </w:r>
            <w:r>
              <w:rPr>
                <w:rFonts w:ascii="宋体" w:hAnsi="宋体" w:cs="宋体" w:eastAsia="宋体" w:hint="default"/>
                <w:spacing w:val="-45"/>
                <w:sz w:val="18"/>
                <w:szCs w:val="18"/>
              </w:rPr>
              <w:t> </w:t>
            </w:r>
            <w:r>
              <w:rPr>
                <w:rFonts w:ascii="宋体" w:hAnsi="宋体" w:cs="宋体" w:eastAsia="宋体" w:hint="default"/>
                <w:sz w:val="18"/>
                <w:szCs w:val="18"/>
              </w:rPr>
              <w:t>无保留结论鉴证报告。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否</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6、独立董事、监事会是否出具明确同意意见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2" w:firstLine="540"/>
              <w:jc w:val="left"/>
              <w:rPr>
                <w:rFonts w:ascii="宋体" w:hAnsi="宋体" w:cs="宋体" w:eastAsia="宋体" w:hint="default"/>
                <w:sz w:val="18"/>
                <w:szCs w:val="18"/>
              </w:rPr>
            </w:pPr>
            <w:r>
              <w:rPr>
                <w:rFonts w:ascii="宋体" w:hAnsi="宋体" w:cs="宋体" w:eastAsia="宋体" w:hint="default"/>
                <w:spacing w:val="2"/>
                <w:sz w:val="18"/>
                <w:szCs w:val="18"/>
              </w:rPr>
              <w:t>7、保荐机构和保荐代表人是否出具明确同意的</w:t>
            </w:r>
            <w:r>
              <w:rPr>
                <w:rFonts w:ascii="宋体" w:hAnsi="宋体" w:cs="宋体" w:eastAsia="宋体" w:hint="default"/>
                <w:sz w:val="18"/>
                <w:szCs w:val="18"/>
              </w:rPr>
              <w:t> 核查意见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是</w:t>
            </w:r>
          </w:p>
        </w:tc>
        <w:tc>
          <w:tcPr>
            <w:tcW w:w="421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01"/>
              <w:ind w:left="373" w:right="101" w:hanging="270"/>
              <w:jc w:val="left"/>
              <w:rPr>
                <w:rFonts w:ascii="宋体" w:hAnsi="宋体" w:cs="宋体" w:eastAsia="宋体" w:hint="default"/>
                <w:sz w:val="18"/>
                <w:szCs w:val="18"/>
              </w:rPr>
            </w:pPr>
            <w:r>
              <w:rPr>
                <w:rFonts w:ascii="宋体" w:hAnsi="宋体" w:cs="宋体" w:eastAsia="宋体" w:hint="default"/>
                <w:spacing w:val="-2"/>
                <w:sz w:val="18"/>
                <w:szCs w:val="18"/>
              </w:rPr>
              <w:t>三、审计委员会和内部审计部门本年度的主要工作内容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与工作成效</w:t>
            </w:r>
          </w:p>
        </w:tc>
        <w:tc>
          <w:tcPr>
            <w:tcW w:w="511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59"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1、审计委员会的主要工作内容与工作成效</w:t>
            </w:r>
          </w:p>
        </w:tc>
        <w:tc>
          <w:tcPr>
            <w:tcW w:w="5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8" w:right="0"/>
              <w:jc w:val="center"/>
              <w:rPr>
                <w:rFonts w:ascii="宋体" w:hAnsi="宋体" w:cs="宋体" w:eastAsia="宋体" w:hint="default"/>
                <w:sz w:val="18"/>
                <w:szCs w:val="18"/>
              </w:rPr>
            </w:pPr>
            <w:r>
              <w:rPr>
                <w:rFonts w:ascii="宋体"/>
                <w:sz w:val="18"/>
              </w:rPr>
              <w:t>-</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
        </w:tc>
        <w:tc>
          <w:tcPr>
            <w:tcW w:w="511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1、2008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日，第一董事会审计委员会召开第二次</w:t>
            </w:r>
          </w:p>
        </w:tc>
      </w:tr>
      <w:tr>
        <w:trPr>
          <w:trHeight w:val="30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98"/>
              <w:jc w:val="righ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6"/>
                <w:sz w:val="18"/>
                <w:szCs w:val="18"/>
              </w:rPr>
              <w:t> </w:t>
            </w:r>
            <w:r>
              <w:rPr>
                <w:rFonts w:ascii="宋体" w:hAnsi="宋体" w:cs="宋体" w:eastAsia="宋体" w:hint="default"/>
                <w:spacing w:val="2"/>
                <w:sz w:val="18"/>
                <w:szCs w:val="18"/>
              </w:rPr>
              <w:t>说明审计委员会每季度召开会议审议内部审计</w:t>
            </w:r>
            <w:r>
              <w:rPr>
                <w:rFonts w:ascii="宋体" w:hAnsi="宋体" w:cs="宋体" w:eastAsia="宋体" w:hint="default"/>
                <w:sz w:val="18"/>
                <w:szCs w:val="18"/>
              </w:rPr>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会议，审议通过公司审计部门</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年度内部审计报告；</w:t>
            </w:r>
          </w:p>
        </w:tc>
      </w:tr>
      <w:tr>
        <w:trPr>
          <w:trHeight w:val="30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733" w:right="0"/>
              <w:jc w:val="left"/>
              <w:rPr>
                <w:rFonts w:ascii="宋体" w:hAnsi="宋体" w:cs="宋体" w:eastAsia="宋体" w:hint="default"/>
                <w:sz w:val="18"/>
                <w:szCs w:val="18"/>
              </w:rPr>
            </w:pPr>
            <w:r>
              <w:rPr>
                <w:rFonts w:ascii="宋体" w:hAnsi="宋体" w:cs="宋体" w:eastAsia="宋体" w:hint="default"/>
                <w:sz w:val="18"/>
                <w:szCs w:val="18"/>
              </w:rPr>
              <w:t>部门提交的工作计划和报告的具体情况</w:t>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pacing w:val="24"/>
                <w:sz w:val="18"/>
                <w:szCs w:val="18"/>
              </w:rPr>
              <w:t>2、2009年3月3</w:t>
            </w:r>
            <w:r>
              <w:rPr>
                <w:rFonts w:ascii="宋体" w:hAnsi="宋体" w:cs="宋体" w:eastAsia="宋体" w:hint="default"/>
                <w:spacing w:val="-25"/>
                <w:sz w:val="18"/>
                <w:szCs w:val="18"/>
              </w:rPr>
              <w:t> </w:t>
            </w:r>
            <w:r>
              <w:rPr>
                <w:rFonts w:ascii="宋体" w:hAnsi="宋体" w:cs="宋体" w:eastAsia="宋体" w:hint="default"/>
                <w:sz w:val="18"/>
                <w:szCs w:val="18"/>
              </w:rPr>
              <w:t>日，第二届董事会审计委员会召开第二</w:t>
            </w:r>
          </w:p>
        </w:tc>
      </w:tr>
      <w:tr>
        <w:trPr>
          <w:trHeight w:val="359" w:hRule="exact"/>
        </w:trPr>
        <w:tc>
          <w:tcPr>
            <w:tcW w:w="4500" w:type="dxa"/>
            <w:tcBorders>
              <w:top w:val="nil" w:sz="6" w:space="0" w:color="auto"/>
              <w:left w:val="single" w:sz="4" w:space="0" w:color="000000"/>
              <w:bottom w:val="single" w:sz="4" w:space="0" w:color="000000"/>
              <w:right w:val="single" w:sz="4" w:space="0" w:color="000000"/>
            </w:tcBorders>
          </w:tcPr>
          <w:p>
            <w:pPr/>
          </w:p>
        </w:tc>
        <w:tc>
          <w:tcPr>
            <w:tcW w:w="5112" w:type="dxa"/>
            <w:gridSpan w:val="2"/>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次会议，审议通过审计部门</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年度内部审计报告。</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6"/>
                <w:sz w:val="18"/>
                <w:szCs w:val="18"/>
              </w:rPr>
              <w:t> </w:t>
            </w:r>
            <w:r>
              <w:rPr>
                <w:rFonts w:ascii="宋体" w:hAnsi="宋体" w:cs="宋体" w:eastAsia="宋体" w:hint="default"/>
                <w:spacing w:val="2"/>
                <w:sz w:val="18"/>
                <w:szCs w:val="18"/>
              </w:rPr>
              <w:t>说明审计委员会每季度向董事会报告内部审计</w:t>
            </w:r>
            <w:r>
              <w:rPr>
                <w:rFonts w:ascii="宋体" w:hAnsi="宋体" w:cs="宋体" w:eastAsia="宋体" w:hint="default"/>
                <w:sz w:val="18"/>
                <w:szCs w:val="18"/>
              </w:rPr>
            </w:r>
          </w:p>
        </w:tc>
        <w:tc>
          <w:tcPr>
            <w:tcW w:w="511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上述会议中审计部门向审计委员会报告内部审计工作情况</w:t>
            </w:r>
          </w:p>
        </w:tc>
      </w:tr>
      <w:tr>
        <w:trPr>
          <w:trHeight w:val="357"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733" w:right="0"/>
              <w:jc w:val="left"/>
              <w:rPr>
                <w:rFonts w:ascii="宋体" w:hAnsi="宋体" w:cs="宋体" w:eastAsia="宋体" w:hint="default"/>
                <w:sz w:val="18"/>
                <w:szCs w:val="18"/>
              </w:rPr>
            </w:pPr>
            <w:r>
              <w:rPr>
                <w:rFonts w:ascii="宋体" w:hAnsi="宋体" w:cs="宋体" w:eastAsia="宋体" w:hint="default"/>
                <w:sz w:val="18"/>
                <w:szCs w:val="18"/>
              </w:rPr>
              <w:t>工作的具体情况</w:t>
            </w:r>
          </w:p>
        </w:tc>
        <w:tc>
          <w:tcPr>
            <w:tcW w:w="5112" w:type="dxa"/>
            <w:gridSpan w:val="2"/>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总结。</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6"/>
                <w:sz w:val="18"/>
                <w:szCs w:val="18"/>
              </w:rPr>
              <w:t> </w:t>
            </w:r>
            <w:r>
              <w:rPr>
                <w:rFonts w:ascii="宋体" w:hAnsi="宋体" w:cs="宋体" w:eastAsia="宋体" w:hint="default"/>
                <w:spacing w:val="2"/>
                <w:sz w:val="18"/>
                <w:szCs w:val="18"/>
              </w:rPr>
              <w:t>审计委员会认为公司内部控制存在重大缺陷或</w:t>
            </w:r>
            <w:r>
              <w:rPr>
                <w:rFonts w:ascii="宋体" w:hAnsi="宋体" w:cs="宋体" w:eastAsia="宋体" w:hint="default"/>
                <w:sz w:val="18"/>
                <w:szCs w:val="18"/>
              </w:rPr>
            </w:r>
          </w:p>
        </w:tc>
        <w:tc>
          <w:tcPr>
            <w:tcW w:w="5112" w:type="dxa"/>
            <w:gridSpan w:val="2"/>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hAnsi="宋体" w:cs="宋体" w:eastAsia="宋体" w:hint="default"/>
                <w:spacing w:val="2"/>
                <w:sz w:val="18"/>
                <w:szCs w:val="18"/>
              </w:rPr>
              <w:t>重大风险的，说明内部控制存在重大缺陷或重</w:t>
            </w:r>
            <w:r>
              <w:rPr>
                <w:rFonts w:ascii="宋体" w:hAnsi="宋体" w:cs="宋体" w:eastAsia="宋体" w:hint="default"/>
                <w:sz w:val="18"/>
                <w:szCs w:val="18"/>
              </w:rPr>
            </w:r>
          </w:p>
        </w:tc>
        <w:tc>
          <w:tcPr>
            <w:tcW w:w="5112" w:type="dxa"/>
            <w:gridSpan w:val="2"/>
            <w:tcBorders>
              <w:top w:val="nil" w:sz="6" w:space="0" w:color="auto"/>
              <w:left w:val="single" w:sz="4" w:space="0" w:color="000000"/>
              <w:bottom w:val="nil" w:sz="6" w:space="0" w:color="auto"/>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hAnsi="宋体" w:cs="宋体" w:eastAsia="宋体" w:hint="default"/>
                <w:spacing w:val="2"/>
                <w:sz w:val="18"/>
                <w:szCs w:val="18"/>
              </w:rPr>
              <w:t>大风险，并说明是否及时向董事会报告，并提</w:t>
            </w:r>
            <w:r>
              <w:rPr>
                <w:rFonts w:ascii="宋体" w:hAnsi="宋体" w:cs="宋体" w:eastAsia="宋体" w:hint="default"/>
                <w:sz w:val="18"/>
                <w:szCs w:val="18"/>
              </w:rPr>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pacing w:val="12"/>
                <w:sz w:val="18"/>
                <w:szCs w:val="18"/>
              </w:rPr>
              <w:t>请董事会及时向证券交易所报告并予以披露</w:t>
            </w:r>
          </w:p>
        </w:tc>
        <w:tc>
          <w:tcPr>
            <w:tcW w:w="5112" w:type="dxa"/>
            <w:gridSpan w:val="2"/>
            <w:tcBorders>
              <w:top w:val="nil" w:sz="6" w:space="0" w:color="auto"/>
              <w:left w:val="single" w:sz="4" w:space="0" w:color="000000"/>
              <w:bottom w:val="nil" w:sz="6" w:space="0" w:color="auto"/>
              <w:right w:val="single" w:sz="4" w:space="0" w:color="000000"/>
            </w:tcBorders>
          </w:tcPr>
          <w:p>
            <w:pPr/>
          </w:p>
        </w:tc>
      </w:tr>
      <w:tr>
        <w:trPr>
          <w:trHeight w:val="358"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733" w:right="0"/>
              <w:jc w:val="left"/>
              <w:rPr>
                <w:rFonts w:ascii="宋体" w:hAnsi="宋体" w:cs="宋体" w:eastAsia="宋体" w:hint="default"/>
                <w:sz w:val="18"/>
                <w:szCs w:val="18"/>
              </w:rPr>
            </w:pPr>
            <w:r>
              <w:rPr>
                <w:rFonts w:ascii="宋体" w:hAnsi="宋体" w:cs="宋体" w:eastAsia="宋体" w:hint="default"/>
                <w:sz w:val="18"/>
                <w:szCs w:val="18"/>
              </w:rPr>
              <w:t>（如适用）</w:t>
            </w:r>
          </w:p>
        </w:tc>
        <w:tc>
          <w:tcPr>
            <w:tcW w:w="5112" w:type="dxa"/>
            <w:gridSpan w:val="2"/>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
        </w:tc>
        <w:tc>
          <w:tcPr>
            <w:tcW w:w="511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46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28"/>
                <w:sz w:val="18"/>
                <w:szCs w:val="18"/>
              </w:rPr>
              <w:t>照</w:t>
            </w:r>
            <w:r>
              <w:rPr>
                <w:rFonts w:ascii="宋体" w:hAnsi="宋体" w:cs="宋体" w:eastAsia="宋体" w:hint="default"/>
                <w:sz w:val="18"/>
                <w:szCs w:val="18"/>
              </w:rPr>
              <w:t>《审计委员会工作细则</w:t>
            </w:r>
            <w:r>
              <w:rPr>
                <w:rFonts w:ascii="宋体" w:hAnsi="宋体" w:cs="宋体" w:eastAsia="宋体" w:hint="default"/>
                <w:spacing w:val="-90"/>
                <w:sz w:val="18"/>
                <w:szCs w:val="18"/>
              </w:rPr>
              <w:t>》</w:t>
            </w:r>
            <w:r>
              <w:rPr>
                <w:rFonts w:ascii="宋体" w:hAnsi="宋体" w:cs="宋体" w:eastAsia="宋体" w:hint="default"/>
                <w:spacing w:val="-117"/>
                <w:sz w:val="18"/>
                <w:szCs w:val="18"/>
              </w:rPr>
              <w:t>、</w:t>
            </w:r>
            <w:r>
              <w:rPr>
                <w:rFonts w:ascii="宋体" w:hAnsi="宋体" w:cs="宋体" w:eastAsia="宋体" w:hint="default"/>
                <w:sz w:val="18"/>
                <w:szCs w:val="18"/>
              </w:rPr>
              <w:t>《审计委员</w:t>
            </w:r>
            <w:r>
              <w:rPr>
                <w:rFonts w:ascii="宋体" w:hAnsi="宋体" w:cs="宋体" w:eastAsia="宋体" w:hint="default"/>
                <w:spacing w:val="-2"/>
                <w:sz w:val="18"/>
                <w:szCs w:val="18"/>
              </w:rPr>
              <w:t>会</w:t>
            </w:r>
            <w:r>
              <w:rPr>
                <w:rFonts w:ascii="宋体" w:hAnsi="宋体" w:cs="宋体" w:eastAsia="宋体" w:hint="default"/>
                <w:sz w:val="18"/>
                <w:szCs w:val="18"/>
              </w:rPr>
              <w:t>年报工作规程》</w:t>
            </w:r>
          </w:p>
        </w:tc>
      </w:tr>
      <w:tr>
        <w:trPr>
          <w:trHeight w:val="48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463" w:right="0"/>
              <w:jc w:val="left"/>
              <w:rPr>
                <w:rFonts w:ascii="宋体" w:hAnsi="宋体" w:cs="宋体" w:eastAsia="宋体" w:hint="default"/>
                <w:sz w:val="18"/>
                <w:szCs w:val="18"/>
              </w:rPr>
            </w:pPr>
            <w:r>
              <w:rPr>
                <w:rFonts w:ascii="宋体" w:hAnsi="宋体" w:cs="宋体" w:eastAsia="宋体" w:hint="default"/>
                <w:sz w:val="18"/>
                <w:szCs w:val="18"/>
              </w:rPr>
              <w:t>④ 说明审计委员会所做的其他工作</w:t>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等制度的规定，对重大事项及定期报告进行审核，对外部审计</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机构的审计工作进行监督评价，并提出续聘建议等。详见“董</w:t>
            </w:r>
          </w:p>
        </w:tc>
      </w:tr>
      <w:tr>
        <w:trPr>
          <w:trHeight w:val="359" w:hRule="exact"/>
        </w:trPr>
        <w:tc>
          <w:tcPr>
            <w:tcW w:w="4500" w:type="dxa"/>
            <w:tcBorders>
              <w:top w:val="nil" w:sz="6" w:space="0" w:color="auto"/>
              <w:left w:val="single" w:sz="4" w:space="0" w:color="000000"/>
              <w:bottom w:val="single" w:sz="4" w:space="0" w:color="000000"/>
              <w:right w:val="single" w:sz="4" w:space="0" w:color="000000"/>
            </w:tcBorders>
          </w:tcPr>
          <w:p>
            <w:pPr/>
          </w:p>
        </w:tc>
        <w:tc>
          <w:tcPr>
            <w:tcW w:w="5112" w:type="dxa"/>
            <w:gridSpan w:val="2"/>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事会报告”之“董事会审计委员会的履职情况</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9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3" w:right="0"/>
              <w:jc w:val="left"/>
              <w:rPr>
                <w:rFonts w:ascii="宋体" w:hAnsi="宋体" w:cs="宋体" w:eastAsia="宋体" w:hint="default"/>
                <w:sz w:val="18"/>
                <w:szCs w:val="18"/>
              </w:rPr>
            </w:pPr>
            <w:r>
              <w:rPr>
                <w:rFonts w:ascii="宋体" w:hAnsi="宋体" w:cs="宋体" w:eastAsia="宋体" w:hint="default"/>
                <w:sz w:val="18"/>
                <w:szCs w:val="18"/>
              </w:rPr>
              <w:t>2、内部审计部门的主要工作内容与工作成效</w:t>
            </w:r>
          </w:p>
        </w:tc>
        <w:tc>
          <w:tcPr>
            <w:tcW w:w="5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8" w:right="0"/>
              <w:jc w:val="center"/>
              <w:rPr>
                <w:rFonts w:ascii="宋体" w:hAnsi="宋体" w:cs="宋体" w:eastAsia="宋体" w:hint="default"/>
                <w:sz w:val="18"/>
                <w:szCs w:val="18"/>
              </w:rPr>
            </w:pPr>
            <w:r>
              <w:rPr>
                <w:rFonts w:ascii="宋体"/>
                <w:sz w:val="18"/>
              </w:rPr>
              <w:t>-</w:t>
            </w:r>
          </w:p>
        </w:tc>
      </w:tr>
      <w:tr>
        <w:trPr>
          <w:trHeight w:val="121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542" w:right="97"/>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5"/>
                <w:sz w:val="18"/>
                <w:szCs w:val="18"/>
              </w:rPr>
              <w:t> </w:t>
            </w:r>
            <w:r>
              <w:rPr>
                <w:rFonts w:ascii="宋体" w:hAnsi="宋体" w:cs="宋体" w:eastAsia="宋体" w:hint="default"/>
                <w:spacing w:val="7"/>
                <w:sz w:val="18"/>
                <w:szCs w:val="18"/>
              </w:rPr>
              <w:t>说明内部审计部门每季度向审计委员会报告</w:t>
            </w:r>
            <w:r>
              <w:rPr>
                <w:rFonts w:ascii="宋体" w:hAnsi="宋体" w:cs="宋体" w:eastAsia="宋体" w:hint="default"/>
                <w:sz w:val="18"/>
                <w:szCs w:val="18"/>
              </w:rPr>
              <w:t> </w:t>
            </w:r>
            <w:r>
              <w:rPr>
                <w:rFonts w:ascii="宋体" w:hAnsi="宋体" w:cs="宋体" w:eastAsia="宋体" w:hint="default"/>
                <w:spacing w:val="2"/>
                <w:sz w:val="18"/>
                <w:szCs w:val="18"/>
              </w:rPr>
              <w:t>内部审计划执行情况以及内部审计工作中发现的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问题的具体情况</w:t>
            </w:r>
          </w:p>
        </w:tc>
        <w:tc>
          <w:tcPr>
            <w:tcW w:w="5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99" w:firstLine="360"/>
              <w:jc w:val="both"/>
              <w:rPr>
                <w:rFonts w:ascii="宋体" w:hAnsi="宋体" w:cs="宋体" w:eastAsia="宋体" w:hint="default"/>
                <w:sz w:val="18"/>
                <w:szCs w:val="18"/>
              </w:rPr>
            </w:pPr>
            <w:r>
              <w:rPr>
                <w:rFonts w:ascii="宋体" w:hAnsi="宋体" w:cs="宋体" w:eastAsia="宋体" w:hint="default"/>
                <w:sz w:val="18"/>
                <w:szCs w:val="18"/>
              </w:rPr>
              <w:t>按照公司《内部审计制度》的规定，按期向审计委员会报 告工作进展情况及总结，监督公司内部控制制度的建立、健全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和执行情况，向审计委员会和董事会反映内部控制中存在的问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题，以及形成必要的内部审计报告等。</w:t>
            </w: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95"/>
              <w:jc w:val="righ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3"/>
                <w:sz w:val="18"/>
                <w:szCs w:val="18"/>
              </w:rPr>
              <w:t> </w:t>
            </w:r>
            <w:r>
              <w:rPr>
                <w:rFonts w:ascii="宋体" w:hAnsi="宋体" w:cs="宋体" w:eastAsia="宋体" w:hint="default"/>
                <w:spacing w:val="7"/>
                <w:sz w:val="18"/>
                <w:szCs w:val="18"/>
              </w:rPr>
              <w:t>说明内部审计部门本年度按照内审指引及相</w:t>
            </w:r>
            <w:r>
              <w:rPr>
                <w:rFonts w:ascii="宋体" w:hAnsi="宋体" w:cs="宋体" w:eastAsia="宋体" w:hint="default"/>
                <w:sz w:val="18"/>
                <w:szCs w:val="18"/>
              </w:rPr>
            </w:r>
          </w:p>
        </w:tc>
        <w:tc>
          <w:tcPr>
            <w:tcW w:w="5112" w:type="dxa"/>
            <w:gridSpan w:val="2"/>
            <w:tcBorders>
              <w:top w:val="single" w:sz="4" w:space="0" w:color="000000"/>
              <w:left w:val="single" w:sz="4" w:space="0" w:color="000000"/>
              <w:bottom w:val="nil" w:sz="6" w:space="0" w:color="auto"/>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pacing w:val="-2"/>
                <w:sz w:val="18"/>
                <w:szCs w:val="18"/>
              </w:rPr>
              <w:t>关规定要求对重要的对外投资、购买和出售资</w:t>
            </w:r>
          </w:p>
        </w:tc>
        <w:tc>
          <w:tcPr>
            <w:tcW w:w="5112" w:type="dxa"/>
            <w:gridSpan w:val="2"/>
            <w:tcBorders>
              <w:top w:val="nil" w:sz="6" w:space="0" w:color="auto"/>
              <w:left w:val="single" w:sz="4" w:space="0" w:color="000000"/>
              <w:bottom w:val="nil" w:sz="6" w:space="0" w:color="auto"/>
              <w:right w:val="single" w:sz="4" w:space="0" w:color="000000"/>
            </w:tcBorders>
          </w:tcPr>
          <w:p>
            <w:pP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pacing w:val="-2"/>
                <w:sz w:val="18"/>
                <w:szCs w:val="18"/>
              </w:rPr>
              <w:t>产、对外担保、关联交易、募集资金使用和信</w:t>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于每季度结束后出具募集资金使用情况的专项报告</w:t>
            </w:r>
          </w:p>
        </w:tc>
      </w:tr>
      <w:tr>
        <w:trPr>
          <w:trHeight w:val="24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hAnsi="宋体" w:cs="宋体" w:eastAsia="宋体" w:hint="default"/>
                <w:spacing w:val="7"/>
                <w:sz w:val="18"/>
                <w:szCs w:val="18"/>
              </w:rPr>
              <w:t>息披露事务管理等事项进行审计并出具内部</w:t>
            </w:r>
          </w:p>
        </w:tc>
        <w:tc>
          <w:tcPr>
            <w:tcW w:w="5112" w:type="dxa"/>
            <w:gridSpan w:val="2"/>
            <w:tcBorders>
              <w:top w:val="nil" w:sz="6" w:space="0" w:color="auto"/>
              <w:left w:val="single" w:sz="4" w:space="0" w:color="000000"/>
              <w:bottom w:val="nil" w:sz="6" w:space="0" w:color="auto"/>
              <w:right w:val="single" w:sz="4" w:space="0" w:color="000000"/>
            </w:tcBorders>
          </w:tcPr>
          <w:p>
            <w:pPr/>
          </w:p>
        </w:tc>
      </w:tr>
      <w:tr>
        <w:trPr>
          <w:trHeight w:val="359"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审计报告的具体情况</w:t>
            </w:r>
          </w:p>
        </w:tc>
        <w:tc>
          <w:tcPr>
            <w:tcW w:w="5112" w:type="dxa"/>
            <w:gridSpan w:val="2"/>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95"/>
              <w:jc w:val="righ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3"/>
                <w:sz w:val="18"/>
                <w:szCs w:val="18"/>
              </w:rPr>
              <w:t> </w:t>
            </w:r>
            <w:r>
              <w:rPr>
                <w:rFonts w:ascii="宋体" w:hAnsi="宋体" w:cs="宋体" w:eastAsia="宋体" w:hint="default"/>
                <w:spacing w:val="7"/>
                <w:sz w:val="18"/>
                <w:szCs w:val="18"/>
              </w:rPr>
              <w:t>说明内部审计部门在对内部控制审查过程中</w:t>
            </w:r>
            <w:r>
              <w:rPr>
                <w:rFonts w:ascii="宋体" w:hAnsi="宋体" w:cs="宋体" w:eastAsia="宋体" w:hint="default"/>
                <w:sz w:val="18"/>
                <w:szCs w:val="18"/>
              </w:rPr>
            </w:r>
          </w:p>
        </w:tc>
        <w:tc>
          <w:tcPr>
            <w:tcW w:w="5112" w:type="dxa"/>
            <w:gridSpan w:val="2"/>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450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发现内部控制存在重大缺陷或重大风险的，说</w:t>
            </w:r>
          </w:p>
          <w:p>
            <w:pPr>
              <w:pStyle w:val="TableParagraph"/>
              <w:spacing w:line="240" w:lineRule="auto" w:before="4"/>
              <w:ind w:left="823" w:right="0"/>
              <w:jc w:val="left"/>
              <w:rPr>
                <w:rFonts w:ascii="宋体" w:hAnsi="宋体" w:cs="宋体" w:eastAsia="宋体" w:hint="default"/>
                <w:sz w:val="18"/>
                <w:szCs w:val="18"/>
              </w:rPr>
            </w:pPr>
            <w:r>
              <w:rPr>
                <w:rFonts w:ascii="宋体" w:hAnsi="宋体" w:cs="宋体" w:eastAsia="宋体" w:hint="default"/>
                <w:sz w:val="18"/>
                <w:szCs w:val="18"/>
              </w:rPr>
              <w:t>明内部控制存在的重大缺陷或重大风险，并说</w:t>
            </w:r>
          </w:p>
        </w:tc>
        <w:tc>
          <w:tcPr>
            <w:tcW w:w="511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46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8" w:hRule="exact"/>
        </w:trPr>
        <w:tc>
          <w:tcPr>
            <w:tcW w:w="45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明是否向审计委员会报告</w:t>
            </w:r>
          </w:p>
        </w:tc>
        <w:tc>
          <w:tcPr>
            <w:tcW w:w="5112" w:type="dxa"/>
            <w:gridSpan w:val="2"/>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500"/>
        <w:gridCol w:w="5112"/>
      </w:tblGrid>
      <w:tr>
        <w:trPr>
          <w:trHeight w:val="121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23" w:right="95" w:hanging="270"/>
              <w:jc w:val="both"/>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3"/>
                <w:sz w:val="18"/>
                <w:szCs w:val="18"/>
              </w:rPr>
              <w:t> </w:t>
            </w:r>
            <w:r>
              <w:rPr>
                <w:rFonts w:ascii="宋体" w:hAnsi="宋体" w:cs="宋体" w:eastAsia="宋体" w:hint="default"/>
                <w:spacing w:val="7"/>
                <w:sz w:val="18"/>
                <w:szCs w:val="18"/>
              </w:rPr>
              <w:t>说明内部审计部门是否按照有关规定评价公</w:t>
            </w:r>
            <w:r>
              <w:rPr>
                <w:rFonts w:ascii="宋体" w:hAnsi="宋体" w:cs="宋体" w:eastAsia="宋体" w:hint="default"/>
                <w:spacing w:val="7"/>
                <w:sz w:val="18"/>
                <w:szCs w:val="18"/>
              </w:rPr>
              <w:t> 司与财务报告和信息披露事务相关的内部控</w:t>
            </w:r>
            <w:r>
              <w:rPr>
                <w:rFonts w:ascii="宋体" w:hAnsi="宋体" w:cs="宋体" w:eastAsia="宋体" w:hint="default"/>
                <w:sz w:val="18"/>
                <w:szCs w:val="18"/>
              </w:rPr>
              <w:t> </w:t>
            </w:r>
            <w:r>
              <w:rPr>
                <w:rFonts w:ascii="宋体" w:hAnsi="宋体" w:cs="宋体" w:eastAsia="宋体" w:hint="default"/>
                <w:spacing w:val="-2"/>
                <w:sz w:val="18"/>
                <w:szCs w:val="18"/>
              </w:rPr>
              <w:t>制制度建立和实施的有效性，并向审计委员会</w:t>
            </w:r>
            <w:r>
              <w:rPr>
                <w:rFonts w:ascii="宋体" w:hAnsi="宋体" w:cs="宋体" w:eastAsia="宋体" w:hint="default"/>
                <w:sz w:val="18"/>
                <w:szCs w:val="18"/>
              </w:rPr>
              <w:t> 提交内部控制评价报告</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97" w:right="98" w:hanging="270"/>
              <w:jc w:val="both"/>
              <w:rPr>
                <w:rFonts w:ascii="宋体" w:hAnsi="宋体" w:cs="宋体" w:eastAsia="宋体" w:hint="default"/>
                <w:sz w:val="18"/>
                <w:szCs w:val="18"/>
              </w:rPr>
            </w:pPr>
            <w:r>
              <w:rPr>
                <w:rFonts w:ascii="宋体" w:hAnsi="宋体" w:cs="宋体" w:eastAsia="宋体" w:hint="default"/>
                <w:sz w:val="18"/>
                <w:szCs w:val="18"/>
              </w:rPr>
              <w:t>⑤</w:t>
            </w:r>
            <w:r>
              <w:rPr>
                <w:rFonts w:ascii="宋体" w:hAnsi="宋体" w:cs="宋体" w:eastAsia="宋体" w:hint="default"/>
                <w:spacing w:val="19"/>
                <w:sz w:val="18"/>
                <w:szCs w:val="18"/>
              </w:rPr>
              <w:t> </w:t>
            </w:r>
            <w:r>
              <w:rPr>
                <w:rFonts w:ascii="宋体" w:hAnsi="宋体" w:cs="宋体" w:eastAsia="宋体" w:hint="default"/>
                <w:spacing w:val="2"/>
                <w:sz w:val="18"/>
                <w:szCs w:val="18"/>
              </w:rPr>
              <w:t>说明内部审计部门向审计委员会提交下一年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度内部审计工作计划和本年度内部审计工作</w:t>
            </w:r>
            <w:r>
              <w:rPr>
                <w:rFonts w:ascii="宋体" w:hAnsi="宋体" w:cs="宋体" w:eastAsia="宋体" w:hint="default"/>
                <w:sz w:val="18"/>
                <w:szCs w:val="18"/>
              </w:rPr>
              <w:t> 报告的具体情况</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3" w:right="101" w:firstLine="360"/>
              <w:jc w:val="left"/>
              <w:rPr>
                <w:rFonts w:ascii="宋体" w:hAnsi="宋体" w:cs="宋体" w:eastAsia="宋体" w:hint="default"/>
                <w:sz w:val="18"/>
                <w:szCs w:val="18"/>
              </w:rPr>
            </w:pPr>
            <w:r>
              <w:rPr>
                <w:rFonts w:ascii="宋体" w:hAnsi="宋体" w:cs="宋体" w:eastAsia="宋体" w:hint="default"/>
                <w:sz w:val="18"/>
                <w:szCs w:val="18"/>
              </w:rPr>
              <w:t>已提交</w:t>
            </w:r>
            <w:r>
              <w:rPr>
                <w:rFonts w:ascii="宋体" w:hAnsi="宋体" w:cs="宋体" w:eastAsia="宋体" w:hint="default"/>
                <w:spacing w:val="-36"/>
                <w:sz w:val="18"/>
                <w:szCs w:val="18"/>
              </w:rPr>
              <w:t> </w:t>
            </w:r>
            <w:r>
              <w:rPr>
                <w:rFonts w:ascii="宋体" w:hAnsi="宋体" w:cs="宋体" w:eastAsia="宋体" w:hint="default"/>
                <w:sz w:val="18"/>
                <w:szCs w:val="18"/>
              </w:rPr>
              <w:t>2008</w:t>
            </w:r>
            <w:r>
              <w:rPr>
                <w:rFonts w:ascii="宋体" w:hAnsi="宋体" w:cs="宋体" w:eastAsia="宋体" w:hint="default"/>
                <w:spacing w:val="-36"/>
                <w:sz w:val="18"/>
                <w:szCs w:val="18"/>
              </w:rPr>
              <w:t> </w:t>
            </w:r>
            <w:r>
              <w:rPr>
                <w:rFonts w:ascii="宋体" w:hAnsi="宋体" w:cs="宋体" w:eastAsia="宋体" w:hint="default"/>
                <w:sz w:val="18"/>
                <w:szCs w:val="18"/>
              </w:rPr>
              <w:t>年度内部审计工作总结和</w:t>
            </w:r>
            <w:r>
              <w:rPr>
                <w:rFonts w:ascii="宋体" w:hAnsi="宋体" w:cs="宋体" w:eastAsia="宋体" w:hint="default"/>
                <w:spacing w:val="-36"/>
                <w:sz w:val="18"/>
                <w:szCs w:val="18"/>
              </w:rPr>
              <w:t> </w:t>
            </w:r>
            <w:r>
              <w:rPr>
                <w:rFonts w:ascii="宋体" w:hAnsi="宋体" w:cs="宋体" w:eastAsia="宋体" w:hint="default"/>
                <w:sz w:val="18"/>
                <w:szCs w:val="18"/>
              </w:rPr>
              <w:t>2009</w:t>
            </w:r>
            <w:r>
              <w:rPr>
                <w:rFonts w:ascii="宋体" w:hAnsi="宋体" w:cs="宋体" w:eastAsia="宋体" w:hint="default"/>
                <w:spacing w:val="-36"/>
                <w:sz w:val="18"/>
                <w:szCs w:val="18"/>
              </w:rPr>
              <w:t> </w:t>
            </w:r>
            <w:r>
              <w:rPr>
                <w:rFonts w:ascii="宋体" w:hAnsi="宋体" w:cs="宋体" w:eastAsia="宋体" w:hint="default"/>
                <w:sz w:val="18"/>
                <w:szCs w:val="18"/>
              </w:rPr>
              <w:t>年度审计工作</w:t>
            </w:r>
            <w:r>
              <w:rPr>
                <w:rFonts w:ascii="宋体" w:hAnsi="宋体" w:cs="宋体" w:eastAsia="宋体" w:hint="default"/>
                <w:sz w:val="18"/>
                <w:szCs w:val="18"/>
              </w:rPr>
              <w:t> 计划</w:t>
            </w: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23" w:right="95" w:hanging="27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pacing w:val="13"/>
                <w:sz w:val="18"/>
                <w:szCs w:val="18"/>
              </w:rPr>
              <w:t> </w:t>
            </w:r>
            <w:r>
              <w:rPr>
                <w:rFonts w:ascii="宋体" w:hAnsi="宋体" w:cs="宋体" w:eastAsia="宋体" w:hint="default"/>
                <w:spacing w:val="7"/>
                <w:sz w:val="18"/>
                <w:szCs w:val="18"/>
              </w:rPr>
              <w:t>说明内部审计工作底稿和内部审计报告的编</w:t>
            </w:r>
            <w:r>
              <w:rPr>
                <w:rFonts w:ascii="宋体" w:hAnsi="宋体" w:cs="宋体" w:eastAsia="宋体" w:hint="default"/>
                <w:spacing w:val="7"/>
                <w:sz w:val="18"/>
                <w:szCs w:val="18"/>
              </w:rPr>
              <w:t> </w:t>
            </w:r>
            <w:r>
              <w:rPr>
                <w:rFonts w:ascii="宋体" w:hAnsi="宋体" w:cs="宋体" w:eastAsia="宋体" w:hint="default"/>
                <w:sz w:val="18"/>
                <w:szCs w:val="18"/>
              </w:rPr>
              <w:t>制和归档是否符合相关规定</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2" w:firstLine="360"/>
              <w:jc w:val="left"/>
              <w:rPr>
                <w:rFonts w:ascii="宋体" w:hAnsi="宋体" w:cs="宋体" w:eastAsia="宋体" w:hint="default"/>
                <w:sz w:val="18"/>
                <w:szCs w:val="18"/>
              </w:rPr>
            </w:pPr>
            <w:r>
              <w:rPr>
                <w:rFonts w:ascii="宋体" w:hAnsi="宋体" w:cs="宋体" w:eastAsia="宋体" w:hint="default"/>
                <w:sz w:val="18"/>
                <w:szCs w:val="18"/>
              </w:rPr>
              <w:t>内部审计工作底稿和内部审计报告的编制和归档符合《内 部审计制度》的规定</w:t>
            </w:r>
          </w:p>
        </w:tc>
      </w:tr>
      <w:tr>
        <w:trPr>
          <w:trHeight w:val="730"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5"/>
              <w:jc w:val="right"/>
              <w:rPr>
                <w:rFonts w:ascii="宋体" w:hAnsi="宋体" w:cs="宋体" w:eastAsia="宋体" w:hint="default"/>
                <w:sz w:val="18"/>
                <w:szCs w:val="18"/>
              </w:rPr>
            </w:pPr>
            <w:r>
              <w:rPr>
                <w:rFonts w:ascii="宋体" w:hAnsi="宋体" w:cs="宋体" w:eastAsia="宋体" w:hint="default"/>
                <w:sz w:val="18"/>
                <w:szCs w:val="18"/>
              </w:rPr>
              <w:t>⑦ 说明内部审计部门所做的其他工作</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2" w:firstLine="360"/>
              <w:jc w:val="left"/>
              <w:rPr>
                <w:rFonts w:ascii="宋体" w:hAnsi="宋体" w:cs="宋体" w:eastAsia="宋体" w:hint="default"/>
                <w:sz w:val="18"/>
                <w:szCs w:val="18"/>
              </w:rPr>
            </w:pPr>
            <w:r>
              <w:rPr>
                <w:rFonts w:ascii="宋体" w:hAnsi="宋体" w:cs="宋体" w:eastAsia="宋体" w:hint="default"/>
                <w:sz w:val="18"/>
                <w:szCs w:val="18"/>
              </w:rPr>
              <w:t>对公司的存货进行监盘，对应收账款进行审计并和客户对 账，对固定资产进行审计，对生产流程及物流管理进行审计等</w:t>
            </w:r>
          </w:p>
        </w:tc>
      </w:tr>
      <w:tr>
        <w:trPr>
          <w:trHeight w:val="49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5"/>
              <w:jc w:val="righ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5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0"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87" w:footer="1339" w:top="1020" w:bottom="15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2"/>
        <w:ind w:left="634" w:right="95" w:firstLine="2893"/>
        <w:jc w:val="left"/>
        <w:rPr>
          <w:b w:val="0"/>
          <w:bCs w:val="0"/>
        </w:rPr>
      </w:pPr>
      <w:bookmarkStart w:name="_TOC_250003" w:id="4"/>
      <w:r>
        <w:rPr/>
        <w:t>第七节、股东大会情况简介</w:t>
      </w:r>
      <w:bookmarkEnd w:id="4"/>
      <w:r>
        <w:rPr>
          <w:b w:val="0"/>
          <w:bCs w:val="0"/>
        </w:rPr>
      </w:r>
    </w:p>
    <w:p>
      <w:pPr>
        <w:spacing w:line="240" w:lineRule="auto" w:before="0"/>
        <w:rPr>
          <w:rFonts w:ascii="宋体" w:hAnsi="宋体" w:cs="宋体" w:eastAsia="宋体" w:hint="default"/>
          <w:b/>
          <w:bCs/>
          <w:sz w:val="24"/>
          <w:szCs w:val="24"/>
        </w:rPr>
      </w:pPr>
    </w:p>
    <w:p>
      <w:pPr>
        <w:pStyle w:val="BodyText"/>
        <w:spacing w:line="304" w:lineRule="auto" w:before="172"/>
        <w:ind w:left="634" w:right="490"/>
        <w:jc w:val="left"/>
      </w:pPr>
      <w:r>
        <w:rPr/>
        <w:t>报告期内公司召开了2007年度股东大会及两次临时股东大会，具体召开情况如下： 一、2007年度股东大会 2007年度股东大会于2008年4月18日在深圳市南山区高新区北区清华信息港研发楼B栋</w:t>
      </w:r>
    </w:p>
    <w:p>
      <w:pPr>
        <w:pStyle w:val="BodyText"/>
        <w:spacing w:line="240" w:lineRule="auto" w:before="22"/>
        <w:ind w:left="154" w:right="95"/>
        <w:jc w:val="left"/>
      </w:pPr>
      <w:r>
        <w:rPr/>
        <w:t>501会议室召开，会议以现场投票和网络投票相结合的方式审议通过了以下议案：</w:t>
      </w:r>
    </w:p>
    <w:p>
      <w:pPr>
        <w:pStyle w:val="BodyText"/>
        <w:spacing w:line="240" w:lineRule="auto" w:before="85"/>
        <w:ind w:left="634" w:right="95"/>
        <w:jc w:val="left"/>
      </w:pPr>
      <w:r>
        <w:rPr>
          <w:rFonts w:ascii="Times New Roman" w:hAnsi="Times New Roman" w:cs="Times New Roman" w:eastAsia="Times New Roman" w:hint="default"/>
        </w:rPr>
        <w:t>1</w:t>
      </w:r>
      <w:r>
        <w:rPr/>
        <w:t>、公司《2007年度报告全文》及《2007年度报告摘要》</w:t>
      </w:r>
    </w:p>
    <w:p>
      <w:pPr>
        <w:pStyle w:val="BodyText"/>
        <w:spacing w:line="240" w:lineRule="auto" w:before="67"/>
        <w:ind w:left="634" w:right="95"/>
        <w:jc w:val="left"/>
      </w:pPr>
      <w:r>
        <w:rPr/>
        <w:t>2、公司《2007年度董事会工作报告》</w:t>
      </w:r>
    </w:p>
    <w:p>
      <w:pPr>
        <w:pStyle w:val="BodyText"/>
        <w:spacing w:line="240" w:lineRule="auto" w:before="86"/>
        <w:ind w:left="634" w:right="95"/>
        <w:jc w:val="left"/>
      </w:pPr>
      <w:r>
        <w:rPr>
          <w:rFonts w:ascii="Times New Roman" w:hAnsi="Times New Roman" w:cs="Times New Roman" w:eastAsia="Times New Roman" w:hint="default"/>
        </w:rPr>
        <w:t>3</w:t>
      </w:r>
      <w:r>
        <w:rPr/>
        <w:t>、公司《2007年度监事会工作报告》</w:t>
      </w:r>
    </w:p>
    <w:p>
      <w:pPr>
        <w:pStyle w:val="BodyText"/>
        <w:spacing w:line="240" w:lineRule="auto" w:before="67"/>
        <w:ind w:left="634" w:right="95"/>
        <w:jc w:val="left"/>
      </w:pPr>
      <w:r>
        <w:rPr>
          <w:rFonts w:ascii="Times New Roman" w:hAnsi="Times New Roman" w:cs="Times New Roman" w:eastAsia="Times New Roman" w:hint="default"/>
        </w:rPr>
        <w:t>4</w:t>
      </w:r>
      <w:r>
        <w:rPr/>
        <w:t>、公司《2007年度财务决算报告》</w:t>
      </w:r>
    </w:p>
    <w:p>
      <w:pPr>
        <w:pStyle w:val="BodyText"/>
        <w:spacing w:line="240" w:lineRule="auto" w:before="67"/>
        <w:ind w:left="634" w:right="95"/>
        <w:jc w:val="left"/>
      </w:pPr>
      <w:r>
        <w:rPr>
          <w:rFonts w:ascii="Times New Roman" w:hAnsi="Times New Roman" w:cs="Times New Roman" w:eastAsia="Times New Roman" w:hint="default"/>
        </w:rPr>
        <w:t>5</w:t>
      </w:r>
      <w:r>
        <w:rPr/>
        <w:t>、公司2007年度利润分配预案</w:t>
      </w:r>
    </w:p>
    <w:p>
      <w:pPr>
        <w:pStyle w:val="BodyText"/>
        <w:spacing w:line="240" w:lineRule="auto" w:before="68"/>
        <w:ind w:left="634" w:right="95"/>
        <w:jc w:val="left"/>
      </w:pPr>
      <w:r>
        <w:rPr>
          <w:rFonts w:ascii="Times New Roman" w:hAnsi="Times New Roman" w:cs="Times New Roman" w:eastAsia="Times New Roman" w:hint="default"/>
        </w:rPr>
        <w:t>6</w:t>
      </w:r>
      <w:r>
        <w:rPr/>
        <w:t>、公司《募集资金2007年度使用情况的专项报告》</w:t>
      </w:r>
    </w:p>
    <w:p>
      <w:pPr>
        <w:pStyle w:val="BodyText"/>
        <w:spacing w:line="240" w:lineRule="auto" w:before="67"/>
        <w:ind w:left="634" w:right="95"/>
        <w:jc w:val="left"/>
      </w:pPr>
      <w:r>
        <w:rPr>
          <w:rFonts w:ascii="Times New Roman" w:hAnsi="Times New Roman" w:cs="Times New Roman" w:eastAsia="Times New Roman" w:hint="default"/>
        </w:rPr>
        <w:t>7</w:t>
      </w:r>
      <w:r>
        <w:rPr/>
        <w:t>、公司续聘会计师事务所的议案</w:t>
      </w:r>
    </w:p>
    <w:p>
      <w:pPr>
        <w:pStyle w:val="BodyText"/>
        <w:spacing w:line="240" w:lineRule="auto" w:before="67"/>
        <w:ind w:left="634" w:right="95"/>
        <w:jc w:val="left"/>
      </w:pPr>
      <w:r>
        <w:rPr>
          <w:rFonts w:ascii="Times New Roman" w:hAnsi="Times New Roman" w:cs="Times New Roman" w:eastAsia="Times New Roman" w:hint="default"/>
        </w:rPr>
        <w:t>8</w:t>
      </w:r>
      <w:r>
        <w:rPr/>
        <w:t>、公司更改募集投资项目的议案</w:t>
      </w:r>
    </w:p>
    <w:p>
      <w:pPr>
        <w:pStyle w:val="BodyText"/>
        <w:spacing w:line="240" w:lineRule="auto" w:before="68"/>
        <w:ind w:left="634" w:right="95"/>
        <w:jc w:val="left"/>
      </w:pPr>
      <w:r>
        <w:rPr>
          <w:rFonts w:ascii="Times New Roman" w:hAnsi="Times New Roman" w:cs="Times New Roman" w:eastAsia="Times New Roman" w:hint="default"/>
        </w:rPr>
        <w:t>9</w:t>
      </w:r>
      <w:r>
        <w:rPr/>
        <w:t>、关于修改《公司章程》的议案</w:t>
      </w:r>
    </w:p>
    <w:p>
      <w:pPr>
        <w:pStyle w:val="BodyText"/>
        <w:spacing w:line="288" w:lineRule="auto" w:before="67"/>
        <w:ind w:left="634" w:right="95"/>
        <w:jc w:val="left"/>
      </w:pPr>
      <w:r>
        <w:rPr>
          <w:rFonts w:ascii="Times New Roman" w:hAnsi="Times New Roman" w:cs="Times New Roman" w:eastAsia="Times New Roman" w:hint="default"/>
        </w:rPr>
        <w:t>10</w:t>
      </w:r>
      <w:r>
        <w:rPr/>
        <w:t>、关于调整独立董事津贴的议案 </w:t>
      </w:r>
      <w:r>
        <w:rPr>
          <w:spacing w:val="-8"/>
        </w:rPr>
        <w:t>该次会议决议公告刊登在2008年4月19日的《证券时报》以及本公司指定信息披露网站“巨</w:t>
      </w:r>
    </w:p>
    <w:p>
      <w:pPr>
        <w:pStyle w:val="BodyText"/>
        <w:spacing w:line="240" w:lineRule="auto" w:before="38"/>
        <w:ind w:right="95"/>
        <w:jc w:val="left"/>
      </w:pPr>
      <w:r>
        <w:rPr/>
        <w:t>潮资讯网</w:t>
      </w:r>
      <w:r>
        <w:rPr>
          <w:spacing w:val="-120"/>
        </w:rPr>
        <w:t>”</w:t>
      </w:r>
      <w:r>
        <w:rPr/>
        <w:t>。</w:t>
      </w:r>
    </w:p>
    <w:p>
      <w:pPr>
        <w:spacing w:line="240" w:lineRule="auto" w:before="0"/>
        <w:rPr>
          <w:rFonts w:ascii="宋体" w:hAnsi="宋体" w:cs="宋体" w:eastAsia="宋体" w:hint="default"/>
          <w:sz w:val="24"/>
          <w:szCs w:val="24"/>
        </w:rPr>
      </w:pPr>
    </w:p>
    <w:p>
      <w:pPr>
        <w:pStyle w:val="BodyText"/>
        <w:spacing w:line="307" w:lineRule="auto" w:before="171"/>
        <w:ind w:left="633" w:right="251"/>
        <w:jc w:val="left"/>
      </w:pPr>
      <w:r>
        <w:rPr/>
        <w:t>二、2008年度第一次临时股东大会 2008年度第一次临时股东大会于2008年6月20日在深圳市高新区北区清华信息港研发楼B</w:t>
      </w:r>
    </w:p>
    <w:p>
      <w:pPr>
        <w:pStyle w:val="BodyText"/>
        <w:spacing w:line="240" w:lineRule="auto" w:before="18"/>
        <w:ind w:right="95"/>
        <w:jc w:val="left"/>
      </w:pPr>
      <w:r>
        <w:rPr/>
        <w:t>栋501会议室召开，会议以现场记名投票表决方式审议通过了以下议案：</w:t>
      </w:r>
    </w:p>
    <w:p>
      <w:pPr>
        <w:pStyle w:val="BodyText"/>
        <w:spacing w:line="240" w:lineRule="auto" w:before="85"/>
        <w:ind w:left="633" w:right="95"/>
        <w:jc w:val="left"/>
      </w:pPr>
      <w:r>
        <w:rPr>
          <w:rFonts w:ascii="Times New Roman" w:hAnsi="Times New Roman" w:cs="Times New Roman" w:eastAsia="Times New Roman" w:hint="default"/>
        </w:rPr>
        <w:t>1</w:t>
      </w:r>
      <w:r>
        <w:rPr/>
        <w:t>、以累积投票表决方式选举产生公司第二届董事会董事</w:t>
      </w:r>
    </w:p>
    <w:p>
      <w:pPr>
        <w:pStyle w:val="BodyText"/>
        <w:spacing w:line="240" w:lineRule="auto" w:before="68"/>
        <w:ind w:left="633" w:right="95"/>
        <w:jc w:val="left"/>
      </w:pPr>
      <w:r>
        <w:rPr>
          <w:rFonts w:ascii="Times New Roman" w:hAnsi="Times New Roman" w:cs="Times New Roman" w:eastAsia="Times New Roman" w:hint="default"/>
        </w:rPr>
        <w:t>2</w:t>
      </w:r>
      <w:r>
        <w:rPr/>
        <w:t>、以累积投票表决方式选举产生公司第二届监事会监事</w:t>
      </w:r>
    </w:p>
    <w:p>
      <w:pPr>
        <w:pStyle w:val="BodyText"/>
        <w:spacing w:line="240" w:lineRule="auto" w:before="67"/>
        <w:ind w:left="633" w:right="95"/>
        <w:jc w:val="left"/>
      </w:pPr>
      <w:r>
        <w:rPr>
          <w:rFonts w:ascii="Times New Roman" w:hAnsi="Times New Roman" w:cs="Times New Roman" w:eastAsia="Times New Roman" w:hint="default"/>
        </w:rPr>
        <w:t>3</w:t>
      </w:r>
      <w:r>
        <w:rPr/>
        <w:t>、关于修改《公司章程》的议案</w:t>
      </w:r>
    </w:p>
    <w:p>
      <w:pPr>
        <w:pStyle w:val="BodyText"/>
        <w:spacing w:line="240" w:lineRule="auto" w:before="67"/>
        <w:ind w:left="633" w:right="95"/>
        <w:jc w:val="left"/>
      </w:pPr>
      <w:r>
        <w:rPr>
          <w:rFonts w:ascii="Times New Roman" w:hAnsi="Times New Roman" w:cs="Times New Roman" w:eastAsia="Times New Roman" w:hint="default"/>
        </w:rPr>
        <w:t>4</w:t>
      </w:r>
      <w:r>
        <w:rPr/>
        <w:t>、关于修改《独立董事工作细则》的议案</w:t>
      </w:r>
    </w:p>
    <w:p>
      <w:pPr>
        <w:pStyle w:val="BodyText"/>
        <w:spacing w:line="288" w:lineRule="auto" w:before="68"/>
        <w:ind w:right="101" w:firstLine="480"/>
        <w:jc w:val="left"/>
      </w:pPr>
      <w:r>
        <w:rPr>
          <w:rFonts w:ascii="Times New Roman" w:hAnsi="Times New Roman" w:cs="Times New Roman" w:eastAsia="Times New Roman" w:hint="default"/>
          <w:spacing w:val="-5"/>
        </w:rPr>
        <w:t>5</w:t>
      </w:r>
      <w:r>
        <w:rPr>
          <w:spacing w:val="-5"/>
        </w:rPr>
        <w:t>、关于公司申请银行贷款及授权董事会继续申请不超过4000万美元贷款（或等额人民币）</w:t>
      </w:r>
      <w:r>
        <w:rPr/>
        <w:t> 的议案</w:t>
      </w:r>
    </w:p>
    <w:p>
      <w:pPr>
        <w:pStyle w:val="BodyText"/>
        <w:spacing w:line="307" w:lineRule="auto" w:before="37"/>
        <w:ind w:right="212" w:firstLine="480"/>
        <w:jc w:val="left"/>
      </w:pPr>
      <w:r>
        <w:rPr/>
        <w:t>该次会议决议公告刊登在2008年6月21日</w:t>
      </w:r>
      <w:r>
        <w:rPr>
          <w:spacing w:val="-107"/>
        </w:rPr>
        <w:t>的</w:t>
      </w:r>
      <w:r>
        <w:rPr/>
        <w:t>《证券时报</w:t>
      </w:r>
      <w:r>
        <w:rPr>
          <w:spacing w:val="-107"/>
        </w:rPr>
        <w:t>》</w:t>
      </w:r>
      <w:r>
        <w:rPr/>
        <w:t>以及本公司指定信息披露网</w:t>
      </w:r>
      <w:r>
        <w:rPr>
          <w:spacing w:val="-107"/>
        </w:rPr>
        <w:t>站</w:t>
      </w:r>
      <w:r>
        <w:rPr/>
        <w:t>“巨</w:t>
      </w:r>
      <w:r>
        <w:rPr/>
        <w:t> 潮资讯网</w:t>
      </w:r>
      <w:r>
        <w:rPr>
          <w:spacing w:val="-120"/>
        </w:rPr>
        <w:t>”</w:t>
      </w:r>
      <w:r>
        <w:rPr/>
        <w:t>。</w:t>
      </w:r>
    </w:p>
    <w:p>
      <w:pPr>
        <w:spacing w:after="0" w:line="307"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634" w:right="170"/>
        <w:jc w:val="left"/>
      </w:pPr>
      <w:r>
        <w:rPr/>
        <w:t>三、2008年度第二次临时股东大会 2008年度第二次临时股东大会于2008年11月14日在深圳市南山区高新区北区清华信息港</w:t>
      </w:r>
    </w:p>
    <w:p>
      <w:pPr>
        <w:pStyle w:val="BodyText"/>
        <w:spacing w:line="304" w:lineRule="auto" w:before="22"/>
        <w:ind w:left="634" w:right="170" w:hanging="480"/>
        <w:jc w:val="left"/>
      </w:pPr>
      <w:r>
        <w:rPr/>
        <w:t>研发楼B栋501会议室召开，会议以现场投票和网络投票相结合的方式审议通过了以下议案： 1、审议通过《关于运用部分闲置募集资金暂时补充流动资金的议案》</w:t>
      </w:r>
    </w:p>
    <w:p>
      <w:pPr>
        <w:pStyle w:val="BodyText"/>
        <w:spacing w:line="307" w:lineRule="auto"/>
        <w:ind w:left="634" w:right="170"/>
        <w:jc w:val="left"/>
      </w:pPr>
      <w:r>
        <w:rPr/>
        <w:t>2、审议通过《关于会计师事务所变更的议案》 该次会议决议公告刊登于2008年11月15日的《证券时报》以及本公司指定信息披露网站</w:t>
      </w:r>
    </w:p>
    <w:p>
      <w:pPr>
        <w:pStyle w:val="BodyText"/>
        <w:spacing w:line="240" w:lineRule="auto" w:before="18"/>
        <w:ind w:left="154" w:right="0"/>
        <w:jc w:val="left"/>
      </w:pPr>
      <w:r>
        <w:rPr/>
        <w:t>“巨潮资讯网</w:t>
      </w:r>
      <w:r>
        <w:rPr>
          <w:spacing w:val="-120"/>
        </w:rPr>
        <w:t>”</w:t>
      </w:r>
      <w:r>
        <w:rPr/>
        <w:t>。</w:t>
      </w:r>
    </w:p>
    <w:p>
      <w:pPr>
        <w:spacing w:after="0" w:line="240" w:lineRule="auto"/>
        <w:jc w:val="left"/>
        <w:sectPr>
          <w:pgSz w:w="11910" w:h="16840"/>
          <w:pgMar w:header="787" w:footer="1339" w:top="102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before="26"/>
        <w:ind w:left="3888" w:right="3330"/>
        <w:jc w:val="left"/>
        <w:rPr>
          <w:b w:val="0"/>
          <w:bCs w:val="0"/>
        </w:rPr>
      </w:pPr>
      <w:bookmarkStart w:name="_TOC_250002" w:id="5"/>
      <w:r>
        <w:rPr/>
        <w:t>第八节、董事会报告</w:t>
      </w:r>
      <w:bookmarkEnd w:id="5"/>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634" w:right="6090"/>
        <w:jc w:val="left"/>
      </w:pPr>
      <w:r>
        <w:rPr/>
        <w:t>一、报告期内公司经营情况回顾 1、公司总体经营情况概述</w:t>
      </w:r>
    </w:p>
    <w:p>
      <w:pPr>
        <w:pStyle w:val="BodyText"/>
        <w:spacing w:line="336" w:lineRule="auto" w:before="30"/>
        <w:ind w:right="173" w:firstLine="480"/>
        <w:jc w:val="left"/>
      </w:pPr>
      <w:r>
        <w:rPr/>
        <w:t>2008年度公司生产经营状况遭遇前所未有的困难。由美国次贷危机引发的全球性经济衰 退对实体经济产生了巨大影响，消费类电子产品市场受到严重冲击，直接导致本公司全年经 </w:t>
      </w:r>
      <w:r>
        <w:rPr>
          <w:spacing w:val="-6"/>
        </w:rPr>
        <w:t>营业绩明显滑坡。2008年度公司营业收入88,358.80万元，同比下降26.53%；营业利润3,311.33</w:t>
      </w:r>
      <w:r>
        <w:rPr>
          <w:spacing w:val="-111"/>
        </w:rPr>
        <w:t> </w:t>
      </w:r>
      <w:r>
        <w:rPr>
          <w:spacing w:val="-111"/>
        </w:rPr>
      </w:r>
      <w:r>
        <w:rPr/>
        <w:t>万元，同比下降44.97%；实现净利润3,377.15万元，同比下降45.28%。作为以批量订单生产 </w:t>
      </w:r>
      <w:r>
        <w:rPr>
          <w:spacing w:val="-2"/>
        </w:rPr>
        <w:t>为显著特点的制造型企业，订单下降导致营业收入下降的同时，产品平均毛利率进一步下降，</w:t>
      </w:r>
      <w:r>
        <w:rPr/>
        <w:t> 营业利润的下降幅度明显高于营业收入的下降幅度。</w:t>
      </w:r>
    </w:p>
    <w:p>
      <w:pPr>
        <w:pStyle w:val="BodyText"/>
        <w:spacing w:line="240" w:lineRule="auto" w:before="30"/>
        <w:ind w:left="633" w:right="3330"/>
        <w:jc w:val="left"/>
      </w:pPr>
      <w:r>
        <w:rPr/>
        <w:t>2、主营业务及经营状况</w:t>
      </w:r>
    </w:p>
    <w:p>
      <w:pPr>
        <w:pStyle w:val="BodyText"/>
        <w:spacing w:line="240" w:lineRule="auto" w:before="125"/>
        <w:ind w:left="633" w:right="3330"/>
        <w:jc w:val="left"/>
      </w:pPr>
      <w:r>
        <w:rPr/>
        <w:t>（1）主营业务分行业、分产品、分地区情况：</w:t>
      </w:r>
    </w:p>
    <w:p>
      <w:pPr>
        <w:spacing w:before="65"/>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88,249.75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81,433.49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7.72%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-25.17%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可刻录</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DVD</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15,375.55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14,989.52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-58.05%</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-6.96%</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MP3</w:t>
            </w:r>
            <w:r>
              <w:rPr>
                <w:rFonts w:ascii="宋体" w:hAnsi="宋体" w:cs="宋体" w:eastAsia="宋体" w:hint="default"/>
                <w:sz w:val="18"/>
                <w:szCs w:val="18"/>
              </w:rPr>
              <w:t>、</w:t>
            </w:r>
            <w:r>
              <w:rPr>
                <w:rFonts w:ascii="Times New Roman" w:hAnsi="Times New Roman" w:cs="Times New Roman" w:eastAsia="Times New Roman" w:hint="default"/>
                <w:sz w:val="18"/>
                <w:szCs w:val="18"/>
              </w:rPr>
              <w:t>MP4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35,269.86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31,419.19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10.92%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10.18%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7.77%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家庭影院控制板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12,230.73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11,694.00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4.39%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-57.53%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-3.73%</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5,807.27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5,466.42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5.87%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-21.29%</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3,404.51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3,193.25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6.21%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-46.86%</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-3.52%</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2,298.07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1,943.44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15.43%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-23.81%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控制板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1,291.86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1,149.89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10.99%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-17.20%</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-18.80%</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6,857.01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5,535.22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19.28%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照明产品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3,162.55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3,637.79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-15.03%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安防产品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2,552.34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2,404.76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5.78%</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820"/>
        </w:sectPr>
      </w:pPr>
    </w:p>
    <w:p>
      <w:pPr>
        <w:pStyle w:val="BodyText"/>
        <w:spacing w:line="240" w:lineRule="auto" w:before="71"/>
        <w:ind w:left="634" w:right="-20"/>
        <w:jc w:val="left"/>
      </w:pPr>
      <w:r>
        <w:rPr/>
        <w:t>主营业务分地区情况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1020" w:bottom="1520" w:left="980" w:right="820"/>
          <w:cols w:num="2" w:equalWidth="0">
            <w:col w:w="2795" w:space="4654"/>
            <w:col w:w="266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转厂</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58,640.20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-8.46%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3,977.62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550.19%</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7,861.69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2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16,127.83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-63.06%</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1,509.02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-51.68%</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133.39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-78.33%</w:t>
            </w:r>
            <w:r>
              <w:rPr>
                <w:rFonts w:ascii="Times New Roman"/>
                <w:sz w:val="18"/>
              </w:rPr>
            </w:r>
          </w:p>
        </w:tc>
      </w:tr>
    </w:tbl>
    <w:p>
      <w:pPr>
        <w:pStyle w:val="BodyText"/>
        <w:spacing w:line="336" w:lineRule="auto" w:before="71"/>
        <w:ind w:right="329" w:firstLine="482"/>
        <w:jc w:val="left"/>
      </w:pPr>
      <w:r>
        <w:rPr/>
        <w:t>说明：报告期内公司产品境内销售同比大幅度增长，在出口订单减少的背景下，公司加 大了国内市场拓展力度，并将在2009年继续作为市场开发的重点工作。</w:t>
      </w:r>
    </w:p>
    <w:p>
      <w:pPr>
        <w:pStyle w:val="BodyText"/>
        <w:spacing w:line="240" w:lineRule="auto" w:before="29"/>
        <w:ind w:left="636" w:right="3330"/>
        <w:jc w:val="left"/>
      </w:pPr>
      <w:r>
        <w:rPr/>
        <w:t>（2）近三年主要财务指标变动情况</w:t>
      </w:r>
    </w:p>
    <w:p>
      <w:pPr>
        <w:spacing w:before="65"/>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1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883,588,041.07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1,202,703,869.46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w w:val="95"/>
                <w:sz w:val="18"/>
              </w:rPr>
              <w:t>-26.53%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483,290,129.29</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33,138,525.70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62,385,835.49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-46.88%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44,786,692.81</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33,771,516.39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61,717,919.49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46,865,045.62</w:t>
            </w:r>
          </w:p>
        </w:tc>
      </w:tr>
      <w:tr>
        <w:trPr>
          <w:trHeight w:val="79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18,608,708.75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59,670,556.53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-68.81%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46,298,850.57</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137,992,524.10</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-159,032,630.09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-186.77%</w:t>
            </w:r>
            <w:r>
              <w:rPr>
                <w:rFonts w:ascii="Times New Roman"/>
                <w:sz w:val="18"/>
              </w:rPr>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20,307,043.90</w:t>
            </w:r>
          </w:p>
        </w:tc>
      </w:tr>
      <w:tr>
        <w:trPr>
          <w:trHeight w:val="125"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3"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1" w:lineRule="exact"/>
              <w:ind w:right="22"/>
              <w:jc w:val="right"/>
              <w:rPr>
                <w:rFonts w:ascii="Times New Roman" w:hAnsi="Times New Roman" w:cs="Times New Roman" w:eastAsia="Times New Roman" w:hint="default"/>
                <w:sz w:val="18"/>
                <w:szCs w:val="18"/>
              </w:rPr>
            </w:pPr>
            <w:r>
              <w:rPr>
                <w:rFonts w:ascii="Times New Roman"/>
                <w:spacing w:val="-1"/>
                <w:sz w:val="18"/>
              </w:rPr>
              <w:t>1,217,242,286.82</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1" w:lineRule="exact"/>
              <w:ind w:right="20"/>
              <w:jc w:val="right"/>
              <w:rPr>
                <w:rFonts w:ascii="Times New Roman" w:hAnsi="Times New Roman" w:cs="Times New Roman" w:eastAsia="Times New Roman" w:hint="default"/>
                <w:sz w:val="18"/>
                <w:szCs w:val="18"/>
              </w:rPr>
            </w:pPr>
            <w:r>
              <w:rPr>
                <w:rFonts w:ascii="Times New Roman"/>
                <w:spacing w:val="-1"/>
                <w:sz w:val="18"/>
              </w:rPr>
              <w:t>900,562,084.26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w w:val="95"/>
                <w:sz w:val="18"/>
              </w:rPr>
              <w:t>35.16%</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1" w:lineRule="exact"/>
              <w:ind w:right="20"/>
              <w:jc w:val="right"/>
              <w:rPr>
                <w:rFonts w:ascii="Times New Roman" w:hAnsi="Times New Roman" w:cs="Times New Roman" w:eastAsia="Times New Roman" w:hint="default"/>
                <w:sz w:val="18"/>
                <w:szCs w:val="18"/>
              </w:rPr>
            </w:pPr>
            <w:r>
              <w:rPr>
                <w:rFonts w:ascii="Times New Roman"/>
                <w:spacing w:val="-1"/>
                <w:sz w:val="18"/>
              </w:rPr>
              <w:t>410,337,479.88</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70"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508,142,333.42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514,285,770.84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128,417,936.00</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200,100,000.00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133,400,000.00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336" w:lineRule="auto" w:before="71"/>
        <w:ind w:right="308" w:firstLine="482"/>
        <w:jc w:val="both"/>
      </w:pPr>
      <w:r>
        <w:rPr>
          <w:spacing w:val="-3"/>
        </w:rPr>
        <w:t>（3）报告期内公司主营业务及其结构未发生重大变化。TV板、照明产品和安防产品是报</w:t>
      </w:r>
      <w:r>
        <w:rPr/>
        <w:t> </w:t>
      </w:r>
      <w:r>
        <w:rPr>
          <w:spacing w:val="-2"/>
        </w:rPr>
        <w:t>告期内公司新增的产品，营业收入达到12,571.90万元，占全年营业收入的14.23%。在传统产</w:t>
      </w:r>
      <w:r>
        <w:rPr>
          <w:spacing w:val="-108"/>
        </w:rPr>
        <w:t> </w:t>
      </w:r>
      <w:r>
        <w:rPr>
          <w:spacing w:val="-108"/>
        </w:rPr>
      </w:r>
      <w:r>
        <w:rPr/>
        <w:t>品订单普遍下降的背景下，新产品的导入虽然没有形成大规模量产但对于丰富产品结构具有 积极意义。</w:t>
      </w:r>
    </w:p>
    <w:p>
      <w:pPr>
        <w:pStyle w:val="BodyText"/>
        <w:spacing w:line="240" w:lineRule="auto" w:before="30"/>
        <w:ind w:left="633" w:right="1650"/>
        <w:jc w:val="left"/>
      </w:pPr>
      <w:r>
        <w:rPr/>
        <w:t>（4）报告期内公司主营业务市场、主营业务成本构成未发生重大变化。</w:t>
      </w:r>
    </w:p>
    <w:p>
      <w:pPr>
        <w:pStyle w:val="BodyText"/>
        <w:spacing w:line="336" w:lineRule="auto" w:before="125"/>
        <w:ind w:right="311" w:firstLine="480"/>
        <w:jc w:val="both"/>
      </w:pPr>
      <w:r>
        <w:rPr>
          <w:spacing w:val="-3"/>
        </w:rPr>
        <w:t>（5）报告期内公司主要产品及原材料价格未发生重大变化。由于产品订单下降而导致单</w:t>
      </w:r>
      <w:r>
        <w:rPr/>
        <w:t> 位产品固定成本费用有所上升，从而使产品平均毛利率进一步下降。</w:t>
      </w:r>
    </w:p>
    <w:p>
      <w:pPr>
        <w:pStyle w:val="BodyText"/>
        <w:spacing w:line="336" w:lineRule="auto" w:before="30"/>
        <w:ind w:right="311" w:firstLine="480"/>
        <w:jc w:val="both"/>
      </w:pPr>
      <w:r>
        <w:rPr>
          <w:spacing w:val="-3"/>
        </w:rPr>
        <w:t>（6）订单的签署和执行情况：电子制造服务行业的业务模式决定了公司以销定产，即按</w:t>
      </w:r>
      <w:r>
        <w:rPr/>
        <w:t> 照产品订单安排生产计划。公司主要客户飞利浦通常会给予覆盖12个月的产品订单，其后每 周根据其终端产品的市场变化情况及需求相应调整，直至产品出货前两周。报告期内公司收 到包括主要客户飞利浦在内的产品订单显著下降从而导致营业收入的下降。</w:t>
      </w:r>
    </w:p>
    <w:p>
      <w:pPr>
        <w:pStyle w:val="BodyText"/>
        <w:spacing w:line="240" w:lineRule="auto" w:before="29"/>
        <w:ind w:left="633" w:right="3330"/>
        <w:jc w:val="left"/>
      </w:pPr>
      <w:r>
        <w:rPr/>
        <w:t>（7）毛利率变动情况</w:t>
      </w:r>
    </w:p>
    <w:p>
      <w:pPr>
        <w:spacing w:line="240" w:lineRule="auto" w:before="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693"/>
        <w:gridCol w:w="2716"/>
        <w:gridCol w:w="2705"/>
        <w:gridCol w:w="2596"/>
      </w:tblGrid>
      <w:tr>
        <w:trPr>
          <w:trHeight w:val="45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5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136" w:right="0"/>
              <w:jc w:val="left"/>
              <w:rPr>
                <w:rFonts w:ascii="宋体" w:hAnsi="宋体" w:cs="宋体" w:eastAsia="宋体" w:hint="default"/>
                <w:sz w:val="18"/>
                <w:szCs w:val="18"/>
              </w:rPr>
            </w:pPr>
            <w:r>
              <w:rPr>
                <w:rFonts w:ascii="宋体" w:hAnsi="宋体" w:cs="宋体" w:eastAsia="宋体" w:hint="default"/>
                <w:sz w:val="18"/>
                <w:szCs w:val="18"/>
              </w:rPr>
              <w:t>销售毛利率（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7.77</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9.49</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14.97</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154" w:right="268" w:firstLine="480"/>
        <w:jc w:val="both"/>
      </w:pPr>
      <w:r>
        <w:rPr/>
        <w:t>近年来公司综合销售毛利率呈逐年下降趋势，一方面2007年由于客户订单较2006年大幅 度增长，公司给予客户更大的价格优惠，另一方面2008年度由于订单下降造成单位产品固定 成本费用相应上升，从而导致毛利率进一步下降。</w:t>
      </w:r>
    </w:p>
    <w:p>
      <w:pPr>
        <w:pStyle w:val="BodyText"/>
        <w:spacing w:line="240" w:lineRule="auto" w:before="30"/>
        <w:ind w:left="634" w:right="95"/>
        <w:jc w:val="left"/>
      </w:pPr>
      <w:r>
        <w:rPr/>
        <w:t>（8）主要供应商和客户情况</w:t>
      </w:r>
    </w:p>
    <w:p>
      <w:pPr>
        <w:spacing w:line="240" w:lineRule="auto" w:before="9"/>
        <w:rPr>
          <w:rFonts w:ascii="宋体" w:hAnsi="宋体" w:cs="宋体" w:eastAsia="宋体" w:hint="default"/>
          <w:sz w:val="7"/>
          <w:szCs w:val="7"/>
        </w:rPr>
      </w:pPr>
    </w:p>
    <w:p>
      <w:pPr>
        <w:pStyle w:val="BodyText"/>
        <w:spacing w:line="240" w:lineRule="auto" w:before="26"/>
        <w:ind w:left="0" w:right="231"/>
        <w:jc w:val="right"/>
      </w:pPr>
      <w:r>
        <w:rPr/>
        <w:t>单位：（人民币）万元</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3256"/>
        <w:gridCol w:w="1428"/>
        <w:gridCol w:w="1684"/>
        <w:gridCol w:w="1853"/>
        <w:gridCol w:w="1516"/>
      </w:tblGrid>
      <w:tr>
        <w:trPr>
          <w:trHeight w:val="556"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4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right="325"/>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6"/>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853" w:type="dxa"/>
            <w:tcBorders>
              <w:top w:val="single" w:sz="4" w:space="0" w:color="000000"/>
              <w:left w:val="single" w:sz="4" w:space="0" w:color="000000"/>
              <w:bottom w:val="single" w:sz="4" w:space="0" w:color="000000"/>
              <w:right w:val="nil" w:sz="6" w:space="0" w:color="auto"/>
            </w:tcBorders>
            <w:shd w:val="clear" w:color="auto" w:fill="E0E0E0"/>
          </w:tcPr>
          <w:p>
            <w:pPr>
              <w:pStyle w:val="TableParagraph"/>
              <w:spacing w:line="235" w:lineRule="exact" w:before="9"/>
              <w:ind w:right="173"/>
              <w:jc w:val="center"/>
              <w:rPr>
                <w:rFonts w:ascii="宋体" w:hAnsi="宋体" w:cs="宋体" w:eastAsia="宋体" w:hint="default"/>
                <w:sz w:val="18"/>
                <w:szCs w:val="18"/>
              </w:rPr>
            </w:pPr>
            <w:r>
              <w:rPr>
                <w:rFonts w:ascii="宋体" w:hAnsi="宋体" w:cs="宋体" w:eastAsia="宋体" w:hint="default"/>
                <w:sz w:val="18"/>
                <w:szCs w:val="18"/>
              </w:rPr>
              <w:t>本年度比上年增加</w:t>
            </w:r>
          </w:p>
          <w:p>
            <w:pPr>
              <w:pStyle w:val="TableParagraph"/>
              <w:spacing w:line="248" w:lineRule="exact"/>
              <w:ind w:right="17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6" w:type="dxa"/>
            <w:tcBorders>
              <w:top w:val="single" w:sz="4" w:space="0" w:color="000000"/>
              <w:left w:val="nil" w:sz="6" w:space="0" w:color="auto"/>
              <w:bottom w:val="single" w:sz="4" w:space="0" w:color="000000"/>
              <w:right w:val="nil" w:sz="6" w:space="0" w:color="auto"/>
            </w:tcBorders>
            <w:shd w:val="clear" w:color="auto" w:fill="E0E0E0"/>
          </w:tcPr>
          <w:p>
            <w:pPr>
              <w:pStyle w:val="TableParagraph"/>
              <w:spacing w:line="240" w:lineRule="auto" w:before="10"/>
              <w:ind w:right="1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前五名供应商合计采购金额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1"/>
              <w:jc w:val="right"/>
              <w:rPr>
                <w:rFonts w:ascii="Times New Roman" w:hAnsi="Times New Roman" w:cs="Times New Roman" w:eastAsia="Times New Roman" w:hint="default"/>
                <w:sz w:val="18"/>
                <w:szCs w:val="18"/>
              </w:rPr>
            </w:pPr>
            <w:r>
              <w:rPr>
                <w:rFonts w:ascii="Times New Roman"/>
                <w:sz w:val="18"/>
              </w:rPr>
              <w:t>23,699.33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0"/>
              <w:jc w:val="right"/>
              <w:rPr>
                <w:rFonts w:ascii="Times New Roman" w:hAnsi="Times New Roman" w:cs="Times New Roman" w:eastAsia="Times New Roman" w:hint="default"/>
                <w:sz w:val="18"/>
                <w:szCs w:val="18"/>
              </w:rPr>
            </w:pPr>
            <w:r>
              <w:rPr>
                <w:rFonts w:ascii="Times New Roman"/>
                <w:sz w:val="18"/>
              </w:rPr>
              <w:t>41,796.16</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28" w:right="0"/>
              <w:jc w:val="left"/>
              <w:rPr>
                <w:rFonts w:ascii="Times New Roman" w:hAnsi="Times New Roman" w:cs="Times New Roman" w:eastAsia="Times New Roman" w:hint="default"/>
                <w:sz w:val="18"/>
                <w:szCs w:val="18"/>
              </w:rPr>
            </w:pPr>
            <w:r>
              <w:rPr>
                <w:rFonts w:ascii="Times New Roman"/>
                <w:sz w:val="18"/>
              </w:rPr>
              <w:t>-43.30%</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67"/>
              <w:jc w:val="center"/>
              <w:rPr>
                <w:rFonts w:ascii="Times New Roman" w:hAnsi="Times New Roman" w:cs="Times New Roman" w:eastAsia="Times New Roman" w:hint="default"/>
                <w:sz w:val="18"/>
                <w:szCs w:val="18"/>
              </w:rPr>
            </w:pPr>
            <w:r>
              <w:rPr>
                <w:rFonts w:ascii="Times New Roman"/>
                <w:sz w:val="18"/>
              </w:rPr>
              <w:t>15,257.77</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993" w:right="180" w:hanging="81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 购总金额的比例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34.93%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39.03%</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-4.10%</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6"/>
              <w:jc w:val="center"/>
              <w:rPr>
                <w:rFonts w:ascii="Times New Roman" w:hAnsi="Times New Roman" w:cs="Times New Roman" w:eastAsia="Times New Roman" w:hint="default"/>
                <w:sz w:val="18"/>
                <w:szCs w:val="18"/>
              </w:rPr>
            </w:pPr>
            <w:r>
              <w:rPr>
                <w:rFonts w:ascii="Times New Roman"/>
                <w:sz w:val="18"/>
              </w:rPr>
              <w:t>35.61%</w:t>
            </w:r>
          </w:p>
        </w:tc>
      </w:tr>
      <w:tr>
        <w:trPr>
          <w:trHeight w:val="324"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前五名客户合计销售金额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1"/>
              <w:jc w:val="right"/>
              <w:rPr>
                <w:rFonts w:ascii="Times New Roman" w:hAnsi="Times New Roman" w:cs="Times New Roman" w:eastAsia="Times New Roman" w:hint="default"/>
                <w:sz w:val="18"/>
                <w:szCs w:val="18"/>
              </w:rPr>
            </w:pPr>
            <w:r>
              <w:rPr>
                <w:rFonts w:ascii="Times New Roman"/>
                <w:sz w:val="18"/>
              </w:rPr>
              <w:t>79,812.92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4"/>
              <w:jc w:val="right"/>
              <w:rPr>
                <w:rFonts w:ascii="Times New Roman" w:hAnsi="Times New Roman" w:cs="Times New Roman" w:eastAsia="Times New Roman" w:hint="default"/>
                <w:sz w:val="18"/>
                <w:szCs w:val="18"/>
              </w:rPr>
            </w:pPr>
            <w:r>
              <w:rPr>
                <w:rFonts w:ascii="Times New Roman"/>
                <w:spacing w:val="-1"/>
                <w:sz w:val="18"/>
              </w:rPr>
              <w:t>117,725.42</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28" w:right="0"/>
              <w:jc w:val="left"/>
              <w:rPr>
                <w:rFonts w:ascii="Times New Roman" w:hAnsi="Times New Roman" w:cs="Times New Roman" w:eastAsia="Times New Roman" w:hint="default"/>
                <w:sz w:val="18"/>
                <w:szCs w:val="18"/>
              </w:rPr>
            </w:pPr>
            <w:r>
              <w:rPr>
                <w:rFonts w:ascii="Times New Roman"/>
                <w:sz w:val="18"/>
              </w:rPr>
              <w:t>-32.20%</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67"/>
              <w:jc w:val="center"/>
              <w:rPr>
                <w:rFonts w:ascii="Times New Roman" w:hAnsi="Times New Roman" w:cs="Times New Roman" w:eastAsia="Times New Roman" w:hint="default"/>
                <w:sz w:val="18"/>
                <w:szCs w:val="18"/>
              </w:rPr>
            </w:pPr>
            <w:r>
              <w:rPr>
                <w:rFonts w:ascii="Times New Roman"/>
                <w:sz w:val="18"/>
              </w:rPr>
              <w:t>45,046.72</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2" w:lineRule="exact" w:before="34"/>
              <w:ind w:left="1083" w:right="180" w:hanging="90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 总金额的比例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90.33%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97.88%</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-7.55%</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6"/>
              <w:jc w:val="center"/>
              <w:rPr>
                <w:rFonts w:ascii="Times New Roman" w:hAnsi="Times New Roman" w:cs="Times New Roman" w:eastAsia="Times New Roman" w:hint="default"/>
                <w:sz w:val="18"/>
                <w:szCs w:val="18"/>
              </w:rPr>
            </w:pPr>
            <w:r>
              <w:rPr>
                <w:rFonts w:ascii="Times New Roman"/>
                <w:sz w:val="18"/>
              </w:rPr>
              <w:t>93.21%</w:t>
            </w:r>
          </w:p>
        </w:tc>
      </w:tr>
      <w:tr>
        <w:trPr>
          <w:trHeight w:val="323"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前五名客户应收账款余额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1"/>
              <w:jc w:val="right"/>
              <w:rPr>
                <w:rFonts w:ascii="Times New Roman" w:hAnsi="Times New Roman" w:cs="Times New Roman" w:eastAsia="Times New Roman" w:hint="default"/>
                <w:sz w:val="18"/>
                <w:szCs w:val="18"/>
              </w:rPr>
            </w:pPr>
            <w:r>
              <w:rPr>
                <w:rFonts w:ascii="Times New Roman"/>
                <w:sz w:val="18"/>
              </w:rPr>
              <w:t>16,666.25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0"/>
              <w:jc w:val="right"/>
              <w:rPr>
                <w:rFonts w:ascii="Times New Roman" w:hAnsi="Times New Roman" w:cs="Times New Roman" w:eastAsia="Times New Roman" w:hint="default"/>
                <w:sz w:val="18"/>
                <w:szCs w:val="18"/>
              </w:rPr>
            </w:pPr>
            <w:r>
              <w:rPr>
                <w:rFonts w:ascii="Times New Roman"/>
                <w:sz w:val="18"/>
              </w:rPr>
              <w:t>32,268.84</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28" w:right="0"/>
              <w:jc w:val="left"/>
              <w:rPr>
                <w:rFonts w:ascii="Times New Roman" w:hAnsi="Times New Roman" w:cs="Times New Roman" w:eastAsia="Times New Roman" w:hint="default"/>
                <w:sz w:val="18"/>
                <w:szCs w:val="18"/>
              </w:rPr>
            </w:pPr>
            <w:r>
              <w:rPr>
                <w:rFonts w:ascii="Times New Roman"/>
                <w:sz w:val="18"/>
              </w:rPr>
              <w:t>-48.35%</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67"/>
              <w:jc w:val="center"/>
              <w:rPr>
                <w:rFonts w:ascii="Times New Roman" w:hAnsi="Times New Roman" w:cs="Times New Roman" w:eastAsia="Times New Roman" w:hint="default"/>
                <w:sz w:val="18"/>
                <w:szCs w:val="18"/>
              </w:rPr>
            </w:pPr>
            <w:r>
              <w:rPr>
                <w:rFonts w:ascii="Times New Roman"/>
                <w:sz w:val="18"/>
              </w:rPr>
              <w:t>10,826.67</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1353" w:right="180" w:hanging="1170"/>
              <w:jc w:val="left"/>
              <w:rPr>
                <w:rFonts w:ascii="宋体" w:hAnsi="宋体" w:cs="宋体" w:eastAsia="宋体" w:hint="default"/>
                <w:sz w:val="18"/>
                <w:szCs w:val="18"/>
              </w:rPr>
            </w:pPr>
            <w:r>
              <w:rPr>
                <w:rFonts w:ascii="宋体" w:hAnsi="宋体" w:cs="宋体" w:eastAsia="宋体" w:hint="default"/>
                <w:sz w:val="18"/>
                <w:szCs w:val="18"/>
              </w:rPr>
              <w:t>前五名客户应收账款占应收帐款总额 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91.42%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98.50%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-7.08%</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6"/>
              <w:jc w:val="center"/>
              <w:rPr>
                <w:rFonts w:ascii="Times New Roman" w:hAnsi="Times New Roman" w:cs="Times New Roman" w:eastAsia="Times New Roman" w:hint="default"/>
                <w:sz w:val="18"/>
                <w:szCs w:val="18"/>
              </w:rPr>
            </w:pPr>
            <w:r>
              <w:rPr>
                <w:rFonts w:ascii="Times New Roman"/>
                <w:sz w:val="18"/>
              </w:rPr>
              <w:t>98.31%</w:t>
            </w:r>
          </w:p>
        </w:tc>
      </w:tr>
      <w:tr>
        <w:trPr>
          <w:trHeight w:val="324"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其中对飞利浦销售金额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1"/>
              <w:jc w:val="right"/>
              <w:rPr>
                <w:rFonts w:ascii="Times New Roman" w:hAnsi="Times New Roman" w:cs="Times New Roman" w:eastAsia="Times New Roman" w:hint="default"/>
                <w:sz w:val="18"/>
                <w:szCs w:val="18"/>
              </w:rPr>
            </w:pPr>
            <w:r>
              <w:rPr>
                <w:rFonts w:ascii="Times New Roman"/>
                <w:sz w:val="18"/>
              </w:rPr>
              <w:t>49,281.88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0"/>
              <w:jc w:val="right"/>
              <w:rPr>
                <w:rFonts w:ascii="Times New Roman" w:hAnsi="Times New Roman" w:cs="Times New Roman" w:eastAsia="Times New Roman" w:hint="default"/>
                <w:sz w:val="18"/>
                <w:szCs w:val="18"/>
              </w:rPr>
            </w:pPr>
            <w:r>
              <w:rPr>
                <w:rFonts w:ascii="Times New Roman"/>
                <w:sz w:val="18"/>
              </w:rPr>
              <w:t>108,869.06</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28" w:right="0"/>
              <w:jc w:val="left"/>
              <w:rPr>
                <w:rFonts w:ascii="Times New Roman" w:hAnsi="Times New Roman" w:cs="Times New Roman" w:eastAsia="Times New Roman" w:hint="default"/>
                <w:sz w:val="18"/>
                <w:szCs w:val="18"/>
              </w:rPr>
            </w:pPr>
            <w:r>
              <w:rPr>
                <w:rFonts w:ascii="Times New Roman"/>
                <w:sz w:val="18"/>
              </w:rPr>
              <w:t>-54.73%</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66"/>
              <w:jc w:val="center"/>
              <w:rPr>
                <w:rFonts w:ascii="Times New Roman" w:hAnsi="Times New Roman" w:cs="Times New Roman" w:eastAsia="Times New Roman" w:hint="default"/>
                <w:sz w:val="18"/>
                <w:szCs w:val="18"/>
              </w:rPr>
            </w:pPr>
            <w:r>
              <w:rPr>
                <w:rFonts w:ascii="Times New Roman"/>
                <w:sz w:val="18"/>
              </w:rPr>
              <w:t>40,085.63</w:t>
            </w:r>
          </w:p>
        </w:tc>
      </w:tr>
      <w:tr>
        <w:trPr>
          <w:trHeight w:val="557" w:hRule="exact"/>
        </w:trPr>
        <w:tc>
          <w:tcPr>
            <w:tcW w:w="32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
              <w:ind w:left="1353" w:right="180" w:hanging="1170"/>
              <w:jc w:val="left"/>
              <w:rPr>
                <w:rFonts w:ascii="宋体" w:hAnsi="宋体" w:cs="宋体" w:eastAsia="宋体" w:hint="default"/>
                <w:sz w:val="18"/>
                <w:szCs w:val="18"/>
              </w:rPr>
            </w:pPr>
            <w:r>
              <w:rPr>
                <w:rFonts w:ascii="宋体" w:hAnsi="宋体" w:cs="宋体" w:eastAsia="宋体" w:hint="default"/>
                <w:sz w:val="18"/>
                <w:szCs w:val="18"/>
              </w:rPr>
              <w:t>对飞利浦销售金额占年度销售总金额 的比例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55.77%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90.52%</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-34.75%</w:t>
            </w:r>
          </w:p>
        </w:tc>
        <w:tc>
          <w:tcPr>
            <w:tcW w:w="151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7"/>
              <w:jc w:val="center"/>
              <w:rPr>
                <w:rFonts w:ascii="Times New Roman" w:hAnsi="Times New Roman" w:cs="Times New Roman" w:eastAsia="Times New Roman" w:hint="default"/>
                <w:sz w:val="18"/>
                <w:szCs w:val="18"/>
              </w:rPr>
            </w:pPr>
            <w:r>
              <w:rPr>
                <w:rFonts w:ascii="Times New Roman"/>
                <w:sz w:val="18"/>
              </w:rPr>
              <w:t>82.94</w:t>
            </w:r>
          </w:p>
        </w:tc>
      </w:tr>
    </w:tbl>
    <w:p>
      <w:pPr>
        <w:pStyle w:val="BodyText"/>
        <w:spacing w:line="336" w:lineRule="auto" w:before="71"/>
        <w:ind w:left="154" w:right="268" w:firstLine="480"/>
        <w:jc w:val="both"/>
      </w:pPr>
      <w:r>
        <w:rPr/>
        <w:t>公司与前五名客户、前五名供应商之间不存在关联关系，公司董事、监事、高级管理人 员、核心技术人员、持股5%以上股东、实际控制任何其他关联方没有在上述客户、供应商中 直接或者间接拥有权益等。</w:t>
      </w:r>
    </w:p>
    <w:p>
      <w:pPr>
        <w:pStyle w:val="BodyText"/>
        <w:spacing w:line="240" w:lineRule="auto" w:before="30"/>
        <w:ind w:left="634" w:right="95"/>
        <w:jc w:val="left"/>
      </w:pPr>
      <w:r>
        <w:rPr/>
        <w:t>（9）非经常性损益项目</w:t>
      </w:r>
    </w:p>
    <w:p>
      <w:pPr>
        <w:spacing w:before="65"/>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200"/>
        <w:gridCol w:w="4520"/>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-534,997.40</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34,779.42</w:t>
            </w: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90"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融资产、交易性金融负债产生的公允价值变动损益，以及处置交易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性金融资产、交易性金融负债和可供出售金融资产取得的投资收益</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17,907,168.97</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-474,514.99</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3,804.63</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-2,773,432.99</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15,162,807.64</w:t>
            </w:r>
          </w:p>
        </w:tc>
      </w:tr>
    </w:tbl>
    <w:p>
      <w:pPr>
        <w:pStyle w:val="BodyText"/>
        <w:spacing w:line="336" w:lineRule="auto" w:before="71"/>
        <w:ind w:right="101" w:firstLine="480"/>
        <w:jc w:val="left"/>
      </w:pPr>
      <w:r>
        <w:rPr>
          <w:spacing w:val="-5"/>
        </w:rPr>
        <w:t>（10）获得政府补助情况：本期公司获得深圳市南山区创新型企业资助人民币100万元整，</w:t>
      </w:r>
      <w:r>
        <w:rPr/>
        <w:t> 占本期净利润的比例为2.96%。</w:t>
      </w:r>
    </w:p>
    <w:p>
      <w:pPr>
        <w:pStyle w:val="BodyText"/>
        <w:spacing w:line="336" w:lineRule="auto" w:before="30"/>
        <w:ind w:left="633" w:right="5051"/>
        <w:jc w:val="left"/>
      </w:pPr>
      <w:r>
        <w:rPr/>
        <w:t>（11）近三年主要费用和所得税费用情况 近三年主要费用情况如下表：</w:t>
      </w:r>
    </w:p>
    <w:p>
      <w:pPr>
        <w:spacing w:after="0" w:line="336"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0" w:right="231"/>
        <w:jc w:val="right"/>
      </w:pPr>
      <w:r>
        <w:rPr/>
        <w:t>单位：（人民币）万元</w:t>
      </w:r>
    </w:p>
    <w:p>
      <w:pPr>
        <w:spacing w:line="240" w:lineRule="auto" w:before="3"/>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48"/>
        <w:gridCol w:w="1948"/>
        <w:gridCol w:w="1946"/>
        <w:gridCol w:w="1948"/>
        <w:gridCol w:w="1946"/>
      </w:tblGrid>
      <w:tr>
        <w:trPr>
          <w:trHeight w:val="889"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本年度比上年度增减</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448.22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194.72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130.19%</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91.39</w:t>
            </w:r>
          </w:p>
        </w:tc>
      </w:tr>
      <w:tr>
        <w:trPr>
          <w:trHeight w:val="323"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4,041.22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3,399.55</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18.88%</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2,156.31</w:t>
            </w:r>
          </w:p>
        </w:tc>
      </w:tr>
      <w:tr>
        <w:trPr>
          <w:trHeight w:val="324"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377.35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647.62</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-41.73%</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251.58</w:t>
            </w:r>
          </w:p>
        </w:tc>
      </w:tr>
      <w:tr>
        <w:trPr>
          <w:trHeight w:val="324" w:hRule="exact"/>
        </w:trPr>
        <w:tc>
          <w:tcPr>
            <w:tcW w:w="194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546.32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499.69</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376.78</w:t>
            </w:r>
          </w:p>
        </w:tc>
      </w:tr>
    </w:tbl>
    <w:p>
      <w:pPr>
        <w:pStyle w:val="BodyText"/>
        <w:spacing w:line="336" w:lineRule="auto" w:before="71"/>
        <w:ind w:left="154" w:right="92" w:firstLine="480"/>
        <w:jc w:val="left"/>
      </w:pPr>
      <w:r>
        <w:rPr/>
        <w:t>说明：报告期内销售费用同比大幅度增加主要是因为在出口产品订单下降的背景下公司 </w:t>
      </w:r>
      <w:r>
        <w:rPr>
          <w:spacing w:val="-2"/>
        </w:rPr>
        <w:t>加大了海内外市场拓展的力度，如参加全球范围内电子产品展销会、吸收高素质销售人员等；</w:t>
      </w:r>
      <w:r>
        <w:rPr/>
        <w:t> 报告期内公司财务费用同比下降41.73%，主要是因为报告期公司借入美元贷款，人民币兑美 元的汇率变动产生了汇兑收益。</w:t>
      </w:r>
    </w:p>
    <w:p>
      <w:pPr>
        <w:pStyle w:val="BodyText"/>
        <w:spacing w:line="240" w:lineRule="auto" w:before="29"/>
        <w:ind w:left="634" w:right="95"/>
        <w:jc w:val="left"/>
      </w:pPr>
      <w:r>
        <w:rPr/>
        <w:t>近三年期间费用、所得税费用与营业收入、营业利润变动情况如下表：</w:t>
      </w:r>
    </w:p>
    <w:p>
      <w:pPr>
        <w:spacing w:line="240" w:lineRule="auto" w:before="3"/>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434"/>
        <w:gridCol w:w="2434"/>
        <w:gridCol w:w="2435"/>
        <w:gridCol w:w="2434"/>
      </w:tblGrid>
      <w:tr>
        <w:trPr>
          <w:trHeight w:val="557"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2"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2"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年度增减</w:t>
            </w:r>
          </w:p>
          <w:p>
            <w:pPr>
              <w:pStyle w:val="TableParagraph"/>
              <w:spacing w:line="242"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-26.53%</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148.86%</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r>
      <w:tr>
        <w:trPr>
          <w:trHeight w:val="323"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-45.17%</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36.07%</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28.86%</w:t>
            </w:r>
            <w:r>
              <w:rPr>
                <w:rFonts w:ascii="Times New Roman"/>
                <w:sz w:val="18"/>
              </w:rPr>
            </w:r>
          </w:p>
        </w:tc>
      </w:tr>
      <w:tr>
        <w:trPr>
          <w:trHeight w:val="324"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14.73%</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69.72%</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64.85%</w:t>
            </w:r>
            <w:r>
              <w:rPr>
                <w:rFonts w:ascii="Times New Roman"/>
                <w:sz w:val="18"/>
              </w:rPr>
            </w:r>
          </w:p>
        </w:tc>
      </w:tr>
      <w:tr>
        <w:trPr>
          <w:trHeight w:val="324"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w w:val="95"/>
                <w:sz w:val="18"/>
              </w:rPr>
              <w:t>32.62%</w:t>
            </w:r>
            <w:r>
              <w:rPr>
                <w:rFonts w:ascii="Times New Roman"/>
                <w:sz w:val="18"/>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45.09%</w:t>
            </w:r>
            <w:r>
              <w:rPr>
                <w:rFonts w:ascii="Times New Roman"/>
                <w:sz w:val="18"/>
              </w:rPr>
            </w:r>
          </w:p>
        </w:tc>
      </w:tr>
    </w:tbl>
    <w:p>
      <w:pPr>
        <w:pStyle w:val="BodyText"/>
        <w:spacing w:line="336" w:lineRule="auto" w:before="71"/>
        <w:ind w:left="154" w:right="250" w:firstLine="480"/>
        <w:jc w:val="left"/>
      </w:pPr>
      <w:r>
        <w:rPr/>
        <w:t>报告期内虽然公司营业收入、营业利润同比下降，但由于前述销售费用、管理费用的增 加造成期间费用同比仍然出现14.73%的增长。</w:t>
      </w:r>
    </w:p>
    <w:p>
      <w:pPr>
        <w:pStyle w:val="BodyText"/>
        <w:spacing w:line="240" w:lineRule="auto" w:before="30"/>
        <w:ind w:left="634" w:right="95"/>
        <w:jc w:val="left"/>
      </w:pPr>
      <w:r>
        <w:rPr/>
        <w:t>（12）董事、监事、高级管理人员薪酬情况</w:t>
      </w:r>
    </w:p>
    <w:p>
      <w:pPr>
        <w:spacing w:line="240" w:lineRule="auto" w:before="9"/>
        <w:rPr>
          <w:rFonts w:ascii="宋体" w:hAnsi="宋体" w:cs="宋体" w:eastAsia="宋体" w:hint="default"/>
          <w:sz w:val="7"/>
          <w:szCs w:val="7"/>
        </w:rPr>
      </w:pPr>
    </w:p>
    <w:p>
      <w:pPr>
        <w:pStyle w:val="BodyText"/>
        <w:spacing w:line="240" w:lineRule="auto" w:before="26"/>
        <w:ind w:left="0" w:right="231"/>
        <w:jc w:val="right"/>
      </w:pPr>
      <w:r>
        <w:rPr/>
        <w:t>单位：（人民币）万元</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44"/>
        <w:gridCol w:w="1944"/>
        <w:gridCol w:w="1944"/>
        <w:gridCol w:w="1944"/>
        <w:gridCol w:w="1944"/>
      </w:tblGrid>
      <w:tr>
        <w:trPr>
          <w:trHeight w:val="324" w:hRule="exact"/>
        </w:trPr>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96.00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宋东红</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董事、副总经</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47.62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47.62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吕昌荣</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24.00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24.00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陈熙亚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10.80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16.67</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李秉心</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4.39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3.51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20.05</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刘震国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4.39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20.05</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赵志坚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4.39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20.05</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李汉国</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2.51</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薛桂香</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8.88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68.18</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王雁航</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12.90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36.43</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季国永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36.96</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吕培荣</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13.80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89.04</w:t>
            </w:r>
          </w:p>
        </w:tc>
      </w:tr>
      <w:tr>
        <w:trPr>
          <w:trHeight w:val="32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姜帆</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17.40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14.40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20.83</w:t>
            </w:r>
          </w:p>
        </w:tc>
      </w:tr>
      <w:tr>
        <w:trPr>
          <w:trHeight w:val="324" w:hRule="exact"/>
        </w:trPr>
        <w:tc>
          <w:tcPr>
            <w:tcW w:w="19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386.18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358.03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7.86</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154" w:right="228" w:firstLine="480"/>
        <w:jc w:val="both"/>
      </w:pPr>
      <w:r>
        <w:rPr/>
        <w:t>报告期内公司部分董事、监事和高级管理人员领取薪酬同比增长幅度较大，主要是因为 2007年度基数较低，全体董事、监事和高级管理人员薪酬总额同比变动幅度与业务发展趋势 相比较基本合理。</w:t>
      </w:r>
    </w:p>
    <w:p>
      <w:pPr>
        <w:pStyle w:val="BodyText"/>
        <w:spacing w:line="240" w:lineRule="auto" w:before="30"/>
        <w:ind w:left="634" w:right="210"/>
        <w:jc w:val="left"/>
      </w:pPr>
      <w:r>
        <w:rPr/>
        <w:t>截至报告期末，公司未实施股权激励计划。</w:t>
      </w:r>
    </w:p>
    <w:p>
      <w:pPr>
        <w:pStyle w:val="BodyText"/>
        <w:spacing w:line="336" w:lineRule="auto" w:before="126"/>
        <w:ind w:left="634" w:right="210"/>
        <w:jc w:val="left"/>
      </w:pPr>
      <w:r>
        <w:rPr/>
        <w:t>（13）本年度经营计划完成情况 鉴于公司业务经营模式为订单生产、以销定产，期初收到的客户订单计划在报告期内实</w:t>
      </w:r>
    </w:p>
    <w:p>
      <w:pPr>
        <w:pStyle w:val="BodyText"/>
        <w:spacing w:line="240" w:lineRule="auto" w:before="30"/>
        <w:ind w:left="135" w:right="4289"/>
        <w:jc w:val="center"/>
      </w:pPr>
      <w:r>
        <w:rPr/>
        <w:t>际大幅度减少，严格意义上未能完成全年经营计划。</w:t>
      </w:r>
    </w:p>
    <w:p>
      <w:pPr>
        <w:pStyle w:val="BodyText"/>
        <w:spacing w:line="336" w:lineRule="auto" w:before="126"/>
        <w:ind w:left="154" w:right="228" w:firstLine="480"/>
        <w:jc w:val="both"/>
      </w:pPr>
      <w:r>
        <w:rPr/>
        <w:t>（14）报告期内，公司无重大会计政策变更、无重大会计估计变更、无重大核算方法变 更、无重大前期会计差错发生。</w:t>
      </w:r>
    </w:p>
    <w:p>
      <w:pPr>
        <w:pStyle w:val="BodyText"/>
        <w:spacing w:line="240" w:lineRule="auto" w:before="30"/>
        <w:ind w:left="634" w:right="210"/>
        <w:jc w:val="left"/>
      </w:pPr>
      <w:r>
        <w:rPr/>
        <w:t>3、报告期末公司资产情况</w:t>
      </w:r>
    </w:p>
    <w:p>
      <w:pPr>
        <w:pStyle w:val="BodyText"/>
        <w:spacing w:line="240" w:lineRule="auto" w:before="126"/>
        <w:ind w:left="634" w:right="210"/>
        <w:jc w:val="left"/>
      </w:pPr>
      <w:r>
        <w:rPr/>
        <w:t>（1）主要资产变化情况</w:t>
      </w:r>
    </w:p>
    <w:p>
      <w:pPr>
        <w:spacing w:before="6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57"/>
        <w:gridCol w:w="1632"/>
        <w:gridCol w:w="1620"/>
        <w:gridCol w:w="1440"/>
        <w:gridCol w:w="1440"/>
        <w:gridCol w:w="1620"/>
      </w:tblGrid>
      <w:tr>
        <w:trPr>
          <w:trHeight w:val="162"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612" w:right="0"/>
              <w:jc w:val="left"/>
              <w:rPr>
                <w:rFonts w:ascii="宋体" w:hAnsi="宋体" w:cs="宋体" w:eastAsia="宋体" w:hint="default"/>
                <w:sz w:val="18"/>
                <w:szCs w:val="18"/>
              </w:rPr>
            </w:pPr>
            <w:r>
              <w:rPr>
                <w:rFonts w:ascii="宋体" w:hAnsi="宋体" w:cs="宋体" w:eastAsia="宋体" w:hint="default"/>
                <w:sz w:val="18"/>
                <w:szCs w:val="18"/>
              </w:rPr>
              <w:t>资产构成</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52" w:hRule="exact"/>
        </w:trPr>
        <w:tc>
          <w:tcPr>
            <w:tcW w:w="195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620" w:type="dxa"/>
            <w:vMerge/>
            <w:tcBorders>
              <w:left w:val="single" w:sz="4" w:space="0" w:color="000000"/>
              <w:bottom w:val="nil" w:sz="6" w:space="0" w:color="auto"/>
              <w:right w:val="single" w:sz="4" w:space="0" w:color="000000"/>
            </w:tcBorders>
            <w:shd w:val="clear" w:color="auto" w:fill="DCDCDC"/>
          </w:tcPr>
          <w:p>
            <w:pPr/>
          </w:p>
        </w:tc>
      </w:tr>
      <w:tr>
        <w:trPr>
          <w:trHeight w:val="172"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617,482,661.13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50.73%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219,892,797.75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24.39%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180.81</w:t>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173,182,184.75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14.23%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311,200,755.55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34.52%</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-44.35</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6,465,461.63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3,712,637.82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74.15</w:t>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66,223,487.85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5.44%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1,655,989.64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3,899.03</w:t>
            </w:r>
          </w:p>
        </w:tc>
      </w:tr>
    </w:tbl>
    <w:p>
      <w:pPr>
        <w:pStyle w:val="BodyText"/>
        <w:spacing w:line="336" w:lineRule="auto" w:before="71"/>
        <w:ind w:right="175" w:firstLine="480"/>
        <w:jc w:val="left"/>
      </w:pPr>
      <w:r>
        <w:rPr>
          <w:spacing w:val="-2"/>
        </w:rPr>
        <w:t>报告期末货币资金同比增长180.81%，主要原因是报告期公司增加了以足额人民币为抵押</w:t>
      </w:r>
      <w:r>
        <w:rPr/>
        <w:t> 的美元贷款。</w:t>
      </w:r>
    </w:p>
    <w:p>
      <w:pPr>
        <w:pStyle w:val="BodyText"/>
        <w:spacing w:line="336" w:lineRule="auto" w:before="29"/>
        <w:ind w:right="183" w:firstLine="480"/>
        <w:jc w:val="left"/>
      </w:pPr>
      <w:r>
        <w:rPr>
          <w:spacing w:val="-2"/>
        </w:rPr>
        <w:t>报告期末应收账款同比下降44.35%%，主要原因本应于2007年12月31日之前收到的飞利浦</w:t>
      </w:r>
      <w:r>
        <w:rPr/>
        <w:t> 公司2007年10月份货款14,763.43万元推迟至2008年1月8日收到。</w:t>
      </w:r>
    </w:p>
    <w:p>
      <w:pPr>
        <w:pStyle w:val="BodyText"/>
        <w:spacing w:line="336" w:lineRule="auto" w:before="30"/>
        <w:ind w:right="177" w:firstLine="480"/>
        <w:jc w:val="left"/>
      </w:pPr>
      <w:r>
        <w:rPr>
          <w:spacing w:val="-2"/>
        </w:rPr>
        <w:t>报告期末在建工程同比大幅度增加3,899.03%，主要是深圳市龙岗区宝龙工业城实益达科</w:t>
      </w:r>
      <w:r>
        <w:rPr/>
        <w:t> 技园的建设投入。</w:t>
      </w:r>
    </w:p>
    <w:p>
      <w:pPr>
        <w:spacing w:line="240" w:lineRule="auto" w:before="13"/>
        <w:rPr>
          <w:rFonts w:ascii="宋体" w:hAnsi="宋体" w:cs="宋体" w:eastAsia="宋体" w:hint="default"/>
          <w:sz w:val="35"/>
          <w:szCs w:val="35"/>
        </w:rPr>
      </w:pPr>
    </w:p>
    <w:p>
      <w:pPr>
        <w:pStyle w:val="BodyText"/>
        <w:spacing w:line="240" w:lineRule="auto" w:before="0"/>
        <w:ind w:left="633" w:right="210"/>
        <w:jc w:val="left"/>
      </w:pPr>
      <w:r>
        <w:rPr/>
        <w:t>（2）主要固定资产和无形资产情况</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896"/>
        <w:gridCol w:w="2160"/>
        <w:gridCol w:w="1800"/>
        <w:gridCol w:w="1440"/>
        <w:gridCol w:w="1440"/>
      </w:tblGrid>
      <w:tr>
        <w:trPr>
          <w:trHeight w:val="324" w:hRule="exact"/>
        </w:trPr>
        <w:tc>
          <w:tcPr>
            <w:tcW w:w="2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地址</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抵押情况</w:t>
            </w:r>
          </w:p>
        </w:tc>
      </w:tr>
      <w:tr>
        <w:trPr>
          <w:trHeight w:val="580"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4" w:right="89"/>
              <w:jc w:val="left"/>
              <w:rPr>
                <w:rFonts w:ascii="宋体" w:hAnsi="宋体" w:cs="宋体" w:eastAsia="宋体" w:hint="default"/>
                <w:sz w:val="18"/>
                <w:szCs w:val="18"/>
              </w:rPr>
            </w:pPr>
            <w:r>
              <w:rPr>
                <w:rFonts w:ascii="宋体" w:hAnsi="宋体" w:cs="宋体" w:eastAsia="宋体" w:hint="default"/>
                <w:spacing w:val="12"/>
                <w:sz w:val="18"/>
                <w:szCs w:val="18"/>
              </w:rPr>
              <w:t>深圳市实益达科技股份有限公司 </w:t>
            </w: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深圳市龙岗区宝龙工业 </w:t>
            </w:r>
            <w:r>
              <w:rPr>
                <w:rFonts w:ascii="宋体" w:hAnsi="宋体" w:cs="宋体" w:eastAsia="宋体" w:hint="default"/>
                <w:sz w:val="18"/>
                <w:szCs w:val="18"/>
              </w:rPr>
              <w:t>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55" w:right="0"/>
              <w:jc w:val="left"/>
              <w:rPr>
                <w:rFonts w:ascii="宋体" w:hAnsi="宋体" w:cs="宋体" w:eastAsia="宋体" w:hint="default"/>
                <w:sz w:val="18"/>
                <w:szCs w:val="18"/>
              </w:rPr>
            </w:pPr>
            <w:r>
              <w:rPr>
                <w:rFonts w:ascii="宋体" w:hAnsi="宋体" w:cs="宋体" w:eastAsia="宋体" w:hint="default"/>
                <w:sz w:val="18"/>
                <w:szCs w:val="18"/>
              </w:rPr>
              <w:t>正在建设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8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无锡实益达电子有限公司房产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无锡新区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已抵押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深圳市宝安区大浪街道 </w:t>
            </w:r>
            <w:r>
              <w:rPr>
                <w:rFonts w:ascii="宋体" w:hAnsi="宋体" w:cs="宋体" w:eastAsia="宋体" w:hint="default"/>
                <w:sz w:val="18"/>
                <w:szCs w:val="18"/>
              </w:rPr>
              <w:t>龙泉科技园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深圳市宝安区大浪街道 </w:t>
            </w:r>
            <w:r>
              <w:rPr>
                <w:rFonts w:ascii="宋体" w:hAnsi="宋体" w:cs="宋体" w:eastAsia="宋体" w:hint="default"/>
                <w:sz w:val="18"/>
                <w:szCs w:val="18"/>
              </w:rPr>
              <w:t>龙泉科技园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r>
        <w:trPr>
          <w:trHeight w:val="557"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86"/>
              <w:jc w:val="left"/>
              <w:rPr>
                <w:rFonts w:ascii="宋体" w:hAnsi="宋体" w:cs="宋体" w:eastAsia="宋体" w:hint="default"/>
                <w:sz w:val="18"/>
                <w:szCs w:val="18"/>
              </w:rPr>
            </w:pPr>
            <w:r>
              <w:rPr>
                <w:rFonts w:ascii="宋体" w:hAnsi="宋体" w:cs="宋体" w:eastAsia="宋体" w:hint="default"/>
                <w:spacing w:val="15"/>
                <w:sz w:val="18"/>
                <w:szCs w:val="18"/>
              </w:rPr>
              <w:t>深圳市宝安区大浪街道 </w:t>
            </w:r>
            <w:r>
              <w:rPr>
                <w:rFonts w:ascii="宋体" w:hAnsi="宋体" w:cs="宋体" w:eastAsia="宋体" w:hint="default"/>
                <w:sz w:val="18"/>
                <w:szCs w:val="18"/>
              </w:rPr>
              <w:t>龙泉科技园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权属清晰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5" w:right="0"/>
              <w:jc w:val="left"/>
              <w:rPr>
                <w:rFonts w:ascii="宋体" w:hAnsi="宋体" w:cs="宋体" w:eastAsia="宋体" w:hint="default"/>
                <w:sz w:val="18"/>
                <w:szCs w:val="18"/>
              </w:rPr>
            </w:pPr>
            <w:r>
              <w:rPr>
                <w:rFonts w:ascii="宋体" w:hAnsi="宋体" w:cs="宋体" w:eastAsia="宋体" w:hint="default"/>
                <w:sz w:val="18"/>
                <w:szCs w:val="18"/>
              </w:rPr>
              <w:t>正在使用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未抵押</w:t>
            </w:r>
          </w:p>
        </w:tc>
      </w:tr>
    </w:tbl>
    <w:p>
      <w:pPr>
        <w:spacing w:after="0" w:line="240" w:lineRule="auto"/>
        <w:jc w:val="center"/>
        <w:rPr>
          <w:rFonts w:ascii="宋体" w:hAnsi="宋体" w:cs="宋体" w:eastAsia="宋体" w:hint="default"/>
          <w:sz w:val="18"/>
          <w:szCs w:val="18"/>
        </w:rPr>
        <w:sectPr>
          <w:pgSz w:w="11910" w:h="16840"/>
          <w:pgMar w:header="787" w:footer="1339" w:top="1020" w:bottom="152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154" w:right="348" w:firstLine="480"/>
        <w:jc w:val="both"/>
      </w:pPr>
      <w:r>
        <w:rPr/>
        <w:t>本公司控股子公司无锡实益达位于无锡新区的厂房抵押给上海浦东发展银行股份有限公 司无锡新区支行，土地使用权和房产合计取得授信额度人民币3000万元，目前实际取得贷款 1995万元，到期日为2009年11月。</w:t>
      </w:r>
    </w:p>
    <w:p>
      <w:pPr>
        <w:pStyle w:val="BodyText"/>
        <w:spacing w:line="240" w:lineRule="auto" w:before="30"/>
        <w:ind w:left="634" w:right="3330"/>
        <w:jc w:val="left"/>
      </w:pPr>
      <w:r>
        <w:rPr/>
        <w:t>（3）主要存货情况</w:t>
      </w:r>
    </w:p>
    <w:p>
      <w:pPr>
        <w:spacing w:before="196"/>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line="240" w:lineRule="auto" w:before="1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005"/>
        <w:gridCol w:w="1936"/>
        <w:gridCol w:w="1922"/>
        <w:gridCol w:w="1924"/>
        <w:gridCol w:w="1922"/>
      </w:tblGrid>
      <w:tr>
        <w:trPr>
          <w:trHeight w:val="324" w:hRule="exact"/>
        </w:trPr>
        <w:tc>
          <w:tcPr>
            <w:tcW w:w="2005" w:type="dxa"/>
            <w:tcBorders>
              <w:top w:val="single" w:sz="4" w:space="0" w:color="000000"/>
              <w:left w:val="single" w:sz="4" w:space="0" w:color="000000"/>
              <w:bottom w:val="single" w:sz="4" w:space="0" w:color="000000"/>
              <w:right w:val="single" w:sz="9" w:space="0" w:color="DCDCDC"/>
            </w:tcBorders>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5,282.65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62.03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5,220.63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80.35</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483.26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483.26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7.44</w:t>
            </w:r>
          </w:p>
        </w:tc>
      </w:tr>
      <w:tr>
        <w:trPr>
          <w:trHeight w:val="323"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812.20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44.42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767.79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11.82</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25.75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25.75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0.39</w:t>
            </w:r>
          </w:p>
        </w:tc>
      </w:tr>
      <w:tr>
        <w:trPr>
          <w:trHeight w:val="324" w:hRule="exact"/>
        </w:trPr>
        <w:tc>
          <w:tcPr>
            <w:tcW w:w="20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6,603.87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106.44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6,497.43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71"/>
        <w:ind w:left="634" w:right="0"/>
        <w:jc w:val="left"/>
      </w:pPr>
      <w:r>
        <w:rPr/>
        <w:t>报告期末公司存货较期初下降43.12%，主要原因是产品订单减少，库存原材料相应减少。</w:t>
      </w:r>
    </w:p>
    <w:p>
      <w:pPr>
        <w:pStyle w:val="BodyText"/>
        <w:spacing w:line="240" w:lineRule="auto" w:before="126"/>
        <w:ind w:left="634" w:right="3330"/>
        <w:jc w:val="left"/>
      </w:pPr>
      <w:r>
        <w:rPr/>
        <w:t>（4）交易性金融资产情况</w:t>
      </w:r>
    </w:p>
    <w:p>
      <w:pPr>
        <w:spacing w:before="6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45"/>
        <w:gridCol w:w="2742"/>
        <w:gridCol w:w="2730"/>
      </w:tblGrid>
      <w:tr>
        <w:trPr>
          <w:trHeight w:val="324"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31"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7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819" w:right="0"/>
              <w:jc w:val="lef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23"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2742" w:type="dxa"/>
            <w:tcBorders>
              <w:top w:val="single" w:sz="4" w:space="0" w:color="000000"/>
              <w:left w:val="single" w:sz="13" w:space="0" w:color="DCDCDC"/>
              <w:bottom w:val="single" w:sz="4" w:space="0" w:color="000000"/>
              <w:right w:val="single" w:sz="4" w:space="0" w:color="000000"/>
            </w:tcBorders>
          </w:tcPr>
          <w:p>
            <w:pPr/>
          </w:p>
        </w:tc>
        <w:tc>
          <w:tcPr>
            <w:tcW w:w="27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2742" w:type="dxa"/>
            <w:tcBorders>
              <w:top w:val="single" w:sz="4" w:space="0" w:color="000000"/>
              <w:left w:val="single" w:sz="13" w:space="0" w:color="DCDCDC"/>
              <w:bottom w:val="single" w:sz="4" w:space="0" w:color="000000"/>
              <w:right w:val="single" w:sz="4" w:space="0" w:color="000000"/>
            </w:tcBorders>
          </w:tcPr>
          <w:p>
            <w:pPr/>
          </w:p>
        </w:tc>
        <w:tc>
          <w:tcPr>
            <w:tcW w:w="27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、指定为以公允价值计量且其变动计入当期损益的金 融资产</w:t>
            </w:r>
          </w:p>
        </w:tc>
        <w:tc>
          <w:tcPr>
            <w:tcW w:w="2742" w:type="dxa"/>
            <w:tcBorders>
              <w:top w:val="single" w:sz="4" w:space="0" w:color="000000"/>
              <w:left w:val="single" w:sz="13" w:space="0" w:color="DCDCDC"/>
              <w:bottom w:val="single" w:sz="4" w:space="0" w:color="000000"/>
              <w:right w:val="single" w:sz="4" w:space="0" w:color="000000"/>
            </w:tcBorders>
          </w:tcPr>
          <w:p>
            <w:pPr/>
          </w:p>
        </w:tc>
        <w:tc>
          <w:tcPr>
            <w:tcW w:w="27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、衍生金融资产</w:t>
            </w:r>
          </w:p>
        </w:tc>
        <w:tc>
          <w:tcPr>
            <w:tcW w:w="274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742" w:type="dxa"/>
            <w:tcBorders>
              <w:top w:val="single" w:sz="4" w:space="0" w:color="000000"/>
              <w:left w:val="single" w:sz="13" w:space="0" w:color="DCDCDC"/>
              <w:bottom w:val="single" w:sz="4" w:space="0" w:color="000000"/>
              <w:right w:val="single" w:sz="4" w:space="0" w:color="000000"/>
            </w:tcBorders>
          </w:tcPr>
          <w:p>
            <w:pPr/>
          </w:p>
        </w:tc>
        <w:tc>
          <w:tcPr>
            <w:tcW w:w="27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4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2"/>
        <w:ind w:left="634" w:right="173"/>
        <w:jc w:val="left"/>
      </w:pPr>
      <w:r>
        <w:rPr/>
        <w:t>上述衍生金融资产是由报告期内公司发生的远期外汇交易公允价值变动所致。</w:t>
      </w:r>
    </w:p>
    <w:p>
      <w:pPr>
        <w:pStyle w:val="BodyText"/>
        <w:spacing w:line="240" w:lineRule="auto" w:before="126"/>
        <w:ind w:left="634" w:right="3330"/>
        <w:jc w:val="left"/>
      </w:pPr>
      <w:r>
        <w:rPr/>
        <w:t>（5）外币金融资产情况</w:t>
      </w:r>
    </w:p>
    <w:p>
      <w:pPr>
        <w:spacing w:before="64"/>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65" w:type="dxa"/>
        <w:tblLayout w:type="fixed"/>
        <w:tblCellMar>
          <w:top w:w="0" w:type="dxa"/>
          <w:left w:w="0" w:type="dxa"/>
          <w:bottom w:w="0" w:type="dxa"/>
          <w:right w:w="0" w:type="dxa"/>
        </w:tblCellMar>
        <w:tblLook w:val="01E0"/>
      </w:tblPr>
      <w:tblGrid>
        <w:gridCol w:w="2331"/>
        <w:gridCol w:w="1507"/>
        <w:gridCol w:w="1489"/>
        <w:gridCol w:w="1489"/>
        <w:gridCol w:w="1501"/>
        <w:gridCol w:w="1495"/>
      </w:tblGrid>
      <w:tr>
        <w:trPr>
          <w:trHeight w:val="121" w:hRule="exact"/>
        </w:trPr>
        <w:tc>
          <w:tcPr>
            <w:tcW w:w="2331"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465" w:right="111"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201" w:right="105"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5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6" w:hRule="exact"/>
        </w:trPr>
        <w:tc>
          <w:tcPr>
            <w:tcW w:w="233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387"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89" w:type="dxa"/>
            <w:vMerge/>
            <w:tcBorders>
              <w:left w:val="single" w:sz="4" w:space="0" w:color="000000"/>
              <w:bottom w:val="single" w:sz="4" w:space="0" w:color="000000"/>
              <w:right w:val="single" w:sz="4" w:space="0" w:color="000000"/>
            </w:tcBorders>
            <w:shd w:val="clear" w:color="auto" w:fill="DCDCDC"/>
          </w:tcPr>
          <w:p>
            <w:pPr/>
          </w:p>
        </w:tc>
        <w:tc>
          <w:tcPr>
            <w:tcW w:w="1489" w:type="dxa"/>
            <w:vMerge/>
            <w:tcBorders>
              <w:left w:val="single" w:sz="4" w:space="0" w:color="000000"/>
              <w:bottom w:val="single" w:sz="4" w:space="0" w:color="000000"/>
              <w:right w:val="single" w:sz="4" w:space="0" w:color="000000"/>
            </w:tcBorders>
            <w:shd w:val="clear" w:color="auto" w:fill="DCDCDC"/>
          </w:tcPr>
          <w:p>
            <w:pPr/>
          </w:p>
        </w:tc>
        <w:tc>
          <w:tcPr>
            <w:tcW w:w="15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3" w:hRule="exact"/>
        </w:trPr>
        <w:tc>
          <w:tcPr>
            <w:tcW w:w="981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282" w:hRule="exact"/>
        </w:trPr>
        <w:tc>
          <w:tcPr>
            <w:tcW w:w="233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left="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507" w:type="dxa"/>
            <w:tcBorders>
              <w:top w:val="single" w:sz="4" w:space="0" w:color="000000"/>
              <w:left w:val="single" w:sz="13" w:space="0" w:color="DCDCDC"/>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489" w:type="dxa"/>
            <w:tcBorders>
              <w:top w:val="single" w:sz="4" w:space="0" w:color="000000"/>
              <w:left w:val="single" w:sz="4" w:space="0" w:color="000000"/>
              <w:bottom w:val="nil" w:sz="6" w:space="0" w:color="auto"/>
              <w:right w:val="single" w:sz="4" w:space="0" w:color="000000"/>
            </w:tcBorders>
          </w:tcPr>
          <w:p>
            <w:pPr/>
          </w:p>
        </w:tc>
        <w:tc>
          <w:tcPr>
            <w:tcW w:w="1501"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r>
      <w:tr>
        <w:trPr>
          <w:trHeight w:val="232" w:hRule="exact"/>
        </w:trPr>
        <w:tc>
          <w:tcPr>
            <w:tcW w:w="233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2" w:lineRule="exact"/>
              <w:ind w:left="6" w:right="0"/>
              <w:jc w:val="left"/>
              <w:rPr>
                <w:rFonts w:ascii="宋体" w:hAnsi="宋体" w:cs="宋体" w:eastAsia="宋体" w:hint="default"/>
                <w:sz w:val="18"/>
                <w:szCs w:val="18"/>
              </w:rPr>
            </w:pPr>
            <w:r>
              <w:rPr>
                <w:rFonts w:ascii="宋体" w:hAnsi="宋体" w:cs="宋体" w:eastAsia="宋体" w:hint="default"/>
                <w:sz w:val="18"/>
                <w:szCs w:val="18"/>
              </w:rPr>
              <w:t>变动计入当期损益的金融资</w:t>
            </w:r>
          </w:p>
        </w:tc>
        <w:tc>
          <w:tcPr>
            <w:tcW w:w="1507" w:type="dxa"/>
            <w:tcBorders>
              <w:top w:val="nil" w:sz="6" w:space="0" w:color="auto"/>
              <w:left w:val="single" w:sz="13" w:space="0" w:color="DCDCDC"/>
              <w:bottom w:val="nil" w:sz="6" w:space="0" w:color="auto"/>
              <w:right w:val="single" w:sz="4" w:space="0" w:color="000000"/>
            </w:tcBorders>
          </w:tcPr>
          <w:p>
            <w:pPr>
              <w:pStyle w:val="TableParagraph"/>
              <w:spacing w:line="240" w:lineRule="auto" w:before="6"/>
              <w:ind w:right="27"/>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14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5"/>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z w:val="18"/>
              </w:rPr>
              <w:t>0.00</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pacing w:val="-1"/>
                <w:sz w:val="18"/>
              </w:rPr>
              <w:t>25,762,657.36</w:t>
            </w:r>
          </w:p>
        </w:tc>
      </w:tr>
      <w:tr>
        <w:trPr>
          <w:trHeight w:val="277" w:hRule="exact"/>
        </w:trPr>
        <w:tc>
          <w:tcPr>
            <w:tcW w:w="233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3" w:lineRule="exact"/>
              <w:ind w:left="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07" w:type="dxa"/>
            <w:tcBorders>
              <w:top w:val="nil" w:sz="6" w:space="0" w:color="auto"/>
              <w:left w:val="single" w:sz="13" w:space="0" w:color="DCDCDC"/>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489" w:type="dxa"/>
            <w:tcBorders>
              <w:top w:val="nil" w:sz="6" w:space="0" w:color="auto"/>
              <w:left w:val="single" w:sz="4" w:space="0" w:color="000000"/>
              <w:bottom w:val="single" w:sz="4" w:space="0" w:color="000000"/>
              <w:right w:val="single" w:sz="4" w:space="0" w:color="000000"/>
            </w:tcBorders>
          </w:tcPr>
          <w:p>
            <w:pPr/>
          </w:p>
        </w:tc>
        <w:tc>
          <w:tcPr>
            <w:tcW w:w="1501"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r>
      <w:tr>
        <w:trPr>
          <w:trHeight w:val="324"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r>
      <w:tr>
        <w:trPr>
          <w:trHeight w:val="324" w:hRule="exact"/>
        </w:trPr>
        <w:tc>
          <w:tcPr>
            <w:tcW w:w="2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z w:val="18"/>
              </w:rPr>
              <w:t>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-4,353,176.99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-4,353,176.99</w:t>
            </w:r>
          </w:p>
        </w:tc>
      </w:tr>
    </w:tbl>
    <w:p>
      <w:pPr>
        <w:pStyle w:val="BodyText"/>
        <w:spacing w:line="336" w:lineRule="auto" w:before="71"/>
        <w:ind w:left="154" w:right="570" w:firstLine="480"/>
        <w:jc w:val="left"/>
      </w:pPr>
      <w:r>
        <w:rPr/>
        <w:t>上述衍生金融资产及金融负债是由报告期内公司发生的远期外汇交易公允价值变动所 致。</w:t>
      </w:r>
    </w:p>
    <w:p>
      <w:pPr>
        <w:spacing w:after="0" w:line="336"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634" w:right="3210"/>
        <w:jc w:val="left"/>
      </w:pPr>
      <w:r>
        <w:rPr/>
        <w:t>（6）截至报告期末，公司没有对拟上市企业投资的情况。 4、报告期公司控股子公司经营情况及业绩</w:t>
      </w:r>
    </w:p>
    <w:p>
      <w:pPr>
        <w:pStyle w:val="BodyText"/>
        <w:spacing w:line="319" w:lineRule="auto" w:before="29"/>
        <w:ind w:left="154" w:right="191" w:firstLine="480"/>
        <w:jc w:val="both"/>
      </w:pPr>
      <w:r>
        <w:rPr>
          <w:spacing w:val="-2"/>
        </w:rPr>
        <w:t>（</w:t>
      </w:r>
      <w:r>
        <w:rPr>
          <w:rFonts w:ascii="Times New Roman" w:hAnsi="Times New Roman" w:cs="Times New Roman" w:eastAsia="Times New Roman" w:hint="default"/>
          <w:spacing w:val="-2"/>
        </w:rPr>
        <w:t>1</w:t>
      </w:r>
      <w:r>
        <w:rPr>
          <w:spacing w:val="-2"/>
        </w:rPr>
        <w:t>）无锡实益达电子有限公司：成立于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日，注册资本</w:t>
      </w:r>
      <w:r>
        <w:rPr>
          <w:rFonts w:ascii="Times New Roman" w:hAnsi="Times New Roman" w:cs="Times New Roman" w:eastAsia="Times New Roman" w:hint="default"/>
          <w:spacing w:val="-2"/>
        </w:rPr>
        <w:t>800</w:t>
      </w:r>
      <w:r>
        <w:rPr>
          <w:spacing w:val="-2"/>
        </w:rPr>
        <w:t>万美元，实收资本</w:t>
      </w:r>
      <w:r>
        <w:rPr/>
        <w:t> </w:t>
      </w:r>
      <w:r>
        <w:rPr>
          <w:rFonts w:ascii="Times New Roman" w:hAnsi="Times New Roman" w:cs="Times New Roman" w:eastAsia="Times New Roman" w:hint="default"/>
          <w:spacing w:val="-7"/>
        </w:rPr>
        <w:t>800</w:t>
      </w:r>
      <w:r>
        <w:rPr>
          <w:spacing w:val="-7"/>
        </w:rPr>
        <w:t>万美元，其中本公司出资比例为</w:t>
      </w:r>
      <w:r>
        <w:rPr>
          <w:rFonts w:ascii="Times New Roman" w:hAnsi="Times New Roman" w:cs="Times New Roman" w:eastAsia="Times New Roman" w:hint="default"/>
          <w:spacing w:val="-7"/>
        </w:rPr>
        <w:t>51%</w:t>
      </w:r>
      <w:r>
        <w:rPr>
          <w:spacing w:val="-7"/>
        </w:rPr>
        <w:t>，主营业务为照明、汽车电子、小家电类电子产品</w:t>
      </w:r>
      <w:r>
        <w:rPr>
          <w:rFonts w:ascii="Times New Roman" w:hAnsi="Times New Roman" w:cs="Times New Roman" w:eastAsia="Times New Roman" w:hint="default"/>
          <w:spacing w:val="-7"/>
        </w:rPr>
        <w:t>EMS</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业务。</w:t>
      </w:r>
    </w:p>
    <w:p>
      <w:pPr>
        <w:pStyle w:val="BodyText"/>
        <w:spacing w:line="319" w:lineRule="auto" w:before="46"/>
        <w:ind w:right="191" w:firstLine="480"/>
        <w:jc w:val="both"/>
      </w:pPr>
      <w:r>
        <w:rPr>
          <w:spacing w:val="-2"/>
        </w:rPr>
        <w:t>截止报告期末，无锡实益达总资产</w:t>
      </w:r>
      <w:r>
        <w:rPr>
          <w:rFonts w:ascii="Times New Roman" w:hAnsi="Times New Roman" w:cs="Times New Roman" w:eastAsia="Times New Roman" w:hint="default"/>
          <w:spacing w:val="-2"/>
        </w:rPr>
        <w:t>90,895,535.38</w:t>
      </w:r>
      <w:r>
        <w:rPr>
          <w:spacing w:val="-2"/>
        </w:rPr>
        <w:t>元，净资产</w:t>
      </w:r>
      <w:r>
        <w:rPr>
          <w:rFonts w:ascii="Times New Roman" w:hAnsi="Times New Roman" w:cs="Times New Roman" w:eastAsia="Times New Roman" w:hint="default"/>
          <w:spacing w:val="-2"/>
        </w:rPr>
        <w:t>35,283,477.71</w:t>
      </w:r>
      <w:r>
        <w:rPr>
          <w:spacing w:val="-2"/>
        </w:rPr>
        <w:t>元，</w:t>
      </w:r>
      <w:r>
        <w:rPr>
          <w:rFonts w:ascii="Times New Roman" w:hAnsi="Times New Roman" w:cs="Times New Roman" w:eastAsia="Times New Roman" w:hint="default"/>
          <w:spacing w:val="-2"/>
        </w:rPr>
        <w:t>2008</w:t>
      </w:r>
      <w:r>
        <w:rPr>
          <w:spacing w:val="-2"/>
        </w:rPr>
        <w:t>年度营</w:t>
      </w:r>
      <w:r>
        <w:rPr/>
        <w:t> 业收入</w:t>
      </w:r>
      <w:r>
        <w:rPr>
          <w:rFonts w:ascii="Times New Roman" w:hAnsi="Times New Roman" w:cs="Times New Roman" w:eastAsia="Times New Roman" w:hint="default"/>
        </w:rPr>
        <w:t>42,053,304.97</w:t>
      </w:r>
      <w:r>
        <w:rPr/>
        <w:t>元，营业利润</w:t>
      </w:r>
      <w:r>
        <w:rPr>
          <w:rFonts w:ascii="Times New Roman" w:hAnsi="Times New Roman" w:cs="Times New Roman" w:eastAsia="Times New Roman" w:hint="default"/>
        </w:rPr>
        <w:t>-12,508,277.93</w:t>
      </w:r>
      <w:r>
        <w:rPr/>
        <w:t>元，实现净利润</w:t>
      </w:r>
      <w:r>
        <w:rPr>
          <w:rFonts w:ascii="Times New Roman" w:hAnsi="Times New Roman" w:cs="Times New Roman" w:eastAsia="Times New Roman" w:hint="default"/>
        </w:rPr>
        <w:t>-12,441,274.90</w:t>
      </w:r>
      <w:r>
        <w:rPr/>
        <w:t>元。上述资料 已经立信会计师事务所有限公司审计。</w:t>
      </w:r>
    </w:p>
    <w:p>
      <w:pPr>
        <w:pStyle w:val="BodyText"/>
        <w:spacing w:line="319" w:lineRule="auto" w:before="46"/>
        <w:ind w:left="154" w:right="91" w:firstLine="480"/>
        <w:jc w:val="left"/>
      </w:pPr>
      <w:r>
        <w:rPr/>
        <w:t>（</w:t>
      </w:r>
      <w:r>
        <w:rPr>
          <w:rFonts w:ascii="Times New Roman" w:hAnsi="Times New Roman" w:cs="Times New Roman" w:eastAsia="Times New Roman" w:hint="default"/>
        </w:rPr>
        <w:t>2</w:t>
      </w:r>
      <w:r>
        <w:rPr/>
        <w:t>）实益达科技（香港）有限公司：于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日在香港注册成立，法定股本</w:t>
      </w:r>
      <w:r>
        <w:rPr>
          <w:rFonts w:ascii="Times New Roman" w:hAnsi="Times New Roman" w:cs="Times New Roman" w:eastAsia="Times New Roman" w:hint="default"/>
        </w:rPr>
        <w:t>50 </w:t>
      </w:r>
      <w:r>
        <w:rPr>
          <w:spacing w:val="-2"/>
        </w:rPr>
        <w:t>万港元，本公司出资比例</w:t>
      </w:r>
      <w:r>
        <w:rPr>
          <w:rFonts w:ascii="Times New Roman" w:hAnsi="Times New Roman" w:cs="Times New Roman" w:eastAsia="Times New Roman" w:hint="default"/>
          <w:spacing w:val="-2"/>
        </w:rPr>
        <w:t>100%</w:t>
      </w:r>
      <w:r>
        <w:rPr>
          <w:spacing w:val="-2"/>
        </w:rPr>
        <w:t>，主营业务为进出口贸易，目前主要配合本公司处理原材料采</w:t>
      </w:r>
      <w:r>
        <w:rPr>
          <w:spacing w:val="-81"/>
        </w:rPr>
        <w:t> </w:t>
      </w:r>
      <w:r>
        <w:rPr>
          <w:spacing w:val="-81"/>
        </w:rPr>
      </w:r>
      <w:r>
        <w:rPr/>
        <w:t>购中的报关申请、货运安排、仓储及付款等业务。</w:t>
      </w:r>
    </w:p>
    <w:p>
      <w:pPr>
        <w:pStyle w:val="BodyText"/>
        <w:spacing w:line="319" w:lineRule="auto" w:before="46"/>
        <w:ind w:left="154" w:right="228" w:firstLine="480"/>
        <w:jc w:val="both"/>
      </w:pPr>
      <w:r>
        <w:rPr/>
        <w:t>截止报告期末，香港实益达总资产</w:t>
      </w:r>
      <w:r>
        <w:rPr>
          <w:rFonts w:ascii="Times New Roman" w:hAnsi="Times New Roman" w:cs="Times New Roman" w:eastAsia="Times New Roman" w:hint="default"/>
        </w:rPr>
        <w:t>68,733,606.09</w:t>
      </w:r>
      <w:r>
        <w:rPr/>
        <w:t>元，净资产</w:t>
      </w:r>
      <w:r>
        <w:rPr>
          <w:rFonts w:ascii="Times New Roman" w:hAnsi="Times New Roman" w:cs="Times New Roman" w:eastAsia="Times New Roman" w:hint="default"/>
        </w:rPr>
        <w:t>9,727,870.99</w:t>
      </w:r>
      <w:r>
        <w:rPr/>
        <w:t>元，</w:t>
      </w:r>
      <w:r>
        <w:rPr>
          <w:rFonts w:ascii="Times New Roman" w:hAnsi="Times New Roman" w:cs="Times New Roman" w:eastAsia="Times New Roman" w:hint="default"/>
        </w:rPr>
        <w:t>2008</w:t>
      </w:r>
      <w:r>
        <w:rPr/>
        <w:t>年度营 业收入</w:t>
      </w:r>
      <w:r>
        <w:rPr>
          <w:rFonts w:ascii="Times New Roman" w:hAnsi="Times New Roman" w:cs="Times New Roman" w:eastAsia="Times New Roman" w:hint="default"/>
        </w:rPr>
        <w:t>4,044,955.91</w:t>
      </w:r>
      <w:r>
        <w:rPr/>
        <w:t>元，营业利润</w:t>
      </w:r>
      <w:r>
        <w:rPr>
          <w:rFonts w:ascii="Times New Roman" w:hAnsi="Times New Roman" w:cs="Times New Roman" w:eastAsia="Times New Roman" w:hint="default"/>
        </w:rPr>
        <w:t>13,261,208.60</w:t>
      </w:r>
      <w:r>
        <w:rPr/>
        <w:t>元，实现净利润</w:t>
      </w:r>
      <w:r>
        <w:rPr>
          <w:rFonts w:ascii="Times New Roman" w:hAnsi="Times New Roman" w:cs="Times New Roman" w:eastAsia="Times New Roman" w:hint="default"/>
        </w:rPr>
        <w:t>11,426,088.80</w:t>
      </w:r>
      <w:r>
        <w:rPr/>
        <w:t>元。上述资料已 经立信会计师事务所有限公司审计。</w:t>
      </w:r>
    </w:p>
    <w:p>
      <w:pPr>
        <w:pStyle w:val="BodyText"/>
        <w:spacing w:line="336" w:lineRule="auto" w:before="46"/>
        <w:ind w:left="634" w:right="570"/>
        <w:jc w:val="left"/>
      </w:pPr>
      <w:r>
        <w:rPr/>
        <w:t>（3）报告期内没有未纳入合并范围的子公司，不存在公司控制的特殊目的的主体。 5、主要债权债务情况</w:t>
      </w:r>
    </w:p>
    <w:p>
      <w:pPr>
        <w:pStyle w:val="BodyText"/>
        <w:spacing w:line="240" w:lineRule="auto" w:before="30"/>
        <w:ind w:left="0" w:right="191"/>
        <w:jc w:val="right"/>
      </w:pPr>
      <w:r>
        <w:rPr/>
        <w:t>单位：（人民币）万元</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40"/>
        <w:gridCol w:w="1949"/>
        <w:gridCol w:w="1949"/>
        <w:gridCol w:w="1949"/>
        <w:gridCol w:w="1949"/>
      </w:tblGrid>
      <w:tr>
        <w:trPr>
          <w:trHeight w:val="650" w:hRule="exact"/>
        </w:trPr>
        <w:tc>
          <w:tcPr>
            <w:tcW w:w="1940"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9"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年年末</w:t>
            </w:r>
          </w:p>
        </w:tc>
        <w:tc>
          <w:tcPr>
            <w:tcW w:w="1949"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年年末</w:t>
            </w:r>
          </w:p>
        </w:tc>
        <w:tc>
          <w:tcPr>
            <w:tcW w:w="1949"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326" w:lineRule="auto" w:before="45"/>
              <w:ind w:left="564" w:right="157" w:hanging="405"/>
              <w:jc w:val="left"/>
              <w:rPr>
                <w:rFonts w:ascii="宋体" w:hAnsi="宋体" w:cs="宋体" w:eastAsia="宋体" w:hint="default"/>
                <w:sz w:val="18"/>
                <w:szCs w:val="18"/>
              </w:rPr>
            </w:pPr>
            <w:r>
              <w:rPr>
                <w:rFonts w:ascii="宋体" w:hAnsi="宋体" w:cs="宋体" w:eastAsia="宋体" w:hint="default"/>
                <w:sz w:val="18"/>
                <w:szCs w:val="18"/>
              </w:rPr>
              <w:t>本年度末比上年度末 增减（%）</w:t>
            </w:r>
          </w:p>
        </w:tc>
        <w:tc>
          <w:tcPr>
            <w:tcW w:w="1949"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年年末</w:t>
            </w:r>
          </w:p>
        </w:tc>
      </w:tr>
      <w:tr>
        <w:trPr>
          <w:trHeight w:val="330" w:hRule="exact"/>
        </w:trPr>
        <w:tc>
          <w:tcPr>
            <w:tcW w:w="1940"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一、主要债权</w:t>
            </w:r>
          </w:p>
        </w:tc>
        <w:tc>
          <w:tcPr>
            <w:tcW w:w="7795" w:type="dxa"/>
            <w:gridSpan w:val="4"/>
            <w:tcBorders>
              <w:top w:val="single" w:sz="4" w:space="0" w:color="FFFFFF"/>
              <w:left w:val="single" w:sz="4" w:space="0" w:color="000000"/>
              <w:bottom w:val="single" w:sz="4" w:space="0" w:color="000000"/>
              <w:right w:val="single" w:sz="4" w:space="0" w:color="000000"/>
            </w:tcBorders>
            <w:shd w:val="clear" w:color="auto" w:fill="D9D9D9"/>
          </w:tcPr>
          <w:p>
            <w:pP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1、应收账款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173,182,184.75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311,200,755.55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-44.35%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104,617,598.20</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2、其他应收款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6,465,461.63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3,712,637.82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74.15%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1,903,230.52</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3、预付账款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20,144,010.31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14,478,015.92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39.14%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13,417,469.51</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应收款项合计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199,791,656.69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329,391,409.29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119,938,298.23</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二、主要债务</w:t>
            </w:r>
          </w:p>
        </w:tc>
        <w:tc>
          <w:tcPr>
            <w:tcW w:w="7795" w:type="dxa"/>
            <w:gridSpan w:val="4"/>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1、短期借款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517,522,880.00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119,569,000.00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332.82%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66,852,200.00</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2、应付票据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1,614,478.51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2,447,726.28</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3、应付帐款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141,030,289.54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207,738,253.19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-32.11%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130,127,519.35</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4、长期借款</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8,881,810.95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0.00</w:t>
            </w:r>
          </w:p>
        </w:tc>
      </w:tr>
      <w:tr>
        <w:trPr>
          <w:trHeight w:val="330" w:hRule="exact"/>
        </w:trPr>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658,553,169.54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337803542.65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94.95%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199,427,445.63</w:t>
            </w:r>
          </w:p>
        </w:tc>
      </w:tr>
    </w:tbl>
    <w:p>
      <w:pPr>
        <w:pStyle w:val="BodyText"/>
        <w:spacing w:line="336" w:lineRule="auto" w:before="71"/>
        <w:ind w:left="154" w:right="210" w:firstLine="480"/>
        <w:jc w:val="left"/>
      </w:pPr>
      <w:r>
        <w:rPr/>
        <w:t>报告期末公司应收账款同比减少44.35%，主要原因一是本年度客户订单减少，二是2007 年末本应收主要客户飞利浦的2007年10月份货款14,763.43万元推迟至2008年1月8日收到。</w:t>
      </w:r>
    </w:p>
    <w:p>
      <w:pPr>
        <w:pStyle w:val="BodyText"/>
        <w:spacing w:line="336" w:lineRule="auto" w:before="30"/>
        <w:ind w:left="154" w:right="210" w:firstLine="480"/>
        <w:jc w:val="left"/>
      </w:pPr>
      <w:r>
        <w:rPr/>
        <w:t>报告期末公司其他应收款同比增加74.15%，主要是因为在深圳市龙岗区宝龙工业城实益 达科技园建筑项目施工过程中为部分项目承建商垫付款项。</w:t>
      </w:r>
    </w:p>
    <w:p>
      <w:pPr>
        <w:spacing w:after="0" w:line="336" w:lineRule="auto"/>
        <w:jc w:val="left"/>
        <w:sectPr>
          <w:pgSz w:w="11910" w:h="16840"/>
          <w:pgMar w:header="787" w:footer="1339" w:top="1020" w:bottom="152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154" w:right="330" w:firstLine="480"/>
        <w:jc w:val="left"/>
      </w:pPr>
      <w:r>
        <w:rPr/>
        <w:t>报告期末预付账款同比增长主要是因为控股子公司无锡实益达业务规模扩大，供应商要 求增加预付款项。</w:t>
      </w:r>
    </w:p>
    <w:p>
      <w:pPr>
        <w:pStyle w:val="BodyText"/>
        <w:spacing w:line="336" w:lineRule="auto" w:before="29"/>
        <w:ind w:left="634" w:right="330"/>
        <w:jc w:val="left"/>
      </w:pPr>
      <w:r>
        <w:rPr/>
        <w:pict>
          <v:shape style="position:absolute;margin-left:55.68pt;margin-top:85.905952pt;width:487.5pt;height:8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8"/>
                    <w:gridCol w:w="1948"/>
                    <w:gridCol w:w="1946"/>
                    <w:gridCol w:w="1948"/>
                    <w:gridCol w:w="1946"/>
                  </w:tblGrid>
                  <w:tr>
                    <w:trPr>
                      <w:trHeight w:val="330" w:hRule="exact"/>
                    </w:trPr>
                    <w:tc>
                      <w:tcPr>
                        <w:tcW w:w="1948" w:type="dxa"/>
                        <w:tcBorders>
                          <w:top w:val="nil" w:sz="6" w:space="0" w:color="auto"/>
                          <w:left w:val="nil" w:sz="6" w:space="0" w:color="auto"/>
                          <w:bottom w:val="single" w:sz="4" w:space="0" w:color="000000"/>
                          <w:right w:val="single" w:sz="4" w:space="0" w:color="000000"/>
                        </w:tcBorders>
                        <w:shd w:val="clear" w:color="auto" w:fill="D9D9D9"/>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1.87</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1.09</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1.55</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-20.29%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0.77</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56.83%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40.30%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16.54%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67.93%</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利息保障倍数</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2.72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9.67</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-695.00%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24,62</w:t>
                        </w:r>
                      </w:p>
                    </w:tc>
                  </w:tr>
                </w:tbl>
                <w:p>
                  <w:pPr/>
                </w:p>
              </w:txbxContent>
            </v:textbox>
            <w10:wrap type="none"/>
          </v:shape>
        </w:pict>
      </w:r>
      <w:r>
        <w:rPr/>
        <w:t>报告期末短期借款同比增长主要是增加了以人民币抵押取得的美元贷款。 报告期末公司应付账款减少的主要原因是由于产品订单减少造成的原材料采购量减少。 报告期末长期借款余额为零是两年期长期借款转为“一年内到期的非流动负债”。 6、偿债能力分析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336" w:lineRule="auto" w:before="26"/>
        <w:ind w:left="634" w:right="173"/>
        <w:jc w:val="left"/>
      </w:pPr>
      <w:r>
        <w:rPr/>
        <w:pict>
          <v:shape style="position:absolute;margin-left:55.68pt;margin-top:41.775951pt;width:487.5pt;height: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48"/>
                    <w:gridCol w:w="1948"/>
                    <w:gridCol w:w="1946"/>
                    <w:gridCol w:w="1948"/>
                    <w:gridCol w:w="1946"/>
                  </w:tblGrid>
                  <w:tr>
                    <w:trPr>
                      <w:trHeight w:val="329"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31"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3.65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5.78</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-36.93%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18"/>
                            <w:szCs w:val="18"/>
                          </w:rPr>
                        </w:pPr>
                        <w:r>
                          <w:rPr>
                            <w:rFonts w:ascii="宋体"/>
                            <w:sz w:val="18"/>
                          </w:rPr>
                          <w:t>5.29</w:t>
                        </w:r>
                      </w:p>
                    </w:tc>
                  </w:tr>
                  <w:tr>
                    <w:trPr>
                      <w:trHeight w:val="330" w:hRule="exact"/>
                    </w:trPr>
                    <w:tc>
                      <w:tcPr>
                        <w:tcW w:w="1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1"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9.09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11.18</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-18.68%</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7.51</w:t>
                        </w:r>
                      </w:p>
                    </w:tc>
                  </w:tr>
                </w:tbl>
                <w:p>
                  <w:pPr/>
                </w:p>
              </w:txbxContent>
            </v:textbox>
            <w10:wrap type="none"/>
          </v:shape>
        </w:pict>
      </w:r>
      <w:r>
        <w:rPr>
          <w:spacing w:val="-3"/>
        </w:rPr>
        <w:t>报告期内利息保障倍数大幅度下降主要是因为贷款余额增加，需要支付的贷款利息增加。</w:t>
      </w:r>
      <w:r>
        <w:rPr>
          <w:spacing w:val="-85"/>
        </w:rPr>
        <w:t> </w:t>
      </w:r>
      <w:r>
        <w:rPr>
          <w:spacing w:val="-85"/>
        </w:rPr>
      </w:r>
      <w:r>
        <w:rPr/>
        <w:t>7、资产营运能力分析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36" w:lineRule="auto" w:before="26"/>
        <w:ind w:left="154" w:right="570" w:firstLine="480"/>
        <w:jc w:val="left"/>
      </w:pPr>
      <w:r>
        <w:rPr/>
        <w:t>报告期内公司应收账款周转率下降一是本年度新引入客户香港幻音科技公司账期为75 天，二是因为销售收入下降所致。</w:t>
      </w:r>
    </w:p>
    <w:p>
      <w:pPr>
        <w:pStyle w:val="BodyText"/>
        <w:spacing w:line="336" w:lineRule="auto" w:before="29"/>
        <w:ind w:left="154" w:right="330" w:firstLine="480"/>
        <w:jc w:val="left"/>
      </w:pPr>
      <w:r>
        <w:rPr/>
        <w:t>经主要客户飞利浦公司要求，公司对飞利浦公司货款账期自2009年2月起由原“月结60 天”延长至“月结90天”，由此将会对公司自2009年度起之后的应收账款周转率造成影响。</w:t>
      </w:r>
    </w:p>
    <w:p>
      <w:pPr>
        <w:pStyle w:val="BodyText"/>
        <w:spacing w:line="240" w:lineRule="auto" w:before="30"/>
        <w:ind w:left="634" w:right="3330"/>
        <w:jc w:val="left"/>
      </w:pPr>
      <w:r>
        <w:rPr/>
        <w:t>8、报告期现金流情况</w:t>
      </w:r>
    </w:p>
    <w:p>
      <w:pPr>
        <w:spacing w:before="195"/>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857"/>
        <w:gridCol w:w="2328"/>
        <w:gridCol w:w="2316"/>
        <w:gridCol w:w="2316"/>
      </w:tblGrid>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91" w:right="0"/>
              <w:jc w:val="left"/>
              <w:rPr>
                <w:rFonts w:ascii="宋体" w:hAnsi="宋体" w:cs="宋体" w:eastAsia="宋体" w:hint="default"/>
                <w:sz w:val="18"/>
                <w:szCs w:val="18"/>
              </w:rPr>
            </w:pPr>
            <w:r>
              <w:rPr>
                <w:rFonts w:ascii="宋体" w:hAnsi="宋体" w:cs="宋体" w:eastAsia="宋体" w:hint="default"/>
                <w:spacing w:val="-4"/>
                <w:sz w:val="18"/>
                <w:szCs w:val="18"/>
              </w:rPr>
              <w:t>一、经营活动产生的现金流量净额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137,992,524.10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-159,032,630.09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-186.77</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1,027,253,779.28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914,811,207.79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12.29</w:t>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889,261,255.18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1,073,843,837.88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-17.19</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4"/>
                <w:sz w:val="18"/>
                <w:szCs w:val="18"/>
              </w:rPr>
              <w:t>二、投资活动产生的现金流量净额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-114,300,852.63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-82,483,673.45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38.57</w:t>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114,300,852.63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82,843,673.45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37.97</w:t>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三、筹资活动现金流量净额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-175,769,398.61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385,309,037.52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-145.62</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839,646,572.58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775,369,544.18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8.29</w:t>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1,015,415,971.19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390,060,506.66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160.32</w:t>
            </w:r>
          </w:p>
        </w:tc>
      </w:tr>
    </w:tbl>
    <w:p>
      <w:pPr>
        <w:pStyle w:val="BodyText"/>
        <w:spacing w:line="336" w:lineRule="auto" w:before="71"/>
        <w:ind w:left="154" w:right="173" w:firstLine="480"/>
        <w:jc w:val="left"/>
      </w:pPr>
      <w:r>
        <w:rPr/>
        <w:t>报告期经营活动产生的现金流量净额由上年的净流出15,903.26万元增加为净流入 </w:t>
      </w:r>
      <w:r>
        <w:rPr>
          <w:spacing w:val="-2"/>
        </w:rPr>
        <w:t>13,799.25万元，主要原因是本应于2007年12月31日之前收到的飞利浦公司2007年10月份货款</w:t>
      </w:r>
    </w:p>
    <w:p>
      <w:pPr>
        <w:pStyle w:val="BodyText"/>
        <w:spacing w:line="240" w:lineRule="auto" w:before="30"/>
        <w:ind w:left="154" w:right="3330"/>
        <w:jc w:val="left"/>
      </w:pPr>
      <w:r>
        <w:rPr/>
        <w:t>14,763.43元推迟至2008年1月8日收到。</w:t>
      </w:r>
    </w:p>
    <w:p>
      <w:pPr>
        <w:pStyle w:val="BodyText"/>
        <w:spacing w:line="240" w:lineRule="auto" w:before="126"/>
        <w:ind w:left="634" w:right="173"/>
        <w:jc w:val="left"/>
      </w:pPr>
      <w:r>
        <w:rPr/>
        <w:t>报告期投资活动产生的现金流量净额较上年减少3,181.72万元，主要原因深圳市龙岗区</w:t>
      </w:r>
    </w:p>
    <w:p>
      <w:pPr>
        <w:spacing w:after="0" w:line="240" w:lineRule="auto"/>
        <w:jc w:val="left"/>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6" w:lineRule="auto" w:before="26"/>
        <w:ind w:left="633" w:right="251" w:hanging="480"/>
        <w:jc w:val="left"/>
      </w:pPr>
      <w:r>
        <w:rPr/>
        <w:t>宝龙工业城实益达科技园建设投入增加。 报告期筹资活动现金流量净额大幅度减少主要原因一是</w:t>
      </w:r>
      <w:r>
        <w:rPr>
          <w:rFonts w:ascii="Times New Roman" w:hAnsi="Times New Roman" w:cs="Times New Roman" w:eastAsia="Times New Roman" w:hint="default"/>
        </w:rPr>
        <w:t>2007</w:t>
      </w:r>
      <w:r>
        <w:rPr/>
        <w:t>年度公司首次公开发行人民</w:t>
      </w:r>
    </w:p>
    <w:p>
      <w:pPr>
        <w:pStyle w:val="BodyText"/>
        <w:spacing w:line="319" w:lineRule="auto" w:before="0"/>
        <w:ind w:right="268"/>
        <w:jc w:val="both"/>
      </w:pPr>
      <w:r>
        <w:rPr/>
        <w:t>币普通股股票募集资金净额</w:t>
      </w:r>
      <w:r>
        <w:rPr>
          <w:rFonts w:ascii="Times New Roman" w:hAnsi="Times New Roman" w:cs="Times New Roman" w:eastAsia="Times New Roman" w:hint="default"/>
        </w:rPr>
        <w:t>32,408.92</w:t>
      </w:r>
      <w:r>
        <w:rPr/>
        <w:t>万元，二是本期公司取得美元借款，其中一部分采用人 民币抵押形式，用于抵押的人民币计入筹资活动现金流出量，三是报告期公司实施</w:t>
      </w:r>
      <w:r>
        <w:rPr>
          <w:rFonts w:ascii="Times New Roman" w:hAnsi="Times New Roman" w:cs="Times New Roman" w:eastAsia="Times New Roman" w:hint="default"/>
        </w:rPr>
        <w:t>2007</w:t>
      </w:r>
      <w:r>
        <w:rPr/>
        <w:t>年度 利润分配，共分配现金红利</w:t>
      </w:r>
      <w:r>
        <w:rPr>
          <w:rFonts w:ascii="Times New Roman" w:hAnsi="Times New Roman" w:cs="Times New Roman" w:eastAsia="Times New Roman" w:hint="default"/>
        </w:rPr>
        <w:t>4,002.00</w:t>
      </w:r>
      <w:r>
        <w:rPr/>
        <w:t>万元。</w:t>
      </w:r>
    </w:p>
    <w:p>
      <w:pPr>
        <w:pStyle w:val="BodyText"/>
        <w:spacing w:line="240" w:lineRule="auto" w:before="19"/>
        <w:ind w:left="634" w:right="95"/>
        <w:jc w:val="left"/>
      </w:pPr>
      <w:r>
        <w:rPr/>
        <w:t>9、近三年研发费用投入情况</w:t>
      </w:r>
    </w:p>
    <w:p>
      <w:pPr>
        <w:spacing w:line="240" w:lineRule="auto" w:before="8"/>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2434"/>
        <w:gridCol w:w="2434"/>
        <w:gridCol w:w="2435"/>
        <w:gridCol w:w="2434"/>
      </w:tblGrid>
      <w:tr>
        <w:trPr>
          <w:trHeight w:val="320"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302" w:type="dxa"/>
            <w:gridSpan w:val="3"/>
            <w:tcBorders>
              <w:top w:val="nil" w:sz="6" w:space="0" w:color="auto"/>
              <w:left w:val="single" w:sz="4" w:space="0" w:color="000000"/>
              <w:bottom w:val="single" w:sz="4" w:space="0" w:color="000000"/>
              <w:right w:val="nil" w:sz="6" w:space="0" w:color="auto"/>
            </w:tcBorders>
            <w:shd w:val="clear" w:color="auto" w:fill="D9D9D9"/>
          </w:tcPr>
          <w:p>
            <w:pPr>
              <w:pStyle w:val="TableParagraph"/>
              <w:tabs>
                <w:tab w:pos="3262" w:val="left" w:leader="none"/>
                <w:tab w:pos="5697" w:val="left" w:leader="none"/>
              </w:tabs>
              <w:spacing w:line="240" w:lineRule="auto" w:before="45"/>
              <w:ind w:left="82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35"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1,185.43</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宋体" w:hAnsi="宋体" w:cs="宋体" w:eastAsia="宋体" w:hint="default"/>
                <w:sz w:val="18"/>
                <w:szCs w:val="18"/>
              </w:rPr>
            </w:pPr>
            <w:r>
              <w:rPr>
                <w:rFonts w:ascii="宋体"/>
                <w:sz w:val="18"/>
              </w:rPr>
              <w:t>1,416.67</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1,272.77</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88,358.80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120,270.39</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48,329.01</w:t>
            </w:r>
          </w:p>
        </w:tc>
      </w:tr>
      <w:tr>
        <w:trPr>
          <w:trHeight w:val="330" w:hRule="exact"/>
        </w:trPr>
        <w:tc>
          <w:tcPr>
            <w:tcW w:w="24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占营业收入的比例</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1.34%</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1.18%</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2.63%</w:t>
            </w:r>
          </w:p>
        </w:tc>
      </w:tr>
    </w:tbl>
    <w:p>
      <w:pPr>
        <w:pStyle w:val="BodyText"/>
        <w:spacing w:line="336" w:lineRule="auto" w:before="71"/>
        <w:ind w:left="154" w:right="268" w:firstLine="480"/>
        <w:jc w:val="both"/>
      </w:pPr>
      <w:r>
        <w:rPr/>
        <w:t>报告期内公司已向专利授予部门申请实用新型专利技术共12项，有望于2009年取得相应 的专利授权。</w:t>
      </w:r>
    </w:p>
    <w:p>
      <w:pPr>
        <w:spacing w:line="240" w:lineRule="auto" w:before="12"/>
        <w:rPr>
          <w:rFonts w:ascii="宋体" w:hAnsi="宋体" w:cs="宋体" w:eastAsia="宋体" w:hint="default"/>
          <w:sz w:val="35"/>
          <w:szCs w:val="35"/>
        </w:rPr>
      </w:pPr>
    </w:p>
    <w:p>
      <w:pPr>
        <w:pStyle w:val="BodyText"/>
        <w:spacing w:line="312" w:lineRule="auto" w:before="0"/>
        <w:ind w:left="633" w:right="6971"/>
        <w:jc w:val="left"/>
      </w:pPr>
      <w:r>
        <w:rPr/>
        <w:t>二、对未来发展的展望 1、总体经营环境</w:t>
      </w:r>
    </w:p>
    <w:p>
      <w:pPr>
        <w:pStyle w:val="BodyText"/>
        <w:spacing w:line="304" w:lineRule="auto" w:before="13"/>
        <w:ind w:right="268" w:firstLine="480"/>
        <w:jc w:val="both"/>
      </w:pPr>
      <w:r>
        <w:rPr/>
        <w:t>2008年度行业总体经营环境遭遇前所未有的困难。由美国次贷危机引发的全球性经济衰 退对实体经济产生了巨大影响，消费类电子产品市场受到严重冲击，并由此导致电子制造服 务行业的整体萎缩。在此次经济危机当中包括电子制造服务行业在内的制造型企业普遍面临 最严峻问题是由订单不足造成的产能过剩、单位成本增加和毛利率下降，排名全球前列的同 行业企业纷纷采取了包括关闭工厂、削减机构、裁员、减薪等一系列旨在压缩成本开支的措 施。一方面，在全球性经济危机来袭、行业整体萎缩的大背景下任何企业的经营业绩都难以 避免的出现下滑；另一方面，危机意味着在困境中也孕育着新的机会，对于能够平稳度过最 困难时期的企业，一旦负面影响减弱并最终消除，将会迎来更加广阔的发展空间。</w:t>
      </w:r>
    </w:p>
    <w:p>
      <w:pPr>
        <w:pStyle w:val="BodyText"/>
        <w:spacing w:line="304" w:lineRule="auto"/>
        <w:ind w:left="633" w:right="251"/>
        <w:jc w:val="left"/>
      </w:pPr>
      <w:r>
        <w:rPr/>
        <w:t>2、行业发展趋势 首先公司董事会认为，虽然电子制造服务行业的业务规模在危机中呈现出整体萎缩的态</w:t>
      </w:r>
    </w:p>
    <w:p>
      <w:pPr>
        <w:pStyle w:val="BodyText"/>
        <w:spacing w:line="304" w:lineRule="auto" w:before="22"/>
        <w:ind w:right="231"/>
        <w:jc w:val="both"/>
      </w:pPr>
      <w:r>
        <w:rPr>
          <w:spacing w:val="-2"/>
        </w:rPr>
        <w:t>势，但是全球范围内制造外包以及专业化分工的大趋势并没有发生根本性变化，EMS行业的市</w:t>
      </w:r>
      <w:r>
        <w:rPr>
          <w:spacing w:val="-118"/>
        </w:rPr>
        <w:t> </w:t>
      </w:r>
      <w:r>
        <w:rPr>
          <w:spacing w:val="-118"/>
        </w:rPr>
      </w:r>
      <w:r>
        <w:rPr/>
        <w:t>场空间依然广阔，只是需要通过危机的洗礼重新对行业内的资源进行整合、对业务模式进行 更深层次的改善。</w:t>
      </w:r>
    </w:p>
    <w:p>
      <w:pPr>
        <w:pStyle w:val="BodyText"/>
        <w:spacing w:line="304" w:lineRule="auto" w:before="22"/>
        <w:ind w:right="231" w:firstLine="480"/>
        <w:jc w:val="both"/>
      </w:pPr>
      <w:r>
        <w:rPr>
          <w:spacing w:val="-3"/>
        </w:rPr>
        <w:t>第二，必须认识到，EMS行业已经进入了更低毛利水平的发展阶段，对企业的成本控制能</w:t>
      </w:r>
      <w:r>
        <w:rPr/>
        <w:t> 力和综合管理水平提出了更高的要求，同时也在驱动企业的技术创新和业务模式创新，只有 具备兼顾上述两方面的企业才能够在未来的产业分工合作体系中拥有更广阔的生存空间。</w:t>
      </w:r>
    </w:p>
    <w:p>
      <w:pPr>
        <w:pStyle w:val="BodyText"/>
        <w:spacing w:line="304" w:lineRule="auto" w:before="22"/>
        <w:ind w:right="93" w:firstLine="480"/>
        <w:jc w:val="left"/>
      </w:pPr>
      <w:r>
        <w:rPr/>
        <w:t>第三，在此次经济危机过程中国际著名企业被迫压缩经营机构收缩业务规模，许多小型 </w:t>
      </w:r>
      <w:r>
        <w:rPr>
          <w:spacing w:val="-2"/>
        </w:rPr>
        <w:t>贴片加工企业则由于失去订单而停产、倒闭，虽然截止目前经济危机的持续时间尚难以预测，</w:t>
      </w:r>
      <w:r>
        <w:rPr/>
        <w:t> 但是已经可以预见到EMS行业必将因此而重新整合。</w:t>
      </w:r>
    </w:p>
    <w:p>
      <w:pPr>
        <w:spacing w:line="240" w:lineRule="auto" w:before="1"/>
        <w:rPr>
          <w:rFonts w:ascii="宋体" w:hAnsi="宋体" w:cs="宋体" w:eastAsia="宋体" w:hint="default"/>
          <w:sz w:val="7"/>
          <w:szCs w:val="7"/>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12"/>
          <w:pgSz w:w="11910" w:h="16840"/>
          <w:pgMar w:footer="711" w:header="787" w:top="1020" w:bottom="90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154" w:right="268" w:firstLine="480"/>
        <w:jc w:val="both"/>
      </w:pPr>
      <w:r>
        <w:rPr/>
        <w:t>第四，此次经济危机发源于美国，影响最严重的地区是欧洲，出于成本和市场的考虑产 业链中更大的市场份额将由此向更低成本的地区，如亚洲地区转移。</w:t>
      </w:r>
    </w:p>
    <w:p>
      <w:pPr>
        <w:pStyle w:val="BodyText"/>
        <w:spacing w:line="304" w:lineRule="auto" w:before="22"/>
        <w:ind w:right="96" w:firstLine="480"/>
        <w:jc w:val="left"/>
      </w:pPr>
      <w:r>
        <w:rPr>
          <w:spacing w:val="-5"/>
        </w:rPr>
        <w:t>综合以上，公司董事会认为在经济危机的大背景下，EMS行业的结构和资源必将面临整合，</w:t>
      </w:r>
      <w:r>
        <w:rPr/>
        <w:t> 但是作为全球电子产业分工的重要环节，其发展趋势不会因此而改变，随着越来越多的品牌 产品制造商专注于品牌和市场，EMS行业将向更加专业、更加精细的方向继续发展。</w:t>
      </w:r>
    </w:p>
    <w:p>
      <w:pPr>
        <w:pStyle w:val="BodyText"/>
        <w:spacing w:line="304" w:lineRule="auto" w:before="22"/>
        <w:ind w:left="633" w:right="251"/>
        <w:jc w:val="left"/>
      </w:pPr>
      <w:r>
        <w:rPr/>
        <w:t>3、竞争格局 如前所述，排名全球前列的同行业企业在危机中也受到了巨大的冲击，已经陆续有著名</w:t>
      </w:r>
    </w:p>
    <w:p>
      <w:pPr>
        <w:pStyle w:val="BodyText"/>
        <w:spacing w:line="304" w:lineRule="auto"/>
        <w:ind w:right="231"/>
        <w:jc w:val="both"/>
      </w:pPr>
      <w:r>
        <w:rPr/>
        <w:t>企业关闭在欧美地区的工厂，也包括对亚洲、中国工厂的合并、重整。另一方面，可以预见 到随着危机对实体经济的冲击进一步加剧，将会有越来越多制造研发能力薄弱、缺乏供应链 </w:t>
      </w:r>
      <w:r>
        <w:rPr>
          <w:spacing w:val="-2"/>
        </w:rPr>
        <w:t>服务能力的小型企业停产关闭。总体而言EMS企业的数量正在减少，但利润率相对较高的高端</w:t>
      </w:r>
      <w:r>
        <w:rPr>
          <w:spacing w:val="-118"/>
        </w:rPr>
        <w:t> </w:t>
      </w:r>
      <w:r>
        <w:rPr>
          <w:spacing w:val="-118"/>
        </w:rPr>
      </w:r>
      <w:r>
        <w:rPr/>
        <w:t>产品市场竞争将会进一步加剧。</w:t>
      </w:r>
    </w:p>
    <w:p>
      <w:pPr>
        <w:pStyle w:val="BodyText"/>
        <w:spacing w:line="304" w:lineRule="auto" w:before="22"/>
        <w:ind w:left="633" w:right="251"/>
        <w:jc w:val="left"/>
      </w:pPr>
      <w:r>
        <w:rPr/>
        <w:t>4、公司发展战略 本公司一直以来立足于电子制造服务领域，致力于为国际著名高端品牌制造商提供更加</w:t>
      </w:r>
    </w:p>
    <w:p>
      <w:pPr>
        <w:pStyle w:val="BodyText"/>
        <w:spacing w:line="304" w:lineRule="auto"/>
        <w:ind w:right="268"/>
        <w:jc w:val="both"/>
      </w:pPr>
      <w:r>
        <w:rPr/>
        <w:t>优质、灵活、全面并且低成本的服务。与排名全球前列的同行业企业相比较，公司的竞争优 势主要体现在“成本控制”、“灵活的生产和交付”、“一对一定制服务”等方面，尤其在 成本控制和灵活的生产交付方面，在消费电子产品领域公司的优势得到了最大限度的发挥， 赢得了客户的广泛肯定。与此同时，公司在生产规模、国际知名度、资金实力等方面在国际 竞争中仍然处于相对劣势，与著名企业之间仍存在不小的差距。</w:t>
      </w:r>
    </w:p>
    <w:p>
      <w:pPr>
        <w:pStyle w:val="BodyText"/>
        <w:spacing w:line="304" w:lineRule="auto"/>
        <w:ind w:right="268" w:firstLine="480"/>
        <w:jc w:val="both"/>
      </w:pPr>
      <w:r>
        <w:rPr/>
        <w:t>正是出于对自身优势和劣势的判断，公司树立了“精细管理，追求高效率；以人为本， 构造新组织；持续变革，确保竞争力”的核心价值观，努力推进“3S”的发展战略（Single 简单、Speed快速、System系统），力争确保公司在全球市场的竞争力。</w:t>
      </w:r>
    </w:p>
    <w:p>
      <w:pPr>
        <w:pStyle w:val="BodyText"/>
        <w:spacing w:line="304" w:lineRule="auto"/>
        <w:ind w:left="633" w:right="251"/>
        <w:jc w:val="left"/>
      </w:pPr>
      <w:r>
        <w:rPr/>
        <w:t>5、为应对经济危机所采取的措施 在经济危机的大背景下，公司的生产经营一定程度上也陷入了困境，公司董事会、管理</w:t>
      </w:r>
    </w:p>
    <w:p>
      <w:pPr>
        <w:pStyle w:val="BodyText"/>
        <w:spacing w:line="304" w:lineRule="auto" w:before="22"/>
        <w:ind w:right="268"/>
        <w:jc w:val="both"/>
      </w:pPr>
      <w:r>
        <w:rPr/>
        <w:t>层及全体员工正在为安全渡过困难时期而积极努力，并采取了一系列旨在消除不利影响的措 施。</w:t>
      </w:r>
    </w:p>
    <w:p>
      <w:pPr>
        <w:pStyle w:val="BodyText"/>
        <w:spacing w:line="304" w:lineRule="auto"/>
        <w:ind w:right="231" w:firstLine="480"/>
        <w:jc w:val="both"/>
      </w:pPr>
      <w:r>
        <w:rPr>
          <w:spacing w:val="-2"/>
        </w:rPr>
        <w:t>（1）加大市场拓展力度：不能否认对单一客户依赖程度较高是公司2008年度经营业绩较</w:t>
      </w:r>
      <w:r>
        <w:rPr/>
        <w:t> 大幅度下滑的重要原因之一，新客户的开发成为公司应对危机的首要措施，报告期内所有围 绕新客户开发所做的努力在2009年度将会陆续有所收获。2008年下半年开始，公司已经与恩 智浦半导体公司、创新科技有限公司（Ｃｒｅａｔｉｖｅ）和比利时Ｂａｒｃｏ公司就战略 合作达成初步意向，目前正在就框架协议的细节进行最后的协商。其中恩智浦半导体公司前 身为飞利浦半导体事业部，主要为电视、机顶盒、智能识别应用、手机、汽车等电子产品提 供半导体、系统解决方案和软件，公司与恩智浦的合作主要为其提供移动电话多功能耳机控 制板；创新科技是一家主营个人娱乐数码产品、多媒体音箱、数码相机、摄像头等产品的新 加坡企业，公司对其主营产品领域具有丰富的制造服务经验；Ｂａｒｃｏ公司是一家为专业</w:t>
      </w:r>
    </w:p>
    <w:p>
      <w:pPr>
        <w:spacing w:after="0" w:line="304" w:lineRule="auto"/>
        <w:jc w:val="both"/>
        <w:sectPr>
          <w:footerReference w:type="default" r:id="rId14"/>
          <w:pgSz w:w="11910" w:h="16840"/>
          <w:pgMar w:footer="1339" w:header="787" w:top="1020" w:bottom="1520" w:left="980" w:right="900"/>
          <w:pgNumType w:start="39"/>
        </w:sectPr>
      </w:pPr>
    </w:p>
    <w:p>
      <w:pPr>
        <w:spacing w:line="240" w:lineRule="auto" w:before="0"/>
        <w:rPr>
          <w:rFonts w:ascii="宋体" w:hAnsi="宋体" w:cs="宋体" w:eastAsia="宋体" w:hint="default"/>
          <w:sz w:val="20"/>
          <w:szCs w:val="20"/>
        </w:rPr>
      </w:pPr>
    </w:p>
    <w:p>
      <w:pPr>
        <w:pStyle w:val="BodyText"/>
        <w:spacing w:line="304" w:lineRule="auto" w:before="190"/>
        <w:ind w:left="154" w:right="228"/>
        <w:jc w:val="both"/>
      </w:pPr>
      <w:r>
        <w:rPr/>
        <w:t>市场设计并开发可视化解决方案的全球领先技术企业，设计并开发了基于大屏幕显示的解决 方案、应用于生命医学领域的显示解决方案和可视化监测系统的解决方案等，在其专业领域 具有全球较高的知名度和市场份额。虽然上述客户2009年的订单规模可能还不会很大，但是 在现阶段特定的经营环境下已经从一定程度上反映出公司上下为应对危机所做的积极努力以 及客户对公司制造能力和服务水平的肯定。</w:t>
      </w:r>
    </w:p>
    <w:p>
      <w:pPr>
        <w:pStyle w:val="BodyText"/>
        <w:spacing w:line="304" w:lineRule="auto" w:before="22"/>
        <w:ind w:left="154" w:right="191" w:firstLine="480"/>
        <w:jc w:val="both"/>
      </w:pPr>
      <w:r>
        <w:rPr>
          <w:spacing w:val="-3"/>
        </w:rPr>
        <w:t>（2）丰富产品结构：报告期内公司已经成功导入了TV板、安防产品和照明产品，虽然总</w:t>
      </w:r>
      <w:r>
        <w:rPr/>
        <w:t> 体营业收入规模不大且照明产品仍处于亏损阶段，但是对于完善产品结构、提升制造能力已 经发挥了积极的作用。同时2009年度公司即将导入恩智浦公司的移动电话耳机产品项目和Ｂ ａｒｃｏ公司的大屏幕产品项目，公司的产品结构将进一步趋于合理。</w:t>
      </w:r>
    </w:p>
    <w:p>
      <w:pPr>
        <w:pStyle w:val="BodyText"/>
        <w:spacing w:line="304" w:lineRule="auto"/>
        <w:ind w:left="154" w:right="90" w:firstLine="480"/>
        <w:jc w:val="left"/>
      </w:pPr>
      <w:r>
        <w:rPr>
          <w:spacing w:val="-3"/>
        </w:rPr>
        <w:t>（3）采取多种措施提高管理水平，从而提高自身素质，为行业复苏做准备：具体措施包</w:t>
      </w:r>
      <w:r>
        <w:rPr/>
        <w:t> 括聘请专业管理咨询机构为公司管理现状提供诊断和改善建议、建设实施MES制造执行系统、 建设实施人力资源管理信息化系统等，报告期末公司已经和专业机构签订协议，目前已经正 </w:t>
      </w:r>
      <w:r>
        <w:rPr>
          <w:spacing w:val="-2"/>
        </w:rPr>
        <w:t>式开始建设全球范围内最先进的SAP系统。公司董事会认为，虽然不能够在全行业萎缩的背景</w:t>
      </w:r>
      <w:r>
        <w:rPr>
          <w:spacing w:val="-118"/>
        </w:rPr>
        <w:t> </w:t>
      </w:r>
      <w:r>
        <w:rPr>
          <w:spacing w:val="-118"/>
        </w:rPr>
      </w:r>
      <w:r>
        <w:rPr/>
        <w:t>下独善其身，但是应该在现时环境下不断强化自身素质，应对危机，首先要保证在危机来临 时有坚强的生命力生存下去，同时要为危机过后、行业复苏时的快速崛起打好基础、做好准 备。</w:t>
      </w:r>
    </w:p>
    <w:p>
      <w:pPr>
        <w:pStyle w:val="BodyText"/>
        <w:spacing w:line="307" w:lineRule="auto"/>
        <w:ind w:left="154" w:right="228" w:firstLine="480"/>
        <w:jc w:val="both"/>
      </w:pPr>
      <w:r>
        <w:rPr/>
        <w:t>公司董事会认为，上述各项措施虽然不能在短时间内体现为经济效益，但是积极的态度 终将转化为强有力的生命力和竞争力。</w:t>
      </w:r>
    </w:p>
    <w:p>
      <w:pPr>
        <w:pStyle w:val="BodyText"/>
        <w:spacing w:line="240" w:lineRule="auto" w:before="18"/>
        <w:ind w:left="634" w:right="210"/>
        <w:jc w:val="left"/>
      </w:pPr>
      <w:r>
        <w:rPr/>
        <w:t>6、2009年经营计划及目标</w:t>
      </w:r>
    </w:p>
    <w:p>
      <w:pPr>
        <w:pStyle w:val="BodyText"/>
        <w:spacing w:line="304" w:lineRule="auto" w:before="85"/>
        <w:ind w:left="154" w:right="191" w:firstLine="480"/>
        <w:jc w:val="both"/>
      </w:pPr>
      <w:r>
        <w:rPr>
          <w:spacing w:val="-2"/>
        </w:rPr>
        <w:t>（1）2009年上半年公司重点工作之一是顺利完成向位于深圳市龙岗区宝龙工业城的实益</w:t>
      </w:r>
      <w:r>
        <w:rPr/>
        <w:t> 达科技园的搬迁，目前实益达科技园的建设工作已近尾声，公司有关部门正在积极筹备，初 步计划在2009年4月至5月实施、完成搬迁工作。</w:t>
      </w:r>
    </w:p>
    <w:p>
      <w:pPr>
        <w:pStyle w:val="BodyText"/>
        <w:spacing w:line="304" w:lineRule="auto"/>
        <w:ind w:left="154" w:right="191" w:firstLine="480"/>
        <w:jc w:val="both"/>
      </w:pPr>
      <w:r>
        <w:rPr>
          <w:spacing w:val="-3"/>
        </w:rPr>
        <w:t>（2）从经营业绩的角度考虑，鉴于经济危机在全球范围内的影响远未消除，在欧洲等一</w:t>
      </w:r>
      <w:r>
        <w:rPr/>
        <w:t> 些地区甚至有进一步恶化的趋势，公司董事会、管理层将努力确保2009年度在2008年度的基 础上不会继续下滑，具体表现为营业收入与2008年度基本持平、力争净利润水平有所回升。</w:t>
      </w:r>
    </w:p>
    <w:p>
      <w:pPr>
        <w:pStyle w:val="BodyText"/>
        <w:spacing w:line="307" w:lineRule="auto"/>
        <w:ind w:left="154" w:right="191" w:firstLine="480"/>
        <w:jc w:val="both"/>
      </w:pPr>
      <w:r>
        <w:rPr>
          <w:spacing w:val="-3"/>
        </w:rPr>
        <w:t>（3）确保前述新客户和新产品的导入顺利实施，进一步达到分散单一客户风险、完善产</w:t>
      </w:r>
      <w:r>
        <w:rPr/>
        <w:t> 品结构的目的，同时在出口订单持续下降的情况下努力开拓内销市场。</w:t>
      </w:r>
    </w:p>
    <w:p>
      <w:pPr>
        <w:pStyle w:val="BodyText"/>
        <w:spacing w:line="304" w:lineRule="auto" w:before="18"/>
        <w:ind w:right="179" w:firstLine="480"/>
        <w:jc w:val="left"/>
      </w:pPr>
      <w:r>
        <w:rPr/>
        <w:t>（4）2008年度公司控股子公司无锡实益达和ODM事业部的经营情况依然不理想，在一定 程度上也影响了公司合并后的经营业绩，前者是公司在长江三角洲地区重要的战略布局，后 </w:t>
      </w:r>
      <w:r>
        <w:rPr>
          <w:spacing w:val="-2"/>
        </w:rPr>
        <w:t>者是公司在巩固EMS业务模式优势的基础上向新业务模式的积极探索和尝试，2009年度公司董</w:t>
      </w:r>
      <w:r>
        <w:rPr>
          <w:spacing w:val="-114"/>
        </w:rPr>
        <w:t> </w:t>
      </w:r>
      <w:r>
        <w:rPr>
          <w:spacing w:val="-114"/>
        </w:rPr>
      </w:r>
      <w:r>
        <w:rPr/>
        <w:t>事会将高度关注无锡实益达和ODM事业部的业务发展状况和趋势，必要时候对其重新进行整 合，以确保公司整体经营业绩以及合理的组织架构。</w:t>
      </w:r>
    </w:p>
    <w:p>
      <w:pPr>
        <w:pStyle w:val="BodyText"/>
        <w:spacing w:line="240" w:lineRule="auto" w:before="22"/>
        <w:ind w:left="633" w:right="210"/>
        <w:jc w:val="left"/>
      </w:pPr>
      <w:r>
        <w:rPr/>
        <w:t>7、可能面临的风险因素</w:t>
      </w:r>
    </w:p>
    <w:p>
      <w:pPr>
        <w:pStyle w:val="BodyText"/>
        <w:spacing w:line="240" w:lineRule="auto" w:before="85"/>
        <w:ind w:left="633" w:right="91"/>
        <w:jc w:val="left"/>
      </w:pPr>
      <w:r>
        <w:rPr>
          <w:spacing w:val="-3"/>
        </w:rPr>
        <w:t>（1）经济危机进一步恶化的风险：目前理论界对于经济危机的演变趋势尚没有明确统一</w:t>
      </w:r>
    </w:p>
    <w:p>
      <w:pPr>
        <w:spacing w:after="0" w:line="240" w:lineRule="auto"/>
        <w:jc w:val="left"/>
        <w:sectPr>
          <w:pgSz w:w="11910" w:h="16840"/>
          <w:pgMar w:header="787" w:footer="1339" w:top="1020" w:bottom="1520" w:left="980" w:right="940"/>
        </w:sectPr>
      </w:pPr>
    </w:p>
    <w:p>
      <w:pPr>
        <w:spacing w:line="240" w:lineRule="auto" w:before="0"/>
        <w:rPr>
          <w:rFonts w:ascii="宋体" w:hAnsi="宋体" w:cs="宋体" w:eastAsia="宋体" w:hint="default"/>
          <w:sz w:val="20"/>
          <w:szCs w:val="20"/>
        </w:rPr>
      </w:pPr>
    </w:p>
    <w:p>
      <w:pPr>
        <w:pStyle w:val="BodyText"/>
        <w:spacing w:line="304" w:lineRule="auto" w:before="190"/>
        <w:ind w:left="154" w:right="268"/>
        <w:jc w:val="both"/>
      </w:pPr>
      <w:r>
        <w:rPr/>
        <w:t>的观点，如果其造成的后果进一步恶化并且对实体经济产生更加严重的影响，则将会对公司 经营计划的实施产生难以预测的风险。</w:t>
      </w:r>
    </w:p>
    <w:p>
      <w:pPr>
        <w:pStyle w:val="BodyText"/>
        <w:spacing w:line="304" w:lineRule="auto" w:before="22"/>
        <w:ind w:left="154" w:right="95" w:firstLine="480"/>
        <w:jc w:val="left"/>
      </w:pPr>
      <w:r>
        <w:rPr>
          <w:spacing w:val="-3"/>
        </w:rPr>
        <w:t>（2）市场竞争的风险：不能排除部分同行业企业为求在危机环境中生存而展开低价竞争</w:t>
      </w:r>
      <w:r>
        <w:rPr/>
        <w:t> 的可能性，短时间之内EMS行业内竞争有进一步加剧的风险。</w:t>
      </w:r>
    </w:p>
    <w:p>
      <w:pPr>
        <w:pStyle w:val="BodyText"/>
        <w:spacing w:line="304" w:lineRule="auto"/>
        <w:ind w:left="154" w:right="92" w:firstLine="480"/>
        <w:jc w:val="left"/>
      </w:pPr>
      <w:r>
        <w:rPr>
          <w:spacing w:val="-3"/>
        </w:rPr>
        <w:t>（3）应收账款的风险：虽然本公司客户大多为全球范围内各自领域的知名企业且以往信</w:t>
      </w:r>
      <w:r>
        <w:rPr/>
        <w:t> </w:t>
      </w:r>
      <w:r>
        <w:rPr>
          <w:spacing w:val="-2"/>
        </w:rPr>
        <w:t>用状况极好，但是如果经济危机造成的影响进一步深化，公司应收账款依然会存在一定风险。</w:t>
      </w:r>
      <w:r>
        <w:rPr/>
        <w:t> 针对这种可能性公司已经考虑为应收账款购买相应的保险产品。</w:t>
      </w:r>
    </w:p>
    <w:p>
      <w:pPr>
        <w:pStyle w:val="BodyText"/>
        <w:spacing w:line="307" w:lineRule="auto"/>
        <w:ind w:left="634" w:right="250"/>
        <w:jc w:val="left"/>
      </w:pPr>
      <w:r>
        <w:rPr/>
        <w:t>8、资金需求及使用计划 短时间内公司最主要的资金需求集中在深圳市龙岗区宝龙工业城实益达科技园的建设项</w:t>
      </w:r>
    </w:p>
    <w:p>
      <w:pPr>
        <w:pStyle w:val="BodyText"/>
        <w:spacing w:line="304" w:lineRule="auto" w:before="18"/>
        <w:ind w:left="154" w:right="268"/>
        <w:jc w:val="both"/>
      </w:pPr>
      <w:r>
        <w:rPr/>
        <w:t>目上，除土建外还包括内外装修、配套设施、动力系统、节能改造等建设项目，公司已经做 出了详细的资金使用计划。同时公司在与商业银行的合作中拥有良好的信用记录，且目前现 金流充裕，能够满足实益达科技园建设，以及日常生产经营的实际需要。</w:t>
      </w:r>
    </w:p>
    <w:p>
      <w:pPr>
        <w:spacing w:line="240" w:lineRule="auto" w:before="2"/>
        <w:rPr>
          <w:rFonts w:ascii="宋体" w:hAnsi="宋体" w:cs="宋体" w:eastAsia="宋体" w:hint="default"/>
          <w:sz w:val="32"/>
          <w:szCs w:val="32"/>
        </w:rPr>
      </w:pPr>
    </w:p>
    <w:p>
      <w:pPr>
        <w:pStyle w:val="BodyText"/>
        <w:spacing w:line="307" w:lineRule="auto" w:before="0"/>
        <w:ind w:left="634" w:right="7090"/>
        <w:jc w:val="left"/>
      </w:pPr>
      <w:r>
        <w:rPr/>
        <w:t>三、公司投资情况 1、募集资金投资情况</w:t>
      </w:r>
    </w:p>
    <w:p>
      <w:pPr>
        <w:pStyle w:val="BodyText"/>
        <w:spacing w:line="240" w:lineRule="auto" w:before="18"/>
        <w:ind w:left="354" w:right="95"/>
        <w:jc w:val="left"/>
      </w:pPr>
      <w:r>
        <w:rPr/>
        <w:t>（1）募集资金基本情况</w:t>
      </w:r>
    </w:p>
    <w:p>
      <w:pPr>
        <w:pStyle w:val="BodyText"/>
        <w:spacing w:line="240" w:lineRule="auto" w:before="85"/>
        <w:ind w:left="354" w:right="95"/>
        <w:jc w:val="left"/>
      </w:pPr>
      <w:r>
        <w:rPr/>
        <w:t>经中国证券监督管理委员会证监发行字［2007］116</w:t>
      </w:r>
      <w:r>
        <w:rPr>
          <w:spacing w:val="-57"/>
        </w:rPr>
        <w:t> </w:t>
      </w:r>
      <w:r>
        <w:rPr/>
        <w:t>号文批准，公司于</w:t>
      </w:r>
      <w:r>
        <w:rPr>
          <w:spacing w:val="-57"/>
        </w:rPr>
        <w:t> </w:t>
      </w:r>
      <w:r>
        <w:rPr/>
        <w:t>2007</w:t>
      </w:r>
      <w:r>
        <w:rPr>
          <w:spacing w:val="-57"/>
        </w:rPr>
        <w:t> </w:t>
      </w:r>
      <w:r>
        <w:rPr/>
        <w:t>年</w:t>
      </w:r>
      <w:r>
        <w:rPr>
          <w:spacing w:val="-57"/>
        </w:rPr>
        <w:t> </w:t>
      </w:r>
      <w:r>
        <w:rPr/>
        <w:t>6</w:t>
      </w:r>
      <w:r>
        <w:rPr>
          <w:spacing w:val="-57"/>
        </w:rPr>
        <w:t> </w:t>
      </w:r>
      <w:r>
        <w:rPr/>
        <w:t>月首次向</w:t>
      </w:r>
    </w:p>
    <w:p>
      <w:pPr>
        <w:pStyle w:val="BodyText"/>
        <w:spacing w:line="240" w:lineRule="auto" w:before="86"/>
        <w:ind w:left="154" w:right="0"/>
        <w:jc w:val="both"/>
      </w:pPr>
      <w:r>
        <w:rPr/>
        <w:t>社会公开发行人民币普通股股票</w:t>
      </w:r>
      <w:r>
        <w:rPr>
          <w:spacing w:val="-57"/>
        </w:rPr>
        <w:t> </w:t>
      </w:r>
      <w:r>
        <w:rPr/>
        <w:t>3,340</w:t>
      </w:r>
      <w:r>
        <w:rPr>
          <w:spacing w:val="-57"/>
        </w:rPr>
        <w:t> </w:t>
      </w:r>
      <w:r>
        <w:rPr>
          <w:spacing w:val="-5"/>
        </w:rPr>
        <w:t>万股，发行价格人民币</w:t>
      </w:r>
      <w:r>
        <w:rPr>
          <w:spacing w:val="-57"/>
        </w:rPr>
        <w:t> </w:t>
      </w:r>
      <w:r>
        <w:rPr/>
        <w:t>10.30</w:t>
      </w:r>
      <w:r>
        <w:rPr>
          <w:spacing w:val="-57"/>
        </w:rPr>
        <w:t> </w:t>
      </w:r>
      <w:r>
        <w:rPr>
          <w:spacing w:val="-4"/>
        </w:rPr>
        <w:t>元/股，募集资金总额为</w:t>
      </w:r>
    </w:p>
    <w:p>
      <w:pPr>
        <w:pStyle w:val="BodyText"/>
        <w:spacing w:line="240" w:lineRule="auto" w:before="85"/>
        <w:ind w:left="154" w:right="0"/>
        <w:jc w:val="both"/>
      </w:pPr>
      <w:r>
        <w:rPr/>
        <w:t>人民币 34,402.00 万元，扣除发行费用人民币 1,993.08</w:t>
      </w:r>
      <w:r>
        <w:rPr>
          <w:spacing w:val="-84"/>
        </w:rPr>
        <w:t> </w:t>
      </w:r>
      <w:r>
        <w:rPr/>
        <w:t>万元，实际募集资金净额为人民币</w:t>
      </w:r>
    </w:p>
    <w:p>
      <w:pPr>
        <w:pStyle w:val="BodyText"/>
        <w:spacing w:line="307" w:lineRule="auto" w:before="85"/>
        <w:ind w:left="154" w:right="231"/>
        <w:jc w:val="both"/>
      </w:pPr>
      <w:r>
        <w:rPr/>
        <w:t>32,408.92</w:t>
      </w:r>
      <w:r>
        <w:rPr>
          <w:spacing w:val="-68"/>
        </w:rPr>
        <w:t> </w:t>
      </w:r>
      <w:r>
        <w:rPr/>
        <w:t>万元。上述募集资金已于</w:t>
      </w:r>
      <w:r>
        <w:rPr>
          <w:spacing w:val="-68"/>
        </w:rPr>
        <w:t> </w:t>
      </w:r>
      <w:r>
        <w:rPr>
          <w:spacing w:val="30"/>
        </w:rPr>
        <w:t>2007年6月6</w:t>
      </w:r>
      <w:r>
        <w:rPr>
          <w:spacing w:val="-68"/>
        </w:rPr>
        <w:t> </w:t>
      </w:r>
      <w:r>
        <w:rPr/>
        <w:t>日全部到位，并经北京立信会计师事务所</w:t>
      </w:r>
      <w:r>
        <w:rPr/>
        <w:t> </w:t>
      </w:r>
      <w:r>
        <w:rPr>
          <w:spacing w:val="-5"/>
        </w:rPr>
        <w:t>有限公司京信(深)验字[2007]20</w:t>
      </w:r>
      <w:r>
        <w:rPr>
          <w:spacing w:val="-52"/>
        </w:rPr>
        <w:t> </w:t>
      </w:r>
      <w:r>
        <w:rPr>
          <w:spacing w:val="-8"/>
        </w:rPr>
        <w:t>号《验资报告》验证确认。</w:t>
      </w:r>
    </w:p>
    <w:p>
      <w:pPr>
        <w:pStyle w:val="BodyText"/>
        <w:spacing w:line="240" w:lineRule="auto" w:before="18"/>
        <w:ind w:left="354" w:right="95"/>
        <w:jc w:val="left"/>
      </w:pPr>
      <w:r>
        <w:rPr/>
        <w:t>（</w:t>
      </w:r>
      <w:r>
        <w:rPr>
          <w:rFonts w:ascii="Times New Roman" w:hAnsi="Times New Roman" w:cs="Times New Roman" w:eastAsia="Times New Roman" w:hint="default"/>
        </w:rPr>
        <w:t>2</w:t>
      </w:r>
      <w:r>
        <w:rPr/>
        <w:t>）募集资金使用情况</w:t>
      </w:r>
    </w:p>
    <w:p>
      <w:pPr>
        <w:pStyle w:val="BodyText"/>
        <w:spacing w:line="240" w:lineRule="auto" w:before="67"/>
        <w:ind w:left="634" w:right="95"/>
        <w:jc w:val="left"/>
      </w:pPr>
      <w:r>
        <w:rPr/>
        <w:t>截止</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日，公司募集资金使用情况如下：</w:t>
      </w:r>
    </w:p>
    <w:p>
      <w:pPr>
        <w:pStyle w:val="BodyText"/>
        <w:spacing w:line="240" w:lineRule="auto" w:before="62"/>
        <w:ind w:left="0" w:right="231"/>
        <w:jc w:val="right"/>
      </w:pPr>
      <w:r>
        <w:rPr/>
        <w:t>单位：人民币万元</w:t>
      </w:r>
    </w:p>
    <w:p>
      <w:pPr>
        <w:spacing w:line="240" w:lineRule="auto" w:before="12"/>
        <w:rPr>
          <w:rFonts w:ascii="宋体" w:hAnsi="宋体" w:cs="宋体" w:eastAsia="宋体" w:hint="default"/>
          <w:sz w:val="4"/>
          <w:szCs w:val="4"/>
        </w:rPr>
      </w:pPr>
    </w:p>
    <w:p>
      <w:pPr>
        <w:spacing w:line="3300" w:lineRule="exact"/>
        <w:ind w:left="504" w:right="0" w:firstLine="0"/>
        <w:rPr>
          <w:rFonts w:ascii="宋体" w:hAnsi="宋体" w:cs="宋体" w:eastAsia="宋体" w:hint="default"/>
          <w:sz w:val="20"/>
          <w:szCs w:val="20"/>
        </w:rPr>
      </w:pPr>
      <w:r>
        <w:rPr>
          <w:rFonts w:ascii="宋体" w:hAnsi="宋体" w:cs="宋体" w:eastAsia="宋体" w:hint="default"/>
          <w:position w:val="-65"/>
          <w:sz w:val="20"/>
          <w:szCs w:val="20"/>
        </w:rPr>
        <w:pict>
          <v:group style="width:460pt;height:165pt;mso-position-horizontal-relative:char;mso-position-vertical-relative:line" coordorigin="0,0" coordsize="9200,3300">
            <v:group style="position:absolute;left:14;top:15;width:104;height:400" coordorigin="14,15" coordsize="104,400">
              <v:shape style="position:absolute;left:14;top:15;width:104;height:400" coordorigin="14,15" coordsize="104,400" path="m14,415l118,415,118,15,14,15,14,415xe" filled="true" fillcolor="#d9d9d9" stroked="false">
                <v:path arrowok="t"/>
                <v:fill type="solid"/>
              </v:shape>
            </v:group>
            <v:group style="position:absolute;left:4199;top:14;width:104;height:400" coordorigin="4199,14" coordsize="104,400">
              <v:shape style="position:absolute;left:4199;top:14;width:104;height:400" coordorigin="4199,14" coordsize="104,400" path="m4302,14l4199,14,4199,414,4302,414,4302,14xe" filled="true" fillcolor="#d9d9d9" stroked="false">
                <v:path arrowok="t"/>
                <v:fill type="solid"/>
              </v:shape>
            </v:group>
            <v:group style="position:absolute;left:118;top:14;width:4082;height:400" coordorigin="118,14" coordsize="4082,400">
              <v:shape style="position:absolute;left:118;top:14;width:4082;height:400" coordorigin="118,14" coordsize="4082,400" path="m118,414l4199,414,4199,14,118,14,118,414xe" filled="true" fillcolor="#d9d9d9" stroked="false">
                <v:path arrowok="t"/>
                <v:fill type="solid"/>
              </v:shape>
            </v:group>
            <v:group style="position:absolute;left:4312;top:15;width:104;height:400" coordorigin="4312,15" coordsize="104,400">
              <v:shape style="position:absolute;left:4312;top:15;width:104;height:400" coordorigin="4312,15" coordsize="104,400" path="m4312,415l4415,415,4415,15,4312,15,4312,415xe" filled="true" fillcolor="#d9d9d9" stroked="false">
                <v:path arrowok="t"/>
                <v:fill type="solid"/>
              </v:shape>
            </v:group>
            <v:group style="position:absolute;left:9082;top:14;width:104;height:400" coordorigin="9082,14" coordsize="104,400">
              <v:shape style="position:absolute;left:9082;top:14;width:104;height:400" coordorigin="9082,14" coordsize="104,400" path="m9185,14l9082,14,9082,414,9185,414,9185,14xe" filled="true" fillcolor="#d9d9d9" stroked="false">
                <v:path arrowok="t"/>
                <v:fill type="solid"/>
              </v:shape>
            </v:group>
            <v:group style="position:absolute;left:4415;top:14;width:4667;height:400" coordorigin="4415,14" coordsize="4667,400">
              <v:shape style="position:absolute;left:4415;top:14;width:4667;height:400" coordorigin="4415,14" coordsize="4667,400" path="m4415,414l9082,414,9082,14,4415,14,4415,414xe" filled="true" fillcolor="#d9d9d9" stroked="false">
                <v:path arrowok="t"/>
                <v:fill type="solid"/>
              </v:shape>
            </v:group>
            <v:group style="position:absolute;left:5;top:10;width:9190;height:2" coordorigin="5,10" coordsize="9190,2">
              <v:shape style="position:absolute;left:5;top:10;width:9190;height:2" coordorigin="5,10" coordsize="9190,0" path="m5,10l9194,10e" filled="false" stroked="true" strokeweight=".48004pt" strokecolor="#000000">
                <v:path arrowok="t"/>
              </v:shape>
            </v:group>
            <v:group style="position:absolute;left:4307;top:14;width:2;height:401" coordorigin="4307,14" coordsize="2,401">
              <v:shape style="position:absolute;left:4307;top:14;width:2;height:401" coordorigin="4307,14" coordsize="0,401" path="m4307,14l4307,415e" filled="false" stroked="true" strokeweight=".48001pt" strokecolor="#000000">
                <v:path arrowok="t"/>
              </v:shape>
              <v:shape style="position:absolute;left:14;top:425;width:643;height:400" type="#_x0000_t75" stroked="false">
                <v:imagedata r:id="rId15" o:title=""/>
              </v:shape>
            </v:group>
            <v:group style="position:absolute;left:4199;top:425;width:104;height:400" coordorigin="4199,425" coordsize="104,400">
              <v:shape style="position:absolute;left:4199;top:425;width:104;height:400" coordorigin="4199,425" coordsize="104,400" path="m4302,425l4199,425,4199,824,4302,824,4302,425xe" filled="true" fillcolor="#d9d9d9" stroked="false">
                <v:path arrowok="t"/>
                <v:fill type="solid"/>
              </v:shape>
            </v:group>
            <v:group style="position:absolute;left:658;top:425;width:3542;height:400" coordorigin="658,425" coordsize="3542,400">
              <v:shape style="position:absolute;left:658;top:425;width:3542;height:400" coordorigin="658,425" coordsize="3542,400" path="m658,824l4199,824,4199,425,658,425,658,824xe" filled="true" fillcolor="#d9d9d9" stroked="false">
                <v:path arrowok="t"/>
                <v:fill type="solid"/>
              </v:shape>
            </v:group>
            <v:group style="position:absolute;left:5;top:420;width:9190;height:2" coordorigin="5,420" coordsize="9190,2">
              <v:shape style="position:absolute;left:5;top:420;width:9190;height:2" coordorigin="5,420" coordsize="9190,0" path="m5,420l9194,420e" filled="false" stroked="true" strokeweight=".47998pt" strokecolor="#000000">
                <v:path arrowok="t"/>
              </v:shape>
            </v:group>
            <v:group style="position:absolute;left:550;top:425;width:2;height:400" coordorigin="550,425" coordsize="2,400">
              <v:shape style="position:absolute;left:550;top:425;width:2;height:400" coordorigin="550,425" coordsize="0,400" path="m550,425l550,824e" filled="false" stroked="true" strokeweight=".48001pt" strokecolor="#000000">
                <v:path arrowok="t"/>
              </v:shape>
            </v:group>
            <v:group style="position:absolute;left:4307;top:425;width:2;height:400" coordorigin="4307,425" coordsize="2,400">
              <v:shape style="position:absolute;left:4307;top:425;width:2;height:400" coordorigin="4307,425" coordsize="0,400" path="m4307,425l4307,824e" filled="false" stroked="true" strokeweight=".48001pt" strokecolor="#000000">
                <v:path arrowok="t"/>
              </v:shape>
            </v:group>
            <v:group style="position:absolute;left:14;top:834;width:104;height:401" coordorigin="14,834" coordsize="104,401">
              <v:shape style="position:absolute;left:14;top:834;width:104;height:401" coordorigin="14,834" coordsize="104,401" path="m118,834l14,834,14,1235,118,1235,118,834xe" filled="true" fillcolor="#d9d9d9" stroked="false">
                <v:path arrowok="t"/>
                <v:fill type="solid"/>
              </v:shape>
            </v:group>
            <v:group style="position:absolute;left:442;top:834;width:104;height:401" coordorigin="442,834" coordsize="104,401">
              <v:shape style="position:absolute;left:442;top:834;width:104;height:401" coordorigin="442,834" coordsize="104,401" path="m545,834l442,834,442,1235,545,1235,545,834xe" filled="true" fillcolor="#d9d9d9" stroked="false">
                <v:path arrowok="t"/>
                <v:fill type="solid"/>
              </v:shape>
            </v:group>
            <v:group style="position:absolute;left:118;top:834;width:324;height:401" coordorigin="118,834" coordsize="324,401">
              <v:shape style="position:absolute;left:118;top:834;width:324;height:401" coordorigin="118,834" coordsize="324,401" path="m118,1235l442,1235,442,834,118,834,118,1235xe" filled="true" fillcolor="#d9d9d9" stroked="false">
                <v:path arrowok="t"/>
                <v:fill type="solid"/>
              </v:shape>
            </v:group>
            <v:group style="position:absolute;left:554;top:834;width:104;height:401" coordorigin="554,834" coordsize="104,401">
              <v:shape style="position:absolute;left:554;top:834;width:104;height:401" coordorigin="554,834" coordsize="104,401" path="m658,834l554,834,554,1235,658,1235,658,834xe" filled="true" fillcolor="#d9d9d9" stroked="false">
                <v:path arrowok="t"/>
                <v:fill type="solid"/>
              </v:shape>
            </v:group>
            <v:group style="position:absolute;left:4199;top:834;width:104;height:401" coordorigin="4199,834" coordsize="104,401">
              <v:shape style="position:absolute;left:4199;top:834;width:104;height:401" coordorigin="4199,834" coordsize="104,401" path="m4302,834l4199,834,4199,1235,4302,1235,4302,834xe" filled="true" fillcolor="#d9d9d9" stroked="false">
                <v:path arrowok="t"/>
                <v:fill type="solid"/>
              </v:shape>
            </v:group>
            <v:group style="position:absolute;left:658;top:834;width:3542;height:401" coordorigin="658,834" coordsize="3542,401">
              <v:shape style="position:absolute;left:658;top:834;width:3542;height:401" coordorigin="658,834" coordsize="3542,401" path="m658,1235l4199,1235,4199,834,658,834,658,1235xe" filled="true" fillcolor="#d9d9d9" stroked="false">
                <v:path arrowok="t"/>
                <v:fill type="solid"/>
              </v:shape>
            </v:group>
            <v:group style="position:absolute;left:5;top:829;width:9190;height:2" coordorigin="5,829" coordsize="9190,2">
              <v:shape style="position:absolute;left:5;top:829;width:9190;height:2" coordorigin="5,829" coordsize="9190,0" path="m5,829l9194,829e" filled="false" stroked="true" strokeweight=".48pt" strokecolor="#000000">
                <v:path arrowok="t"/>
              </v:shape>
            </v:group>
            <v:group style="position:absolute;left:550;top:834;width:2;height:401" coordorigin="550,834" coordsize="2,401">
              <v:shape style="position:absolute;left:550;top:834;width:2;height:401" coordorigin="550,834" coordsize="0,401" path="m550,834l550,1235e" filled="false" stroked="true" strokeweight=".48001pt" strokecolor="#000000">
                <v:path arrowok="t"/>
              </v:shape>
            </v:group>
            <v:group style="position:absolute;left:4307;top:834;width:2;height:401" coordorigin="4307,834" coordsize="2,401">
              <v:shape style="position:absolute;left:4307;top:834;width:2;height:401" coordorigin="4307,834" coordsize="0,401" path="m4307,834l4307,1235e" filled="false" stroked="true" strokeweight=".48001pt" strokecolor="#000000">
                <v:path arrowok="t"/>
              </v:shape>
              <v:shape style="position:absolute;left:14;top:1244;width:643;height:400" type="#_x0000_t75" stroked="false">
                <v:imagedata r:id="rId16" o:title=""/>
              </v:shape>
            </v:group>
            <v:group style="position:absolute;left:4199;top:1244;width:104;height:400" coordorigin="4199,1244" coordsize="104,400">
              <v:shape style="position:absolute;left:4199;top:1244;width:104;height:400" coordorigin="4199,1244" coordsize="104,400" path="m4302,1244l4199,1244,4199,1644,4302,1644,4302,1244xe" filled="true" fillcolor="#d9d9d9" stroked="false">
                <v:path arrowok="t"/>
                <v:fill type="solid"/>
              </v:shape>
            </v:group>
            <v:group style="position:absolute;left:658;top:1244;width:3542;height:400" coordorigin="658,1244" coordsize="3542,400">
              <v:shape style="position:absolute;left:658;top:1244;width:3542;height:400" coordorigin="658,1244" coordsize="3542,400" path="m658,1644l4199,1644,4199,1244,658,1244,658,1644xe" filled="true" fillcolor="#d9d9d9" stroked="false">
                <v:path arrowok="t"/>
                <v:fill type="solid"/>
              </v:shape>
            </v:group>
            <v:group style="position:absolute;left:5;top:1240;width:9190;height:2" coordorigin="5,1240" coordsize="9190,2">
              <v:shape style="position:absolute;left:5;top:1240;width:9190;height:2" coordorigin="5,1240" coordsize="9190,0" path="m5,1240l9194,1240e" filled="false" stroked="true" strokeweight=".48001pt" strokecolor="#000000">
                <v:path arrowok="t"/>
              </v:shape>
            </v:group>
            <v:group style="position:absolute;left:550;top:1244;width:2;height:401" coordorigin="550,1244" coordsize="2,401">
              <v:shape style="position:absolute;left:550;top:1244;width:2;height:401" coordorigin="550,1244" coordsize="0,401" path="m550,1244l550,1645e" filled="false" stroked="true" strokeweight=".48001pt" strokecolor="#000000">
                <v:path arrowok="t"/>
              </v:shape>
            </v:group>
            <v:group style="position:absolute;left:4307;top:1244;width:2;height:401" coordorigin="4307,1244" coordsize="2,401">
              <v:shape style="position:absolute;left:4307;top:1244;width:2;height:401" coordorigin="4307,1244" coordsize="0,401" path="m4307,1244l4307,1645e" filled="false" stroked="true" strokeweight=".48001pt" strokecolor="#000000">
                <v:path arrowok="t"/>
              </v:shape>
              <v:shape style="position:absolute;left:14;top:1655;width:643;height:400" type="#_x0000_t75" stroked="false">
                <v:imagedata r:id="rId15" o:title=""/>
              </v:shape>
            </v:group>
            <v:group style="position:absolute;left:4199;top:1655;width:104;height:400" coordorigin="4199,1655" coordsize="104,400">
              <v:shape style="position:absolute;left:4199;top:1655;width:104;height:400" coordorigin="4199,1655" coordsize="104,400" path="m4302,1655l4199,1655,4199,2054,4302,2054,4302,1655xe" filled="true" fillcolor="#d9d9d9" stroked="false">
                <v:path arrowok="t"/>
                <v:fill type="solid"/>
              </v:shape>
            </v:group>
            <v:group style="position:absolute;left:658;top:1655;width:3542;height:400" coordorigin="658,1655" coordsize="3542,400">
              <v:shape style="position:absolute;left:658;top:1655;width:3542;height:400" coordorigin="658,1655" coordsize="3542,400" path="m658,2054l4199,2054,4199,1655,658,1655,658,2054xe" filled="true" fillcolor="#d9d9d9" stroked="false">
                <v:path arrowok="t"/>
                <v:fill type="solid"/>
              </v:shape>
            </v:group>
            <v:group style="position:absolute;left:5;top:1650;width:9190;height:2" coordorigin="5,1650" coordsize="9190,2">
              <v:shape style="position:absolute;left:5;top:1650;width:9190;height:2" coordorigin="5,1650" coordsize="9190,0" path="m5,1650l9194,1650e" filled="false" stroked="true" strokeweight=".48001pt" strokecolor="#000000">
                <v:path arrowok="t"/>
              </v:shape>
            </v:group>
            <v:group style="position:absolute;left:550;top:1655;width:2;height:400" coordorigin="550,1655" coordsize="2,400">
              <v:shape style="position:absolute;left:550;top:1655;width:2;height:400" coordorigin="550,1655" coordsize="0,400" path="m550,1655l550,2054e" filled="false" stroked="true" strokeweight=".48001pt" strokecolor="#000000">
                <v:path arrowok="t"/>
              </v:shape>
            </v:group>
            <v:group style="position:absolute;left:4307;top:1655;width:2;height:400" coordorigin="4307,1655" coordsize="2,400">
              <v:shape style="position:absolute;left:4307;top:1655;width:2;height:400" coordorigin="4307,1655" coordsize="0,400" path="m4307,1655l4307,2054e" filled="false" stroked="true" strokeweight=".48001pt" strokecolor="#000000">
                <v:path arrowok="t"/>
              </v:shape>
            </v:group>
            <v:group style="position:absolute;left:14;top:2064;width:104;height:401" coordorigin="14,2064" coordsize="104,401">
              <v:shape style="position:absolute;left:14;top:2064;width:104;height:401" coordorigin="14,2064" coordsize="104,401" path="m118,2064l14,2064,14,2465,118,2465,118,2064xe" filled="true" fillcolor="#d9d9d9" stroked="false">
                <v:path arrowok="t"/>
                <v:fill type="solid"/>
              </v:shape>
            </v:group>
            <v:group style="position:absolute;left:442;top:2064;width:104;height:401" coordorigin="442,2064" coordsize="104,401">
              <v:shape style="position:absolute;left:442;top:2064;width:104;height:401" coordorigin="442,2064" coordsize="104,401" path="m545,2064l442,2064,442,2465,545,2465,545,2064xe" filled="true" fillcolor="#d9d9d9" stroked="false">
                <v:path arrowok="t"/>
                <v:fill type="solid"/>
              </v:shape>
            </v:group>
            <v:group style="position:absolute;left:118;top:2064;width:324;height:401" coordorigin="118,2064" coordsize="324,401">
              <v:shape style="position:absolute;left:118;top:2064;width:324;height:401" coordorigin="118,2064" coordsize="324,401" path="m118,2465l442,2465,442,2064,118,2064,118,2465xe" filled="true" fillcolor="#d9d9d9" stroked="false">
                <v:path arrowok="t"/>
                <v:fill type="solid"/>
              </v:shape>
            </v:group>
            <v:group style="position:absolute;left:554;top:2064;width:104;height:401" coordorigin="554,2064" coordsize="104,401">
              <v:shape style="position:absolute;left:554;top:2064;width:104;height:401" coordorigin="554,2064" coordsize="104,401" path="m658,2064l554,2064,554,2465,658,2465,658,2064xe" filled="true" fillcolor="#d9d9d9" stroked="false">
                <v:path arrowok="t"/>
                <v:fill type="solid"/>
              </v:shape>
            </v:group>
            <v:group style="position:absolute;left:4199;top:2064;width:104;height:401" coordorigin="4199,2064" coordsize="104,401">
              <v:shape style="position:absolute;left:4199;top:2064;width:104;height:401" coordorigin="4199,2064" coordsize="104,401" path="m4302,2064l4199,2064,4199,2465,4302,2465,4302,2064xe" filled="true" fillcolor="#d9d9d9" stroked="false">
                <v:path arrowok="t"/>
                <v:fill type="solid"/>
              </v:shape>
            </v:group>
            <v:group style="position:absolute;left:658;top:2064;width:3542;height:401" coordorigin="658,2064" coordsize="3542,401">
              <v:shape style="position:absolute;left:658;top:2064;width:3542;height:401" coordorigin="658,2064" coordsize="3542,401" path="m658,2465l4199,2465,4199,2064,658,2064,658,2465xe" filled="true" fillcolor="#d9d9d9" stroked="false">
                <v:path arrowok="t"/>
                <v:fill type="solid"/>
              </v:shape>
            </v:group>
            <v:group style="position:absolute;left:5;top:2059;width:9190;height:2" coordorigin="5,2059" coordsize="9190,2">
              <v:shape style="position:absolute;left:5;top:2059;width:9190;height:2" coordorigin="5,2059" coordsize="9190,0" path="m5,2059l9194,2059e" filled="false" stroked="true" strokeweight=".48pt" strokecolor="#000000">
                <v:path arrowok="t"/>
              </v:shape>
            </v:group>
            <v:group style="position:absolute;left:550;top:2064;width:2;height:401" coordorigin="550,2064" coordsize="2,401">
              <v:shape style="position:absolute;left:550;top:2064;width:2;height:401" coordorigin="550,2064" coordsize="0,401" path="m550,2064l550,2465e" filled="false" stroked="true" strokeweight=".48001pt" strokecolor="#000000">
                <v:path arrowok="t"/>
              </v:shape>
            </v:group>
            <v:group style="position:absolute;left:4307;top:2064;width:2;height:401" coordorigin="4307,2064" coordsize="2,401">
              <v:shape style="position:absolute;left:4307;top:2064;width:2;height:401" coordorigin="4307,2064" coordsize="0,401" path="m4307,2064l4307,2465e" filled="false" stroked="true" strokeweight=".48001pt" strokecolor="#000000">
                <v:path arrowok="t"/>
              </v:shape>
            </v:group>
            <v:group style="position:absolute;left:14;top:2475;width:104;height:400" coordorigin="14,2475" coordsize="104,400">
              <v:shape style="position:absolute;left:14;top:2475;width:104;height:400" coordorigin="14,2475" coordsize="104,400" path="m14,2875l118,2875,118,2475,14,2475,14,2875xe" filled="true" fillcolor="#d9d9d9" stroked="false">
                <v:path arrowok="t"/>
                <v:fill type="solid"/>
              </v:shape>
            </v:group>
            <v:group style="position:absolute;left:442;top:2474;width:104;height:400" coordorigin="442,2474" coordsize="104,400">
              <v:shape style="position:absolute;left:442;top:2474;width:104;height:400" coordorigin="442,2474" coordsize="104,400" path="m545,2474l442,2474,442,2874,545,2874,545,2474xe" filled="true" fillcolor="#d9d9d9" stroked="false">
                <v:path arrowok="t"/>
                <v:fill type="solid"/>
              </v:shape>
            </v:group>
            <v:group style="position:absolute;left:118;top:2474;width:324;height:400" coordorigin="118,2474" coordsize="324,400">
              <v:shape style="position:absolute;left:118;top:2474;width:324;height:400" coordorigin="118,2474" coordsize="324,400" path="m118,2874l442,2874,442,2474,118,2474,118,2874xe" filled="true" fillcolor="#d9d9d9" stroked="false">
                <v:path arrowok="t"/>
                <v:fill type="solid"/>
              </v:shape>
            </v:group>
            <v:group style="position:absolute;left:554;top:2475;width:104;height:400" coordorigin="554,2475" coordsize="104,400">
              <v:shape style="position:absolute;left:554;top:2475;width:104;height:400" coordorigin="554,2475" coordsize="104,400" path="m554,2875l658,2875,658,2475,554,2475,554,2875xe" filled="true" fillcolor="#d9d9d9" stroked="false">
                <v:path arrowok="t"/>
                <v:fill type="solid"/>
              </v:shape>
            </v:group>
            <v:group style="position:absolute;left:4199;top:2474;width:104;height:400" coordorigin="4199,2474" coordsize="104,400">
              <v:shape style="position:absolute;left:4199;top:2474;width:104;height:400" coordorigin="4199,2474" coordsize="104,400" path="m4302,2474l4199,2474,4199,2874,4302,2874,4302,2474xe" filled="true" fillcolor="#d9d9d9" stroked="false">
                <v:path arrowok="t"/>
                <v:fill type="solid"/>
              </v:shape>
            </v:group>
            <v:group style="position:absolute;left:658;top:2474;width:3542;height:400" coordorigin="658,2474" coordsize="3542,400">
              <v:shape style="position:absolute;left:658;top:2474;width:3542;height:400" coordorigin="658,2474" coordsize="3542,400" path="m658,2874l4199,2874,4199,2474,658,2474,658,2874xe" filled="true" fillcolor="#d9d9d9" stroked="false">
                <v:path arrowok="t"/>
                <v:fill type="solid"/>
              </v:shape>
            </v:group>
            <v:group style="position:absolute;left:5;top:2470;width:9190;height:2" coordorigin="5,2470" coordsize="9190,2">
              <v:shape style="position:absolute;left:5;top:2470;width:9190;height:2" coordorigin="5,2470" coordsize="9190,0" path="m5,2470l9194,2470e" filled="false" stroked="true" strokeweight=".48pt" strokecolor="#000000">
                <v:path arrowok="t"/>
              </v:shape>
            </v:group>
            <v:group style="position:absolute;left:550;top:2474;width:2;height:401" coordorigin="550,2474" coordsize="2,401">
              <v:shape style="position:absolute;left:550;top:2474;width:2;height:401" coordorigin="550,2474" coordsize="0,401" path="m550,2474l550,2875e" filled="false" stroked="true" strokeweight=".48001pt" strokecolor="#000000">
                <v:path arrowok="t"/>
              </v:shape>
            </v:group>
            <v:group style="position:absolute;left:4307;top:2474;width:2;height:401" coordorigin="4307,2474" coordsize="2,401">
              <v:shape style="position:absolute;left:4307;top:2474;width:2;height:401" coordorigin="4307,2474" coordsize="0,401" path="m4307,2474l4307,2875e" filled="false" stroked="true" strokeweight=".48001pt" strokecolor="#000000">
                <v:path arrowok="t"/>
              </v:shape>
            </v:group>
            <v:group style="position:absolute;left:14;top:2885;width:104;height:400" coordorigin="14,2885" coordsize="104,400">
              <v:shape style="position:absolute;left:14;top:2885;width:104;height:400" coordorigin="14,2885" coordsize="104,400" path="m118,2885l14,2885,14,3284,118,3284,118,2885xe" filled="true" fillcolor="#d9d9d9" stroked="false">
                <v:path arrowok="t"/>
                <v:fill type="solid"/>
              </v:shape>
            </v:group>
            <v:group style="position:absolute;left:4199;top:2885;width:104;height:400" coordorigin="4199,2885" coordsize="104,400">
              <v:shape style="position:absolute;left:4199;top:2885;width:104;height:400" coordorigin="4199,2885" coordsize="104,400" path="m4302,2885l4199,2885,4199,3284,4302,3284,4302,2885xe" filled="true" fillcolor="#d9d9d9" stroked="false">
                <v:path arrowok="t"/>
                <v:fill type="solid"/>
              </v:shape>
            </v:group>
            <v:group style="position:absolute;left:118;top:2885;width:4082;height:400" coordorigin="118,2885" coordsize="4082,400">
              <v:shape style="position:absolute;left:118;top:2885;width:4082;height:400" coordorigin="118,2885" coordsize="4082,400" path="m118,3284l4199,3284,4199,2885,118,2885,118,3284xe" filled="true" fillcolor="#d9d9d9" stroked="false">
                <v:path arrowok="t"/>
                <v:fill type="solid"/>
              </v:shape>
            </v:group>
            <v:group style="position:absolute;left:5;top:2880;width:9190;height:2" coordorigin="5,2880" coordsize="9190,2">
              <v:shape style="position:absolute;left:5;top:2880;width:9190;height:2" coordorigin="5,2880" coordsize="9190,0" path="m5,2880l9194,2880e" filled="false" stroked="true" strokeweight=".48001pt" strokecolor="#000000">
                <v:path arrowok="t"/>
              </v:shape>
            </v:group>
            <v:group style="position:absolute;left:10;top:5;width:2;height:3291" coordorigin="10,5" coordsize="2,3291">
              <v:shape style="position:absolute;left:10;top:5;width:2;height:3291" coordorigin="10,5" coordsize="0,3291" path="m10,5l10,3295e" filled="false" stroked="true" strokeweight=".48001pt" strokecolor="#000000">
                <v:path arrowok="t"/>
              </v:shape>
            </v:group>
            <v:group style="position:absolute;left:5;top:3290;width:4298;height:2" coordorigin="5,3290" coordsize="4298,2">
              <v:shape style="position:absolute;left:5;top:3290;width:4298;height:2" coordorigin="5,3290" coordsize="4298,0" path="m5,3290l4302,3290e" filled="false" stroked="true" strokeweight=".47998pt" strokecolor="#000000">
                <v:path arrowok="t"/>
              </v:shape>
            </v:group>
            <v:group style="position:absolute;left:4307;top:2885;width:2;height:411" coordorigin="4307,2885" coordsize="2,411">
              <v:shape style="position:absolute;left:4307;top:2885;width:2;height:411" coordorigin="4307,2885" coordsize="0,411" path="m4307,2885l4307,3295e" filled="false" stroked="true" strokeweight=".48001pt" strokecolor="#000000">
                <v:path arrowok="t"/>
              </v:shape>
            </v:group>
            <v:group style="position:absolute;left:4312;top:3290;width:4874;height:2" coordorigin="4312,3290" coordsize="4874,2">
              <v:shape style="position:absolute;left:4312;top:3290;width:4874;height:2" coordorigin="4312,3290" coordsize="4874,0" path="m4312,3290l9185,3290e" filled="false" stroked="true" strokeweight=".47998pt" strokecolor="#000000">
                <v:path arrowok="t"/>
              </v:shape>
            </v:group>
            <v:group style="position:absolute;left:9190;top:5;width:2;height:3291" coordorigin="9190,5" coordsize="2,3291">
              <v:shape style="position:absolute;left:9190;top:5;width:2;height:3291" coordorigin="9190,5" coordsize="0,3291" path="m9190,5l9190,3295e" filled="false" stroked="true" strokeweight=".47998pt" strokecolor="#000000">
                <v:path arrowok="t"/>
              </v:shape>
              <v:shape style="position:absolute;left:1978;top:15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568;top:15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58;top:56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募集资金净额</w:t>
                      </w:r>
                    </w:p>
                  </w:txbxContent>
                </v:textbox>
                <w10:wrap type="none"/>
              </v:shape>
              <v:shape style="position:absolute;left:8272;top:567;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32,408.92</w:t>
                      </w:r>
                    </w:p>
                  </w:txbxContent>
                </v:textbox>
                <w10:wrap type="none"/>
              </v:shape>
              <v:shape style="position:absolute;left:118;top:976;width:25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w:t>
                        <w:tab/>
                        <w:t>已累计投入募集资金总额</w:t>
                      </w:r>
                    </w:p>
                  </w:txbxContent>
                </v:textbox>
                <w10:wrap type="none"/>
              </v:shape>
              <v:shape style="position:absolute;left:8272;top:976;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21,845.70</w:t>
                      </w:r>
                    </w:p>
                  </w:txbxContent>
                </v:textbox>
                <w10:wrap type="none"/>
              </v:shape>
              <v:shape style="position:absolute;left:658;top:1386;width:27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其中：以前年度投入募集资金总额</w:t>
                      </w:r>
                    </w:p>
                  </w:txbxContent>
                </v:textbox>
                <w10:wrap type="none"/>
              </v:shape>
              <v:shape style="position:absolute;left:8272;top:1386;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16,080.20</w:t>
                      </w:r>
                    </w:p>
                  </w:txbxContent>
                </v:textbox>
                <w10:wrap type="none"/>
              </v:shape>
              <v:shape style="position:absolute;left:1198;top:1797;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xbxContent>
                </v:textbox>
                <w10:wrap type="none"/>
              </v:shape>
              <v:shape style="position:absolute;left:8362;top:17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5,765.50</w:t>
                      </w:r>
                    </w:p>
                  </w:txbxContent>
                </v:textbox>
                <w10:wrap type="none"/>
              </v:shape>
              <v:shape style="position:absolute;left:118;top:2206;width:306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w:t>
                        <w:tab/>
                        <w:t>报告期末暂时补充流动资金净额</w:t>
                      </w:r>
                    </w:p>
                  </w:txbxContent>
                </v:textbox>
                <w10:wrap type="none"/>
              </v:shape>
              <v:shape style="position:absolute;left:8362;top:220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9,000.00</w:t>
                      </w:r>
                    </w:p>
                  </w:txbxContent>
                </v:textbox>
                <w10:wrap type="none"/>
              </v:shape>
              <v:shape style="position:absolute;left:118;top:2616;width:16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w:t>
                        <w:tab/>
                        <w:t>累计银行利息</w:t>
                      </w:r>
                    </w:p>
                  </w:txbxContent>
                </v:textbox>
                <w10:wrap type="none"/>
              </v:shape>
              <v:shape style="position:absolute;left:8542;top:261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306.45</w:t>
                      </w:r>
                    </w:p>
                  </w:txbxContent>
                </v:textbox>
                <w10:wrap type="none"/>
              </v:shape>
              <v:shape style="position:absolute;left:898;top:3027;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报告期末募集资金专用账户余额</w:t>
                      </w:r>
                    </w:p>
                  </w:txbxContent>
                </v:textbox>
                <w10:wrap type="none"/>
              </v:shape>
              <v:shape style="position:absolute;left:8362;top:30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1,869.67</w:t>
                      </w:r>
                    </w:p>
                  </w:txbxContent>
                </v:textbox>
                <w10:wrap type="none"/>
              </v:shape>
            </v:group>
          </v:group>
        </w:pict>
      </w:r>
      <w:r>
        <w:rPr>
          <w:rFonts w:ascii="宋体" w:hAnsi="宋体" w:cs="宋体" w:eastAsia="宋体" w:hint="default"/>
          <w:position w:val="-65"/>
          <w:sz w:val="20"/>
          <w:szCs w:val="20"/>
        </w:rPr>
      </w:r>
    </w:p>
    <w:p>
      <w:pPr>
        <w:pStyle w:val="BodyText"/>
        <w:spacing w:line="240" w:lineRule="auto" w:before="35"/>
        <w:ind w:left="634" w:right="95"/>
        <w:jc w:val="left"/>
      </w:pPr>
      <w:r>
        <w:rPr/>
        <w:t>（</w:t>
      </w:r>
      <w:r>
        <w:rPr>
          <w:rFonts w:ascii="Times New Roman" w:hAnsi="Times New Roman" w:cs="Times New Roman" w:eastAsia="Times New Roman" w:hint="default"/>
        </w:rPr>
        <w:t>3</w:t>
      </w:r>
      <w:r>
        <w:rPr/>
        <w:t>）募集资金存放情况</w:t>
      </w:r>
    </w:p>
    <w:p>
      <w:pPr>
        <w:pStyle w:val="BodyText"/>
        <w:spacing w:line="240" w:lineRule="auto" w:before="67"/>
        <w:ind w:left="633" w:right="95"/>
        <w:jc w:val="left"/>
      </w:pPr>
      <w:r>
        <w:rPr/>
        <w:t>截止</w:t>
      </w:r>
      <w:r>
        <w:rPr>
          <w:spacing w:val="-56"/>
        </w:rPr>
        <w:t> </w:t>
      </w: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日，公司累计使用募集资金总额为</w:t>
      </w:r>
      <w:r>
        <w:rPr>
          <w:spacing w:val="-56"/>
        </w:rPr>
        <w:t> </w:t>
      </w:r>
      <w:r>
        <w:rPr/>
        <w:t>21845.70</w:t>
      </w:r>
      <w:r>
        <w:rPr>
          <w:spacing w:val="-56"/>
        </w:rPr>
        <w:t> </w:t>
      </w:r>
      <w:r>
        <w:rPr/>
        <w:t>万元，募集资金余额</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304" w:lineRule="auto" w:before="190"/>
        <w:ind w:left="294" w:right="311"/>
        <w:jc w:val="both"/>
      </w:pPr>
      <w:r>
        <w:rPr/>
        <w:t>1869.67</w:t>
      </w:r>
      <w:r>
        <w:rPr>
          <w:spacing w:val="-68"/>
        </w:rPr>
        <w:t> </w:t>
      </w:r>
      <w:r>
        <w:rPr/>
        <w:t>万元（含累计银行利息</w:t>
      </w:r>
      <w:r>
        <w:rPr>
          <w:spacing w:val="-68"/>
        </w:rPr>
        <w:t> </w:t>
      </w:r>
      <w:r>
        <w:rPr/>
        <w:t>306.45</w:t>
      </w:r>
      <w:r>
        <w:rPr>
          <w:spacing w:val="-68"/>
        </w:rPr>
        <w:t> </w:t>
      </w:r>
      <w:r>
        <w:rPr/>
        <w:t>万元）全额存放于公司在兴业银行股份有限公司深圳</w:t>
      </w:r>
      <w:r>
        <w:rPr/>
        <w:t> 南山支行开设的唯一募集资金专用账户（账号为</w:t>
      </w:r>
      <w:r>
        <w:rPr>
          <w:spacing w:val="-60"/>
        </w:rPr>
        <w:t> </w:t>
      </w:r>
      <w:r>
        <w:rPr>
          <w:spacing w:val="-6"/>
        </w:rPr>
        <w:t>337120100100084460）。</w:t>
      </w:r>
    </w:p>
    <w:p>
      <w:pPr>
        <w:pStyle w:val="BodyText"/>
        <w:spacing w:line="240" w:lineRule="auto" w:before="22"/>
        <w:ind w:left="773" w:right="0"/>
        <w:jc w:val="left"/>
      </w:pPr>
      <w:r>
        <w:rPr/>
        <w:t>（4）募集资金管理情况</w:t>
      </w:r>
    </w:p>
    <w:p>
      <w:pPr>
        <w:pStyle w:val="BodyText"/>
        <w:spacing w:line="304" w:lineRule="auto" w:before="85"/>
        <w:ind w:left="293" w:right="309" w:firstLine="480"/>
        <w:jc w:val="both"/>
      </w:pPr>
      <w:r>
        <w:rPr/>
        <w:t>根据中国证监会证监公司字［2007］25</w:t>
      </w:r>
      <w:r>
        <w:rPr>
          <w:spacing w:val="-80"/>
        </w:rPr>
        <w:t> </w:t>
      </w:r>
      <w:r>
        <w:rPr/>
        <w:t>号《关于进一步规范上市公司募集资金使用的通</w:t>
      </w:r>
      <w:r>
        <w:rPr/>
        <w:t> </w:t>
      </w:r>
      <w:r>
        <w:rPr>
          <w:spacing w:val="-3"/>
        </w:rPr>
        <w:t>知》和深圳证券交易所《中小企业板上市公司募集资金管理细则》（2007</w:t>
      </w:r>
      <w:r>
        <w:rPr>
          <w:spacing w:val="6"/>
        </w:rPr>
        <w:t> </w:t>
      </w:r>
      <w:r>
        <w:rPr/>
        <w:t>年修订）等有关法</w:t>
      </w:r>
      <w:r>
        <w:rPr/>
        <w:t> </w:t>
      </w:r>
      <w:r>
        <w:rPr>
          <w:spacing w:val="-1"/>
        </w:rPr>
        <w:t>律、法规的规定，经公司第一届董事会第十五次会议提议，2007年7月</w:t>
      </w:r>
      <w:r>
        <w:rPr>
          <w:spacing w:val="-58"/>
        </w:rPr>
        <w:t> </w:t>
      </w:r>
      <w:r>
        <w:rPr/>
        <w:t>13</w:t>
      </w:r>
      <w:r>
        <w:rPr>
          <w:spacing w:val="-58"/>
        </w:rPr>
        <w:t> </w:t>
      </w:r>
      <w:r>
        <w:rPr/>
        <w:t>日召开的公司</w:t>
      </w:r>
      <w:r>
        <w:rPr>
          <w:spacing w:val="-58"/>
        </w:rPr>
        <w:t> </w:t>
      </w:r>
      <w:r>
        <w:rPr/>
        <w:t>2007</w:t>
      </w:r>
      <w:r>
        <w:rPr/>
        <w:t> </w:t>
      </w:r>
      <w:r>
        <w:rPr>
          <w:spacing w:val="-4"/>
        </w:rPr>
        <w:t>年度第一次临时股东大会审议通过了修订后的《募集资金管理办法》。</w:t>
      </w:r>
    </w:p>
    <w:p>
      <w:pPr>
        <w:pStyle w:val="BodyText"/>
        <w:spacing w:line="240" w:lineRule="auto"/>
        <w:ind w:left="773" w:right="0"/>
        <w:jc w:val="left"/>
      </w:pPr>
      <w:r>
        <w:rPr/>
        <w:t>公司于</w:t>
      </w:r>
      <w:r>
        <w:rPr>
          <w:spacing w:val="-74"/>
        </w:rPr>
        <w:t> </w:t>
      </w:r>
      <w:r>
        <w:rPr/>
        <w:t>2007</w:t>
      </w:r>
      <w:r>
        <w:rPr>
          <w:spacing w:val="-74"/>
        </w:rPr>
        <w:t> </w:t>
      </w:r>
      <w:r>
        <w:rPr/>
        <w:t>年</w:t>
      </w:r>
      <w:r>
        <w:rPr>
          <w:spacing w:val="-74"/>
        </w:rPr>
        <w:t> </w:t>
      </w:r>
      <w:r>
        <w:rPr/>
        <w:t>6</w:t>
      </w:r>
      <w:r>
        <w:rPr>
          <w:spacing w:val="-75"/>
        </w:rPr>
        <w:t> </w:t>
      </w:r>
      <w:r>
        <w:rPr/>
        <w:t>月</w:t>
      </w:r>
      <w:r>
        <w:rPr>
          <w:spacing w:val="-74"/>
        </w:rPr>
        <w:t> </w:t>
      </w:r>
      <w:r>
        <w:rPr/>
        <w:t>8</w:t>
      </w:r>
      <w:r>
        <w:rPr>
          <w:spacing w:val="-75"/>
        </w:rPr>
        <w:t> </w:t>
      </w:r>
      <w:r>
        <w:rPr/>
        <w:t>日与兴业银行股份有限公司深圳南山支行及国信证券有限责任公司</w:t>
      </w:r>
    </w:p>
    <w:p>
      <w:pPr>
        <w:pStyle w:val="BodyText"/>
        <w:spacing w:line="304" w:lineRule="auto" w:before="86"/>
        <w:ind w:left="293" w:right="308"/>
        <w:jc w:val="both"/>
      </w:pPr>
      <w:r>
        <w:rPr>
          <w:spacing w:val="-5"/>
        </w:rPr>
        <w:t>（现为国信证券股份有限公司，下同）签订《募集资金三方监管协议》，该协议自签订之日起</w:t>
      </w:r>
      <w:r>
        <w:rPr/>
        <w:t> </w:t>
      </w:r>
      <w:r>
        <w:rPr>
          <w:spacing w:val="-11"/>
        </w:rPr>
        <w:t>生效，于</w:t>
      </w:r>
      <w:r>
        <w:rPr>
          <w:spacing w:val="-67"/>
        </w:rPr>
        <w:t> </w:t>
      </w:r>
      <w:r>
        <w:rPr/>
        <w:t>2009</w:t>
      </w:r>
      <w:r>
        <w:rPr>
          <w:spacing w:val="-67"/>
        </w:rPr>
        <w:t> </w:t>
      </w:r>
      <w:r>
        <w:rPr/>
        <w:t>年</w:t>
      </w:r>
      <w:r>
        <w:rPr>
          <w:spacing w:val="-67"/>
        </w:rPr>
        <w:t> </w:t>
      </w:r>
      <w:r>
        <w:rPr/>
        <w:t>12</w:t>
      </w:r>
      <w:r>
        <w:rPr>
          <w:spacing w:val="-67"/>
        </w:rPr>
        <w:t> </w:t>
      </w:r>
      <w:r>
        <w:rPr/>
        <w:t>月</w:t>
      </w:r>
      <w:r>
        <w:rPr>
          <w:spacing w:val="-67"/>
        </w:rPr>
        <w:t> </w:t>
      </w:r>
      <w:r>
        <w:rPr/>
        <w:t>31</w:t>
      </w:r>
      <w:r>
        <w:rPr>
          <w:spacing w:val="-67"/>
        </w:rPr>
        <w:t> </w:t>
      </w:r>
      <w:r>
        <w:rPr/>
        <w:t>日解除。公司在兴业银行股份有限公司深圳南山支行开设唯一一个</w:t>
      </w:r>
      <w:r>
        <w:rPr/>
        <w:t> 募集资金专项账户，账号为</w:t>
      </w:r>
      <w:r>
        <w:rPr>
          <w:spacing w:val="-79"/>
        </w:rPr>
        <w:t> </w:t>
      </w:r>
      <w:r>
        <w:rPr/>
        <w:t>337120100100084460。国信证券有限责任公司委派保荐代表人任</w:t>
      </w:r>
      <w:r>
        <w:rPr/>
        <w:t> 兆成和凌文昌对该专户募集资金使用情况进行监督。上述《募集资金三方监管协议》与深圳</w:t>
      </w:r>
      <w:r>
        <w:rPr>
          <w:spacing w:val="-83"/>
        </w:rPr>
        <w:t> </w:t>
      </w:r>
      <w:r>
        <w:rPr>
          <w:spacing w:val="-83"/>
        </w:rPr>
      </w:r>
      <w:r>
        <w:rPr>
          <w:spacing w:val="-4"/>
        </w:rPr>
        <w:t>证券交易所《中小企业板上市公司募集资金管理细则》（2008</w:t>
      </w:r>
      <w:r>
        <w:rPr>
          <w:spacing w:val="14"/>
        </w:rPr>
        <w:t> </w:t>
      </w:r>
      <w:r>
        <w:rPr/>
        <w:t>年修订）的范本无重大差异。</w:t>
      </w:r>
      <w:r>
        <w:rPr>
          <w:spacing w:val="-117"/>
        </w:rPr>
        <w:t> </w:t>
      </w:r>
      <w:r>
        <w:rPr>
          <w:spacing w:val="-117"/>
        </w:rPr>
      </w:r>
      <w:r>
        <w:rPr/>
        <w:t>截止报告期末，上述三方协议履行情况良好。</w:t>
      </w:r>
    </w:p>
    <w:p>
      <w:pPr>
        <w:pStyle w:val="BodyText"/>
        <w:spacing w:line="240" w:lineRule="auto" w:before="22"/>
        <w:ind w:left="773" w:right="0"/>
        <w:jc w:val="left"/>
      </w:pPr>
      <w:r>
        <w:rPr/>
        <w:t>（5）本年度募集资金实际使用情况</w:t>
      </w:r>
    </w:p>
    <w:p>
      <w:pPr>
        <w:pStyle w:val="BodyText"/>
        <w:spacing w:line="240" w:lineRule="auto" w:before="85"/>
        <w:ind w:left="773" w:right="0"/>
        <w:jc w:val="left"/>
      </w:pPr>
      <w:r>
        <w:rPr/>
        <w:t>截止报告期末，公司</w:t>
      </w:r>
      <w:r>
        <w:rPr>
          <w:spacing w:val="-60"/>
        </w:rPr>
        <w:t> </w:t>
      </w:r>
      <w:r>
        <w:rPr>
          <w:rFonts w:ascii="Times New Roman" w:hAnsi="Times New Roman" w:cs="Times New Roman" w:eastAsia="Times New Roman" w:hint="default"/>
        </w:rPr>
        <w:t>2008 </w:t>
      </w:r>
      <w:r>
        <w:rPr/>
        <w:t>年度募集资金使用情况如下表：</w:t>
      </w:r>
    </w:p>
    <w:p>
      <w:pPr>
        <w:pStyle w:val="BodyText"/>
        <w:spacing w:line="240" w:lineRule="auto" w:before="29"/>
        <w:ind w:left="0" w:right="311"/>
        <w:jc w:val="right"/>
      </w:pPr>
      <w:r>
        <w:rPr/>
        <w:t>单位</w:t>
      </w:r>
      <w:r>
        <w:rPr>
          <w:spacing w:val="-120"/>
        </w:rPr>
        <w:t>：</w:t>
      </w:r>
      <w:r>
        <w:rPr/>
        <w:t>（人民币）万元</w:t>
      </w:r>
    </w:p>
    <w:p>
      <w:pPr>
        <w:spacing w:line="240" w:lineRule="auto" w:before="1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000"/>
        <w:gridCol w:w="559"/>
        <w:gridCol w:w="636"/>
        <w:gridCol w:w="650"/>
        <w:gridCol w:w="625"/>
        <w:gridCol w:w="649"/>
        <w:gridCol w:w="635"/>
        <w:gridCol w:w="716"/>
        <w:gridCol w:w="587"/>
        <w:gridCol w:w="857"/>
        <w:gridCol w:w="271"/>
        <w:gridCol w:w="780"/>
        <w:gridCol w:w="521"/>
        <w:gridCol w:w="520"/>
      </w:tblGrid>
      <w:tr>
        <w:trPr>
          <w:trHeight w:val="324" w:hRule="exact"/>
        </w:trPr>
        <w:tc>
          <w:tcPr>
            <w:tcW w:w="319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5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25"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0"/>
              <w:ind w:left="1071" w:right="0"/>
              <w:jc w:val="left"/>
              <w:rPr>
                <w:rFonts w:ascii="宋体" w:hAnsi="宋体" w:cs="宋体" w:eastAsia="宋体" w:hint="default"/>
                <w:sz w:val="18"/>
                <w:szCs w:val="18"/>
              </w:rPr>
            </w:pPr>
            <w:r>
              <w:rPr>
                <w:rFonts w:ascii="宋体"/>
                <w:sz w:val="18"/>
              </w:rPr>
              <w:t>32,408.92</w:t>
            </w:r>
          </w:p>
        </w:tc>
        <w:tc>
          <w:tcPr>
            <w:tcW w:w="279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92"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327" w:right="0"/>
              <w:jc w:val="left"/>
              <w:rPr>
                <w:rFonts w:ascii="宋体" w:hAnsi="宋体" w:cs="宋体" w:eastAsia="宋体" w:hint="default"/>
                <w:sz w:val="18"/>
                <w:szCs w:val="18"/>
              </w:rPr>
            </w:pPr>
            <w:r>
              <w:rPr>
                <w:rFonts w:ascii="宋体"/>
                <w:sz w:val="18"/>
              </w:rPr>
              <w:t>5,765.50</w:t>
            </w:r>
          </w:p>
        </w:tc>
      </w:tr>
      <w:tr>
        <w:trPr>
          <w:trHeight w:val="162" w:hRule="exact"/>
        </w:trPr>
        <w:tc>
          <w:tcPr>
            <w:tcW w:w="319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5" w:type="dxa"/>
            <w:gridSpan w:val="3"/>
            <w:vMerge w:val="restart"/>
            <w:tcBorders>
              <w:top w:val="single" w:sz="4" w:space="0" w:color="000000"/>
              <w:left w:val="single" w:sz="13" w:space="0" w:color="DCDCDC"/>
              <w:right w:val="single" w:sz="9" w:space="0" w:color="DCDCDC"/>
            </w:tcBorders>
          </w:tcPr>
          <w:p>
            <w:pPr>
              <w:pStyle w:val="TableParagraph"/>
              <w:spacing w:line="240" w:lineRule="auto" w:before="10"/>
              <w:ind w:left="1161" w:right="0"/>
              <w:jc w:val="left"/>
              <w:rPr>
                <w:rFonts w:ascii="宋体" w:hAnsi="宋体" w:cs="宋体" w:eastAsia="宋体" w:hint="default"/>
                <w:sz w:val="18"/>
                <w:szCs w:val="18"/>
              </w:rPr>
            </w:pPr>
            <w:r>
              <w:rPr>
                <w:rFonts w:ascii="宋体"/>
                <w:sz w:val="18"/>
              </w:rPr>
              <w:t>4,500.00</w:t>
            </w:r>
          </w:p>
        </w:tc>
        <w:tc>
          <w:tcPr>
            <w:tcW w:w="279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92" w:type="dxa"/>
            <w:gridSpan w:val="4"/>
            <w:vMerge w:val="restart"/>
            <w:tcBorders>
              <w:top w:val="single" w:sz="4" w:space="0" w:color="000000"/>
              <w:left w:val="single" w:sz="10" w:space="0" w:color="DCDCDC"/>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2" w:right="0"/>
              <w:jc w:val="left"/>
              <w:rPr>
                <w:rFonts w:ascii="宋体" w:hAnsi="宋体" w:cs="宋体" w:eastAsia="宋体" w:hint="default"/>
                <w:sz w:val="18"/>
                <w:szCs w:val="18"/>
              </w:rPr>
            </w:pPr>
            <w:r>
              <w:rPr>
                <w:rFonts w:ascii="宋体"/>
                <w:sz w:val="18"/>
              </w:rPr>
              <w:t>21,845.70</w:t>
            </w:r>
          </w:p>
        </w:tc>
      </w:tr>
      <w:tr>
        <w:trPr>
          <w:trHeight w:val="161" w:hRule="exact"/>
        </w:trPr>
        <w:tc>
          <w:tcPr>
            <w:tcW w:w="3196" w:type="dxa"/>
            <w:gridSpan w:val="3"/>
            <w:vMerge/>
            <w:tcBorders>
              <w:left w:val="single" w:sz="4" w:space="0" w:color="000000"/>
              <w:bottom w:val="single" w:sz="4" w:space="0" w:color="000000"/>
              <w:right w:val="single" w:sz="4" w:space="0" w:color="000000"/>
            </w:tcBorders>
            <w:shd w:val="clear" w:color="auto" w:fill="DCDCDC"/>
          </w:tcPr>
          <w:p>
            <w:pPr/>
          </w:p>
        </w:tc>
        <w:tc>
          <w:tcPr>
            <w:tcW w:w="1925" w:type="dxa"/>
            <w:gridSpan w:val="3"/>
            <w:vMerge/>
            <w:tcBorders>
              <w:left w:val="single" w:sz="13" w:space="0" w:color="DCDCDC"/>
              <w:bottom w:val="single" w:sz="4" w:space="0" w:color="000000"/>
              <w:right w:val="single" w:sz="9" w:space="0" w:color="DCDCDC"/>
            </w:tcBorders>
          </w:tcPr>
          <w:p>
            <w:pPr/>
          </w:p>
        </w:tc>
        <w:tc>
          <w:tcPr>
            <w:tcW w:w="279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92" w:type="dxa"/>
            <w:gridSpan w:val="4"/>
            <w:vMerge/>
            <w:tcBorders>
              <w:left w:val="single" w:sz="10" w:space="0" w:color="DCDCDC"/>
              <w:right w:val="single" w:sz="4" w:space="0" w:color="000000"/>
            </w:tcBorders>
          </w:tcPr>
          <w:p>
            <w:pPr/>
          </w:p>
        </w:tc>
      </w:tr>
      <w:tr>
        <w:trPr>
          <w:trHeight w:val="152" w:hRule="exact"/>
        </w:trPr>
        <w:tc>
          <w:tcPr>
            <w:tcW w:w="319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5" w:type="dxa"/>
            <w:gridSpan w:val="3"/>
            <w:vMerge w:val="restart"/>
            <w:tcBorders>
              <w:top w:val="single" w:sz="4" w:space="0" w:color="000000"/>
              <w:left w:val="single" w:sz="13" w:space="0" w:color="DCDCDC"/>
              <w:right w:val="single" w:sz="9" w:space="0" w:color="DCDCDC"/>
            </w:tcBorders>
          </w:tcPr>
          <w:p>
            <w:pPr>
              <w:pStyle w:val="TableParagraph"/>
              <w:spacing w:line="240" w:lineRule="auto" w:before="10"/>
              <w:ind w:right="14"/>
              <w:jc w:val="right"/>
              <w:rPr>
                <w:rFonts w:ascii="宋体" w:hAnsi="宋体" w:cs="宋体" w:eastAsia="宋体" w:hint="default"/>
                <w:sz w:val="18"/>
                <w:szCs w:val="18"/>
              </w:rPr>
            </w:pPr>
            <w:r>
              <w:rPr>
                <w:rFonts w:ascii="宋体"/>
                <w:sz w:val="18"/>
              </w:rPr>
              <w:t>13.89%</w:t>
            </w:r>
          </w:p>
        </w:tc>
        <w:tc>
          <w:tcPr>
            <w:tcW w:w="2796" w:type="dxa"/>
            <w:gridSpan w:val="4"/>
            <w:vMerge/>
            <w:tcBorders>
              <w:left w:val="single" w:sz="4" w:space="0" w:color="000000"/>
              <w:bottom w:val="nil" w:sz="6" w:space="0" w:color="auto"/>
              <w:right w:val="single" w:sz="4" w:space="0" w:color="000000"/>
            </w:tcBorders>
            <w:shd w:val="clear" w:color="auto" w:fill="DCDCDC"/>
          </w:tcPr>
          <w:p>
            <w:pPr/>
          </w:p>
        </w:tc>
        <w:tc>
          <w:tcPr>
            <w:tcW w:w="2092" w:type="dxa"/>
            <w:gridSpan w:val="4"/>
            <w:vMerge/>
            <w:tcBorders>
              <w:left w:val="single" w:sz="10" w:space="0" w:color="DCDCDC"/>
              <w:right w:val="single" w:sz="4" w:space="0" w:color="000000"/>
            </w:tcBorders>
          </w:tcPr>
          <w:p>
            <w:pPr/>
          </w:p>
        </w:tc>
      </w:tr>
      <w:tr>
        <w:trPr>
          <w:trHeight w:val="172" w:hRule="exact"/>
        </w:trPr>
        <w:tc>
          <w:tcPr>
            <w:tcW w:w="3196" w:type="dxa"/>
            <w:gridSpan w:val="3"/>
            <w:vMerge/>
            <w:tcBorders>
              <w:left w:val="single" w:sz="4" w:space="0" w:color="000000"/>
              <w:bottom w:val="single" w:sz="4" w:space="0" w:color="000000"/>
              <w:right w:val="single" w:sz="4" w:space="0" w:color="000000"/>
            </w:tcBorders>
            <w:shd w:val="clear" w:color="auto" w:fill="DCDCDC"/>
          </w:tcPr>
          <w:p>
            <w:pPr/>
          </w:p>
        </w:tc>
        <w:tc>
          <w:tcPr>
            <w:tcW w:w="1925" w:type="dxa"/>
            <w:gridSpan w:val="3"/>
            <w:vMerge/>
            <w:tcBorders>
              <w:left w:val="single" w:sz="13" w:space="0" w:color="DCDCDC"/>
              <w:bottom w:val="single" w:sz="4" w:space="0" w:color="000000"/>
              <w:right w:val="single" w:sz="9" w:space="0" w:color="DCDCDC"/>
            </w:tcBorders>
          </w:tcPr>
          <w:p>
            <w:pPr/>
          </w:p>
        </w:tc>
        <w:tc>
          <w:tcPr>
            <w:tcW w:w="279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92" w:type="dxa"/>
            <w:gridSpan w:val="4"/>
            <w:vMerge/>
            <w:tcBorders>
              <w:left w:val="single" w:sz="10" w:space="0" w:color="DCDCDC"/>
              <w:bottom w:val="single" w:sz="4" w:space="0" w:color="000000"/>
              <w:right w:val="single" w:sz="4" w:space="0" w:color="000000"/>
            </w:tcBorders>
          </w:tcPr>
          <w:p>
            <w:pPr/>
          </w:p>
        </w:tc>
      </w:tr>
      <w:tr>
        <w:trPr>
          <w:trHeight w:val="239" w:hRule="exact"/>
        </w:trPr>
        <w:tc>
          <w:tcPr>
            <w:tcW w:w="200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
        </w:tc>
        <w:tc>
          <w:tcPr>
            <w:tcW w:w="636" w:type="dxa"/>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625" w:type="dxa"/>
            <w:vMerge w:val="restart"/>
            <w:tcBorders>
              <w:top w:val="single" w:sz="4" w:space="0" w:color="000000"/>
              <w:left w:val="single" w:sz="4" w:space="0" w:color="000000"/>
              <w:right w:val="single" w:sz="4" w:space="0" w:color="000000"/>
            </w:tcBorders>
            <w:shd w:val="clear" w:color="auto" w:fill="DCDCDC"/>
          </w:tcPr>
          <w:p>
            <w:pPr/>
          </w:p>
        </w:tc>
        <w:tc>
          <w:tcPr>
            <w:tcW w:w="649" w:type="dxa"/>
            <w:vMerge w:val="restart"/>
            <w:tcBorders>
              <w:top w:val="single" w:sz="4" w:space="0" w:color="000000"/>
              <w:left w:val="single" w:sz="4" w:space="0" w:color="000000"/>
              <w:right w:val="single" w:sz="4" w:space="0" w:color="000000"/>
            </w:tcBorders>
            <w:shd w:val="clear" w:color="auto" w:fill="DCDCDC"/>
          </w:tcPr>
          <w:p>
            <w:pP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7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31" w:right="44" w:firstLine="45"/>
              <w:jc w:val="both"/>
              <w:rPr>
                <w:rFonts w:ascii="宋体" w:hAnsi="宋体" w:cs="宋体" w:eastAsia="宋体" w:hint="default"/>
                <w:sz w:val="18"/>
                <w:szCs w:val="18"/>
              </w:rPr>
            </w:pPr>
            <w:r>
              <w:rPr>
                <w:rFonts w:ascii="宋体" w:hAnsi="宋体" w:cs="宋体" w:eastAsia="宋体" w:hint="default"/>
                <w:sz w:val="18"/>
                <w:szCs w:val="18"/>
              </w:rPr>
              <w:t>截至期 末累计 投入金 额与承 诺投入 金额的 差额(3)</w:t>
            </w:r>
          </w:p>
          <w:p>
            <w:pPr>
              <w:pStyle w:val="TableParagraph"/>
              <w:spacing w:line="240" w:lineRule="auto"/>
              <w:ind w:left="31" w:right="44" w:firstLine="225"/>
              <w:jc w:val="left"/>
              <w:rPr>
                <w:rFonts w:ascii="宋体" w:hAnsi="宋体" w:cs="宋体" w:eastAsia="宋体" w:hint="default"/>
                <w:sz w:val="18"/>
                <w:szCs w:val="18"/>
              </w:rPr>
            </w:pPr>
            <w:r>
              <w:rPr>
                <w:rFonts w:ascii="宋体" w:hAnsi="宋体" w:cs="宋体" w:eastAsia="宋体" w:hint="default"/>
                <w:sz w:val="18"/>
                <w:szCs w:val="18"/>
              </w:rPr>
              <w:t>＝ (2)-(1)</w:t>
            </w:r>
          </w:p>
        </w:tc>
        <w:tc>
          <w:tcPr>
            <w:tcW w:w="5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9"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6"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24" w:right="10"/>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before="1"/>
              <w:ind w:left="24" w:right="10" w:firstLine="44"/>
              <w:jc w:val="both"/>
              <w:rPr>
                <w:rFonts w:ascii="宋体" w:hAnsi="宋体" w:cs="宋体" w:eastAsia="宋体" w:hint="default"/>
                <w:sz w:val="18"/>
                <w:szCs w:val="18"/>
              </w:rPr>
            </w:pPr>
            <w:r>
              <w:rPr>
                <w:rFonts w:ascii="宋体" w:hAnsi="宋体" w:cs="宋体" w:eastAsia="宋体" w:hint="default"/>
                <w:sz w:val="18"/>
                <w:szCs w:val="18"/>
              </w:rPr>
              <w:t>（%） (4)＝ (2)/(1</w:t>
            </w:r>
          </w:p>
          <w:p>
            <w:pPr>
              <w:pStyle w:val="TableParagraph"/>
              <w:spacing w:line="233" w:lineRule="exact"/>
              <w:ind w:left="10" w:right="0"/>
              <w:jc w:val="center"/>
              <w:rPr>
                <w:rFonts w:ascii="宋体" w:hAnsi="宋体" w:cs="宋体" w:eastAsia="宋体" w:hint="default"/>
                <w:sz w:val="18"/>
                <w:szCs w:val="18"/>
              </w:rPr>
            </w:pPr>
            <w:r>
              <w:rPr>
                <w:rFonts w:ascii="宋体"/>
                <w:sz w:val="18"/>
              </w:rPr>
              <w:t>)</w:t>
            </w: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74"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32" w:hRule="exact"/>
        </w:trPr>
        <w:tc>
          <w:tcPr>
            <w:tcW w:w="2000" w:type="dxa"/>
            <w:vMerge/>
            <w:tcBorders>
              <w:left w:val="single" w:sz="4" w:space="0" w:color="000000"/>
              <w:right w:val="single" w:sz="4" w:space="0" w:color="000000"/>
            </w:tcBorders>
            <w:shd w:val="clear" w:color="auto" w:fill="DCDCDC"/>
          </w:tcPr>
          <w:p>
            <w:pPr/>
          </w:p>
        </w:tc>
        <w:tc>
          <w:tcPr>
            <w:tcW w:w="55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22" w:right="-14"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6" w:type="dxa"/>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8"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3" w:right="4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50" w:type="dxa"/>
            <w:vMerge/>
            <w:tcBorders>
              <w:left w:val="single" w:sz="4" w:space="0" w:color="000000"/>
              <w:bottom w:val="nil" w:sz="6" w:space="0" w:color="auto"/>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3" w:right="30"/>
              <w:jc w:val="both"/>
              <w:rPr>
                <w:rFonts w:ascii="宋体" w:hAnsi="宋体" w:cs="宋体" w:eastAsia="宋体" w:hint="default"/>
                <w:sz w:val="18"/>
                <w:szCs w:val="18"/>
              </w:rPr>
            </w:pPr>
            <w:r>
              <w:rPr>
                <w:rFonts w:ascii="宋体" w:hAnsi="宋体" w:cs="宋体" w:eastAsia="宋体" w:hint="default"/>
                <w:sz w:val="18"/>
                <w:szCs w:val="18"/>
              </w:rPr>
              <w:t>截至期 末承诺 投入金 额(1)</w:t>
            </w:r>
          </w:p>
        </w:tc>
        <w:tc>
          <w:tcPr>
            <w:tcW w:w="649" w:type="dxa"/>
            <w:vMerge/>
            <w:tcBorders>
              <w:left w:val="single" w:sz="4" w:space="0" w:color="000000"/>
              <w:bottom w:val="nil" w:sz="6" w:space="0" w:color="auto"/>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5" w:right="47"/>
              <w:jc w:val="both"/>
              <w:rPr>
                <w:rFonts w:ascii="宋体" w:hAnsi="宋体" w:cs="宋体" w:eastAsia="宋体" w:hint="default"/>
                <w:sz w:val="18"/>
                <w:szCs w:val="18"/>
              </w:rPr>
            </w:pPr>
            <w:r>
              <w:rPr>
                <w:rFonts w:ascii="宋体" w:hAnsi="宋体" w:cs="宋体" w:eastAsia="宋体" w:hint="default"/>
                <w:sz w:val="18"/>
                <w:szCs w:val="18"/>
              </w:rPr>
              <w:t>截至期 末累计 投入金 额(2)</w:t>
            </w: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75"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0" w:right="48"/>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25" w:type="dxa"/>
            <w:vMerge/>
            <w:tcBorders>
              <w:left w:val="single" w:sz="4" w:space="0" w:color="000000"/>
              <w:right w:val="single" w:sz="4" w:space="0" w:color="000000"/>
            </w:tcBorders>
            <w:shd w:val="clear" w:color="auto" w:fill="DCDCDC"/>
          </w:tcPr>
          <w:p>
            <w:pPr/>
          </w:p>
        </w:tc>
        <w:tc>
          <w:tcPr>
            <w:tcW w:w="64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5" w:right="4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114"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200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5" w:right="23"/>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314"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8" w:hRule="exact"/>
        </w:trPr>
        <w:tc>
          <w:tcPr>
            <w:tcW w:w="200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49" w:type="dxa"/>
            <w:vMerge w:val="restart"/>
            <w:tcBorders>
              <w:top w:val="nil" w:sz="6" w:space="0" w:color="auto"/>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34" w:hRule="exact"/>
        </w:trPr>
        <w:tc>
          <w:tcPr>
            <w:tcW w:w="200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2000" w:type="dxa"/>
            <w:vMerge/>
            <w:tcBorders>
              <w:left w:val="single" w:sz="4" w:space="0" w:color="000000"/>
              <w:right w:val="single" w:sz="4" w:space="0" w:color="000000"/>
            </w:tcBorders>
            <w:shd w:val="clear" w:color="auto" w:fill="DCDCDC"/>
          </w:tcPr>
          <w:p>
            <w:pPr/>
          </w:p>
        </w:tc>
        <w:tc>
          <w:tcPr>
            <w:tcW w:w="559" w:type="dxa"/>
            <w:vMerge w:val="restart"/>
            <w:tcBorders>
              <w:top w:val="nil" w:sz="6" w:space="0" w:color="auto"/>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4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29"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r>
      <w:tr>
        <w:trPr>
          <w:trHeight w:val="239" w:hRule="exact"/>
        </w:trPr>
        <w:tc>
          <w:tcPr>
            <w:tcW w:w="2000"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6" w:type="dxa"/>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49"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716"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9"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c>
          <w:tcPr>
            <w:tcW w:w="5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万套可录</w:t>
            </w:r>
            <w:r>
              <w:rPr>
                <w:rFonts w:ascii="宋体" w:hAnsi="宋体" w:cs="宋体" w:eastAsia="宋体" w:hint="default"/>
                <w:spacing w:val="-46"/>
                <w:sz w:val="18"/>
                <w:szCs w:val="18"/>
              </w:rPr>
              <w:t> </w:t>
            </w:r>
            <w:r>
              <w:rPr>
                <w:rFonts w:ascii="宋体" w:hAnsi="宋体" w:cs="宋体" w:eastAsia="宋体" w:hint="default"/>
                <w:sz w:val="18"/>
                <w:szCs w:val="18"/>
              </w:rPr>
              <w:t>DVD</w:t>
            </w:r>
            <w:r>
              <w:rPr>
                <w:rFonts w:ascii="宋体" w:hAnsi="宋体" w:cs="宋体" w:eastAsia="宋体" w:hint="default"/>
                <w:spacing w:val="-46"/>
                <w:sz w:val="18"/>
                <w:szCs w:val="18"/>
              </w:rPr>
              <w:t> </w:t>
            </w:r>
            <w:r>
              <w:rPr>
                <w:rFonts w:ascii="宋体" w:hAnsi="宋体" w:cs="宋体" w:eastAsia="宋体" w:hint="default"/>
                <w:sz w:val="18"/>
                <w:szCs w:val="18"/>
              </w:rPr>
              <w:t>控</w:t>
            </w:r>
            <w:r>
              <w:rPr>
                <w:rFonts w:ascii="宋体" w:hAnsi="宋体" w:cs="宋体" w:eastAsia="宋体" w:hint="default"/>
                <w:sz w:val="18"/>
                <w:szCs w:val="18"/>
              </w:rPr>
              <w:t> 制板技术改造项目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6,100.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6,100.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0"/>
              <w:jc w:val="right"/>
              <w:rPr>
                <w:rFonts w:ascii="宋体" w:hAnsi="宋体" w:cs="宋体" w:eastAsia="宋体" w:hint="default"/>
                <w:sz w:val="18"/>
                <w:szCs w:val="18"/>
              </w:rPr>
            </w:pPr>
            <w:r>
              <w:rPr>
                <w:rFonts w:ascii="宋体"/>
                <w:sz w:val="18"/>
              </w:rPr>
              <w:t>6,100.</w:t>
            </w:r>
          </w:p>
          <w:p>
            <w:pPr>
              <w:pStyle w:val="TableParagraph"/>
              <w:spacing w:line="235" w:lineRule="exact"/>
              <w:ind w:right="10"/>
              <w:jc w:val="righ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500.00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50" w:right="0"/>
              <w:jc w:val="left"/>
              <w:rPr>
                <w:rFonts w:ascii="宋体" w:hAnsi="宋体" w:cs="宋体" w:eastAsia="宋体" w:hint="default"/>
                <w:sz w:val="18"/>
                <w:szCs w:val="18"/>
              </w:rPr>
            </w:pPr>
            <w:r>
              <w:rPr>
                <w:rFonts w:ascii="宋体"/>
                <w:sz w:val="18"/>
              </w:rPr>
              <w:t>5,047.</w:t>
            </w:r>
          </w:p>
          <w:p>
            <w:pPr>
              <w:pStyle w:val="TableParagraph"/>
              <w:spacing w:line="235" w:lineRule="exact"/>
              <w:ind w:left="410" w:right="0"/>
              <w:jc w:val="left"/>
              <w:rPr>
                <w:rFonts w:ascii="宋体" w:hAnsi="宋体" w:cs="宋体" w:eastAsia="宋体" w:hint="default"/>
                <w:sz w:val="18"/>
                <w:szCs w:val="18"/>
              </w:rPr>
            </w:pPr>
            <w:r>
              <w:rPr>
                <w:rFonts w:ascii="宋体"/>
                <w:sz w:val="18"/>
              </w:rPr>
              <w:t>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1"/>
              <w:jc w:val="right"/>
              <w:rPr>
                <w:rFonts w:ascii="宋体" w:hAnsi="宋体" w:cs="宋体" w:eastAsia="宋体" w:hint="default"/>
                <w:sz w:val="18"/>
                <w:szCs w:val="18"/>
              </w:rPr>
            </w:pPr>
            <w:r>
              <w:rPr>
                <w:rFonts w:ascii="宋体"/>
                <w:sz w:val="18"/>
              </w:rPr>
              <w:t>-1,052.</w:t>
            </w:r>
          </w:p>
          <w:p>
            <w:pPr>
              <w:pStyle w:val="TableParagraph"/>
              <w:spacing w:line="235" w:lineRule="exact"/>
              <w:ind w:right="21"/>
              <w:jc w:val="right"/>
              <w:rPr>
                <w:rFonts w:ascii="宋体" w:hAnsi="宋体" w:cs="宋体" w:eastAsia="宋体" w:hint="default"/>
                <w:sz w:val="18"/>
                <w:szCs w:val="18"/>
              </w:rPr>
            </w:pPr>
            <w:r>
              <w:rPr>
                <w:rFonts w:ascii="宋体"/>
                <w:sz w:val="18"/>
              </w:rPr>
              <w:t>60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宋体" w:hAnsi="宋体" w:cs="宋体" w:eastAsia="宋体" w:hint="default"/>
                <w:sz w:val="18"/>
                <w:szCs w:val="18"/>
              </w:rPr>
            </w:pPr>
            <w:r>
              <w:rPr>
                <w:rFonts w:ascii="宋体"/>
                <w:sz w:val="18"/>
              </w:rPr>
              <w:t>82.74%</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34"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01月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3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386.02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宋体" w:hAnsi="宋体" w:cs="宋体" w:eastAsia="宋体" w:hint="default"/>
                <w:sz w:val="18"/>
                <w:szCs w:val="18"/>
              </w:rPr>
              <w:t>120</w:t>
            </w:r>
            <w:r>
              <w:rPr>
                <w:rFonts w:ascii="宋体" w:hAnsi="宋体" w:cs="宋体" w:eastAsia="宋体" w:hint="default"/>
                <w:spacing w:val="-63"/>
                <w:sz w:val="18"/>
                <w:szCs w:val="18"/>
              </w:rPr>
              <w:t> </w:t>
            </w:r>
            <w:r>
              <w:rPr>
                <w:rFonts w:ascii="宋体" w:hAnsi="宋体" w:cs="宋体" w:eastAsia="宋体" w:hint="default"/>
                <w:sz w:val="18"/>
                <w:szCs w:val="18"/>
              </w:rPr>
              <w:t>万套家庭影院控</w:t>
            </w:r>
            <w:r>
              <w:rPr>
                <w:rFonts w:ascii="宋体" w:hAnsi="宋体" w:cs="宋体" w:eastAsia="宋体" w:hint="default"/>
                <w:sz w:val="18"/>
                <w:szCs w:val="18"/>
              </w:rPr>
              <w:t> 制板改造项目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5,630.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5,630.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0"/>
              <w:jc w:val="right"/>
              <w:rPr>
                <w:rFonts w:ascii="宋体" w:hAnsi="宋体" w:cs="宋体" w:eastAsia="宋体" w:hint="default"/>
                <w:sz w:val="18"/>
                <w:szCs w:val="18"/>
              </w:rPr>
            </w:pPr>
            <w:r>
              <w:rPr>
                <w:rFonts w:ascii="宋体"/>
                <w:sz w:val="18"/>
              </w:rPr>
              <w:t>5,630.</w:t>
            </w:r>
          </w:p>
          <w:p>
            <w:pPr>
              <w:pStyle w:val="TableParagraph"/>
              <w:spacing w:line="235" w:lineRule="exact"/>
              <w:ind w:right="10"/>
              <w:jc w:val="righ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497.00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50" w:right="0"/>
              <w:jc w:val="left"/>
              <w:rPr>
                <w:rFonts w:ascii="宋体" w:hAnsi="宋体" w:cs="宋体" w:eastAsia="宋体" w:hint="default"/>
                <w:sz w:val="18"/>
                <w:szCs w:val="18"/>
              </w:rPr>
            </w:pPr>
            <w:r>
              <w:rPr>
                <w:rFonts w:ascii="宋体"/>
                <w:sz w:val="18"/>
              </w:rPr>
              <w:t>4,280.</w:t>
            </w:r>
          </w:p>
          <w:p>
            <w:pPr>
              <w:pStyle w:val="TableParagraph"/>
              <w:spacing w:line="235" w:lineRule="exact"/>
              <w:ind w:left="410" w:right="0"/>
              <w:jc w:val="left"/>
              <w:rPr>
                <w:rFonts w:ascii="宋体" w:hAnsi="宋体" w:cs="宋体" w:eastAsia="宋体" w:hint="default"/>
                <w:sz w:val="18"/>
                <w:szCs w:val="18"/>
              </w:rPr>
            </w:pPr>
            <w:r>
              <w:rPr>
                <w:rFonts w:ascii="宋体"/>
                <w:sz w:val="18"/>
              </w:rPr>
              <w:t>88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1"/>
              <w:jc w:val="right"/>
              <w:rPr>
                <w:rFonts w:ascii="宋体" w:hAnsi="宋体" w:cs="宋体" w:eastAsia="宋体" w:hint="default"/>
                <w:sz w:val="18"/>
                <w:szCs w:val="18"/>
              </w:rPr>
            </w:pPr>
            <w:r>
              <w:rPr>
                <w:rFonts w:ascii="宋体"/>
                <w:sz w:val="18"/>
              </w:rPr>
              <w:t>-1,349.</w:t>
            </w:r>
          </w:p>
          <w:p>
            <w:pPr>
              <w:pStyle w:val="TableParagraph"/>
              <w:spacing w:line="235" w:lineRule="exact"/>
              <w:ind w:right="21"/>
              <w:jc w:val="right"/>
              <w:rPr>
                <w:rFonts w:ascii="宋体" w:hAnsi="宋体" w:cs="宋体" w:eastAsia="宋体" w:hint="default"/>
                <w:sz w:val="18"/>
                <w:szCs w:val="18"/>
              </w:rPr>
            </w:pPr>
            <w:r>
              <w:rPr>
                <w:rFonts w:ascii="宋体"/>
                <w:sz w:val="18"/>
              </w:rPr>
              <w:t>12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宋体" w:hAnsi="宋体" w:cs="宋体" w:eastAsia="宋体" w:hint="default"/>
                <w:sz w:val="18"/>
                <w:szCs w:val="18"/>
              </w:rPr>
            </w:pPr>
            <w:r>
              <w:rPr>
                <w:rFonts w:ascii="宋体"/>
                <w:sz w:val="18"/>
              </w:rPr>
              <w:t>76.04%</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34"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01月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3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536.73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万台（套）机顶</w:t>
            </w:r>
            <w:r>
              <w:rPr>
                <w:rFonts w:ascii="宋体" w:hAnsi="宋体" w:cs="宋体" w:eastAsia="宋体" w:hint="default"/>
                <w:sz w:val="18"/>
                <w:szCs w:val="18"/>
              </w:rPr>
              <w:t> 盒及播放器技术改造项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right="20"/>
              <w:jc w:val="right"/>
              <w:rPr>
                <w:rFonts w:ascii="宋体" w:hAnsi="宋体" w:cs="宋体" w:eastAsia="宋体" w:hint="default"/>
                <w:sz w:val="18"/>
                <w:szCs w:val="18"/>
              </w:rPr>
            </w:pPr>
            <w:r>
              <w:rPr>
                <w:rFonts w:ascii="宋体"/>
                <w:sz w:val="18"/>
              </w:rPr>
              <w:t>2,900.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right="20"/>
              <w:jc w:val="right"/>
              <w:rPr>
                <w:rFonts w:ascii="宋体" w:hAnsi="宋体" w:cs="宋体" w:eastAsia="宋体" w:hint="default"/>
                <w:sz w:val="18"/>
                <w:szCs w:val="18"/>
              </w:rPr>
            </w:pPr>
            <w:r>
              <w:rPr>
                <w:rFonts w:ascii="宋体"/>
                <w:sz w:val="18"/>
              </w:rPr>
              <w:t>2,900.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right="10"/>
              <w:jc w:val="right"/>
              <w:rPr>
                <w:rFonts w:ascii="宋体" w:hAnsi="宋体" w:cs="宋体" w:eastAsia="宋体" w:hint="default"/>
                <w:sz w:val="18"/>
                <w:szCs w:val="18"/>
              </w:rPr>
            </w:pPr>
            <w:r>
              <w:rPr>
                <w:rFonts w:ascii="宋体"/>
                <w:sz w:val="18"/>
              </w:rPr>
              <w:t>2,900.</w:t>
            </w:r>
          </w:p>
          <w:p>
            <w:pPr>
              <w:pStyle w:val="TableParagraph"/>
              <w:spacing w:line="235" w:lineRule="exact"/>
              <w:ind w:right="10"/>
              <w:jc w:val="righ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300.00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18"/>
                <w:szCs w:val="18"/>
              </w:rPr>
            </w:pPr>
            <w:r>
              <w:rPr>
                <w:rFonts w:ascii="宋体"/>
                <w:sz w:val="18"/>
              </w:rPr>
              <w:t>900.00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right="21"/>
              <w:jc w:val="right"/>
              <w:rPr>
                <w:rFonts w:ascii="宋体" w:hAnsi="宋体" w:cs="宋体" w:eastAsia="宋体" w:hint="default"/>
                <w:sz w:val="18"/>
                <w:szCs w:val="18"/>
              </w:rPr>
            </w:pPr>
            <w:r>
              <w:rPr>
                <w:rFonts w:ascii="宋体"/>
                <w:sz w:val="18"/>
              </w:rPr>
              <w:t>-2,000.</w:t>
            </w:r>
          </w:p>
          <w:p>
            <w:pPr>
              <w:pStyle w:val="TableParagraph"/>
              <w:spacing w:line="235" w:lineRule="exact"/>
              <w:ind w:right="21"/>
              <w:jc w:val="right"/>
              <w:rPr>
                <w:rFonts w:ascii="宋体" w:hAnsi="宋体" w:cs="宋体" w:eastAsia="宋体" w:hint="default"/>
                <w:sz w:val="18"/>
                <w:szCs w:val="18"/>
              </w:rPr>
            </w:pPr>
            <w:r>
              <w:rPr>
                <w:rFonts w:ascii="宋体"/>
                <w:sz w:val="18"/>
              </w:rPr>
              <w:t>00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sz w:val="18"/>
              </w:rPr>
              <w:t>31.03%</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left="34"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01月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3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306.54</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宋体" w:hAnsi="宋体" w:cs="宋体" w:eastAsia="宋体" w:hint="default"/>
                <w:sz w:val="18"/>
                <w:szCs w:val="18"/>
              </w:rPr>
              <w:t>500</w:t>
            </w:r>
            <w:r>
              <w:rPr>
                <w:rFonts w:ascii="宋体" w:hAnsi="宋体" w:cs="宋体" w:eastAsia="宋体" w:hint="default"/>
                <w:spacing w:val="-63"/>
                <w:sz w:val="18"/>
                <w:szCs w:val="18"/>
              </w:rPr>
              <w:t> </w:t>
            </w:r>
            <w:r>
              <w:rPr>
                <w:rFonts w:ascii="宋体" w:hAnsi="宋体" w:cs="宋体" w:eastAsia="宋体" w:hint="default"/>
                <w:sz w:val="18"/>
                <w:szCs w:val="18"/>
              </w:rPr>
              <w:t>万件平板电视彩</w:t>
            </w:r>
            <w:r>
              <w:rPr>
                <w:rFonts w:ascii="宋体" w:hAnsi="宋体" w:cs="宋体" w:eastAsia="宋体" w:hint="default"/>
                <w:sz w:val="18"/>
                <w:szCs w:val="18"/>
              </w:rPr>
              <w:t> 光控制板技术改造项目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6,130.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0"/>
              <w:jc w:val="right"/>
              <w:rPr>
                <w:rFonts w:ascii="宋体" w:hAnsi="宋体" w:cs="宋体" w:eastAsia="宋体" w:hint="default"/>
                <w:sz w:val="18"/>
                <w:szCs w:val="18"/>
              </w:rPr>
            </w:pPr>
            <w:r>
              <w:rPr>
                <w:rFonts w:ascii="宋体"/>
                <w:sz w:val="18"/>
              </w:rPr>
              <w:t>6,130.</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10"/>
              <w:jc w:val="right"/>
              <w:rPr>
                <w:rFonts w:ascii="宋体" w:hAnsi="宋体" w:cs="宋体" w:eastAsia="宋体" w:hint="default"/>
                <w:sz w:val="18"/>
                <w:szCs w:val="18"/>
              </w:rPr>
            </w:pPr>
            <w:r>
              <w:rPr>
                <w:rFonts w:ascii="宋体"/>
                <w:sz w:val="18"/>
              </w:rPr>
              <w:t>6,130.</w:t>
            </w:r>
          </w:p>
          <w:p>
            <w:pPr>
              <w:pStyle w:val="TableParagraph"/>
              <w:spacing w:line="235" w:lineRule="exact"/>
              <w:ind w:right="10"/>
              <w:jc w:val="righ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3"/>
              <w:jc w:val="right"/>
              <w:rPr>
                <w:rFonts w:ascii="宋体" w:hAnsi="宋体" w:cs="宋体" w:eastAsia="宋体" w:hint="default"/>
                <w:sz w:val="18"/>
                <w:szCs w:val="18"/>
              </w:rPr>
            </w:pPr>
            <w:r>
              <w:rPr>
                <w:rFonts w:ascii="宋体"/>
                <w:sz w:val="18"/>
              </w:rPr>
              <w:t>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right="21"/>
              <w:jc w:val="right"/>
              <w:rPr>
                <w:rFonts w:ascii="宋体" w:hAnsi="宋体" w:cs="宋体" w:eastAsia="宋体" w:hint="default"/>
                <w:sz w:val="18"/>
                <w:szCs w:val="18"/>
              </w:rPr>
            </w:pPr>
            <w:r>
              <w:rPr>
                <w:rFonts w:ascii="宋体"/>
                <w:sz w:val="18"/>
              </w:rPr>
              <w:t>-6,130.</w:t>
            </w:r>
          </w:p>
          <w:p>
            <w:pPr>
              <w:pStyle w:val="TableParagraph"/>
              <w:spacing w:line="235" w:lineRule="exact"/>
              <w:ind w:right="21"/>
              <w:jc w:val="right"/>
              <w:rPr>
                <w:rFonts w:ascii="宋体" w:hAnsi="宋体" w:cs="宋体" w:eastAsia="宋体" w:hint="default"/>
                <w:sz w:val="18"/>
                <w:szCs w:val="18"/>
              </w:rPr>
            </w:pPr>
            <w:r>
              <w:rPr>
                <w:rFonts w:ascii="宋体"/>
                <w:sz w:val="18"/>
              </w:rPr>
              <w:t>00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4" w:right="0"/>
              <w:jc w:val="center"/>
              <w:rPr>
                <w:rFonts w:ascii="宋体" w:hAnsi="宋体" w:cs="宋体" w:eastAsia="宋体" w:hint="default"/>
                <w:sz w:val="18"/>
                <w:szCs w:val="18"/>
              </w:rPr>
            </w:pPr>
            <w:r>
              <w:rPr>
                <w:rFonts w:ascii="宋体"/>
                <w:sz w:val="18"/>
              </w:rPr>
              <w:t>0.00%</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34"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3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宋体" w:hAnsi="宋体" w:cs="宋体" w:eastAsia="宋体" w:hint="default"/>
                <w:sz w:val="18"/>
                <w:szCs w:val="18"/>
              </w:rPr>
              <w:t>100</w:t>
            </w:r>
            <w:r>
              <w:rPr>
                <w:rFonts w:ascii="宋体" w:hAnsi="宋体" w:cs="宋体" w:eastAsia="宋体" w:hint="default"/>
                <w:spacing w:val="-63"/>
                <w:sz w:val="18"/>
                <w:szCs w:val="18"/>
              </w:rPr>
              <w:t> </w:t>
            </w:r>
            <w:r>
              <w:rPr>
                <w:rFonts w:ascii="宋体" w:hAnsi="宋体" w:cs="宋体" w:eastAsia="宋体" w:hint="default"/>
                <w:sz w:val="18"/>
                <w:szCs w:val="18"/>
              </w:rPr>
              <w:t>万套背光产品控</w:t>
            </w:r>
            <w:r>
              <w:rPr>
                <w:rFonts w:ascii="宋体" w:hAnsi="宋体" w:cs="宋体" w:eastAsia="宋体" w:hint="default"/>
                <w:sz w:val="18"/>
                <w:szCs w:val="18"/>
              </w:rPr>
              <w:t> 制板</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right="20"/>
              <w:jc w:val="right"/>
              <w:rPr>
                <w:rFonts w:ascii="宋体" w:hAnsi="宋体" w:cs="宋体" w:eastAsia="宋体" w:hint="default"/>
                <w:sz w:val="18"/>
                <w:szCs w:val="18"/>
              </w:rPr>
            </w:pPr>
            <w:r>
              <w:rPr>
                <w:rFonts w:ascii="宋体"/>
                <w:sz w:val="18"/>
              </w:rPr>
              <w:t>4,500.</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right="20"/>
              <w:jc w:val="right"/>
              <w:rPr>
                <w:rFonts w:ascii="宋体" w:hAnsi="宋体" w:cs="宋体" w:eastAsia="宋体" w:hint="default"/>
                <w:sz w:val="18"/>
                <w:szCs w:val="18"/>
              </w:rPr>
            </w:pPr>
            <w:r>
              <w:rPr>
                <w:rFonts w:ascii="宋体"/>
                <w:sz w:val="18"/>
              </w:rPr>
              <w:t>4,500.</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right="10"/>
              <w:jc w:val="right"/>
              <w:rPr>
                <w:rFonts w:ascii="宋体" w:hAnsi="宋体" w:cs="宋体" w:eastAsia="宋体" w:hint="default"/>
                <w:sz w:val="18"/>
                <w:szCs w:val="18"/>
              </w:rPr>
            </w:pPr>
            <w:r>
              <w:rPr>
                <w:rFonts w:ascii="宋体"/>
                <w:sz w:val="18"/>
              </w:rPr>
              <w:t>4,500.</w:t>
            </w:r>
          </w:p>
          <w:p>
            <w:pPr>
              <w:pStyle w:val="TableParagraph"/>
              <w:spacing w:line="234" w:lineRule="exact"/>
              <w:ind w:right="10"/>
              <w:jc w:val="righ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right="22"/>
              <w:jc w:val="right"/>
              <w:rPr>
                <w:rFonts w:ascii="宋体" w:hAnsi="宋体" w:cs="宋体" w:eastAsia="宋体" w:hint="default"/>
                <w:sz w:val="18"/>
                <w:szCs w:val="18"/>
              </w:rPr>
            </w:pPr>
            <w:r>
              <w:rPr>
                <w:rFonts w:ascii="宋体"/>
                <w:sz w:val="18"/>
              </w:rPr>
              <w:t>4,468.</w:t>
            </w:r>
          </w:p>
          <w:p>
            <w:pPr>
              <w:pStyle w:val="TableParagraph"/>
              <w:spacing w:line="234" w:lineRule="exact"/>
              <w:ind w:right="22"/>
              <w:jc w:val="right"/>
              <w:rPr>
                <w:rFonts w:ascii="宋体" w:hAnsi="宋体" w:cs="宋体" w:eastAsia="宋体" w:hint="default"/>
                <w:sz w:val="18"/>
                <w:szCs w:val="18"/>
              </w:rPr>
            </w:pPr>
            <w:r>
              <w:rPr>
                <w:rFonts w:ascii="宋体"/>
                <w:sz w:val="18"/>
              </w:rPr>
              <w:t>50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50" w:right="0"/>
              <w:jc w:val="left"/>
              <w:rPr>
                <w:rFonts w:ascii="宋体" w:hAnsi="宋体" w:cs="宋体" w:eastAsia="宋体" w:hint="default"/>
                <w:sz w:val="18"/>
                <w:szCs w:val="18"/>
              </w:rPr>
            </w:pPr>
            <w:r>
              <w:rPr>
                <w:rFonts w:ascii="宋体"/>
                <w:sz w:val="18"/>
              </w:rPr>
              <w:t>4,468.</w:t>
            </w:r>
          </w:p>
          <w:p>
            <w:pPr>
              <w:pStyle w:val="TableParagraph"/>
              <w:spacing w:line="234" w:lineRule="exact"/>
              <w:ind w:left="410" w:right="0"/>
              <w:jc w:val="left"/>
              <w:rPr>
                <w:rFonts w:ascii="宋体" w:hAnsi="宋体" w:cs="宋体" w:eastAsia="宋体" w:hint="default"/>
                <w:sz w:val="18"/>
                <w:szCs w:val="18"/>
              </w:rPr>
            </w:pPr>
            <w:r>
              <w:rPr>
                <w:rFonts w:ascii="宋体"/>
                <w:sz w:val="18"/>
              </w:rPr>
              <w:t>50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3" w:right="0"/>
              <w:jc w:val="left"/>
              <w:rPr>
                <w:rFonts w:ascii="宋体" w:hAnsi="宋体" w:cs="宋体" w:eastAsia="宋体" w:hint="default"/>
                <w:sz w:val="18"/>
                <w:szCs w:val="18"/>
              </w:rPr>
            </w:pPr>
            <w:r>
              <w:rPr>
                <w:rFonts w:ascii="宋体"/>
                <w:sz w:val="18"/>
              </w:rPr>
              <w:t>-31.50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 w:right="0"/>
              <w:jc w:val="center"/>
              <w:rPr>
                <w:rFonts w:ascii="宋体" w:hAnsi="宋体" w:cs="宋体" w:eastAsia="宋体" w:hint="default"/>
                <w:sz w:val="18"/>
                <w:szCs w:val="18"/>
              </w:rPr>
            </w:pPr>
            <w:r>
              <w:rPr>
                <w:rFonts w:ascii="宋体"/>
                <w:sz w:val="18"/>
              </w:rPr>
              <w:t>99.30%</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34"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4" w:lineRule="exact"/>
              <w:ind w:left="34"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63" w:right="0"/>
              <w:jc w:val="left"/>
              <w:rPr>
                <w:rFonts w:ascii="宋体" w:hAnsi="宋体" w:cs="宋体" w:eastAsia="宋体" w:hint="default"/>
                <w:sz w:val="18"/>
                <w:szCs w:val="18"/>
              </w:rPr>
            </w:pPr>
            <w:r>
              <w:rPr>
                <w:rFonts w:ascii="宋体"/>
                <w:sz w:val="18"/>
              </w:rPr>
              <w:t>25,260</w:t>
            </w:r>
          </w:p>
          <w:p>
            <w:pPr>
              <w:pStyle w:val="TableParagraph"/>
              <w:spacing w:line="234" w:lineRule="exact"/>
              <w:ind w:left="333" w:right="0"/>
              <w:jc w:val="left"/>
              <w:rPr>
                <w:rFonts w:ascii="宋体" w:hAnsi="宋体" w:cs="宋体" w:eastAsia="宋体" w:hint="default"/>
                <w:sz w:val="18"/>
                <w:szCs w:val="18"/>
              </w:rPr>
            </w:pPr>
            <w:r>
              <w:rPr>
                <w:rFonts w:ascii="宋体"/>
                <w:sz w:val="18"/>
              </w:rPr>
              <w:t>.00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77" w:right="0"/>
              <w:jc w:val="left"/>
              <w:rPr>
                <w:rFonts w:ascii="宋体" w:hAnsi="宋体" w:cs="宋体" w:eastAsia="宋体" w:hint="default"/>
                <w:sz w:val="18"/>
                <w:szCs w:val="18"/>
              </w:rPr>
            </w:pPr>
            <w:r>
              <w:rPr>
                <w:rFonts w:ascii="宋体"/>
                <w:sz w:val="18"/>
              </w:rPr>
              <w:t>25,260</w:t>
            </w:r>
          </w:p>
          <w:p>
            <w:pPr>
              <w:pStyle w:val="TableParagraph"/>
              <w:spacing w:line="234" w:lineRule="exact"/>
              <w:ind w:left="347" w:right="0"/>
              <w:jc w:val="left"/>
              <w:rPr>
                <w:rFonts w:ascii="宋体" w:hAnsi="宋体" w:cs="宋体" w:eastAsia="宋体" w:hint="default"/>
                <w:sz w:val="18"/>
                <w:szCs w:val="18"/>
              </w:rPr>
            </w:pPr>
            <w:r>
              <w:rPr>
                <w:rFonts w:ascii="宋体"/>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63" w:right="0"/>
              <w:jc w:val="left"/>
              <w:rPr>
                <w:rFonts w:ascii="宋体" w:hAnsi="宋体" w:cs="宋体" w:eastAsia="宋体" w:hint="default"/>
                <w:sz w:val="18"/>
                <w:szCs w:val="18"/>
              </w:rPr>
            </w:pPr>
            <w:r>
              <w:rPr>
                <w:rFonts w:ascii="宋体"/>
                <w:sz w:val="18"/>
              </w:rPr>
              <w:t>25,260</w:t>
            </w:r>
          </w:p>
          <w:p>
            <w:pPr>
              <w:pStyle w:val="TableParagraph"/>
              <w:spacing w:line="234" w:lineRule="exact"/>
              <w:ind w:left="333" w:right="0"/>
              <w:jc w:val="left"/>
              <w:rPr>
                <w:rFonts w:ascii="宋体" w:hAnsi="宋体" w:cs="宋体" w:eastAsia="宋体" w:hint="default"/>
                <w:sz w:val="18"/>
                <w:szCs w:val="18"/>
              </w:rPr>
            </w:pPr>
            <w:r>
              <w:rPr>
                <w:rFonts w:ascii="宋体"/>
                <w:sz w:val="18"/>
              </w:rPr>
              <w:t>.00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right="22"/>
              <w:jc w:val="right"/>
              <w:rPr>
                <w:rFonts w:ascii="宋体" w:hAnsi="宋体" w:cs="宋体" w:eastAsia="宋体" w:hint="default"/>
                <w:sz w:val="18"/>
                <w:szCs w:val="18"/>
              </w:rPr>
            </w:pPr>
            <w:r>
              <w:rPr>
                <w:rFonts w:ascii="宋体"/>
                <w:sz w:val="18"/>
              </w:rPr>
              <w:t>5,765.</w:t>
            </w:r>
          </w:p>
          <w:p>
            <w:pPr>
              <w:pStyle w:val="TableParagraph"/>
              <w:spacing w:line="234" w:lineRule="exact"/>
              <w:ind w:right="22"/>
              <w:jc w:val="right"/>
              <w:rPr>
                <w:rFonts w:ascii="宋体" w:hAnsi="宋体" w:cs="宋体" w:eastAsia="宋体" w:hint="default"/>
                <w:sz w:val="18"/>
                <w:szCs w:val="18"/>
              </w:rPr>
            </w:pPr>
            <w:r>
              <w:rPr>
                <w:rFonts w:ascii="宋体"/>
                <w:sz w:val="18"/>
              </w:rPr>
              <w:t>50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50" w:right="0"/>
              <w:jc w:val="left"/>
              <w:rPr>
                <w:rFonts w:ascii="宋体" w:hAnsi="宋体" w:cs="宋体" w:eastAsia="宋体" w:hint="default"/>
                <w:sz w:val="18"/>
                <w:szCs w:val="18"/>
              </w:rPr>
            </w:pPr>
            <w:r>
              <w:rPr>
                <w:rFonts w:ascii="宋体"/>
                <w:sz w:val="18"/>
              </w:rPr>
              <w:t>14,696</w:t>
            </w:r>
          </w:p>
          <w:p>
            <w:pPr>
              <w:pStyle w:val="TableParagraph"/>
              <w:spacing w:line="234" w:lineRule="exact"/>
              <w:ind w:left="320" w:right="0"/>
              <w:jc w:val="left"/>
              <w:rPr>
                <w:rFonts w:ascii="宋体" w:hAnsi="宋体" w:cs="宋体" w:eastAsia="宋体" w:hint="default"/>
                <w:sz w:val="18"/>
                <w:szCs w:val="18"/>
              </w:rPr>
            </w:pPr>
            <w:r>
              <w:rPr>
                <w:rFonts w:ascii="宋体"/>
                <w:sz w:val="18"/>
              </w:rPr>
              <w:t>.78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53" w:right="0"/>
              <w:jc w:val="left"/>
              <w:rPr>
                <w:rFonts w:ascii="宋体" w:hAnsi="宋体" w:cs="宋体" w:eastAsia="宋体" w:hint="default"/>
                <w:sz w:val="18"/>
                <w:szCs w:val="18"/>
              </w:rPr>
            </w:pPr>
            <w:r>
              <w:rPr>
                <w:rFonts w:ascii="宋体"/>
                <w:sz w:val="18"/>
              </w:rPr>
              <w:t>-10,563</w:t>
            </w:r>
          </w:p>
          <w:p>
            <w:pPr>
              <w:pStyle w:val="TableParagraph"/>
              <w:spacing w:line="234" w:lineRule="exact"/>
              <w:ind w:left="413" w:right="0"/>
              <w:jc w:val="left"/>
              <w:rPr>
                <w:rFonts w:ascii="宋体" w:hAnsi="宋体" w:cs="宋体" w:eastAsia="宋体" w:hint="default"/>
                <w:sz w:val="18"/>
                <w:szCs w:val="18"/>
              </w:rPr>
            </w:pPr>
            <w:r>
              <w:rPr>
                <w:rFonts w:ascii="宋体"/>
                <w:sz w:val="18"/>
              </w:rPr>
              <w:t>.22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 w:right="0"/>
              <w:jc w:val="center"/>
              <w:rPr>
                <w:rFonts w:ascii="宋体" w:hAnsi="宋体" w:cs="宋体" w:eastAsia="宋体" w:hint="default"/>
                <w:sz w:val="18"/>
                <w:szCs w:val="18"/>
              </w:rPr>
            </w:pPr>
            <w:r>
              <w:rPr>
                <w:rFonts w:ascii="宋体"/>
                <w:sz w:val="18"/>
              </w:rPr>
              <w:t>-</w:t>
            </w:r>
          </w:p>
        </w:tc>
        <w:tc>
          <w:tcPr>
            <w:tcW w:w="1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1,229.29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宋体"/>
                <w:sz w:val="18"/>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w:t>
            </w: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未达到计划进度或预计</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报告期内年产６０万套可录ＤＶＤ控制板技术改造项目、年产１２０万套家庭影院控制板技术改造项</w:t>
            </w:r>
          </w:p>
        </w:tc>
      </w:tr>
    </w:tbl>
    <w:p>
      <w:pPr>
        <w:spacing w:after="0" w:line="240" w:lineRule="auto"/>
        <w:jc w:val="left"/>
        <w:rPr>
          <w:rFonts w:ascii="宋体" w:hAnsi="宋体" w:cs="宋体" w:eastAsia="宋体" w:hint="default"/>
          <w:sz w:val="18"/>
          <w:szCs w:val="18"/>
        </w:rPr>
        <w:sectPr>
          <w:pgSz w:w="11910" w:h="16840"/>
          <w:pgMar w:header="787" w:footer="1339" w:top="1020" w:bottom="1520" w:left="8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98" w:firstLine="0"/>
        <w:jc w:val="right"/>
        <w:rPr>
          <w:rFonts w:ascii="宋体" w:hAnsi="宋体" w:cs="宋体" w:eastAsia="宋体" w:hint="default"/>
          <w:sz w:val="18"/>
          <w:szCs w:val="18"/>
        </w:rPr>
      </w:pPr>
      <w:r>
        <w:rPr/>
        <w:pict>
          <v:shape style="position:absolute;margin-left:47.459999pt;margin-top:-45.427399pt;width:501.15pt;height:393.2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8008"/>
                  </w:tblGrid>
                  <w:tr>
                    <w:trPr>
                      <w:trHeight w:val="237" w:hRule="exact"/>
                    </w:trPr>
                    <w:tc>
                      <w:tcPr>
                        <w:tcW w:w="20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pacing w:val="-4"/>
                            <w:sz w:val="18"/>
                            <w:szCs w:val="18"/>
                          </w:rPr>
                          <w:t>收益的情况和原因（分具</w:t>
                        </w: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目未能达到预计效益，主要原因是受全球经济危机的影响，主要客户订单下降。上述两个产品公司是</w:t>
                        </w:r>
                      </w:p>
                    </w:tc>
                  </w:tr>
                  <w:tr>
                    <w:trPr>
                      <w:trHeight w:val="25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体项目）</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主要客户飞利浦全球唯一ＥＭＳ供应商，项目可行性未发生重大变化。</w:t>
                        </w:r>
                      </w:p>
                    </w:tc>
                  </w:tr>
                  <w:tr>
                    <w:trPr>
                      <w:trHeight w:val="25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报告期内年产５００万件平板电视彩光控制板技术改造项目未能按照预定计划实际投入并达到预计效</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益，主要原因一是受全球经济危机的影响，主要客户项目导入延迟；二是由于其它产品订单下降造成</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公司现有产能已经出现剩余，短时间之内没有增加固定资产（机器设备）的实际需求。截止报告期末</w:t>
                        </w:r>
                      </w:p>
                    </w:tc>
                  </w:tr>
                  <w:tr>
                    <w:trPr>
                      <w:trHeight w:val="280" w:hRule="exact"/>
                    </w:trPr>
                    <w:tc>
                      <w:tcPr>
                        <w:tcW w:w="200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77" w:hRule="exact"/>
                    </w:trPr>
                    <w:tc>
                      <w:tcPr>
                        <w:tcW w:w="20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募集资金投资项目先期</w:t>
                        </w: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日，公司第一届董事会第十五次会议审议通过，以募集资金置换预先已投入募集资金</w:t>
                        </w:r>
                      </w:p>
                    </w:tc>
                  </w:tr>
                  <w:tr>
                    <w:trPr>
                      <w:trHeight w:val="280" w:hRule="exact"/>
                    </w:trPr>
                    <w:tc>
                      <w:tcPr>
                        <w:tcW w:w="20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投入及置换情况</w:t>
                        </w: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投资项目的自筹资金</w:t>
                        </w:r>
                        <w:r>
                          <w:rPr>
                            <w:rFonts w:ascii="宋体" w:hAnsi="宋体" w:cs="宋体" w:eastAsia="宋体" w:hint="default"/>
                            <w:spacing w:val="-46"/>
                            <w:sz w:val="18"/>
                            <w:szCs w:val="18"/>
                          </w:rPr>
                          <w:t> </w:t>
                        </w:r>
                        <w:r>
                          <w:rPr>
                            <w:rFonts w:ascii="宋体" w:hAnsi="宋体" w:cs="宋体" w:eastAsia="宋体" w:hint="default"/>
                            <w:sz w:val="18"/>
                            <w:szCs w:val="18"/>
                          </w:rPr>
                          <w:t>583</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77" w:hRule="exact"/>
                    </w:trPr>
                    <w:tc>
                      <w:tcPr>
                        <w:tcW w:w="200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日，经公司第一届董事会第十六次会议提议，公司</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年度第二次临时股东大会审议</w:t>
                        </w:r>
                      </w:p>
                    </w:tc>
                  </w:tr>
                  <w:tr>
                    <w:trPr>
                      <w:trHeight w:val="234"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通过以部分暂时闲置募集资金补充流动资金的议案，总额为人民币</w:t>
                        </w:r>
                        <w:r>
                          <w:rPr>
                            <w:rFonts w:ascii="宋体" w:hAnsi="宋体" w:cs="宋体" w:eastAsia="宋体" w:hint="default"/>
                            <w:spacing w:val="-46"/>
                            <w:sz w:val="18"/>
                            <w:szCs w:val="18"/>
                          </w:rPr>
                          <w:t> </w:t>
                        </w:r>
                        <w:r>
                          <w:rPr>
                            <w:rFonts w:ascii="宋体" w:hAnsi="宋体" w:cs="宋体" w:eastAsia="宋体" w:hint="default"/>
                            <w:sz w:val="18"/>
                            <w:szCs w:val="18"/>
                          </w:rPr>
                          <w:t>7000.00</w:t>
                        </w:r>
                        <w:r>
                          <w:rPr>
                            <w:rFonts w:ascii="宋体" w:hAnsi="宋体" w:cs="宋体" w:eastAsia="宋体" w:hint="default"/>
                            <w:spacing w:val="-46"/>
                            <w:sz w:val="18"/>
                            <w:szCs w:val="18"/>
                          </w:rPr>
                          <w:t> </w:t>
                        </w:r>
                        <w:r>
                          <w:rPr>
                            <w:rFonts w:ascii="宋体" w:hAnsi="宋体" w:cs="宋体" w:eastAsia="宋体" w:hint="default"/>
                            <w:sz w:val="18"/>
                            <w:szCs w:val="18"/>
                          </w:rPr>
                          <w:t>万元，使用期限不超过６</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个月，预计还款时间为２００８年２月２０日之前。公司保荐机构国信证券股份有限公司（原国信证</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券有限责任公司）出具了《关于深圳市实益达科技股份有限公司运用部分暂时闲置募集资金补充流动</w:t>
                        </w:r>
                      </w:p>
                    </w:tc>
                  </w:tr>
                  <w:tr>
                    <w:trPr>
                      <w:trHeight w:val="25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用闲置募集资金暂时补</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资金的核查意见</w:t>
                        </w:r>
                        <w:r>
                          <w:rPr>
                            <w:rFonts w:ascii="宋体" w:hAnsi="宋体" w:cs="宋体" w:eastAsia="宋体" w:hint="default"/>
                            <w:spacing w:val="-90"/>
                            <w:sz w:val="18"/>
                            <w:szCs w:val="18"/>
                          </w:rPr>
                          <w:t>》</w:t>
                        </w:r>
                        <w:r>
                          <w:rPr>
                            <w:rFonts w:ascii="宋体" w:hAnsi="宋体" w:cs="宋体" w:eastAsia="宋体" w:hint="default"/>
                            <w:sz w:val="18"/>
                            <w:szCs w:val="18"/>
                          </w:rPr>
                          <w:t>。上述款项已于２００８年２月１９日全额归还至募集资金专用帐户。</w:t>
                        </w:r>
                      </w:p>
                    </w:tc>
                  </w:tr>
                  <w:tr>
                    <w:trPr>
                      <w:trHeight w:val="254"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充流动资金情况</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２００８年１１月１４日，经公司第二届董事会第四次会议提议，公司２００８年度第二次临时股东</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大会审议通</w:t>
                        </w:r>
                        <w:r>
                          <w:rPr>
                            <w:rFonts w:ascii="宋体" w:hAnsi="宋体" w:cs="宋体" w:eastAsia="宋体" w:hint="default"/>
                            <w:spacing w:val="-20"/>
                            <w:sz w:val="18"/>
                            <w:szCs w:val="18"/>
                          </w:rPr>
                          <w:t>过</w:t>
                        </w:r>
                        <w:r>
                          <w:rPr>
                            <w:rFonts w:ascii="宋体" w:hAnsi="宋体" w:cs="宋体" w:eastAsia="宋体" w:hint="default"/>
                            <w:sz w:val="18"/>
                            <w:szCs w:val="18"/>
                          </w:rPr>
                          <w:t>《关于运用部分闲置募集资金暂时补充流动资金的议案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总额为人民币９０００</w:t>
                        </w:r>
                        <w:r>
                          <w:rPr>
                            <w:rFonts w:ascii="宋体" w:hAnsi="宋体" w:cs="宋体" w:eastAsia="宋体" w:hint="default"/>
                            <w:spacing w:val="-20"/>
                            <w:sz w:val="18"/>
                            <w:szCs w:val="18"/>
                          </w:rPr>
                          <w:t>．</w:t>
                        </w:r>
                        <w:r>
                          <w:rPr>
                            <w:rFonts w:ascii="宋体" w:hAnsi="宋体" w:cs="宋体" w:eastAsia="宋体" w:hint="default"/>
                            <w:sz w:val="18"/>
                            <w:szCs w:val="18"/>
                          </w:rPr>
                          <w:t>００</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万元，使用期限自股东大会审议通过之日起不超过３个月，预计还款时间为２００９年２月１４日之</w:t>
                        </w:r>
                      </w:p>
                    </w:tc>
                  </w:tr>
                  <w:tr>
                    <w:trPr>
                      <w:trHeight w:val="233" w:hRule="exact"/>
                    </w:trPr>
                    <w:tc>
                      <w:tcPr>
                        <w:tcW w:w="200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前。公司保荐机构国信证券股份有限公司为此事项出具了核查意见。上述款项已于２００９年２月５</w:t>
                        </w:r>
                      </w:p>
                    </w:tc>
                  </w:tr>
                  <w:tr>
                    <w:trPr>
                      <w:trHeight w:val="280" w:hRule="exact"/>
                    </w:trPr>
                    <w:tc>
                      <w:tcPr>
                        <w:tcW w:w="200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日全部归还至募集资金专用帐户。</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77" w:hRule="exact"/>
                    </w:trPr>
                    <w:tc>
                      <w:tcPr>
                        <w:tcW w:w="200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尚未使用的募集资金用</w:t>
                        </w: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存放于公司在兴业银行股份有限公司深圳南山支行开设的募集资金专用帐户，完全用于募集资金承诺</w:t>
                        </w:r>
                      </w:p>
                    </w:tc>
                  </w:tr>
                  <w:tr>
                    <w:trPr>
                      <w:trHeight w:val="280" w:hRule="exact"/>
                    </w:trPr>
                    <w:tc>
                      <w:tcPr>
                        <w:tcW w:w="200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途及去向</w:t>
                        </w: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项目和按照规定程序补充流动资金使用。</w:t>
                        </w:r>
                      </w:p>
                    </w:tc>
                  </w:tr>
                  <w:tr>
                    <w:trPr>
                      <w:trHeight w:val="558" w:hRule="exact"/>
                    </w:trPr>
                    <w:tc>
                      <w:tcPr>
                        <w:tcW w:w="20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357" w:lineRule="auto" w:before="26"/>
        <w:ind w:left="774" w:right="0"/>
        <w:jc w:val="left"/>
      </w:pPr>
      <w:r>
        <w:rPr/>
        <w:t>公司对部分募集资金使用情况的说明： 公司的上市募集资金全部为人民币，但是使用募集资金投资拟购买的机器设备等固定资</w:t>
      </w:r>
    </w:p>
    <w:p>
      <w:pPr>
        <w:pStyle w:val="BodyText"/>
        <w:spacing w:line="336" w:lineRule="auto" w:before="7"/>
        <w:ind w:left="293" w:right="342"/>
        <w:jc w:val="both"/>
      </w:pPr>
      <w:r>
        <w:rPr/>
        <w:t>产以及相对应的原材料需由境外进口支付外币，为节省人民币兑换外币所产生的汇兑损失，</w:t>
      </w:r>
      <w:r>
        <w:rPr>
          <w:spacing w:val="-83"/>
        </w:rPr>
        <w:t> </w:t>
      </w:r>
      <w:r>
        <w:rPr>
          <w:spacing w:val="-83"/>
        </w:rPr>
      </w:r>
      <w:r>
        <w:rPr>
          <w:spacing w:val="7"/>
        </w:rPr>
        <w:t>因此公司在实际支付过程中用出口销售收入收到的美元支付了应由募集资金投入的部分支</w:t>
      </w:r>
      <w:r>
        <w:rPr>
          <w:spacing w:val="7"/>
        </w:rPr>
        <w:t> </w:t>
      </w:r>
      <w:r>
        <w:rPr/>
        <w:t>出，同时将相等价值的人民币金额从募集资金专用账户转移至人民币基本账户用于支付公司</w:t>
      </w:r>
      <w:r>
        <w:rPr>
          <w:spacing w:val="-83"/>
        </w:rPr>
        <w:t> </w:t>
      </w:r>
      <w:r>
        <w:rPr>
          <w:spacing w:val="-83"/>
        </w:rPr>
      </w:r>
      <w:r>
        <w:rPr/>
        <w:t>所需的其他人民币业务。上述安排主要出于节省财务成本的考虑，募集资金的使用依然在投</w:t>
      </w:r>
      <w:r>
        <w:rPr>
          <w:spacing w:val="-83"/>
        </w:rPr>
        <w:t> </w:t>
      </w:r>
      <w:r>
        <w:rPr>
          <w:spacing w:val="-83"/>
        </w:rPr>
      </w:r>
      <w:r>
        <w:rPr/>
        <w:t>资项目范围之内。</w:t>
      </w:r>
    </w:p>
    <w:p>
      <w:pPr>
        <w:pStyle w:val="BodyText"/>
        <w:spacing w:line="290" w:lineRule="auto"/>
        <w:ind w:left="293" w:right="348" w:firstLine="480"/>
        <w:jc w:val="both"/>
      </w:pPr>
      <w:r>
        <w:rPr/>
        <w:t>同时，由于募集资金拟投资的机器设备等固定资产价格下降等原因，公司在募集资金投</w:t>
      </w:r>
      <w:r>
        <w:rPr>
          <w:spacing w:val="1"/>
        </w:rPr>
        <w:t> </w:t>
      </w:r>
      <w:r>
        <w:rPr/>
        <w:t>资项目具体投资过程中对单个项目中购买机器设备和用于流动资金（购买项目所对应产品必</w:t>
      </w:r>
      <w:r>
        <w:rPr>
          <w:spacing w:val="-83"/>
        </w:rPr>
        <w:t> </w:t>
      </w:r>
      <w:r>
        <w:rPr>
          <w:spacing w:val="-83"/>
        </w:rPr>
      </w:r>
      <w:r>
        <w:rPr/>
        <w:t>须的原材料）的比例做出了适当调整，但上述调整均在募集资金投资项目范围之内。</w:t>
      </w:r>
    </w:p>
    <w:p>
      <w:pPr>
        <w:pStyle w:val="BodyText"/>
        <w:spacing w:line="240" w:lineRule="auto" w:before="64"/>
        <w:ind w:left="773" w:right="0"/>
        <w:jc w:val="left"/>
      </w:pPr>
      <w:r>
        <w:rPr/>
        <w:t>（6）变更募集资金投资项目的情况</w:t>
      </w:r>
    </w:p>
    <w:p>
      <w:pPr>
        <w:spacing w:line="240" w:lineRule="auto" w:before="9"/>
        <w:rPr>
          <w:rFonts w:ascii="宋体" w:hAnsi="宋体" w:cs="宋体" w:eastAsia="宋体" w:hint="default"/>
          <w:sz w:val="7"/>
          <w:szCs w:val="7"/>
        </w:rPr>
      </w:pPr>
    </w:p>
    <w:p>
      <w:pPr>
        <w:pStyle w:val="BodyText"/>
        <w:spacing w:line="240" w:lineRule="auto" w:before="26"/>
        <w:ind w:left="0" w:right="351"/>
        <w:jc w:val="right"/>
      </w:pPr>
      <w:r>
        <w:rPr/>
        <w:t>单位</w:t>
      </w:r>
      <w:r>
        <w:rPr>
          <w:spacing w:val="-120"/>
        </w:rPr>
        <w:t>：</w:t>
      </w:r>
      <w:r>
        <w:rPr/>
        <w:t>（人民币）万元</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480"/>
        <w:gridCol w:w="1301"/>
        <w:gridCol w:w="780"/>
        <w:gridCol w:w="832"/>
        <w:gridCol w:w="780"/>
        <w:gridCol w:w="780"/>
        <w:gridCol w:w="780"/>
        <w:gridCol w:w="1170"/>
        <w:gridCol w:w="976"/>
        <w:gridCol w:w="520"/>
        <w:gridCol w:w="611"/>
      </w:tblGrid>
      <w:tr>
        <w:trPr>
          <w:trHeight w:val="786" w:hRule="exact"/>
        </w:trPr>
        <w:tc>
          <w:tcPr>
            <w:tcW w:w="1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5" w:right="103"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3" w:right="24"/>
              <w:jc w:val="both"/>
              <w:rPr>
                <w:rFonts w:ascii="宋体" w:hAnsi="宋体" w:cs="宋体" w:eastAsia="宋体" w:hint="default"/>
                <w:sz w:val="18"/>
                <w:szCs w:val="18"/>
              </w:rPr>
            </w:pPr>
            <w:r>
              <w:rPr>
                <w:rFonts w:ascii="宋体" w:hAnsi="宋体" w:cs="宋体" w:eastAsia="宋体" w:hint="default"/>
                <w:sz w:val="18"/>
                <w:szCs w:val="18"/>
              </w:rPr>
              <w:t>变更后项 目拟投入 募集资金</w:t>
            </w:r>
          </w:p>
        </w:tc>
        <w:tc>
          <w:tcPr>
            <w:tcW w:w="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50" w:right="49"/>
              <w:jc w:val="both"/>
              <w:rPr>
                <w:rFonts w:ascii="宋体" w:hAnsi="宋体" w:cs="宋体" w:eastAsia="宋体" w:hint="default"/>
                <w:sz w:val="18"/>
                <w:szCs w:val="18"/>
              </w:rPr>
            </w:pPr>
            <w:r>
              <w:rPr>
                <w:rFonts w:ascii="宋体" w:hAnsi="宋体" w:cs="宋体" w:eastAsia="宋体" w:hint="default"/>
                <w:sz w:val="18"/>
                <w:szCs w:val="18"/>
              </w:rPr>
              <w:t>截至期末 计划累计 投资金额</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 w:right="24"/>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3" w:right="24"/>
              <w:jc w:val="both"/>
              <w:rPr>
                <w:rFonts w:ascii="宋体" w:hAnsi="宋体" w:cs="宋体" w:eastAsia="宋体" w:hint="default"/>
                <w:sz w:val="18"/>
                <w:szCs w:val="18"/>
              </w:rPr>
            </w:pPr>
            <w:r>
              <w:rPr>
                <w:rFonts w:ascii="宋体" w:hAnsi="宋体" w:cs="宋体" w:eastAsia="宋体" w:hint="default"/>
                <w:sz w:val="18"/>
                <w:szCs w:val="18"/>
              </w:rPr>
              <w:t>截至期末 实际累计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29"/>
              <w:ind w:right="0"/>
              <w:jc w:val="center"/>
              <w:rPr>
                <w:rFonts w:ascii="宋体" w:hAnsi="宋体" w:cs="宋体" w:eastAsia="宋体" w:hint="default"/>
                <w:sz w:val="18"/>
                <w:szCs w:val="18"/>
              </w:rPr>
            </w:pPr>
            <w:r>
              <w:rPr>
                <w:rFonts w:ascii="宋体" w:hAnsi="宋体" w:cs="宋体" w:eastAsia="宋体" w:hint="default"/>
                <w:sz w:val="18"/>
                <w:szCs w:val="18"/>
              </w:rPr>
              <w:t>投资进度</w:t>
            </w:r>
          </w:p>
          <w:p>
            <w:pPr>
              <w:pStyle w:val="TableParagraph"/>
              <w:spacing w:line="240" w:lineRule="auto"/>
              <w:ind w:left="23" w:right="24" w:firstLine="1"/>
              <w:jc w:val="center"/>
              <w:rPr>
                <w:rFonts w:ascii="宋体" w:hAnsi="宋体" w:cs="宋体" w:eastAsia="宋体" w:hint="default"/>
                <w:sz w:val="18"/>
                <w:szCs w:val="18"/>
              </w:rPr>
            </w:pPr>
            <w:r>
              <w:rPr>
                <w:rFonts w:ascii="宋体" w:hAnsi="宋体" w:cs="宋体" w:eastAsia="宋体" w:hint="default"/>
                <w:sz w:val="18"/>
                <w:szCs w:val="18"/>
              </w:rPr>
              <w:t>（%） (3)=(2)/</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9" w:right="38"/>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74" w:right="73"/>
              <w:jc w:val="both"/>
              <w:rPr>
                <w:rFonts w:ascii="宋体" w:hAnsi="宋体" w:cs="宋体" w:eastAsia="宋体" w:hint="default"/>
                <w:sz w:val="18"/>
                <w:szCs w:val="18"/>
              </w:rPr>
            </w:pPr>
            <w:r>
              <w:rPr>
                <w:rFonts w:ascii="宋体" w:hAnsi="宋体" w:cs="宋体" w:eastAsia="宋体" w:hint="default"/>
                <w:sz w:val="18"/>
                <w:szCs w:val="18"/>
              </w:rPr>
              <w:t>是否 达到 预计</w:t>
            </w:r>
          </w:p>
        </w:tc>
        <w:tc>
          <w:tcPr>
            <w:tcW w:w="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变更后 的项目 可行性</w:t>
            </w:r>
          </w:p>
        </w:tc>
      </w:tr>
    </w:tbl>
    <w:p>
      <w:pPr>
        <w:spacing w:after="0" w:line="240" w:lineRule="auto"/>
        <w:jc w:val="both"/>
        <w:rPr>
          <w:rFonts w:ascii="宋体" w:hAnsi="宋体" w:cs="宋体" w:eastAsia="宋体" w:hint="default"/>
          <w:sz w:val="18"/>
          <w:szCs w:val="18"/>
        </w:rPr>
        <w:sectPr>
          <w:pgSz w:w="11910" w:h="16840"/>
          <w:pgMar w:header="787" w:footer="1339" w:top="1020" w:bottom="1520" w:left="84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99" w:firstLine="0"/>
        <w:jc w:val="right"/>
        <w:rPr>
          <w:rFonts w:ascii="宋体" w:hAnsi="宋体" w:cs="宋体" w:eastAsia="宋体" w:hint="default"/>
          <w:sz w:val="18"/>
          <w:szCs w:val="18"/>
        </w:rPr>
      </w:pPr>
      <w:r>
        <w:rPr/>
        <w:pict>
          <v:shape style="position:absolute;margin-left:47.459999pt;margin-top:-80.288322pt;width:501.15pt;height:518.050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0"/>
                    <w:gridCol w:w="1301"/>
                    <w:gridCol w:w="780"/>
                    <w:gridCol w:w="832"/>
                    <w:gridCol w:w="780"/>
                    <w:gridCol w:w="780"/>
                    <w:gridCol w:w="780"/>
                    <w:gridCol w:w="1170"/>
                    <w:gridCol w:w="976"/>
                    <w:gridCol w:w="520"/>
                    <w:gridCol w:w="611"/>
                  </w:tblGrid>
                  <w:tr>
                    <w:trPr>
                      <w:trHeight w:val="750" w:hRule="exact"/>
                    </w:trPr>
                    <w:tc>
                      <w:tcPr>
                        <w:tcW w:w="14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sz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49" w:right="0"/>
                          <w:jc w:val="left"/>
                          <w:rPr>
                            <w:rFonts w:ascii="宋体" w:hAnsi="宋体" w:cs="宋体" w:eastAsia="宋体" w:hint="default"/>
                            <w:sz w:val="18"/>
                            <w:szCs w:val="18"/>
                          </w:rPr>
                        </w:pPr>
                        <w:r>
                          <w:rPr>
                            <w:rFonts w:ascii="宋体"/>
                            <w:sz w:val="18"/>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4" w:right="0"/>
                          <w:jc w:val="left"/>
                          <w:rPr>
                            <w:rFonts w:ascii="宋体" w:hAnsi="宋体" w:cs="宋体" w:eastAsia="宋体" w:hint="default"/>
                            <w:sz w:val="18"/>
                            <w:szCs w:val="18"/>
                          </w:rPr>
                        </w:pPr>
                        <w:r>
                          <w:rPr>
                            <w:rFonts w:ascii="宋体" w:hAnsi="宋体" w:cs="宋体" w:eastAsia="宋体" w:hint="default"/>
                            <w:sz w:val="18"/>
                            <w:szCs w:val="18"/>
                          </w:rPr>
                          <w:t>效益</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9" w:right="0"/>
                          <w:jc w:val="left"/>
                          <w:rPr>
                            <w:rFonts w:ascii="宋体" w:hAnsi="宋体" w:cs="宋体" w:eastAsia="宋体" w:hint="default"/>
                            <w:sz w:val="18"/>
                            <w:szCs w:val="18"/>
                          </w:rPr>
                        </w:pPr>
                        <w:r>
                          <w:rPr>
                            <w:rFonts w:ascii="宋体" w:hAnsi="宋体" w:cs="宋体" w:eastAsia="宋体" w:hint="default"/>
                            <w:sz w:val="18"/>
                            <w:szCs w:val="18"/>
                          </w:rPr>
                          <w:t>是否发</w:t>
                        </w:r>
                      </w:p>
                      <w:p>
                        <w:pPr>
                          <w:pStyle w:val="TableParagraph"/>
                          <w:spacing w:line="232" w:lineRule="exact" w:before="24"/>
                          <w:ind w:left="119" w:right="29" w:hanging="257"/>
                          <w:jc w:val="left"/>
                          <w:rPr>
                            <w:rFonts w:ascii="宋体" w:hAnsi="宋体" w:cs="宋体" w:eastAsia="宋体" w:hint="default"/>
                            <w:sz w:val="18"/>
                            <w:szCs w:val="18"/>
                          </w:rPr>
                        </w:pPr>
                        <w:r>
                          <w:rPr>
                            <w:rFonts w:ascii="宋体" w:hAnsi="宋体" w:cs="宋体" w:eastAsia="宋体" w:hint="default"/>
                            <w:spacing w:val="-4"/>
                            <w:sz w:val="18"/>
                            <w:szCs w:val="18"/>
                          </w:rPr>
                          <w:t>）生重大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变化</w:t>
                        </w:r>
                      </w:p>
                    </w:tc>
                  </w:tr>
                  <w:tr>
                    <w:trPr>
                      <w:trHeight w:val="557"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实益达科技园总 包工程土建项目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2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宋体" w:hAnsi="宋体" w:cs="宋体" w:eastAsia="宋体" w:hint="default"/>
                            <w:sz w:val="18"/>
                            <w:szCs w:val="18"/>
                          </w:rPr>
                          <w:t>100</w:t>
                        </w:r>
                        <w:r>
                          <w:rPr>
                            <w:rFonts w:ascii="宋体" w:hAnsi="宋体" w:cs="宋体" w:eastAsia="宋体" w:hint="default"/>
                            <w:spacing w:val="-53"/>
                            <w:sz w:val="18"/>
                            <w:szCs w:val="18"/>
                          </w:rPr>
                          <w:t> </w:t>
                        </w:r>
                        <w:r>
                          <w:rPr>
                            <w:rFonts w:ascii="宋体" w:hAnsi="宋体" w:cs="宋体" w:eastAsia="宋体" w:hint="default"/>
                            <w:sz w:val="18"/>
                            <w:szCs w:val="18"/>
                          </w:rPr>
                          <w:t>万套背</w:t>
                        </w:r>
                        <w:r>
                          <w:rPr>
                            <w:rFonts w:ascii="宋体" w:hAnsi="宋体" w:cs="宋体" w:eastAsia="宋体" w:hint="default"/>
                            <w:sz w:val="18"/>
                            <w:szCs w:val="18"/>
                          </w:rPr>
                          <w:t> 光产品控制板</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sz w:val="18"/>
                          </w:rPr>
                          <w:t>4,500.00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6" w:right="0"/>
                          <w:jc w:val="center"/>
                          <w:rPr>
                            <w:rFonts w:ascii="宋体" w:hAnsi="宋体" w:cs="宋体" w:eastAsia="宋体" w:hint="default"/>
                            <w:sz w:val="18"/>
                            <w:szCs w:val="18"/>
                          </w:rPr>
                        </w:pPr>
                        <w:r>
                          <w:rPr>
                            <w:rFonts w:ascii="宋体"/>
                            <w:sz w:val="18"/>
                          </w:rPr>
                          <w:t>4,500.00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宋体" w:hAnsi="宋体" w:cs="宋体" w:eastAsia="宋体" w:hint="default"/>
                            <w:sz w:val="18"/>
                            <w:szCs w:val="18"/>
                          </w:rPr>
                        </w:pPr>
                        <w:r>
                          <w:rPr>
                            <w:rFonts w:ascii="宋体"/>
                            <w:sz w:val="18"/>
                          </w:rPr>
                          <w:t>4,468.50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sz w:val="18"/>
                          </w:rPr>
                          <w:t>4,468.50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6" w:right="0"/>
                          <w:jc w:val="left"/>
                          <w:rPr>
                            <w:rFonts w:ascii="宋体" w:hAnsi="宋体" w:cs="宋体" w:eastAsia="宋体" w:hint="default"/>
                            <w:sz w:val="18"/>
                            <w:szCs w:val="18"/>
                          </w:rPr>
                        </w:pPr>
                        <w:r>
                          <w:rPr>
                            <w:rFonts w:ascii="宋体"/>
                            <w:sz w:val="18"/>
                          </w:rPr>
                          <w:t>99.30%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1"/>
                            <w:sz w:val="18"/>
                            <w:szCs w:val="18"/>
                          </w:rPr>
                          <w:t> </w:t>
                        </w:r>
                        <w:r>
                          <w:rPr>
                            <w:rFonts w:ascii="宋体" w:hAnsi="宋体" w:cs="宋体" w:eastAsia="宋体" w:hint="default"/>
                            <w:spacing w:val="14"/>
                            <w:sz w:val="18"/>
                            <w:szCs w:val="18"/>
                          </w:rPr>
                          <w:t>05月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4,500.00</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center"/>
                          <w:rPr>
                            <w:rFonts w:ascii="宋体" w:hAnsi="宋体" w:cs="宋体" w:eastAsia="宋体" w:hint="default"/>
                            <w:sz w:val="18"/>
                            <w:szCs w:val="18"/>
                          </w:rPr>
                        </w:pPr>
                        <w:r>
                          <w:rPr>
                            <w:rFonts w:ascii="宋体"/>
                            <w:sz w:val="18"/>
                          </w:rPr>
                          <w:t>4,500.00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4,468.50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4,468.50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277" w:hRule="exact"/>
                    </w:trPr>
                    <w:tc>
                      <w:tcPr>
                        <w:tcW w:w="14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52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本公司原募集资金投资项目中包括年产</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万套背光产品控制板技术改造项目</w:t>
                        </w:r>
                        <w:r>
                          <w:rPr>
                            <w:rFonts w:ascii="宋体" w:hAnsi="宋体" w:cs="宋体" w:eastAsia="宋体" w:hint="default"/>
                            <w:spacing w:val="-78"/>
                            <w:sz w:val="18"/>
                            <w:szCs w:val="18"/>
                          </w:rPr>
                          <w:t>，</w:t>
                        </w:r>
                        <w:r>
                          <w:rPr>
                            <w:rFonts w:ascii="宋体" w:hAnsi="宋体" w:cs="宋体" w:eastAsia="宋体" w:hint="default"/>
                            <w:sz w:val="18"/>
                            <w:szCs w:val="18"/>
                          </w:rPr>
                          <w:t>该项目的目标客户为飞利浦</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报告期内目标客户要求将该项目转移至本公司控股子公司无锡实益达电子有限公司实施，以更接近其位于当</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地的生产、研发基地，出于确保募集资金的使用更加公平、高效的考虑，经公司第一届董事会第二十四次会</w:t>
                        </w:r>
                      </w:p>
                    </w:tc>
                  </w:tr>
                  <w:tr>
                    <w:trPr>
                      <w:trHeight w:val="25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议提议，公司２００７年度股东大会审议通过，将该项目变更为“实益达科技园总包工程土建项目</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本公司独立董事关于此次募集资金变更出具独立意见认为</w:t>
                        </w:r>
                        <w:r>
                          <w:rPr>
                            <w:rFonts w:ascii="宋体" w:hAnsi="宋体" w:cs="宋体" w:eastAsia="宋体" w:hint="default"/>
                            <w:spacing w:val="-129"/>
                            <w:sz w:val="18"/>
                            <w:szCs w:val="18"/>
                          </w:rPr>
                          <w:t>：</w:t>
                        </w:r>
                        <w:r>
                          <w:rPr>
                            <w:rFonts w:ascii="宋体" w:hAnsi="宋体" w:cs="宋体" w:eastAsia="宋体" w:hint="default"/>
                            <w:sz w:val="18"/>
                            <w:szCs w:val="18"/>
                          </w:rPr>
                          <w:t>“此次更</w:t>
                        </w:r>
                        <w:r>
                          <w:rPr>
                            <w:rFonts w:ascii="宋体" w:hAnsi="宋体" w:cs="宋体" w:eastAsia="宋体" w:hint="default"/>
                            <w:spacing w:val="-2"/>
                            <w:sz w:val="18"/>
                            <w:szCs w:val="18"/>
                          </w:rPr>
                          <w:t>改</w:t>
                        </w:r>
                        <w:r>
                          <w:rPr>
                            <w:rFonts w:ascii="宋体" w:hAnsi="宋体" w:cs="宋体" w:eastAsia="宋体" w:hint="default"/>
                            <w:sz w:val="18"/>
                            <w:szCs w:val="18"/>
                          </w:rPr>
                          <w:t>募集资金投资项目</w:t>
                        </w:r>
                        <w:r>
                          <w:rPr>
                            <w:rFonts w:ascii="宋体" w:hAnsi="宋体" w:cs="宋体" w:eastAsia="宋体" w:hint="default"/>
                            <w:spacing w:val="-39"/>
                            <w:sz w:val="18"/>
                            <w:szCs w:val="18"/>
                          </w:rPr>
                          <w:t>，</w:t>
                        </w:r>
                        <w:r>
                          <w:rPr>
                            <w:rFonts w:ascii="宋体" w:hAnsi="宋体" w:cs="宋体" w:eastAsia="宋体" w:hint="default"/>
                            <w:sz w:val="18"/>
                            <w:szCs w:val="18"/>
                          </w:rPr>
                          <w:t>一方面</w:t>
                        </w:r>
                        <w:r>
                          <w:rPr>
                            <w:rFonts w:ascii="宋体" w:hAnsi="宋体" w:cs="宋体" w:eastAsia="宋体" w:hint="default"/>
                            <w:spacing w:val="-2"/>
                            <w:sz w:val="18"/>
                            <w:szCs w:val="18"/>
                          </w:rPr>
                          <w:t>满</w:t>
                        </w:r>
                        <w:r>
                          <w:rPr>
                            <w:rFonts w:ascii="宋体" w:hAnsi="宋体" w:cs="宋体" w:eastAsia="宋体" w:hint="default"/>
                            <w:sz w:val="18"/>
                            <w:szCs w:val="18"/>
                          </w:rPr>
                          <w:t>足目标客</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户对原项目实施地调整的要求，另一方面确保了募集资金使用更加公平、高效；此次更改募集资金投资项目</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符合上市公司及全体股东的利益；此次更改募集资金投资项目已经公司第一届董事会第二十四次会议审议通</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过，尚需提交公司</w:t>
                        </w:r>
                        <w:r>
                          <w:rPr>
                            <w:rFonts w:ascii="宋体" w:hAnsi="宋体" w:cs="宋体" w:eastAsia="宋体" w:hint="default"/>
                            <w:spacing w:val="-75"/>
                            <w:sz w:val="18"/>
                            <w:szCs w:val="18"/>
                          </w:rPr>
                          <w:t> </w:t>
                        </w:r>
                        <w:r>
                          <w:rPr>
                            <w:rFonts w:ascii="宋体" w:hAnsi="宋体" w:cs="宋体" w:eastAsia="宋体" w:hint="default"/>
                            <w:sz w:val="18"/>
                            <w:szCs w:val="18"/>
                          </w:rPr>
                          <w:t>2007</w:t>
                        </w:r>
                        <w:r>
                          <w:rPr>
                            <w:rFonts w:ascii="宋体" w:hAnsi="宋体" w:cs="宋体" w:eastAsia="宋体" w:hint="default"/>
                            <w:spacing w:val="-75"/>
                            <w:sz w:val="18"/>
                            <w:szCs w:val="18"/>
                          </w:rPr>
                          <w:t> </w:t>
                        </w:r>
                        <w:r>
                          <w:rPr>
                            <w:rFonts w:ascii="宋体" w:hAnsi="宋体" w:cs="宋体" w:eastAsia="宋体" w:hint="default"/>
                            <w:sz w:val="18"/>
                            <w:szCs w:val="18"/>
                          </w:rPr>
                          <w:t>年度股东大会审议，决策程序和审议程序合法、合规。我们同意此次更改募集资金投</w:t>
                        </w:r>
                      </w:p>
                    </w:tc>
                  </w:tr>
                  <w:tr>
                    <w:trPr>
                      <w:trHeight w:val="25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资项目</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本公司保荐机构国信证券股份有限公司及保荐代表人任兆成先生、凌文昌先生就此次募集资金变更事项发表</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保荐意见如下：</w:t>
                        </w:r>
                      </w:p>
                    </w:tc>
                  </w:tr>
                  <w:tr>
                    <w:trPr>
                      <w:trHeight w:val="25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3"/>
                            <w:sz w:val="18"/>
                            <w:szCs w:val="18"/>
                          </w:rPr>
                          <w:t>、</w:t>
                        </w:r>
                        <w:r>
                          <w:rPr>
                            <w:rFonts w:ascii="宋体" w:hAnsi="宋体" w:cs="宋体" w:eastAsia="宋体" w:hint="default"/>
                            <w:sz w:val="18"/>
                            <w:szCs w:val="18"/>
                          </w:rPr>
                          <w:t>经核查</w:t>
                        </w:r>
                        <w:r>
                          <w:rPr>
                            <w:rFonts w:ascii="宋体" w:hAnsi="宋体" w:cs="宋体" w:eastAsia="宋体" w:hint="default"/>
                            <w:spacing w:val="-53"/>
                            <w:sz w:val="18"/>
                            <w:szCs w:val="18"/>
                          </w:rPr>
                          <w:t>，</w:t>
                        </w:r>
                        <w:r>
                          <w:rPr>
                            <w:rFonts w:ascii="宋体" w:hAnsi="宋体" w:cs="宋体" w:eastAsia="宋体" w:hint="default"/>
                            <w:spacing w:val="-2"/>
                            <w:sz w:val="18"/>
                            <w:szCs w:val="18"/>
                          </w:rPr>
                          <w:t>实</w:t>
                        </w:r>
                        <w:r>
                          <w:rPr>
                            <w:rFonts w:ascii="宋体" w:hAnsi="宋体" w:cs="宋体" w:eastAsia="宋体" w:hint="default"/>
                            <w:sz w:val="18"/>
                            <w:szCs w:val="18"/>
                          </w:rPr>
                          <w:t>益达的募集资金投资项目中包</w:t>
                        </w:r>
                        <w:r>
                          <w:rPr>
                            <w:rFonts w:ascii="宋体" w:hAnsi="宋体" w:cs="宋体" w:eastAsia="宋体" w:hint="default"/>
                            <w:spacing w:val="-53"/>
                            <w:sz w:val="18"/>
                            <w:szCs w:val="18"/>
                          </w:rPr>
                          <w:t>括</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万套背光产品控制板技术改造项目</w:t>
                        </w:r>
                        <w:r>
                          <w:rPr>
                            <w:rFonts w:ascii="宋体" w:hAnsi="宋体" w:cs="宋体" w:eastAsia="宋体" w:hint="default"/>
                            <w:spacing w:val="-90"/>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新增投资</w:t>
                        </w:r>
                        <w:r>
                          <w:rPr>
                            <w:rFonts w:ascii="宋体" w:hAnsi="宋体" w:cs="宋体" w:eastAsia="宋体" w:hint="default"/>
                            <w:spacing w:val="-46"/>
                            <w:sz w:val="18"/>
                            <w:szCs w:val="18"/>
                          </w:rPr>
                          <w:t> </w:t>
                        </w:r>
                        <w:r>
                          <w:rPr>
                            <w:rFonts w:ascii="宋体" w:hAnsi="宋体" w:cs="宋体" w:eastAsia="宋体" w:hint="default"/>
                            <w:sz w:val="18"/>
                            <w:szCs w:val="18"/>
                          </w:rPr>
                          <w:t>4500</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变更原因、决策程</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万元（人民币，下同</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4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序及信息披露情</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55"/>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套背光产品控制板技术改造项目</w:t>
                        </w:r>
                        <w:r>
                          <w:rPr>
                            <w:rFonts w:ascii="宋体" w:hAnsi="宋体" w:cs="宋体" w:eastAsia="宋体" w:hint="default"/>
                            <w:spacing w:val="-65"/>
                            <w:sz w:val="18"/>
                            <w:szCs w:val="18"/>
                          </w:rPr>
                          <w:t>”</w:t>
                        </w:r>
                        <w:r>
                          <w:rPr>
                            <w:rFonts w:ascii="宋体" w:hAnsi="宋体" w:cs="宋体" w:eastAsia="宋体" w:hint="default"/>
                            <w:sz w:val="18"/>
                            <w:szCs w:val="18"/>
                          </w:rPr>
                          <w:t>目标客户为荷兰皇家飞利浦电子公</w:t>
                        </w:r>
                        <w:r>
                          <w:rPr>
                            <w:rFonts w:ascii="宋体" w:hAnsi="宋体" w:cs="宋体" w:eastAsia="宋体" w:hint="default"/>
                            <w:spacing w:val="-65"/>
                            <w:sz w:val="18"/>
                            <w:szCs w:val="18"/>
                          </w:rPr>
                          <w:t>司</w:t>
                        </w:r>
                        <w:r>
                          <w:rPr>
                            <w:rFonts w:ascii="宋体" w:hAnsi="宋体" w:cs="宋体" w:eastAsia="宋体" w:hint="default"/>
                            <w:sz w:val="18"/>
                            <w:szCs w:val="18"/>
                          </w:rPr>
                          <w:t>（以下简</w:t>
                        </w:r>
                        <w:r>
                          <w:rPr>
                            <w:rFonts w:ascii="宋体" w:hAnsi="宋体" w:cs="宋体" w:eastAsia="宋体" w:hint="default"/>
                            <w:spacing w:val="-65"/>
                            <w:sz w:val="18"/>
                            <w:szCs w:val="18"/>
                          </w:rPr>
                          <w:t>称</w:t>
                        </w:r>
                        <w:r>
                          <w:rPr>
                            <w:rFonts w:ascii="宋体" w:hAnsi="宋体" w:cs="宋体" w:eastAsia="宋体" w:hint="default"/>
                            <w:sz w:val="18"/>
                            <w:szCs w:val="18"/>
                          </w:rPr>
                          <w:t>“飞利浦</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23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况说明（分具体项</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飞利浦曾向实益达出具确认函，将在项目准备阶段完成、技术改造完成后给予实益达相应的产品订单（详见</w:t>
                        </w:r>
                      </w:p>
                    </w:tc>
                  </w:tr>
                  <w:tr>
                    <w:trPr>
                      <w:trHeight w:val="24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目）</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实益达《招股说明书</w:t>
                        </w:r>
                        <w:r>
                          <w:rPr>
                            <w:rFonts w:ascii="宋体" w:hAnsi="宋体" w:cs="宋体" w:eastAsia="宋体" w:hint="default"/>
                            <w:spacing w:val="-90"/>
                            <w:sz w:val="18"/>
                            <w:szCs w:val="18"/>
                          </w:rPr>
                          <w:t>》）</w:t>
                        </w:r>
                        <w:r>
                          <w:rPr>
                            <w:rFonts w:ascii="宋体" w:hAnsi="宋体" w:cs="宋体" w:eastAsia="宋体" w:hint="default"/>
                            <w:sz w:val="18"/>
                            <w:szCs w:val="18"/>
                          </w:rPr>
                          <w:t>。目前该项目前期准备工作已经完成，即将进入实施阶段，但飞利浦公司向实益达提</w:t>
                        </w:r>
                      </w:p>
                    </w:tc>
                  </w:tr>
                  <w:tr>
                    <w:trPr>
                      <w:trHeight w:val="23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出将该项目实施地转移至其控股子公司无锡实益达电子有限公司（以下简称“无锡实益达</w:t>
                        </w:r>
                        <w:r>
                          <w:rPr>
                            <w:rFonts w:ascii="宋体" w:hAnsi="宋体" w:cs="宋体" w:eastAsia="宋体" w:hint="default"/>
                            <w:spacing w:val="-90"/>
                            <w:sz w:val="18"/>
                            <w:szCs w:val="18"/>
                          </w:rPr>
                          <w:t>”）</w:t>
                        </w:r>
                        <w:r>
                          <w:rPr>
                            <w:rFonts w:ascii="宋体" w:hAnsi="宋体" w:cs="宋体" w:eastAsia="宋体" w:hint="default"/>
                            <w:sz w:val="18"/>
                            <w:szCs w:val="18"/>
                          </w:rPr>
                          <w:t>，以更加接近其</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在当地的生产、研发基地。</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3、考虑到无锡实益达目前的股权状况以及项目实施的时间安排，从既满足客户要求，又保证募集资金使用的</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公平、高效的角度出发，实益达提出将上述“年产</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万套背光产品控制板技术改造项目”更改为“实益达</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科技园总包工程土建项目</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该议案已经实益达第一届董事会第二十四次会议审议通过</w:t>
                        </w:r>
                        <w:r>
                          <w:rPr>
                            <w:rFonts w:ascii="宋体" w:hAnsi="宋体" w:cs="宋体" w:eastAsia="宋体" w:hint="default"/>
                            <w:spacing w:val="-39"/>
                            <w:sz w:val="18"/>
                            <w:szCs w:val="18"/>
                          </w:rPr>
                          <w:t>。</w:t>
                        </w:r>
                        <w:r>
                          <w:rPr>
                            <w:rFonts w:ascii="宋体" w:hAnsi="宋体" w:cs="宋体" w:eastAsia="宋体" w:hint="default"/>
                            <w:sz w:val="18"/>
                            <w:szCs w:val="18"/>
                          </w:rPr>
                          <w:t>原项目投</w:t>
                        </w:r>
                        <w:r>
                          <w:rPr>
                            <w:rFonts w:ascii="宋体" w:hAnsi="宋体" w:cs="宋体" w:eastAsia="宋体" w:hint="default"/>
                            <w:spacing w:val="-2"/>
                            <w:sz w:val="18"/>
                            <w:szCs w:val="18"/>
                          </w:rPr>
                          <w:t>资</w:t>
                        </w:r>
                        <w:r>
                          <w:rPr>
                            <w:rFonts w:ascii="宋体" w:hAnsi="宋体" w:cs="宋体" w:eastAsia="宋体" w:hint="default"/>
                            <w:sz w:val="18"/>
                            <w:szCs w:val="18"/>
                          </w:rPr>
                          <w:t>所需资金</w:t>
                        </w:r>
                      </w:p>
                    </w:tc>
                  </w:tr>
                  <w:tr>
                    <w:trPr>
                      <w:trHeight w:val="25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由无锡实益达自筹解决。</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10"/>
                            <w:sz w:val="18"/>
                            <w:szCs w:val="18"/>
                          </w:rPr>
                          <w:t>、</w:t>
                        </w:r>
                        <w:r>
                          <w:rPr>
                            <w:rFonts w:ascii="宋体" w:hAnsi="宋体" w:cs="宋体" w:eastAsia="宋体" w:hint="default"/>
                            <w:sz w:val="18"/>
                            <w:szCs w:val="18"/>
                          </w:rPr>
                          <w:t>“实益达科技园总包工程土建项目</w:t>
                        </w:r>
                        <w:r>
                          <w:rPr>
                            <w:rFonts w:ascii="宋体" w:hAnsi="宋体" w:cs="宋体" w:eastAsia="宋体" w:hint="default"/>
                            <w:spacing w:val="-20"/>
                            <w:sz w:val="18"/>
                            <w:szCs w:val="18"/>
                          </w:rPr>
                          <w:t>”</w:t>
                        </w:r>
                        <w:r>
                          <w:rPr>
                            <w:rFonts w:ascii="宋体" w:hAnsi="宋体" w:cs="宋体" w:eastAsia="宋体" w:hint="default"/>
                            <w:sz w:val="18"/>
                            <w:szCs w:val="18"/>
                          </w:rPr>
                          <w:t>总投资</w:t>
                        </w:r>
                        <w:r>
                          <w:rPr>
                            <w:rFonts w:ascii="宋体" w:hAnsi="宋体" w:cs="宋体" w:eastAsia="宋体" w:hint="default"/>
                            <w:spacing w:val="-46"/>
                            <w:sz w:val="18"/>
                            <w:szCs w:val="18"/>
                          </w:rPr>
                          <w:t> </w:t>
                        </w:r>
                        <w:r>
                          <w:rPr>
                            <w:rFonts w:ascii="宋体" w:hAnsi="宋体" w:cs="宋体" w:eastAsia="宋体" w:hint="default"/>
                            <w:sz w:val="18"/>
                            <w:szCs w:val="18"/>
                          </w:rPr>
                          <w:t>6237</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月正式开工</w:t>
                        </w:r>
                        <w:r>
                          <w:rPr>
                            <w:rFonts w:ascii="宋体" w:hAnsi="宋体" w:cs="宋体" w:eastAsia="宋体" w:hint="default"/>
                            <w:spacing w:val="-20"/>
                            <w:sz w:val="18"/>
                            <w:szCs w:val="18"/>
                          </w:rPr>
                          <w:t>，</w:t>
                        </w:r>
                        <w:r>
                          <w:rPr>
                            <w:rFonts w:ascii="宋体" w:hAnsi="宋体" w:cs="宋体" w:eastAsia="宋体" w:hint="default"/>
                            <w:sz w:val="18"/>
                            <w:szCs w:val="18"/>
                          </w:rPr>
                          <w:t>此次募集资金投资项</w:t>
                        </w:r>
                      </w:p>
                    </w:tc>
                  </w:tr>
                  <w:tr>
                    <w:trPr>
                      <w:trHeight w:val="25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目更改后，资金不足部分由实益达自筹解决。</w:t>
                        </w:r>
                      </w:p>
                    </w:tc>
                  </w:tr>
                  <w:tr>
                    <w:trPr>
                      <w:trHeight w:val="254"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5、本公司及保荐代表人任兆成、凌文昌先生认为：实益达董事会此次变更募集资金投资项目的提议经过了审</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慎的论证分析，既满足目标客户的要求，又确保募集资金使用的公平、高效；此次更改募集资金投资项目已</w:t>
                        </w:r>
                      </w:p>
                    </w:tc>
                  </w:tr>
                  <w:tr>
                    <w:trPr>
                      <w:trHeight w:val="233"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履行必要的法律程序，符合《深圳证券交易所股票上市规则</w:t>
                        </w:r>
                        <w:r>
                          <w:rPr>
                            <w:rFonts w:ascii="宋体" w:hAnsi="宋体" w:cs="宋体" w:eastAsia="宋体" w:hint="default"/>
                            <w:spacing w:val="-90"/>
                            <w:sz w:val="18"/>
                            <w:szCs w:val="18"/>
                          </w:rPr>
                          <w:t>》、</w:t>
                        </w:r>
                        <w:r>
                          <w:rPr>
                            <w:rFonts w:ascii="宋体" w:hAnsi="宋体" w:cs="宋体" w:eastAsia="宋体" w:hint="default"/>
                            <w:sz w:val="18"/>
                            <w:szCs w:val="18"/>
                          </w:rPr>
                          <w:t>《中小企业板上市公司募集资金管理细则》等</w:t>
                        </w:r>
                      </w:p>
                    </w:tc>
                  </w:tr>
                  <w:tr>
                    <w:trPr>
                      <w:trHeight w:val="280" w:hRule="exact"/>
                    </w:trPr>
                    <w:tc>
                      <w:tcPr>
                        <w:tcW w:w="14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528" w:type="dxa"/>
                        <w:gridSpan w:val="10"/>
                        <w:tcBorders>
                          <w:top w:val="nil" w:sz="6" w:space="0" w:color="auto"/>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的要求，尚须经实益达</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年度临时股东大会审议表决。</w:t>
                        </w:r>
                      </w:p>
                    </w:tc>
                  </w:tr>
                  <w:tr>
                    <w:trPr>
                      <w:trHeight w:val="277" w:hRule="exact"/>
                    </w:trPr>
                    <w:tc>
                      <w:tcPr>
                        <w:tcW w:w="14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未达到计划进度</w:t>
                        </w:r>
                      </w:p>
                    </w:tc>
                    <w:tc>
                      <w:tcPr>
                        <w:tcW w:w="8528" w:type="dxa"/>
                        <w:gridSpan w:val="10"/>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6" w:lineRule="exact"/>
                          <w:ind w:left="22" w:right="0" w:firstLine="81"/>
                          <w:jc w:val="left"/>
                          <w:rPr>
                            <w:rFonts w:ascii="宋体" w:hAnsi="宋体" w:cs="宋体" w:eastAsia="宋体" w:hint="default"/>
                            <w:sz w:val="18"/>
                            <w:szCs w:val="18"/>
                          </w:rPr>
                        </w:pPr>
                        <w:r>
                          <w:rPr>
                            <w:rFonts w:ascii="宋体" w:hAnsi="宋体" w:cs="宋体" w:eastAsia="宋体" w:hint="default"/>
                            <w:sz w:val="18"/>
                            <w:szCs w:val="18"/>
                          </w:rPr>
                          <w:t>或预计收益的情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况和原因（分具体</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0" w:hRule="exact"/>
                    </w:trPr>
                    <w:tc>
                      <w:tcPr>
                        <w:tcW w:w="14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528" w:type="dxa"/>
                        <w:gridSpan w:val="10"/>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变更后的项目可</w:t>
                        </w:r>
                      </w:p>
                    </w:tc>
                    <w:tc>
                      <w:tcPr>
                        <w:tcW w:w="8528" w:type="dxa"/>
                        <w:gridSpan w:val="10"/>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14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行性发生重大变</w:t>
                        </w:r>
                      </w:p>
                    </w:tc>
                    <w:tc>
                      <w:tcPr>
                        <w:tcW w:w="8528" w:type="dxa"/>
                        <w:gridSpan w:val="10"/>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79" w:hRule="exact"/>
                    </w:trPr>
                    <w:tc>
                      <w:tcPr>
                        <w:tcW w:w="14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化的情况说明</w:t>
                        </w:r>
                      </w:p>
                    </w:tc>
                    <w:tc>
                      <w:tcPr>
                        <w:tcW w:w="8528" w:type="dxa"/>
                        <w:gridSpan w:val="10"/>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9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90" w:lineRule="auto" w:before="26"/>
        <w:ind w:left="293" w:right="359" w:firstLine="480"/>
        <w:jc w:val="left"/>
      </w:pPr>
      <w:r>
        <w:rPr/>
        <w:t>注：鉴于变更后的项目为公司自有产权生产基地的土建工程，难以单独计算所产生的效 益，但项目完工投入使用后可每年节省现有生产基地租金成本</w:t>
      </w:r>
      <w:r>
        <w:rPr>
          <w:spacing w:val="-54"/>
        </w:rPr>
        <w:t> </w:t>
      </w:r>
      <w:r>
        <w:rPr/>
        <w:t>700</w:t>
      </w:r>
      <w:r>
        <w:rPr>
          <w:spacing w:val="-54"/>
        </w:rPr>
        <w:t> </w:t>
      </w:r>
      <w:r>
        <w:rPr/>
        <w:t>余万元，同时使用募集资</w:t>
      </w:r>
    </w:p>
    <w:p>
      <w:pPr>
        <w:pStyle w:val="BodyText"/>
        <w:spacing w:line="240" w:lineRule="auto" w:before="14"/>
        <w:ind w:left="293" w:right="0"/>
        <w:jc w:val="left"/>
      </w:pPr>
      <w:r>
        <w:rPr/>
        <w:t>金投入该项目每年可节省银行贷款利息所产生的财务成本约</w:t>
      </w:r>
      <w:r>
        <w:rPr>
          <w:spacing w:val="-60"/>
        </w:rPr>
        <w:t> </w:t>
      </w:r>
      <w:r>
        <w:rPr/>
        <w:t>400</w:t>
      </w:r>
      <w:r>
        <w:rPr>
          <w:spacing w:val="-60"/>
        </w:rPr>
        <w:t> </w:t>
      </w:r>
      <w:r>
        <w:rPr/>
        <w:t>万元。</w:t>
      </w:r>
    </w:p>
    <w:p>
      <w:pPr>
        <w:pStyle w:val="BodyText"/>
        <w:spacing w:line="290" w:lineRule="auto" w:before="66"/>
        <w:ind w:left="773" w:right="0"/>
        <w:jc w:val="left"/>
      </w:pPr>
      <w:r>
        <w:rPr/>
        <w:t>（7）会计师事务所对募集资金年度使用和存放情况专项报告的鉴证意见： 经审核，贵公司募集资金报告的编制符合《中小板上市公司募集资金管理细则》，在所</w:t>
      </w:r>
    </w:p>
    <w:p>
      <w:pPr>
        <w:pStyle w:val="BodyText"/>
        <w:spacing w:line="278" w:lineRule="auto" w:before="14"/>
        <w:ind w:left="773" w:right="0" w:hanging="480"/>
        <w:jc w:val="left"/>
      </w:pPr>
      <w:r>
        <w:rPr/>
        <w:t>有重大方面反映了贵公司截至2008年12月31日止募集资金的使用情况。 此外，我们提醒报告使用者注意：公司对部分募集资金使用情况作了相关说明，公司的</w:t>
      </w:r>
    </w:p>
    <w:p>
      <w:pPr>
        <w:pStyle w:val="BodyText"/>
        <w:spacing w:line="276" w:lineRule="auto" w:before="7"/>
        <w:ind w:left="293" w:right="0"/>
        <w:jc w:val="left"/>
      </w:pPr>
      <w:r>
        <w:rPr/>
        <w:t>上市募集资金全部为人民币，但是使用募集资金投入的部分技改项目需要以外币美元支付，</w:t>
      </w:r>
      <w:r>
        <w:rPr>
          <w:spacing w:val="-83"/>
        </w:rPr>
        <w:t> </w:t>
      </w:r>
      <w:r>
        <w:rPr>
          <w:spacing w:val="-83"/>
        </w:rPr>
      </w:r>
      <w:r>
        <w:rPr/>
        <w:t>因此公司在实际支付过程中用出口销售收入收到的美元支付了应由募集资金投入的部分技改</w:t>
      </w:r>
    </w:p>
    <w:p>
      <w:pPr>
        <w:spacing w:after="0" w:line="276" w:lineRule="auto"/>
        <w:jc w:val="left"/>
        <w:sectPr>
          <w:pgSz w:w="11910" w:h="16840"/>
          <w:pgMar w:header="787" w:footer="1339" w:top="1020" w:bottom="1520" w:left="840" w:right="780"/>
        </w:sectPr>
      </w:pPr>
    </w:p>
    <w:p>
      <w:pPr>
        <w:spacing w:line="240" w:lineRule="auto" w:before="0"/>
        <w:rPr>
          <w:rFonts w:ascii="宋体" w:hAnsi="宋体" w:cs="宋体" w:eastAsia="宋体" w:hint="default"/>
          <w:sz w:val="20"/>
          <w:szCs w:val="20"/>
        </w:rPr>
      </w:pPr>
    </w:p>
    <w:p>
      <w:pPr>
        <w:pStyle w:val="BodyText"/>
        <w:spacing w:line="276" w:lineRule="auto" w:before="157"/>
        <w:ind w:right="228"/>
        <w:jc w:val="both"/>
      </w:pPr>
      <w:r>
        <w:rPr/>
        <w:t>项目支出，同时将相等价值的人民币金额从募集资金专用账户转移至人民币基本账户用于支</w:t>
      </w:r>
      <w:r>
        <w:rPr>
          <w:spacing w:val="-83"/>
        </w:rPr>
        <w:t> </w:t>
      </w:r>
      <w:r>
        <w:rPr>
          <w:spacing w:val="-83"/>
        </w:rPr>
      </w:r>
      <w:r>
        <w:rPr/>
        <w:t>付公司所需的其他人民币业务。使用美元支付的应由募集资金投入的部分技改项目支出，和</w:t>
      </w:r>
      <w:r>
        <w:rPr>
          <w:spacing w:val="-83"/>
        </w:rPr>
        <w:t> </w:t>
      </w:r>
      <w:r>
        <w:rPr>
          <w:spacing w:val="-83"/>
        </w:rPr>
      </w:r>
      <w:r>
        <w:rPr/>
        <w:t>从募集资金专用账户转移至人民币基本账户的发生金额并不完全对应。</w:t>
      </w:r>
    </w:p>
    <w:p>
      <w:pPr>
        <w:spacing w:line="240" w:lineRule="auto" w:before="4"/>
        <w:rPr>
          <w:rFonts w:ascii="宋体" w:hAnsi="宋体" w:cs="宋体" w:eastAsia="宋体" w:hint="default"/>
          <w:sz w:val="28"/>
          <w:szCs w:val="28"/>
        </w:rPr>
      </w:pPr>
    </w:p>
    <w:p>
      <w:pPr>
        <w:pStyle w:val="BodyText"/>
        <w:spacing w:line="240" w:lineRule="auto" w:before="0"/>
        <w:ind w:left="633" w:right="95"/>
        <w:jc w:val="left"/>
      </w:pPr>
      <w:r>
        <w:rPr/>
        <w:t>2、非募集资金投资情况</w:t>
      </w:r>
    </w:p>
    <w:p>
      <w:pPr>
        <w:pStyle w:val="BodyText"/>
        <w:spacing w:line="276" w:lineRule="auto" w:before="46"/>
        <w:ind w:right="95" w:firstLine="460"/>
        <w:jc w:val="left"/>
      </w:pPr>
      <w:r>
        <w:rPr>
          <w:spacing w:val="20"/>
        </w:rPr>
        <w:t>2008年5</w:t>
      </w:r>
      <w:r>
        <w:rPr>
          <w:spacing w:val="-58"/>
        </w:rPr>
        <w:t> </w:t>
      </w:r>
      <w:r>
        <w:rPr>
          <w:spacing w:val="-11"/>
        </w:rPr>
        <w:t>月，本公司控股子公司实益达科技（香港）有限公司（以下简称“香港实益达”）</w:t>
      </w:r>
      <w:r>
        <w:rPr/>
        <w:t> 与美国 C2 MICROSYSTEMS INC 公司（以下简称“C2 </w:t>
      </w:r>
      <w:r>
        <w:rPr>
          <w:spacing w:val="-15"/>
        </w:rPr>
        <w:t>公司”）签署《股票购买协议》，以</w:t>
      </w:r>
      <w:r>
        <w:rPr>
          <w:spacing w:val="-84"/>
        </w:rPr>
        <w:t> </w:t>
      </w:r>
      <w:r>
        <w:rPr/>
        <w:t>1.12</w:t>
      </w:r>
      <w:r>
        <w:rPr/>
        <w:t> 美元/股的价格购买</w:t>
      </w:r>
      <w:r>
        <w:rPr>
          <w:spacing w:val="-59"/>
        </w:rPr>
        <w:t> </w:t>
      </w:r>
      <w:r>
        <w:rPr/>
        <w:t>C2</w:t>
      </w:r>
      <w:r>
        <w:rPr>
          <w:spacing w:val="-59"/>
        </w:rPr>
        <w:t> </w:t>
      </w:r>
      <w:r>
        <w:rPr/>
        <w:t>公司</w:t>
      </w:r>
      <w:r>
        <w:rPr>
          <w:spacing w:val="-59"/>
        </w:rPr>
        <w:t> </w:t>
      </w:r>
      <w:r>
        <w:rPr/>
        <w:t>200</w:t>
      </w:r>
      <w:r>
        <w:rPr>
          <w:spacing w:val="-59"/>
        </w:rPr>
        <w:t> </w:t>
      </w:r>
      <w:r>
        <w:rPr>
          <w:spacing w:val="-6"/>
        </w:rPr>
        <w:t>万股份，总投资额</w:t>
      </w:r>
      <w:r>
        <w:rPr>
          <w:spacing w:val="-59"/>
        </w:rPr>
        <w:t> </w:t>
      </w:r>
      <w:r>
        <w:rPr/>
        <w:t>224</w:t>
      </w:r>
      <w:r>
        <w:rPr>
          <w:spacing w:val="-59"/>
        </w:rPr>
        <w:t> </w:t>
      </w:r>
      <w:r>
        <w:rPr>
          <w:spacing w:val="-9"/>
        </w:rPr>
        <w:t>万美元，占</w:t>
      </w:r>
      <w:r>
        <w:rPr>
          <w:spacing w:val="-59"/>
        </w:rPr>
        <w:t> </w:t>
      </w:r>
      <w:r>
        <w:rPr/>
        <w:t>C2</w:t>
      </w:r>
      <w:r>
        <w:rPr>
          <w:spacing w:val="-59"/>
        </w:rPr>
        <w:t> </w:t>
      </w:r>
      <w:r>
        <w:rPr/>
        <w:t>公司本次增资扩股结束</w:t>
      </w:r>
      <w:r>
        <w:rPr>
          <w:spacing w:val="-118"/>
        </w:rPr>
        <w:t> </w:t>
      </w:r>
      <w:r>
        <w:rPr>
          <w:spacing w:val="-118"/>
        </w:rPr>
      </w:r>
      <w:r>
        <w:rPr/>
        <w:t>后总股份数的比例为</w:t>
      </w:r>
      <w:r>
        <w:rPr>
          <w:spacing w:val="-60"/>
        </w:rPr>
        <w:t> </w:t>
      </w:r>
      <w:r>
        <w:rPr/>
        <w:t>4％。公司于</w:t>
      </w:r>
      <w:r>
        <w:rPr>
          <w:spacing w:val="-60"/>
        </w:rPr>
        <w:t> </w:t>
      </w:r>
      <w:r>
        <w:rPr/>
        <w:t>2008</w:t>
      </w:r>
      <w:r>
        <w:rPr>
          <w:spacing w:val="-60"/>
        </w:rPr>
        <w:t> </w:t>
      </w:r>
      <w:r>
        <w:rPr/>
        <w:t>年</w:t>
      </w:r>
      <w:r>
        <w:rPr>
          <w:spacing w:val="-60"/>
        </w:rPr>
        <w:t> </w:t>
      </w:r>
      <w:r>
        <w:rPr/>
        <w:t>6</w:t>
      </w:r>
      <w:r>
        <w:rPr>
          <w:spacing w:val="-60"/>
        </w:rPr>
        <w:t> </w:t>
      </w:r>
      <w:r>
        <w:rPr/>
        <w:t>月收到代表</w:t>
      </w:r>
      <w:r>
        <w:rPr>
          <w:spacing w:val="-60"/>
        </w:rPr>
        <w:t> </w:t>
      </w:r>
      <w:r>
        <w:rPr/>
        <w:t>C2</w:t>
      </w:r>
      <w:r>
        <w:rPr>
          <w:spacing w:val="-60"/>
        </w:rPr>
        <w:t> </w:t>
      </w:r>
      <w:r>
        <w:rPr/>
        <w:t>公司</w:t>
      </w:r>
      <w:r>
        <w:rPr>
          <w:spacing w:val="-60"/>
        </w:rPr>
        <w:t> </w:t>
      </w:r>
      <w:r>
        <w:rPr/>
        <w:t>200</w:t>
      </w:r>
      <w:r>
        <w:rPr>
          <w:spacing w:val="-60"/>
        </w:rPr>
        <w:t> </w:t>
      </w:r>
      <w:r>
        <w:rPr/>
        <w:t>万股份的股票证书。</w:t>
      </w:r>
    </w:p>
    <w:p>
      <w:pPr>
        <w:pStyle w:val="BodyText"/>
        <w:spacing w:line="276" w:lineRule="auto" w:before="10"/>
        <w:ind w:right="231" w:firstLine="460"/>
        <w:jc w:val="both"/>
      </w:pPr>
      <w:r>
        <w:rPr/>
        <w:t>C2 公司是一家注册地位于美国加州 San Jose</w:t>
      </w:r>
      <w:r>
        <w:rPr>
          <w:spacing w:val="-66"/>
        </w:rPr>
        <w:t> </w:t>
      </w:r>
      <w:r>
        <w:rPr/>
        <w:t>的非上市高科技企业，主营业务为芯片开</w:t>
      </w:r>
      <w:r>
        <w:rPr/>
        <w:t> </w:t>
      </w:r>
      <w:r>
        <w:rPr>
          <w:spacing w:val="-2"/>
        </w:rPr>
        <w:t>发。该公司高级研发中心位于美国硅谷，共有集成电路设计、DSP、数字音视频编解码算法和</w:t>
      </w:r>
      <w:r>
        <w:rPr/>
        <w:t> </w:t>
      </w:r>
      <w:r>
        <w:rPr>
          <w:spacing w:val="-6"/>
        </w:rPr>
        <w:t>混合信号设计领域的专家近百名，在</w:t>
      </w:r>
      <w:r>
        <w:rPr>
          <w:spacing w:val="-57"/>
        </w:rPr>
        <w:t> </w:t>
      </w:r>
      <w:r>
        <w:rPr/>
        <w:t>2005</w:t>
      </w:r>
      <w:r>
        <w:rPr>
          <w:spacing w:val="-57"/>
        </w:rPr>
        <w:t> </w:t>
      </w:r>
      <w:r>
        <w:rPr/>
        <w:t>年底开发出拥有自主知识产权的</w:t>
      </w:r>
      <w:r>
        <w:rPr>
          <w:spacing w:val="-57"/>
        </w:rPr>
        <w:t> </w:t>
      </w:r>
      <w:r>
        <w:rPr/>
        <w:t>500</w:t>
      </w:r>
      <w:r>
        <w:rPr>
          <w:spacing w:val="-57"/>
        </w:rPr>
        <w:t> </w:t>
      </w:r>
      <w:r>
        <w:rPr/>
        <w:t>万门多核可编</w:t>
      </w:r>
      <w:r>
        <w:rPr/>
        <w:t> 程</w:t>
      </w:r>
      <w:r>
        <w:rPr>
          <w:spacing w:val="-65"/>
        </w:rPr>
        <w:t> </w:t>
      </w:r>
      <w:r>
        <w:rPr/>
        <w:t>DSP</w:t>
      </w:r>
      <w:r>
        <w:rPr>
          <w:spacing w:val="-65"/>
        </w:rPr>
        <w:t> </w:t>
      </w:r>
      <w:r>
        <w:rPr/>
        <w:t>SoC</w:t>
      </w:r>
      <w:r>
        <w:rPr>
          <w:spacing w:val="-65"/>
        </w:rPr>
        <w:t> </w:t>
      </w:r>
      <w:r>
        <w:rPr/>
        <w:t>媒体处理器、多媒体</w:t>
      </w:r>
      <w:r>
        <w:rPr>
          <w:spacing w:val="-65"/>
        </w:rPr>
        <w:t> </w:t>
      </w:r>
      <w:r>
        <w:rPr/>
        <w:t>Linux</w:t>
      </w:r>
      <w:r>
        <w:rPr>
          <w:spacing w:val="-65"/>
        </w:rPr>
        <w:t> </w:t>
      </w:r>
      <w:r>
        <w:rPr/>
        <w:t>操作系统、C/C++编译器、调试器、多种音视频编解码</w:t>
      </w:r>
      <w:r>
        <w:rPr/>
        <w:t> 算法和应用软件，目前主要推广产品为 CC1100</w:t>
      </w:r>
      <w:r>
        <w:rPr>
          <w:spacing w:val="-77"/>
        </w:rPr>
        <w:t> </w:t>
      </w:r>
      <w:r>
        <w:rPr>
          <w:spacing w:val="6"/>
        </w:rPr>
        <w:t>数字媒体处理器，支持互联网上所有可下载</w:t>
      </w:r>
      <w:r>
        <w:rPr>
          <w:spacing w:val="12"/>
        </w:rPr>
        <w:t> </w:t>
      </w:r>
      <w:r>
        <w:rPr>
          <w:spacing w:val="11"/>
        </w:rPr>
        <w:t>音视频文件的解码，以及音视频编码和转码功能。C2</w:t>
      </w:r>
      <w:r>
        <w:rPr>
          <w:spacing w:val="-47"/>
        </w:rPr>
        <w:t> </w:t>
      </w:r>
      <w:r>
        <w:rPr>
          <w:spacing w:val="12"/>
        </w:rPr>
        <w:t>公司在中国北京中关村设立了北京</w:t>
      </w:r>
      <w:r>
        <w:rPr>
          <w:spacing w:val="12"/>
        </w:rPr>
        <w:t> 希图视鼎科技有限公司，同时其全球销售中心也设立在北京。</w:t>
      </w:r>
      <w:r>
        <w:rPr/>
      </w:r>
    </w:p>
    <w:p>
      <w:pPr>
        <w:pStyle w:val="BodyText"/>
        <w:spacing w:line="276" w:lineRule="auto" w:before="10"/>
        <w:ind w:right="228" w:firstLine="460"/>
        <w:jc w:val="both"/>
      </w:pPr>
      <w:r>
        <w:rPr/>
        <w:t>数字媒体处理器广泛应用于音视频以及网络宽带媒体播放系统当中，目前该领域主要供</w:t>
      </w:r>
      <w:r>
        <w:rPr>
          <w:spacing w:val="1"/>
        </w:rPr>
        <w:t> </w:t>
      </w:r>
      <w:r>
        <w:rPr/>
        <w:t>应商包括</w:t>
      </w:r>
      <w:r>
        <w:rPr>
          <w:spacing w:val="-63"/>
        </w:rPr>
        <w:t> </w:t>
      </w:r>
      <w:r>
        <w:rPr/>
        <w:t>TI、Broadcom、</w:t>
      </w:r>
      <w:r>
        <w:rPr>
          <w:spacing w:val="-13"/>
        </w:rPr>
        <w:t> </w:t>
      </w:r>
      <w:r>
        <w:rPr/>
        <w:t>ST</w:t>
      </w:r>
      <w:r>
        <w:rPr>
          <w:spacing w:val="-63"/>
        </w:rPr>
        <w:t> </w:t>
      </w:r>
      <w:r>
        <w:rPr/>
        <w:t>和</w:t>
      </w:r>
      <w:r>
        <w:rPr>
          <w:spacing w:val="-63"/>
        </w:rPr>
        <w:t> </w:t>
      </w:r>
      <w:r>
        <w:rPr/>
        <w:t>Sigma</w:t>
      </w:r>
      <w:r>
        <w:rPr>
          <w:spacing w:val="-63"/>
        </w:rPr>
        <w:t> </w:t>
      </w:r>
      <w:r>
        <w:rPr/>
        <w:t>Design</w:t>
      </w:r>
      <w:r>
        <w:rPr>
          <w:spacing w:val="-63"/>
        </w:rPr>
        <w:t> </w:t>
      </w:r>
      <w:r>
        <w:rPr/>
        <w:t>等，在本公司为客户加工生产的机顶盒整机产</w:t>
      </w:r>
      <w:r>
        <w:rPr/>
        <w:t> 品中较多应用 Sigma Design 公司的数字媒体处理器。和上述竞争对手相比较，C2</w:t>
      </w:r>
      <w:r>
        <w:rPr>
          <w:spacing w:val="-84"/>
        </w:rPr>
        <w:t> </w:t>
      </w:r>
      <w:r>
        <w:rPr/>
        <w:t>公司是唯</w:t>
      </w:r>
      <w:r>
        <w:rPr/>
        <w:t> 一一家从芯片、软件、开发工具、市场渠道和售后服务等方面更能够满足中国市场对消费类</w:t>
      </w:r>
      <w:r>
        <w:rPr>
          <w:spacing w:val="-83"/>
        </w:rPr>
        <w:t> </w:t>
      </w:r>
      <w:r>
        <w:rPr>
          <w:spacing w:val="-83"/>
        </w:rPr>
      </w:r>
      <w:r>
        <w:rPr/>
        <w:t>网络多媒体设备需求的公司，同时其主要产品</w:t>
      </w:r>
      <w:r>
        <w:rPr>
          <w:spacing w:val="-60"/>
        </w:rPr>
        <w:t> </w:t>
      </w:r>
      <w:r>
        <w:rPr/>
        <w:t>CC1100</w:t>
      </w:r>
      <w:r>
        <w:rPr>
          <w:spacing w:val="-60"/>
        </w:rPr>
        <w:t> </w:t>
      </w:r>
      <w:r>
        <w:rPr/>
        <w:t>处理器在价格方面更具有竞争优势。</w:t>
      </w:r>
    </w:p>
    <w:p>
      <w:pPr>
        <w:pStyle w:val="BodyText"/>
        <w:spacing w:line="276" w:lineRule="auto" w:before="10"/>
        <w:ind w:right="231" w:firstLine="460"/>
        <w:jc w:val="both"/>
      </w:pPr>
      <w:r>
        <w:rPr>
          <w:spacing w:val="-3"/>
        </w:rPr>
        <w:t>芯片开发是一个高投入高产出并伴随高风险的行业，香港实益达对 </w:t>
      </w:r>
      <w:r>
        <w:rPr/>
        <w:t>C2</w:t>
      </w:r>
      <w:r>
        <w:rPr>
          <w:spacing w:val="-96"/>
        </w:rPr>
        <w:t> </w:t>
      </w:r>
      <w:r>
        <w:rPr/>
        <w:t>公司的投资一方面</w:t>
      </w:r>
      <w:r>
        <w:rPr/>
        <w:t> 看重其主要产品</w:t>
      </w:r>
      <w:r>
        <w:rPr>
          <w:spacing w:val="-51"/>
        </w:rPr>
        <w:t> </w:t>
      </w:r>
      <w:r>
        <w:rPr/>
        <w:t>CC1100</w:t>
      </w:r>
      <w:r>
        <w:rPr>
          <w:spacing w:val="-51"/>
        </w:rPr>
        <w:t> </w:t>
      </w:r>
      <w:r>
        <w:rPr/>
        <w:t>处理器，以及正在研发的新产品</w:t>
      </w:r>
      <w:r>
        <w:rPr>
          <w:spacing w:val="-51"/>
        </w:rPr>
        <w:t> </w:t>
      </w:r>
      <w:r>
        <w:rPr/>
        <w:t>CC1200</w:t>
      </w:r>
      <w:r>
        <w:rPr>
          <w:spacing w:val="-51"/>
        </w:rPr>
        <w:t> </w:t>
      </w:r>
      <w:r>
        <w:rPr/>
        <w:t>处理器未来广阔的市场前景</w:t>
      </w:r>
      <w:r>
        <w:rPr/>
        <w:t> 以及在行业中的竞争优势；另一方面亦希望以与</w:t>
      </w:r>
      <w:r>
        <w:rPr>
          <w:spacing w:val="-74"/>
        </w:rPr>
        <w:t> </w:t>
      </w:r>
      <w:r>
        <w:rPr/>
        <w:t>C2</w:t>
      </w:r>
      <w:r>
        <w:rPr>
          <w:spacing w:val="-74"/>
        </w:rPr>
        <w:t> </w:t>
      </w:r>
      <w:r>
        <w:rPr>
          <w:spacing w:val="-3"/>
        </w:rPr>
        <w:t>公司的合作为契机，在未来合适时机尝试</w:t>
      </w:r>
      <w:r>
        <w:rPr/>
        <w:t> 向视频音频产品高端领域渗透。</w:t>
      </w:r>
    </w:p>
    <w:p>
      <w:pPr>
        <w:pStyle w:val="BodyText"/>
        <w:spacing w:line="276" w:lineRule="auto" w:before="10"/>
        <w:ind w:right="227" w:firstLine="460"/>
        <w:jc w:val="both"/>
      </w:pPr>
      <w:r>
        <w:rPr/>
        <w:t>根据</w:t>
      </w:r>
      <w:r>
        <w:rPr>
          <w:spacing w:val="-75"/>
        </w:rPr>
        <w:t> </w:t>
      </w:r>
      <w:r>
        <w:rPr/>
        <w:t>C2</w:t>
      </w:r>
      <w:r>
        <w:rPr>
          <w:spacing w:val="-75"/>
        </w:rPr>
        <w:t> </w:t>
      </w:r>
      <w:r>
        <w:rPr/>
        <w:t>公司</w:t>
      </w:r>
      <w:r>
        <w:rPr>
          <w:spacing w:val="-75"/>
        </w:rPr>
        <w:t> </w:t>
      </w:r>
      <w:r>
        <w:rPr/>
        <w:t>2008</w:t>
      </w:r>
      <w:r>
        <w:rPr>
          <w:spacing w:val="-75"/>
        </w:rPr>
        <w:t> </w:t>
      </w:r>
      <w:r>
        <w:rPr>
          <w:spacing w:val="-11"/>
        </w:rPr>
        <w:t>半年度财务报表显示，截止</w:t>
      </w:r>
      <w:r>
        <w:rPr>
          <w:spacing w:val="-75"/>
        </w:rPr>
        <w:t> </w:t>
      </w:r>
      <w:r>
        <w:rPr>
          <w:spacing w:val="8"/>
        </w:rPr>
        <w:t>2008年</w:t>
      </w:r>
      <w:r>
        <w:rPr>
          <w:spacing w:val="-75"/>
        </w:rPr>
        <w:t> </w:t>
      </w:r>
      <w:r>
        <w:rPr>
          <w:spacing w:val="15"/>
        </w:rPr>
        <w:t>12月</w:t>
      </w:r>
      <w:r>
        <w:rPr>
          <w:spacing w:val="-75"/>
        </w:rPr>
        <w:t> </w:t>
      </w:r>
      <w:r>
        <w:rPr/>
        <w:t>31</w:t>
      </w:r>
      <w:r>
        <w:rPr>
          <w:spacing w:val="-75"/>
        </w:rPr>
        <w:t> </w:t>
      </w:r>
      <w:r>
        <w:rPr>
          <w:spacing w:val="-30"/>
        </w:rPr>
        <w:t>日，C2</w:t>
      </w:r>
      <w:r>
        <w:rPr>
          <w:spacing w:val="-75"/>
        </w:rPr>
        <w:t> </w:t>
      </w:r>
      <w:r>
        <w:rPr/>
        <w:t>公司总资产为</w:t>
      </w:r>
      <w:r>
        <w:rPr>
          <w:spacing w:val="-75"/>
        </w:rPr>
        <w:t> </w:t>
      </w:r>
      <w:r>
        <w:rPr/>
        <w:t>375.47</w:t>
      </w:r>
      <w:r>
        <w:rPr/>
        <w:t> </w:t>
      </w:r>
      <w:r>
        <w:rPr>
          <w:spacing w:val="3"/>
        </w:rPr>
        <w:t>万美元、净资产 </w:t>
      </w:r>
      <w:r>
        <w:rPr/>
        <w:t>177.17 </w:t>
      </w:r>
      <w:r>
        <w:rPr>
          <w:spacing w:val="2"/>
        </w:rPr>
        <w:t>万美元，2008 </w:t>
      </w:r>
      <w:r>
        <w:rPr>
          <w:spacing w:val="4"/>
        </w:rPr>
        <w:t>年度实现销售收入 </w:t>
      </w:r>
      <w:r>
        <w:rPr/>
        <w:t>219.89</w:t>
      </w:r>
      <w:r>
        <w:rPr>
          <w:spacing w:val="19"/>
        </w:rPr>
        <w:t> </w:t>
      </w:r>
      <w:r>
        <w:rPr>
          <w:spacing w:val="5"/>
        </w:rPr>
        <w:t>万美元，净利润为亏损</w:t>
      </w:r>
      <w:r>
        <w:rPr/>
      </w:r>
    </w:p>
    <w:p>
      <w:pPr>
        <w:pStyle w:val="BodyText"/>
        <w:spacing w:line="276" w:lineRule="auto" w:before="10"/>
        <w:ind w:right="131"/>
        <w:jc w:val="left"/>
      </w:pPr>
      <w:r>
        <w:rPr/>
        <w:t>-1,105.45 万元。从短期来看，C2</w:t>
      </w:r>
      <w:r>
        <w:rPr>
          <w:spacing w:val="-82"/>
        </w:rPr>
        <w:t> </w:t>
      </w:r>
      <w:r>
        <w:rPr/>
        <w:t>公司仍然处于投入阶段，净利润状况为亏损，且由美国次</w:t>
      </w:r>
      <w:r>
        <w:rPr/>
        <w:t> 贷危机所引发的全球性经济危机给</w:t>
      </w:r>
      <w:r>
        <w:rPr>
          <w:spacing w:val="9"/>
        </w:rPr>
        <w:t> </w:t>
      </w:r>
      <w:r>
        <w:rPr/>
        <w:t>C2</w:t>
      </w:r>
      <w:r>
        <w:rPr>
          <w:spacing w:val="9"/>
        </w:rPr>
        <w:t> </w:t>
      </w:r>
      <w:r>
        <w:rPr/>
        <w:t>公司正常的研发、经营和市场拓展活动造成了较大影</w:t>
      </w:r>
      <w:r>
        <w:rPr>
          <w:spacing w:val="-114"/>
        </w:rPr>
        <w:t> </w:t>
      </w:r>
      <w:r>
        <w:rPr>
          <w:spacing w:val="-114"/>
        </w:rPr>
      </w:r>
      <w:r>
        <w:rPr>
          <w:spacing w:val="-5"/>
        </w:rPr>
        <w:t>响。报告期末，香港实益达对</w:t>
      </w:r>
      <w:r>
        <w:rPr>
          <w:spacing w:val="-58"/>
        </w:rPr>
        <w:t> </w:t>
      </w:r>
      <w:r>
        <w:rPr/>
        <w:t>C2</w:t>
      </w:r>
      <w:r>
        <w:rPr>
          <w:spacing w:val="-58"/>
        </w:rPr>
        <w:t> </w:t>
      </w:r>
      <w:r>
        <w:rPr/>
        <w:t>公司的投资计提了人民币</w:t>
      </w:r>
      <w:r>
        <w:rPr>
          <w:spacing w:val="-58"/>
        </w:rPr>
        <w:t> </w:t>
      </w:r>
      <w:r>
        <w:rPr/>
        <w:t>1077.54</w:t>
      </w:r>
      <w:r>
        <w:rPr>
          <w:spacing w:val="-58"/>
        </w:rPr>
        <w:t> </w:t>
      </w:r>
      <w:r>
        <w:rPr>
          <w:spacing w:val="-3"/>
        </w:rPr>
        <w:t>万元的减值准备，由此对</w:t>
      </w:r>
      <w:r>
        <w:rPr>
          <w:spacing w:val="-117"/>
        </w:rPr>
        <w:t> </w:t>
      </w:r>
      <w:r>
        <w:rPr>
          <w:spacing w:val="-117"/>
        </w:rPr>
      </w:r>
      <w:r>
        <w:rPr/>
        <w:t>香港实益达及本公司的财务状况产生较大不利影响。鉴于经济危机的影响短时间之内难以消</w:t>
      </w:r>
      <w:r>
        <w:rPr>
          <w:spacing w:val="-83"/>
        </w:rPr>
        <w:t> </w:t>
      </w:r>
      <w:r>
        <w:rPr>
          <w:spacing w:val="-83"/>
        </w:rPr>
      </w:r>
      <w:r>
        <w:rPr/>
        <w:t>退，虽然</w:t>
      </w:r>
      <w:r>
        <w:rPr>
          <w:spacing w:val="-60"/>
        </w:rPr>
        <w:t> </w:t>
      </w:r>
      <w:r>
        <w:rPr/>
        <w:t>C2</w:t>
      </w:r>
      <w:r>
        <w:rPr>
          <w:spacing w:val="-60"/>
        </w:rPr>
        <w:t> </w:t>
      </w:r>
      <w:r>
        <w:rPr/>
        <w:t>公司已经开始了新一轮的增资扩股，但是其经营状况依然存在继续恶化的可能，</w:t>
      </w:r>
      <w:r>
        <w:rPr/>
        <w:t> 公司董事会特别提请投资者注意投资风险。</w:t>
      </w:r>
    </w:p>
    <w:p>
      <w:pPr>
        <w:spacing w:line="240" w:lineRule="auto" w:before="4"/>
        <w:rPr>
          <w:rFonts w:ascii="宋体" w:hAnsi="宋体" w:cs="宋体" w:eastAsia="宋体" w:hint="default"/>
          <w:sz w:val="28"/>
          <w:szCs w:val="28"/>
        </w:rPr>
      </w:pPr>
    </w:p>
    <w:p>
      <w:pPr>
        <w:pStyle w:val="BodyText"/>
        <w:spacing w:line="240" w:lineRule="auto" w:before="0"/>
        <w:ind w:left="633" w:right="95"/>
        <w:jc w:val="left"/>
      </w:pPr>
      <w:r>
        <w:rPr/>
        <w:t>四、董事会日常工作情况</w:t>
      </w:r>
    </w:p>
    <w:p>
      <w:pPr>
        <w:pStyle w:val="BodyText"/>
        <w:spacing w:line="276" w:lineRule="auto" w:before="46"/>
        <w:ind w:left="633" w:right="215"/>
        <w:jc w:val="left"/>
      </w:pPr>
      <w:r>
        <w:rPr/>
        <w:t>（一）董事会的会议情况及决议情况 </w:t>
      </w:r>
      <w:r>
        <w:rPr>
          <w:spacing w:val="-2"/>
        </w:rPr>
        <w:t>1、第一届董事会第二十一次会议于2008年1月2日在深圳市南山区高新区北区清华信息港</w:t>
      </w:r>
    </w:p>
    <w:p>
      <w:pPr>
        <w:pStyle w:val="BodyText"/>
        <w:spacing w:line="240" w:lineRule="auto" w:before="10"/>
        <w:ind w:right="95"/>
        <w:jc w:val="left"/>
      </w:pPr>
      <w:r>
        <w:rPr/>
        <w:t>研发楼B栋501会议室召开，该次董事会决议公告刊登于2008年1月3日的《证券时报》及本公</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276" w:lineRule="auto" w:before="157"/>
        <w:ind w:left="634" w:right="134" w:hanging="480"/>
        <w:jc w:val="left"/>
      </w:pPr>
      <w:r>
        <w:rPr/>
        <w:t>司指定信息披露网站“巨潮资讯网”。 </w:t>
      </w:r>
      <w:r>
        <w:rPr>
          <w:spacing w:val="-2"/>
        </w:rPr>
        <w:t>2、第一届董事会第二十二次会议于2008年3月5日以现场召开现场表决与通讯表决相结合</w:t>
      </w:r>
    </w:p>
    <w:p>
      <w:pPr>
        <w:pStyle w:val="BodyText"/>
        <w:spacing w:line="276" w:lineRule="auto" w:before="10"/>
        <w:ind w:left="154" w:right="170"/>
        <w:jc w:val="left"/>
      </w:pPr>
      <w:r>
        <w:rPr/>
        <w:t>的方式在深圳市宝安区大浪街道华兴路龙泉科技园1栋5楼会议室召开，该次董事会决议公告 刊登于2008年3月6日的《证券时报》及本公司指定信息披露网站“巨潮资讯网”。</w:t>
      </w:r>
    </w:p>
    <w:p>
      <w:pPr>
        <w:pStyle w:val="BodyText"/>
        <w:spacing w:line="276" w:lineRule="auto" w:before="10"/>
        <w:ind w:left="154" w:right="151" w:firstLine="480"/>
        <w:jc w:val="both"/>
      </w:pPr>
      <w:r>
        <w:rPr/>
        <w:t>3、第一届董事会第二十三次会议于2008年3月21日以通讯方式召开，</w:t>
      </w:r>
      <w:r>
        <w:rPr>
          <w:spacing w:val="-79"/>
        </w:rPr>
        <w:t> </w:t>
      </w:r>
      <w:r>
        <w:rPr/>
        <w:t>该次董事会决议公</w:t>
      </w:r>
      <w:r>
        <w:rPr/>
        <w:t> 告刊登于2008年3月22日的《证券时报》及本公司指定信息披露网站“巨潮资讯网”。</w:t>
      </w:r>
    </w:p>
    <w:p>
      <w:pPr>
        <w:pStyle w:val="BodyText"/>
        <w:spacing w:line="276" w:lineRule="auto" w:before="10"/>
        <w:ind w:left="154" w:right="188" w:firstLine="480"/>
        <w:jc w:val="both"/>
      </w:pPr>
      <w:r>
        <w:rPr/>
        <w:t>4、第一届董事会第二十四次会议于2008年3月27日以现场会议现场表决和通讯表决相结 合的方式在深圳市宝安区大浪街道华兴路龙泉科技园1栋5楼会议室召开，该次董事会决议公 告刊登于2008年3月28日的《证券时报》及本公司指定信息披露网站“巨潮资讯网”。</w:t>
      </w:r>
    </w:p>
    <w:p>
      <w:pPr>
        <w:pStyle w:val="BodyText"/>
        <w:spacing w:line="276" w:lineRule="auto" w:before="10"/>
        <w:ind w:left="154" w:right="151" w:firstLine="480"/>
        <w:jc w:val="both"/>
      </w:pPr>
      <w:r>
        <w:rPr/>
        <w:t>5、第一届董事会第二十五次会议于2008年4月24日在深圳市宝安区大浪街道华兴路龙泉 </w:t>
      </w:r>
      <w:r>
        <w:rPr>
          <w:spacing w:val="-2"/>
        </w:rPr>
        <w:t>科技园1栋5楼会议室召开，该次董事会决议公告刊登于2008年4月25日的《证券时报》及本公</w:t>
      </w:r>
      <w:r>
        <w:rPr>
          <w:spacing w:val="-114"/>
        </w:rPr>
        <w:t> </w:t>
      </w:r>
      <w:r>
        <w:rPr>
          <w:spacing w:val="-114"/>
        </w:rPr>
      </w:r>
      <w:r>
        <w:rPr/>
        <w:t>司指定信息披露网站“巨潮资讯网”。</w:t>
      </w:r>
    </w:p>
    <w:p>
      <w:pPr>
        <w:pStyle w:val="BodyText"/>
        <w:spacing w:line="276" w:lineRule="auto" w:before="10"/>
        <w:ind w:left="154" w:right="151" w:firstLine="480"/>
        <w:jc w:val="both"/>
      </w:pPr>
      <w:r>
        <w:rPr>
          <w:spacing w:val="-2"/>
        </w:rPr>
        <w:t>6、第一届董事会第二十六次会议于2008年6月3日以现场会议现场表决和通讯表决相结合</w:t>
      </w:r>
      <w:r>
        <w:rPr/>
        <w:t> 的方式在深圳市宝安区大浪街道华兴路龙泉科技园1栋5楼会议室召开，该次董事会决议公告 刊登于2008年6月4日的《证券时报》及本公司指定信息披露网站“巨潮资讯网”。</w:t>
      </w:r>
    </w:p>
    <w:p>
      <w:pPr>
        <w:pStyle w:val="BodyText"/>
        <w:spacing w:line="276" w:lineRule="auto" w:before="10"/>
        <w:ind w:left="154" w:right="151" w:firstLine="480"/>
        <w:jc w:val="both"/>
      </w:pPr>
      <w:r>
        <w:rPr/>
        <w:t>7、第二届董事会第一次会议于2008年6月20日在深圳市南山区高新区北区清华信息港研 </w:t>
      </w:r>
      <w:r>
        <w:rPr>
          <w:spacing w:val="-2"/>
        </w:rPr>
        <w:t>发楼B栋501会议室召开，该次董事会决议公告刊登于2008年6月21日的《证券时报》及本公司</w:t>
      </w:r>
      <w:r>
        <w:rPr>
          <w:spacing w:val="-112"/>
        </w:rPr>
        <w:t> </w:t>
      </w:r>
      <w:r>
        <w:rPr>
          <w:spacing w:val="-112"/>
        </w:rPr>
      </w:r>
      <w:r>
        <w:rPr/>
        <w:t>指定信息披露网站“巨潮资讯网”。</w:t>
      </w:r>
    </w:p>
    <w:p>
      <w:pPr>
        <w:pStyle w:val="BodyText"/>
        <w:spacing w:line="276" w:lineRule="auto" w:before="10"/>
        <w:ind w:left="154" w:right="188" w:firstLine="480"/>
        <w:jc w:val="both"/>
      </w:pPr>
      <w:r>
        <w:rPr/>
        <w:t>8、第二届董事会第二次会议于2008年7月18日以现场会议现场表决和通讯表决相结合的 方式在深圳市宝安区大浪街道华兴路龙泉科技园1栋5楼会议室召开，该次董事会决议公告刊 登于2008年7月19日的《证券时报》及本公司指定信息披露网站“巨潮资讯网”。</w:t>
      </w:r>
    </w:p>
    <w:p>
      <w:pPr>
        <w:pStyle w:val="BodyText"/>
        <w:spacing w:line="276" w:lineRule="auto" w:before="10"/>
        <w:ind w:left="154" w:right="151" w:firstLine="480"/>
        <w:jc w:val="both"/>
      </w:pPr>
      <w:r>
        <w:rPr/>
        <w:t>9、第二届董事会第三次会议于2008年8月26日在深圳市宝安区大浪街道华兴路龙泉科技 </w:t>
      </w:r>
      <w:r>
        <w:rPr>
          <w:spacing w:val="-2"/>
        </w:rPr>
        <w:t>园1栋5楼会议室召开，该次董事会决议公告刊登于2008年8月27日的《证券时报》及本公司指</w:t>
      </w:r>
      <w:r>
        <w:rPr>
          <w:spacing w:val="-114"/>
        </w:rPr>
        <w:t> </w:t>
      </w:r>
      <w:r>
        <w:rPr>
          <w:spacing w:val="-114"/>
        </w:rPr>
      </w:r>
      <w:r>
        <w:rPr/>
        <w:t>定信息披露网站“巨潮资讯网”。</w:t>
      </w:r>
    </w:p>
    <w:p>
      <w:pPr>
        <w:pStyle w:val="BodyText"/>
        <w:spacing w:line="276" w:lineRule="auto" w:before="10"/>
        <w:ind w:left="154" w:right="188" w:firstLine="480"/>
        <w:jc w:val="both"/>
      </w:pPr>
      <w:r>
        <w:rPr/>
        <w:t>10、第二届董事会第二次会议于2008年10月29日以现场会议现场表决和通讯表决相结合 的方式在深圳市宝安区大浪街道华兴路龙泉科技园1栋5楼会议室召开，该次董事会决议公告 刊登于2008年10月30日的《证券时报》及本公司指定信息披露网站“巨潮资讯网”。</w:t>
      </w:r>
    </w:p>
    <w:p>
      <w:pPr>
        <w:pStyle w:val="BodyText"/>
        <w:spacing w:line="276" w:lineRule="auto" w:before="10"/>
        <w:ind w:left="634" w:right="3530"/>
        <w:jc w:val="left"/>
      </w:pPr>
      <w:r>
        <w:rPr/>
        <w:t>（二）董事会对股东大会决议的执行情况 报告期内公司董事会严格执行了股东大会的各项决议。</w:t>
      </w:r>
    </w:p>
    <w:p>
      <w:pPr>
        <w:pStyle w:val="BodyText"/>
        <w:spacing w:line="276" w:lineRule="auto" w:before="10"/>
        <w:ind w:left="634" w:right="5450"/>
        <w:jc w:val="left"/>
      </w:pPr>
      <w:r>
        <w:rPr/>
        <w:t>（三）董事会审计委员会的履职情况 1、审计委员会日常履职情况：</w:t>
      </w:r>
    </w:p>
    <w:p>
      <w:pPr>
        <w:pStyle w:val="BodyText"/>
        <w:spacing w:line="276" w:lineRule="auto" w:before="10"/>
        <w:ind w:left="154" w:right="135" w:firstLine="480"/>
        <w:jc w:val="left"/>
      </w:pPr>
      <w:r>
        <w:rPr/>
        <w:t>于2008年6月20日召开的本公司第二届董事会第一次会审议选举产生了第二届董事会审 </w:t>
      </w:r>
      <w:r>
        <w:rPr>
          <w:spacing w:val="-5"/>
        </w:rPr>
        <w:t>计委员会，报告期内董事会审计委员会根据《公司法》、《上市公司治理准则》及本公司《审</w:t>
      </w:r>
      <w:r>
        <w:rPr>
          <w:spacing w:val="-118"/>
        </w:rPr>
        <w:t> </w:t>
      </w:r>
      <w:r>
        <w:rPr>
          <w:spacing w:val="-118"/>
        </w:rPr>
      </w:r>
      <w:r>
        <w:rPr/>
        <w:t>计委员会工作细则》的有关要求履行了应尽职责，具体履职情况如下：</w:t>
      </w:r>
    </w:p>
    <w:p>
      <w:pPr>
        <w:pStyle w:val="BodyText"/>
        <w:spacing w:line="276" w:lineRule="auto" w:before="10"/>
        <w:ind w:left="154" w:right="188" w:firstLine="480"/>
        <w:jc w:val="both"/>
      </w:pPr>
      <w:r>
        <w:rPr/>
        <w:t>（1）第一届董事会审计委员会第二次会议于2008年1月31日召开，会议审议通过了公司 审计部2007年度内部审计报告等议案。</w:t>
      </w:r>
    </w:p>
    <w:p>
      <w:pPr>
        <w:pStyle w:val="BodyText"/>
        <w:spacing w:line="276" w:lineRule="auto" w:before="10"/>
        <w:ind w:left="154" w:right="188" w:firstLine="480"/>
        <w:jc w:val="both"/>
      </w:pPr>
      <w:r>
        <w:rPr/>
        <w:t>（2）第一届董事会审计委员会第三次会议于2008年3月24日召开，审计委员会审阅了经 初步审计的公司2007年度财务会计报表，认为：经初步审计的2007年度财务报表已经按照企</w:t>
      </w:r>
    </w:p>
    <w:p>
      <w:pPr>
        <w:spacing w:after="0" w:line="276" w:lineRule="auto"/>
        <w:jc w:val="both"/>
        <w:sectPr>
          <w:pgSz w:w="11910" w:h="16840"/>
          <w:pgMar w:header="787" w:footer="1339" w:top="1020" w:bottom="1520" w:left="980" w:right="980"/>
        </w:sectPr>
      </w:pPr>
    </w:p>
    <w:p>
      <w:pPr>
        <w:spacing w:line="240" w:lineRule="auto" w:before="0"/>
        <w:rPr>
          <w:rFonts w:ascii="宋体" w:hAnsi="宋体" w:cs="宋体" w:eastAsia="宋体" w:hint="default"/>
          <w:sz w:val="20"/>
          <w:szCs w:val="20"/>
        </w:rPr>
      </w:pPr>
    </w:p>
    <w:p>
      <w:pPr>
        <w:pStyle w:val="BodyText"/>
        <w:spacing w:line="276" w:lineRule="auto" w:before="157"/>
        <w:ind w:left="154" w:right="228"/>
        <w:jc w:val="both"/>
      </w:pPr>
      <w:r>
        <w:rPr/>
        <w:t>业会计准则的规定编制，在所有重大方面公允发言反应了公司报告期末的资产负债状况以及 2007年度的经营成果和现金流量状况。</w:t>
      </w:r>
    </w:p>
    <w:p>
      <w:pPr>
        <w:pStyle w:val="BodyText"/>
        <w:spacing w:line="276" w:lineRule="auto" w:before="10"/>
        <w:ind w:left="154" w:right="228" w:firstLine="480"/>
        <w:jc w:val="both"/>
      </w:pPr>
      <w:r>
        <w:rPr/>
        <w:t>（3）第一届董事会审计委员会第四次会议于2008年3月26日召开，会议审议通过了关于 年度财务会计报告的审阅意见等议案。</w:t>
      </w:r>
    </w:p>
    <w:p>
      <w:pPr>
        <w:pStyle w:val="BodyText"/>
        <w:spacing w:line="276" w:lineRule="auto" w:before="10"/>
        <w:ind w:left="154" w:right="228" w:firstLine="480"/>
        <w:jc w:val="both"/>
      </w:pPr>
      <w:r>
        <w:rPr/>
        <w:t>（4）第二届审计委员会第一次会议于2008年8月25日召开，会议听取公司关于内部审计 工作及财务管理工作的情况汇报，并做出关于加强财务会计工作的决定。</w:t>
      </w:r>
    </w:p>
    <w:p>
      <w:pPr>
        <w:pStyle w:val="BodyText"/>
        <w:spacing w:line="276" w:lineRule="auto" w:before="10"/>
        <w:ind w:left="634" w:right="210"/>
        <w:jc w:val="left"/>
      </w:pPr>
      <w:r>
        <w:rPr/>
        <w:t>2、审计委员会在2008年度报告审计工作过程中的履职情况： 在2008年度报告审计工作中，审计委员会与执行年度审计工作的会计师协商确定年度财</w:t>
      </w:r>
    </w:p>
    <w:p>
      <w:pPr>
        <w:pStyle w:val="BodyText"/>
        <w:spacing w:line="276" w:lineRule="auto" w:before="10"/>
        <w:ind w:left="154" w:right="228"/>
        <w:jc w:val="both"/>
      </w:pPr>
      <w:r>
        <w:rPr/>
        <w:t>务报告审计工作的时间安排，多次听取公司管理层及会计师关于年度报告审计工作进展情况 以及重点问题的汇报并发表专业意见，保持与会计师的联系和沟通，就有关问题及时交换意 见，确保了审计工作的独立进行核如期完成。</w:t>
      </w:r>
    </w:p>
    <w:p>
      <w:pPr>
        <w:pStyle w:val="BodyText"/>
        <w:spacing w:line="276" w:lineRule="auto" w:before="10"/>
        <w:ind w:left="154" w:right="228" w:firstLine="480"/>
        <w:jc w:val="both"/>
      </w:pPr>
      <w:r>
        <w:rPr/>
        <w:t>于2009年3月3日召开的第二届董事会审计委员会第二次会议听取并审议公司管理层、执 行年度审计工作的注册会计师关于年度审计情况的汇报；听取并审议公司审计部门内部审计 报告。</w:t>
      </w:r>
    </w:p>
    <w:p>
      <w:pPr>
        <w:pStyle w:val="BodyText"/>
        <w:spacing w:line="240" w:lineRule="auto" w:before="10"/>
        <w:ind w:left="634" w:right="210"/>
        <w:jc w:val="left"/>
      </w:pPr>
      <w:r>
        <w:rPr/>
        <w:t>于2009年3月17日召开的第二届董事会审计委员会第三次会议审议通过了以下议案：</w:t>
      </w:r>
    </w:p>
    <w:p>
      <w:pPr>
        <w:pStyle w:val="BodyText"/>
        <w:spacing w:line="240" w:lineRule="auto" w:before="46"/>
        <w:ind w:left="634" w:right="210"/>
        <w:jc w:val="left"/>
      </w:pPr>
      <w:r>
        <w:rPr/>
        <w:t>（1）审议通过公司2008年度财务决算报告、年度报告及摘要。</w:t>
      </w:r>
    </w:p>
    <w:p>
      <w:pPr>
        <w:pStyle w:val="BodyText"/>
        <w:spacing w:line="240" w:lineRule="auto" w:before="46"/>
        <w:ind w:left="634" w:right="210"/>
        <w:jc w:val="left"/>
      </w:pPr>
      <w:r>
        <w:rPr/>
        <w:t>（2）审议通过关于建议董事会制定合理的2008年度利润分配预案的议案。</w:t>
      </w:r>
    </w:p>
    <w:p>
      <w:pPr>
        <w:pStyle w:val="BodyText"/>
        <w:spacing w:line="276" w:lineRule="auto" w:before="46"/>
        <w:ind w:left="154" w:right="191" w:firstLine="480"/>
        <w:jc w:val="both"/>
      </w:pPr>
      <w:r>
        <w:rPr>
          <w:spacing w:val="-2"/>
        </w:rPr>
        <w:t>（3）审议通过公司2008年度报告工作总结，董事会审计委员会认为，公司2008年度报告</w:t>
      </w:r>
      <w:r>
        <w:rPr/>
        <w:t> 的编制程序符合法律、行政法规和中国证监会的规定，报告内容真实、准确、完整地反映了 公司实际情况，不存在任何虚假记载、误导性陈述或者重大遗漏。</w:t>
      </w:r>
    </w:p>
    <w:p>
      <w:pPr>
        <w:pStyle w:val="BodyText"/>
        <w:spacing w:line="240" w:lineRule="auto" w:before="10"/>
        <w:ind w:left="634" w:right="210"/>
        <w:jc w:val="left"/>
      </w:pPr>
      <w:r>
        <w:rPr/>
        <w:t>（4）听取年度审计工作重点事项的汇报。</w:t>
      </w:r>
    </w:p>
    <w:p>
      <w:pPr>
        <w:pStyle w:val="BodyText"/>
        <w:spacing w:line="276" w:lineRule="auto" w:before="46"/>
        <w:ind w:left="634" w:right="210"/>
        <w:jc w:val="left"/>
      </w:pPr>
      <w:r>
        <w:rPr/>
        <w:t>（5）审议通过对立信会计师事务所有限公司年度审计工作的总结报告： 在公司2008年度财务审计工作过程中，执行年度财务审计工作的立信会计师事务所有限</w:t>
      </w:r>
    </w:p>
    <w:p>
      <w:pPr>
        <w:pStyle w:val="BodyText"/>
        <w:spacing w:line="276" w:lineRule="auto" w:before="10"/>
        <w:ind w:left="154" w:right="228"/>
        <w:jc w:val="both"/>
      </w:pPr>
      <w:r>
        <w:rPr/>
        <w:t>公司的相关人员与公司审计委员会、独立董事、财务部门协商确定时间安排，并多次就财务 审计工作过程的进展情况和重点问题向审计委员会、独立董事进行汇报和交换意见，既坚持 了审计工作的独立性，又确保审计工作按期完成。审计委员会对立信会计师事务所有限公司 的工作表示认可。</w:t>
      </w:r>
    </w:p>
    <w:p>
      <w:pPr>
        <w:pStyle w:val="BodyText"/>
        <w:spacing w:line="276" w:lineRule="auto" w:before="10"/>
        <w:ind w:left="634" w:right="172"/>
        <w:jc w:val="left"/>
      </w:pPr>
      <w:r>
        <w:rPr/>
        <w:t>（6）审议通过关于续聘会计师事务所的议案。 </w:t>
      </w:r>
      <w:r>
        <w:rPr>
          <w:spacing w:val="-3"/>
        </w:rPr>
        <w:t>审计委员会经认真审议认为，立信会计师事务所有限公司在担任公司</w:t>
      </w:r>
      <w:r>
        <w:rPr>
          <w:spacing w:val="-56"/>
        </w:rPr>
        <w:t> </w:t>
      </w:r>
      <w:r>
        <w:rPr/>
        <w:t>2008</w:t>
      </w:r>
      <w:r>
        <w:rPr>
          <w:spacing w:val="-56"/>
        </w:rPr>
        <w:t> </w:t>
      </w:r>
      <w:r>
        <w:rPr/>
        <w:t>年度财务审计</w:t>
      </w:r>
    </w:p>
    <w:p>
      <w:pPr>
        <w:pStyle w:val="BodyText"/>
        <w:spacing w:line="276" w:lineRule="auto" w:before="10"/>
        <w:ind w:right="91"/>
        <w:jc w:val="left"/>
      </w:pPr>
      <w:r>
        <w:rPr/>
        <w:t>机构的过程中，坚持独立审计准则，较好地履行了双方签订的《业务约定书》所规定的责任 和义务。审计委员会同意续聘立信会计师事务所有限公司为本公司</w:t>
      </w:r>
      <w:r>
        <w:rPr>
          <w:spacing w:val="-60"/>
        </w:rPr>
        <w:t> </w:t>
      </w:r>
      <w:r>
        <w:rPr/>
        <w:t>2009</w:t>
      </w:r>
      <w:r>
        <w:rPr>
          <w:spacing w:val="-60"/>
        </w:rPr>
        <w:t> </w:t>
      </w:r>
      <w:r>
        <w:rPr/>
        <w:t>年度财务审计机构。</w:t>
      </w:r>
    </w:p>
    <w:p>
      <w:pPr>
        <w:pStyle w:val="BodyText"/>
        <w:spacing w:line="276" w:lineRule="auto" w:before="10"/>
        <w:ind w:left="633" w:right="211"/>
        <w:jc w:val="left"/>
      </w:pPr>
      <w:r>
        <w:rPr/>
        <w:t>（7）审议通过公司</w:t>
      </w:r>
      <w:r>
        <w:rPr>
          <w:spacing w:val="-60"/>
        </w:rPr>
        <w:t> </w:t>
      </w:r>
      <w:r>
        <w:rPr/>
        <w:t>2008</w:t>
      </w:r>
      <w:r>
        <w:rPr>
          <w:spacing w:val="-60"/>
        </w:rPr>
        <w:t> </w:t>
      </w:r>
      <w:r>
        <w:rPr/>
        <w:t>年度《内部控制自我评价报告》</w:t>
      </w:r>
      <w:r>
        <w:rPr/>
        <w:t> 根据深圳证券交易所《中小企业板上市公司内部审计工作指引》的有关规定，公司董事</w:t>
      </w:r>
    </w:p>
    <w:p>
      <w:pPr>
        <w:pStyle w:val="BodyText"/>
        <w:spacing w:line="276" w:lineRule="auto" w:before="10"/>
        <w:ind w:right="228"/>
        <w:jc w:val="both"/>
      </w:pPr>
      <w:r>
        <w:rPr/>
        <w:t>会、董事会审计委员会及内部审计部门编制了2008年度《内部控制自我评价报告》，审计委 员会经审议认为：</w:t>
      </w:r>
    </w:p>
    <w:p>
      <w:pPr>
        <w:pStyle w:val="BodyText"/>
        <w:spacing w:line="276" w:lineRule="auto" w:before="10"/>
        <w:ind w:right="191" w:firstLine="480"/>
        <w:jc w:val="both"/>
      </w:pPr>
      <w:r>
        <w:rPr/>
        <w:t>公司已建立了较为完善、有效的内部控制制度，并得到了基本有效的落实和执行，公司 2008</w:t>
      </w:r>
      <w:r>
        <w:rPr>
          <w:spacing w:val="-82"/>
        </w:rPr>
        <w:t> </w:t>
      </w:r>
      <w:r>
        <w:rPr/>
        <w:t>年度《内部控制自我评价报告》的内容基本真实、准确、客观。同时公司在内部控制方</w:t>
      </w:r>
      <w:r>
        <w:rPr/>
        <w:t> 面还存在问题和不足，应在今后的工作中进一步完善、强化内部控制制度，提高内部控制制</w:t>
      </w:r>
    </w:p>
    <w:p>
      <w:pPr>
        <w:spacing w:after="0" w:line="276" w:lineRule="auto"/>
        <w:jc w:val="both"/>
        <w:sectPr>
          <w:pgSz w:w="11910" w:h="16840"/>
          <w:pgMar w:header="787" w:footer="1339" w:top="1020" w:bottom="1520" w:left="980" w:right="940"/>
        </w:sectPr>
      </w:pPr>
    </w:p>
    <w:p>
      <w:pPr>
        <w:spacing w:line="240" w:lineRule="auto" w:before="0"/>
        <w:rPr>
          <w:rFonts w:ascii="宋体" w:hAnsi="宋体" w:cs="宋体" w:eastAsia="宋体" w:hint="default"/>
          <w:sz w:val="20"/>
          <w:szCs w:val="20"/>
        </w:rPr>
      </w:pPr>
    </w:p>
    <w:p>
      <w:pPr>
        <w:pStyle w:val="BodyText"/>
        <w:spacing w:line="240" w:lineRule="auto" w:before="157"/>
        <w:ind w:left="154" w:right="0"/>
        <w:jc w:val="left"/>
      </w:pPr>
      <w:r>
        <w:rPr/>
        <w:t>度的效率和效益。</w:t>
      </w:r>
    </w:p>
    <w:p>
      <w:pPr>
        <w:pStyle w:val="BodyText"/>
        <w:spacing w:line="240" w:lineRule="auto" w:before="46"/>
        <w:ind w:left="634" w:right="0"/>
        <w:jc w:val="left"/>
      </w:pPr>
      <w:r>
        <w:rPr/>
        <w:t>（8）审议通过审计委员会</w:t>
      </w:r>
      <w:r>
        <w:rPr>
          <w:spacing w:val="-60"/>
        </w:rPr>
        <w:t> </w:t>
      </w:r>
      <w:r>
        <w:rPr/>
        <w:t>2009</w:t>
      </w:r>
      <w:r>
        <w:rPr>
          <w:spacing w:val="-60"/>
        </w:rPr>
        <w:t> </w:t>
      </w:r>
      <w:r>
        <w:rPr/>
        <w:t>年度重点工作计划。</w:t>
      </w:r>
    </w:p>
    <w:p>
      <w:pPr>
        <w:pStyle w:val="BodyText"/>
        <w:spacing w:line="276" w:lineRule="auto" w:before="46"/>
        <w:ind w:left="634" w:right="290"/>
        <w:jc w:val="left"/>
      </w:pPr>
      <w:r>
        <w:rPr/>
        <w:t>（四）董事会薪酬委员会的履职情况 于2008年6月20日召开的本公司第二届董事会第一次会审议选举产生了第二届董事会薪</w:t>
      </w:r>
    </w:p>
    <w:p>
      <w:pPr>
        <w:pStyle w:val="BodyText"/>
        <w:spacing w:line="276" w:lineRule="auto" w:before="10"/>
        <w:ind w:left="154" w:right="135"/>
        <w:jc w:val="left"/>
      </w:pPr>
      <w:r>
        <w:rPr>
          <w:spacing w:val="-5"/>
        </w:rPr>
        <w:t>酬委员会，报告期内董事会薪酬委员会根据《公司法》、《上市公司治理准则》及本公司《薪</w:t>
      </w:r>
      <w:r>
        <w:rPr>
          <w:spacing w:val="-118"/>
        </w:rPr>
        <w:t> </w:t>
      </w:r>
      <w:r>
        <w:rPr>
          <w:spacing w:val="-118"/>
        </w:rPr>
      </w:r>
      <w:r>
        <w:rPr/>
        <w:t>酬委员会工作细则》的有关要求履行了应尽职责，具体履职情况如下：</w:t>
      </w:r>
    </w:p>
    <w:p>
      <w:pPr>
        <w:pStyle w:val="BodyText"/>
        <w:spacing w:line="276" w:lineRule="auto" w:before="10"/>
        <w:ind w:left="154" w:right="188" w:firstLine="480"/>
        <w:jc w:val="both"/>
      </w:pPr>
      <w:r>
        <w:rPr/>
        <w:t>1、第一届董事会薪酬委员会第二次会议于2008年3月26日召开，会议审议通过了薪酬委 员会2007年度工作总结及2008年度工作重点、2007年度公司董事、监事和高级管理人员所披 露的薪酬发放情况等议案。</w:t>
      </w:r>
    </w:p>
    <w:p>
      <w:pPr>
        <w:pStyle w:val="BodyText"/>
        <w:spacing w:line="276" w:lineRule="auto" w:before="10"/>
        <w:ind w:left="154" w:right="188" w:firstLine="480"/>
        <w:jc w:val="both"/>
      </w:pPr>
      <w:r>
        <w:rPr/>
        <w:t>2、第二届董事会薪酬委员会第一次会议于2008年8月25日召开，会议听取公司管理层关 于2008年上半年员工薪酬状况的说明，并做出关于公司薪酬制度制定策略的决定。</w:t>
      </w:r>
    </w:p>
    <w:p>
      <w:pPr>
        <w:pStyle w:val="BodyText"/>
        <w:spacing w:line="276" w:lineRule="auto" w:before="10"/>
        <w:ind w:left="154" w:right="188" w:firstLine="480"/>
        <w:jc w:val="both"/>
      </w:pPr>
      <w:r>
        <w:rPr/>
        <w:t>3、第二届董事会薪酬委员会第二次会议于2009年3月17日召开，会议审议通过了薪酬委 员会2008年度工作总结及2009年度工作重点、2008年度公司董事和高级管理人员领取薪酬情 况等议案。薪酬委员会经审核后认为：公司董事和高级管理人员的薪酬决策程序符合有关规 定；公司董事、监事和高级管理人员按照各自职务根据公司现行薪酬制度领取报酬，薪酬标 准符合公司现行薪酬管理制度；公司第二届董事会第六次会议拟审议的，以及2008年度报告 中所披露的董事和高级管理人员薪酬领取情况真实、准确。</w:t>
      </w:r>
    </w:p>
    <w:p>
      <w:pPr>
        <w:pStyle w:val="BodyText"/>
        <w:spacing w:line="240" w:lineRule="auto" w:before="10"/>
        <w:ind w:left="634" w:right="0"/>
        <w:jc w:val="left"/>
      </w:pPr>
      <w:r>
        <w:rPr/>
        <w:t>公司尚未制定股权激励计划。</w:t>
      </w:r>
    </w:p>
    <w:p>
      <w:pPr>
        <w:pStyle w:val="BodyText"/>
        <w:spacing w:line="276" w:lineRule="auto" w:before="46"/>
        <w:ind w:left="634" w:right="290"/>
        <w:jc w:val="left"/>
      </w:pPr>
      <w:r>
        <w:rPr/>
        <w:t>（五）董事会提名委员会履职情况 于2008年6月20日召开的本公司第二届董事会第一次会审议选举产生了第二届董事会提</w:t>
      </w:r>
    </w:p>
    <w:p>
      <w:pPr>
        <w:pStyle w:val="BodyText"/>
        <w:spacing w:line="276" w:lineRule="auto" w:before="10"/>
        <w:ind w:left="154" w:right="135"/>
        <w:jc w:val="left"/>
      </w:pPr>
      <w:r>
        <w:rPr>
          <w:spacing w:val="-5"/>
        </w:rPr>
        <w:t>名委员会，报告期内董事会提名委员会根据《公司法》、《上市公司治理准则》及本公司《提</w:t>
      </w:r>
      <w:r>
        <w:rPr>
          <w:spacing w:val="-118"/>
        </w:rPr>
        <w:t> </w:t>
      </w:r>
      <w:r>
        <w:rPr>
          <w:spacing w:val="-118"/>
        </w:rPr>
      </w:r>
      <w:r>
        <w:rPr/>
        <w:t>名委员会工作细则》的有关要求履行了应尽职责，具体履职情况如下：</w:t>
      </w:r>
    </w:p>
    <w:p>
      <w:pPr>
        <w:pStyle w:val="BodyText"/>
        <w:spacing w:line="276" w:lineRule="auto" w:before="10"/>
        <w:ind w:left="154" w:right="188" w:firstLine="480"/>
        <w:jc w:val="both"/>
      </w:pPr>
      <w:r>
        <w:rPr/>
        <w:t>1、第一届董事会提名委员会第二次会议于2008年3月26日召开，会议审议通过了提名委 员会2007年度工作总结及2008年度工作重点等议案。</w:t>
      </w:r>
    </w:p>
    <w:p>
      <w:pPr>
        <w:pStyle w:val="BodyText"/>
        <w:spacing w:line="276" w:lineRule="auto" w:before="10"/>
        <w:ind w:left="154" w:right="151" w:firstLine="480"/>
        <w:jc w:val="both"/>
      </w:pPr>
      <w:r>
        <w:rPr>
          <w:spacing w:val="-2"/>
        </w:rPr>
        <w:t>2、第一届董事会提名委员会第三次会议于2008年6月2日召开，会议审议并通过了关于公</w:t>
      </w:r>
      <w:r>
        <w:rPr/>
        <w:t> 司第二届董事会候选董事提名的议案。提名委员会认为：董事候选人均具备其行使职权相适 应的任职条件，符合公司董事的任职资格，未发现有《公司法》第57、58条规定的禁止任职 </w:t>
      </w:r>
      <w:r>
        <w:rPr>
          <w:spacing w:val="-5"/>
        </w:rPr>
        <w:t>情况，以及被中国证监会确定为市场禁入者并且尚未解除的情形。被提名的董事亦不存在《公</w:t>
      </w:r>
      <w:r>
        <w:rPr/>
        <w:t> 司章程》规定的不能担任公司董事的情形。</w:t>
      </w:r>
    </w:p>
    <w:p>
      <w:pPr>
        <w:pStyle w:val="BodyText"/>
        <w:spacing w:line="240" w:lineRule="auto" w:before="10"/>
        <w:ind w:left="634" w:right="0"/>
        <w:jc w:val="left"/>
      </w:pPr>
      <w:r>
        <w:rPr/>
        <w:t>3、第二届董事会提名委员会第一次会议于</w:t>
      </w:r>
      <w:r>
        <w:rPr>
          <w:spacing w:val="-32"/>
        </w:rPr>
        <w:t> </w:t>
      </w:r>
      <w:r>
        <w:rPr>
          <w:spacing w:val="36"/>
        </w:rPr>
        <w:t>2008年8月</w:t>
      </w:r>
      <w:r>
        <w:rPr>
          <w:spacing w:val="-32"/>
        </w:rPr>
        <w:t> </w:t>
      </w:r>
      <w:r>
        <w:rPr/>
        <w:t>25</w:t>
      </w:r>
      <w:r>
        <w:rPr>
          <w:spacing w:val="-32"/>
        </w:rPr>
        <w:t> </w:t>
      </w:r>
      <w:r>
        <w:rPr/>
        <w:t>日召开，会议听取公司关于</w:t>
      </w:r>
    </w:p>
    <w:p>
      <w:pPr>
        <w:pStyle w:val="BodyText"/>
        <w:spacing w:line="240" w:lineRule="auto" w:before="46"/>
        <w:ind w:right="0"/>
        <w:jc w:val="left"/>
      </w:pPr>
      <w:r>
        <w:rPr/>
        <w:t>2008</w:t>
      </w:r>
      <w:r>
        <w:rPr>
          <w:spacing w:val="-60"/>
        </w:rPr>
        <w:t> </w:t>
      </w:r>
      <w:r>
        <w:rPr/>
        <w:t>半年度主要人事任免的情况汇报，审议通过了关于公司人力资源管理策略的议案。</w:t>
      </w:r>
    </w:p>
    <w:p>
      <w:pPr>
        <w:pStyle w:val="BodyText"/>
        <w:spacing w:line="276" w:lineRule="auto" w:before="46"/>
        <w:ind w:right="151" w:firstLine="480"/>
        <w:jc w:val="both"/>
      </w:pPr>
      <w:r>
        <w:rPr>
          <w:spacing w:val="-3"/>
        </w:rPr>
        <w:t>4、第二届董事会提名委员会第二次会议于</w:t>
      </w:r>
      <w:r>
        <w:rPr>
          <w:spacing w:val="-50"/>
        </w:rPr>
        <w:t> </w:t>
      </w:r>
      <w:r>
        <w:rPr>
          <w:spacing w:val="25"/>
        </w:rPr>
        <w:t>2009年3月</w:t>
      </w:r>
      <w:r>
        <w:rPr>
          <w:spacing w:val="-50"/>
        </w:rPr>
        <w:t> </w:t>
      </w:r>
      <w:r>
        <w:rPr/>
        <w:t>17</w:t>
      </w:r>
      <w:r>
        <w:rPr>
          <w:spacing w:val="-50"/>
        </w:rPr>
        <w:t> </w:t>
      </w:r>
      <w:r>
        <w:rPr>
          <w:spacing w:val="-4"/>
        </w:rPr>
        <w:t>日召开，会议审议通过了提名</w:t>
      </w:r>
      <w:r>
        <w:rPr/>
        <w:t> 委员会</w:t>
      </w:r>
      <w:r>
        <w:rPr>
          <w:spacing w:val="-60"/>
        </w:rPr>
        <w:t> </w:t>
      </w:r>
      <w:r>
        <w:rPr/>
        <w:t>2008</w:t>
      </w:r>
      <w:r>
        <w:rPr>
          <w:spacing w:val="-60"/>
        </w:rPr>
        <w:t> </w:t>
      </w:r>
      <w:r>
        <w:rPr/>
        <w:t>年度工作总结及</w:t>
      </w:r>
      <w:r>
        <w:rPr>
          <w:spacing w:val="-60"/>
        </w:rPr>
        <w:t> </w:t>
      </w:r>
      <w:r>
        <w:rPr/>
        <w:t>2009</w:t>
      </w:r>
      <w:r>
        <w:rPr>
          <w:spacing w:val="-60"/>
        </w:rPr>
        <w:t> </w:t>
      </w:r>
      <w:r>
        <w:rPr/>
        <w:t>年度工作重点的议案。</w:t>
      </w:r>
    </w:p>
    <w:p>
      <w:pPr>
        <w:pStyle w:val="BodyText"/>
        <w:spacing w:line="240" w:lineRule="auto" w:before="10"/>
        <w:ind w:left="633" w:right="0"/>
        <w:jc w:val="left"/>
      </w:pPr>
      <w:r>
        <w:rPr/>
        <w:t>（六）董事会战略委员会履职的情况</w:t>
      </w:r>
    </w:p>
    <w:p>
      <w:pPr>
        <w:pStyle w:val="BodyText"/>
        <w:spacing w:line="276" w:lineRule="auto" w:before="46"/>
        <w:ind w:right="148" w:firstLine="480"/>
        <w:jc w:val="both"/>
      </w:pPr>
      <w:r>
        <w:rPr/>
        <w:t>于</w:t>
      </w:r>
      <w:r>
        <w:rPr>
          <w:spacing w:val="-54"/>
        </w:rPr>
        <w:t> </w:t>
      </w:r>
      <w:r>
        <w:rPr/>
        <w:t>2008</w:t>
      </w:r>
      <w:r>
        <w:rPr>
          <w:spacing w:val="-54"/>
        </w:rPr>
        <w:t> </w:t>
      </w:r>
      <w:r>
        <w:rPr/>
        <w:t>年</w:t>
      </w:r>
      <w:r>
        <w:rPr>
          <w:spacing w:val="-53"/>
        </w:rPr>
        <w:t> </w:t>
      </w:r>
      <w:r>
        <w:rPr/>
        <w:t>6</w:t>
      </w:r>
      <w:r>
        <w:rPr>
          <w:spacing w:val="-54"/>
        </w:rPr>
        <w:t> </w:t>
      </w:r>
      <w:r>
        <w:rPr/>
        <w:t>月</w:t>
      </w:r>
      <w:r>
        <w:rPr>
          <w:spacing w:val="-54"/>
        </w:rPr>
        <w:t> </w:t>
      </w:r>
      <w:r>
        <w:rPr/>
        <w:t>20</w:t>
      </w:r>
      <w:r>
        <w:rPr>
          <w:spacing w:val="-54"/>
        </w:rPr>
        <w:t> </w:t>
      </w:r>
      <w:r>
        <w:rPr/>
        <w:t>日召开的本公司第二届董事会第一次会审议选举产生了第二届董事会</w:t>
      </w:r>
      <w:r>
        <w:rPr/>
        <w:t> 战略委员会，报告期内董事会战略委员会根据《公司法》、《上市公司治理准则》及本公司</w:t>
      </w:r>
    </w:p>
    <w:p>
      <w:pPr>
        <w:pStyle w:val="BodyText"/>
        <w:spacing w:line="276" w:lineRule="auto" w:before="10"/>
        <w:ind w:left="633" w:right="171" w:hanging="480"/>
        <w:jc w:val="left"/>
      </w:pPr>
      <w:r>
        <w:rPr/>
        <w:t>《战略委员会工作细则》的有关要求履行了应尽职责，具体履职情况如下： 1、第一届董事会战略委员会第三次会议于2008年3月26日召开，会议审议通过了战略委</w:t>
      </w:r>
    </w:p>
    <w:p>
      <w:pPr>
        <w:spacing w:after="0" w:line="276" w:lineRule="auto"/>
        <w:jc w:val="left"/>
        <w:sectPr>
          <w:pgSz w:w="11910" w:h="16840"/>
          <w:pgMar w:header="787" w:footer="1339" w:top="1020" w:bottom="1520" w:left="980" w:right="980"/>
        </w:sectPr>
      </w:pPr>
    </w:p>
    <w:p>
      <w:pPr>
        <w:spacing w:line="240" w:lineRule="auto" w:before="0"/>
        <w:rPr>
          <w:rFonts w:ascii="宋体" w:hAnsi="宋体" w:cs="宋体" w:eastAsia="宋体" w:hint="default"/>
          <w:sz w:val="20"/>
          <w:szCs w:val="20"/>
        </w:rPr>
      </w:pPr>
    </w:p>
    <w:p>
      <w:pPr>
        <w:pStyle w:val="BodyText"/>
        <w:spacing w:line="276" w:lineRule="auto" w:before="157"/>
        <w:ind w:left="634" w:right="294" w:hanging="480"/>
        <w:jc w:val="left"/>
      </w:pPr>
      <w:r>
        <w:rPr/>
        <w:t>员会2007年度工作总结及2008年度工作重点的议案。 </w:t>
      </w:r>
      <w:r>
        <w:rPr>
          <w:spacing w:val="-3"/>
        </w:rPr>
        <w:t>3、第二届董事会战略委员会第一次会议于</w:t>
      </w:r>
      <w:r>
        <w:rPr>
          <w:spacing w:val="-50"/>
        </w:rPr>
        <w:t> </w:t>
      </w:r>
      <w:r>
        <w:rPr>
          <w:spacing w:val="25"/>
        </w:rPr>
        <w:t>2008年8月</w:t>
      </w:r>
      <w:r>
        <w:rPr>
          <w:spacing w:val="-50"/>
        </w:rPr>
        <w:t> </w:t>
      </w:r>
      <w:r>
        <w:rPr/>
        <w:t>25</w:t>
      </w:r>
      <w:r>
        <w:rPr>
          <w:spacing w:val="-50"/>
        </w:rPr>
        <w:t> </w:t>
      </w:r>
      <w:r>
        <w:rPr>
          <w:spacing w:val="-4"/>
        </w:rPr>
        <w:t>日召开，会议听取公司管理层</w:t>
      </w:r>
    </w:p>
    <w:p>
      <w:pPr>
        <w:pStyle w:val="BodyText"/>
        <w:spacing w:line="240" w:lineRule="auto" w:before="10"/>
        <w:ind w:right="1650"/>
        <w:jc w:val="left"/>
      </w:pPr>
      <w:r>
        <w:rPr/>
        <w:t>关于</w:t>
      </w:r>
      <w:r>
        <w:rPr>
          <w:spacing w:val="-60"/>
        </w:rPr>
        <w:t> </w:t>
      </w:r>
      <w:r>
        <w:rPr/>
        <w:t>2008</w:t>
      </w:r>
      <w:r>
        <w:rPr>
          <w:spacing w:val="-60"/>
        </w:rPr>
        <w:t> </w:t>
      </w:r>
      <w:r>
        <w:rPr/>
        <w:t>年半年度经营情况的汇报，并通过关于公司未来发展战略的议案。</w:t>
      </w:r>
    </w:p>
    <w:p>
      <w:pPr>
        <w:pStyle w:val="BodyText"/>
        <w:spacing w:line="240" w:lineRule="auto" w:before="46"/>
        <w:ind w:left="633" w:right="173"/>
        <w:jc w:val="left"/>
      </w:pPr>
      <w:r>
        <w:rPr/>
        <w:t>4、第二届董事会战略委员会第二次会议于</w:t>
      </w:r>
      <w:r>
        <w:rPr>
          <w:spacing w:val="-51"/>
        </w:rPr>
        <w:t> </w:t>
      </w:r>
      <w:r>
        <w:rPr/>
        <w:t>2009</w:t>
      </w:r>
      <w:r>
        <w:rPr>
          <w:spacing w:val="-51"/>
        </w:rPr>
        <w:t> </w:t>
      </w:r>
      <w:r>
        <w:rPr/>
        <w:t>年</w:t>
      </w:r>
      <w:r>
        <w:rPr>
          <w:spacing w:val="-51"/>
        </w:rPr>
        <w:t> </w:t>
      </w:r>
      <w:r>
        <w:rPr/>
        <w:t>3</w:t>
      </w:r>
      <w:r>
        <w:rPr>
          <w:spacing w:val="-52"/>
        </w:rPr>
        <w:t> </w:t>
      </w:r>
      <w:r>
        <w:rPr/>
        <w:t>月</w:t>
      </w:r>
      <w:r>
        <w:rPr>
          <w:spacing w:val="-51"/>
        </w:rPr>
        <w:t> </w:t>
      </w:r>
      <w:r>
        <w:rPr/>
        <w:t>17</w:t>
      </w:r>
      <w:r>
        <w:rPr>
          <w:spacing w:val="-51"/>
        </w:rPr>
        <w:t> </w:t>
      </w:r>
      <w:r>
        <w:rPr/>
        <w:t>日召开，会议审议通过</w:t>
      </w:r>
      <w:r>
        <w:rPr>
          <w:spacing w:val="-51"/>
        </w:rPr>
        <w:t> </w:t>
      </w:r>
      <w:r>
        <w:rPr/>
        <w:t>2009</w:t>
      </w:r>
    </w:p>
    <w:p>
      <w:pPr>
        <w:pStyle w:val="BodyText"/>
        <w:spacing w:line="240" w:lineRule="auto" w:before="46"/>
        <w:ind w:right="3330"/>
        <w:jc w:val="left"/>
      </w:pPr>
      <w:r>
        <w:rPr/>
        <w:t>年度重点工作计划以及</w:t>
      </w:r>
      <w:r>
        <w:rPr>
          <w:spacing w:val="-60"/>
        </w:rPr>
        <w:t> </w:t>
      </w:r>
      <w:r>
        <w:rPr/>
        <w:t>2008</w:t>
      </w:r>
      <w:r>
        <w:rPr>
          <w:spacing w:val="-60"/>
        </w:rPr>
        <w:t> </w:t>
      </w:r>
      <w:r>
        <w:rPr/>
        <w:t>年度报告中相关事项的议案。</w:t>
      </w:r>
    </w:p>
    <w:p>
      <w:pPr>
        <w:spacing w:line="240" w:lineRule="auto" w:before="0"/>
        <w:rPr>
          <w:rFonts w:ascii="宋体" w:hAnsi="宋体" w:cs="宋体" w:eastAsia="宋体" w:hint="default"/>
          <w:sz w:val="31"/>
          <w:szCs w:val="31"/>
        </w:rPr>
      </w:pPr>
    </w:p>
    <w:p>
      <w:pPr>
        <w:pStyle w:val="BodyText"/>
        <w:spacing w:line="240" w:lineRule="auto" w:before="0"/>
        <w:ind w:left="633" w:right="3330"/>
        <w:jc w:val="left"/>
      </w:pPr>
      <w:r>
        <w:rPr/>
        <w:t>五、公司</w:t>
      </w:r>
      <w:r>
        <w:rPr>
          <w:spacing w:val="-60"/>
        </w:rPr>
        <w:t> </w:t>
      </w:r>
      <w:r>
        <w:rPr/>
        <w:t>2008</w:t>
      </w:r>
      <w:r>
        <w:rPr>
          <w:spacing w:val="-60"/>
        </w:rPr>
        <w:t> </w:t>
      </w:r>
      <w:r>
        <w:rPr/>
        <w:t>年度利润分配及资本公积金转增股本预案</w:t>
      </w:r>
    </w:p>
    <w:p>
      <w:pPr>
        <w:pStyle w:val="BodyText"/>
        <w:spacing w:line="240" w:lineRule="auto" w:before="46"/>
        <w:ind w:left="633" w:right="173"/>
        <w:jc w:val="left"/>
      </w:pPr>
      <w:r>
        <w:rPr>
          <w:spacing w:val="-3"/>
        </w:rPr>
        <w:t>根据立信会计师事务所有限公司为本公司出具的标准无保留意见审计报告，公司 </w:t>
      </w:r>
      <w:r>
        <w:rPr/>
        <w:t>2008</w:t>
      </w:r>
      <w:r>
        <w:rPr>
          <w:spacing w:val="-94"/>
        </w:rPr>
        <w:t> </w:t>
      </w:r>
      <w:r>
        <w:rPr/>
        <w:t>年</w:t>
      </w:r>
    </w:p>
    <w:p>
      <w:pPr>
        <w:pStyle w:val="BodyText"/>
        <w:spacing w:line="240" w:lineRule="auto" w:before="46"/>
        <w:ind w:right="173"/>
        <w:jc w:val="left"/>
      </w:pPr>
      <w:r>
        <w:rPr/>
        <w:t>度实现净利润</w:t>
      </w:r>
      <w:r>
        <w:rPr>
          <w:spacing w:val="-60"/>
        </w:rPr>
        <w:t> </w:t>
      </w:r>
      <w:r>
        <w:rPr/>
        <w:t>33,771,516.39</w:t>
      </w:r>
      <w:r>
        <w:rPr>
          <w:spacing w:val="-60"/>
        </w:rPr>
        <w:t> </w:t>
      </w:r>
      <w:r>
        <w:rPr>
          <w:spacing w:val="-14"/>
        </w:rPr>
        <w:t>元</w:t>
      </w:r>
      <w:r>
        <w:rPr/>
        <w:t>（人民币</w:t>
      </w:r>
      <w:r>
        <w:rPr>
          <w:spacing w:val="-15"/>
        </w:rPr>
        <w:t>，</w:t>
      </w:r>
      <w:r>
        <w:rPr/>
        <w:t>下同</w:t>
      </w:r>
      <w:r>
        <w:rPr>
          <w:spacing w:val="-120"/>
        </w:rPr>
        <w:t>）</w:t>
      </w:r>
      <w:r>
        <w:rPr>
          <w:spacing w:val="-14"/>
        </w:rPr>
        <w:t>；</w:t>
      </w:r>
      <w:r>
        <w:rPr/>
        <w:t>根</w:t>
      </w:r>
      <w:r>
        <w:rPr>
          <w:spacing w:val="-14"/>
        </w:rPr>
        <w:t>据</w:t>
      </w:r>
      <w:r>
        <w:rPr/>
        <w:t>《公司章程</w:t>
      </w:r>
      <w:r>
        <w:rPr>
          <w:spacing w:val="-14"/>
        </w:rPr>
        <w:t>》</w:t>
      </w:r>
      <w:r>
        <w:rPr/>
        <w:t>的有关规定</w:t>
      </w:r>
      <w:r>
        <w:rPr>
          <w:spacing w:val="-14"/>
        </w:rPr>
        <w:t>，</w:t>
      </w:r>
      <w:r>
        <w:rPr/>
        <w:t>按照母公</w:t>
      </w:r>
    </w:p>
    <w:p>
      <w:pPr>
        <w:pStyle w:val="BodyText"/>
        <w:spacing w:line="240" w:lineRule="auto" w:before="46"/>
        <w:ind w:right="173"/>
        <w:jc w:val="left"/>
      </w:pPr>
      <w:r>
        <w:rPr/>
        <w:t>司净利润</w:t>
      </w:r>
      <w:r>
        <w:rPr>
          <w:spacing w:val="-41"/>
        </w:rPr>
        <w:t> </w:t>
      </w:r>
      <w:r>
        <w:rPr/>
        <w:t>28,690,477.79</w:t>
      </w:r>
      <w:r>
        <w:rPr>
          <w:spacing w:val="-41"/>
        </w:rPr>
        <w:t> </w:t>
      </w:r>
      <w:r>
        <w:rPr/>
        <w:t>元提取法定盈余公积金</w:t>
      </w:r>
      <w:r>
        <w:rPr>
          <w:spacing w:val="-41"/>
        </w:rPr>
        <w:t> </w:t>
      </w:r>
      <w:r>
        <w:rPr/>
        <w:t>2,869,047.78</w:t>
      </w:r>
      <w:r>
        <w:rPr>
          <w:spacing w:val="-41"/>
        </w:rPr>
        <w:t> </w:t>
      </w:r>
      <w:r>
        <w:rPr/>
        <w:t>元，2008</w:t>
      </w:r>
      <w:r>
        <w:rPr>
          <w:spacing w:val="-41"/>
        </w:rPr>
        <w:t> </w:t>
      </w:r>
      <w:r>
        <w:rPr/>
        <w:t>年度实际可供分配</w:t>
      </w:r>
    </w:p>
    <w:p>
      <w:pPr>
        <w:pStyle w:val="BodyText"/>
        <w:spacing w:line="240" w:lineRule="auto" w:before="46"/>
        <w:ind w:right="173"/>
        <w:jc w:val="left"/>
      </w:pPr>
      <w:r>
        <w:rPr/>
        <w:t>的利润净额为</w:t>
      </w:r>
      <w:r>
        <w:rPr>
          <w:spacing w:val="-51"/>
        </w:rPr>
        <w:t> </w:t>
      </w:r>
      <w:r>
        <w:rPr/>
        <w:t>30,902,468.61</w:t>
      </w:r>
      <w:r>
        <w:rPr>
          <w:spacing w:val="-51"/>
        </w:rPr>
        <w:t> </w:t>
      </w:r>
      <w:r>
        <w:rPr/>
        <w:t>元，加上以前年度未分配利润</w:t>
      </w:r>
      <w:r>
        <w:rPr>
          <w:spacing w:val="-51"/>
        </w:rPr>
        <w:t> </w:t>
      </w:r>
      <w:r>
        <w:rPr/>
        <w:t>38,496,789.08</w:t>
      </w:r>
      <w:r>
        <w:rPr>
          <w:spacing w:val="-51"/>
        </w:rPr>
        <w:t> </w:t>
      </w:r>
      <w:r>
        <w:rPr/>
        <w:t>元，报告期末新</w:t>
      </w:r>
    </w:p>
    <w:p>
      <w:pPr>
        <w:pStyle w:val="BodyText"/>
        <w:spacing w:line="240" w:lineRule="auto" w:before="46"/>
        <w:ind w:right="3330"/>
        <w:jc w:val="left"/>
      </w:pPr>
      <w:r>
        <w:rPr/>
        <w:t>老股东共享的利润为</w:t>
      </w:r>
      <w:r>
        <w:rPr>
          <w:spacing w:val="-60"/>
        </w:rPr>
        <w:t> </w:t>
      </w:r>
      <w:r>
        <w:rPr/>
        <w:t>69,399,257.69</w:t>
      </w:r>
      <w:r>
        <w:rPr>
          <w:spacing w:val="-60"/>
        </w:rPr>
        <w:t> </w:t>
      </w:r>
      <w:r>
        <w:rPr/>
        <w:t>元。</w:t>
      </w:r>
    </w:p>
    <w:p>
      <w:pPr>
        <w:pStyle w:val="BodyText"/>
        <w:spacing w:line="240" w:lineRule="auto" w:before="46"/>
        <w:ind w:left="633" w:right="173"/>
        <w:jc w:val="left"/>
      </w:pPr>
      <w:r>
        <w:rPr>
          <w:spacing w:val="-3"/>
        </w:rPr>
        <w:t>董事会经过认真审议，拟以公司</w:t>
      </w:r>
      <w:r>
        <w:rPr>
          <w:spacing w:val="-60"/>
        </w:rPr>
        <w:t> </w:t>
      </w:r>
      <w:r>
        <w:rPr/>
        <w:t>2008</w:t>
      </w:r>
      <w:r>
        <w:rPr>
          <w:spacing w:val="-60"/>
        </w:rPr>
        <w:t> </w:t>
      </w:r>
      <w:r>
        <w:rPr/>
        <w:t>年末总股本</w:t>
      </w:r>
      <w:r>
        <w:rPr>
          <w:spacing w:val="-60"/>
        </w:rPr>
        <w:t> </w:t>
      </w:r>
      <w:r>
        <w:rPr/>
        <w:t>20010</w:t>
      </w:r>
      <w:r>
        <w:rPr>
          <w:spacing w:val="-60"/>
        </w:rPr>
        <w:t> </w:t>
      </w:r>
      <w:r>
        <w:rPr>
          <w:spacing w:val="-3"/>
        </w:rPr>
        <w:t>万股为基数，向全体股东实施每</w:t>
      </w:r>
    </w:p>
    <w:p>
      <w:pPr>
        <w:pStyle w:val="BodyText"/>
        <w:spacing w:line="240" w:lineRule="auto" w:before="46"/>
        <w:ind w:right="173"/>
        <w:jc w:val="left"/>
      </w:pPr>
      <w:r>
        <w:rPr/>
        <w:t>10</w:t>
      </w:r>
      <w:r>
        <w:rPr>
          <w:spacing w:val="-65"/>
        </w:rPr>
        <w:t> </w:t>
      </w:r>
      <w:r>
        <w:rPr/>
        <w:t>股派发现金红利</w:t>
      </w:r>
      <w:r>
        <w:rPr>
          <w:spacing w:val="-65"/>
        </w:rPr>
        <w:t> </w:t>
      </w:r>
      <w:r>
        <w:rPr/>
        <w:t>1</w:t>
      </w:r>
      <w:r>
        <w:rPr>
          <w:spacing w:val="-65"/>
        </w:rPr>
        <w:t> </w:t>
      </w:r>
      <w:r>
        <w:rPr/>
        <w:t>元（含税）的利润分配预案，共计派发现金红利</w:t>
      </w:r>
      <w:r>
        <w:rPr>
          <w:spacing w:val="-65"/>
        </w:rPr>
        <w:t> </w:t>
      </w:r>
      <w:r>
        <w:rPr/>
        <w:t>20,010,000.00</w:t>
      </w:r>
      <w:r>
        <w:rPr>
          <w:spacing w:val="-65"/>
        </w:rPr>
        <w:t> </w:t>
      </w:r>
      <w:r>
        <w:rPr/>
        <w:t>元，剩</w:t>
      </w:r>
    </w:p>
    <w:p>
      <w:pPr>
        <w:pStyle w:val="BodyText"/>
        <w:spacing w:line="240" w:lineRule="auto" w:before="46"/>
        <w:ind w:right="3330"/>
        <w:jc w:val="left"/>
      </w:pPr>
      <w:r>
        <w:rPr/>
        <w:t>余未分配利润</w:t>
      </w:r>
      <w:r>
        <w:rPr>
          <w:spacing w:val="-60"/>
        </w:rPr>
        <w:t> </w:t>
      </w:r>
      <w:r>
        <w:rPr/>
        <w:t>49,389,257.69</w:t>
      </w:r>
      <w:r>
        <w:rPr>
          <w:spacing w:val="-60"/>
        </w:rPr>
        <w:t> </w:t>
      </w:r>
      <w:r>
        <w:rPr/>
        <w:t>元结转下一会计年度。</w:t>
      </w:r>
    </w:p>
    <w:p>
      <w:pPr>
        <w:pStyle w:val="BodyText"/>
        <w:spacing w:line="240" w:lineRule="auto" w:before="46"/>
        <w:ind w:left="633" w:right="173"/>
        <w:jc w:val="left"/>
      </w:pPr>
      <w:r>
        <w:rPr>
          <w:spacing w:val="-3"/>
        </w:rPr>
        <w:t>董事会经过认真审议，拟实施以资本公积金转增股本的预案。拟以公司</w:t>
      </w:r>
      <w:r>
        <w:rPr>
          <w:spacing w:val="-55"/>
        </w:rPr>
        <w:t> </w:t>
      </w:r>
      <w:r>
        <w:rPr/>
        <w:t>2008</w:t>
      </w:r>
      <w:r>
        <w:rPr>
          <w:spacing w:val="-55"/>
        </w:rPr>
        <w:t> </w:t>
      </w:r>
      <w:r>
        <w:rPr/>
        <w:t>年末总股本</w:t>
      </w:r>
    </w:p>
    <w:p>
      <w:pPr>
        <w:pStyle w:val="BodyText"/>
        <w:spacing w:line="276" w:lineRule="auto" w:before="46"/>
        <w:ind w:right="297"/>
        <w:jc w:val="left"/>
      </w:pPr>
      <w:r>
        <w:rPr/>
        <w:t>20010</w:t>
      </w:r>
      <w:r>
        <w:rPr>
          <w:spacing w:val="-58"/>
        </w:rPr>
        <w:t> </w:t>
      </w:r>
      <w:r>
        <w:rPr>
          <w:spacing w:val="-16"/>
        </w:rPr>
        <w:t>万股为基数，每</w:t>
      </w:r>
      <w:r>
        <w:rPr>
          <w:spacing w:val="-58"/>
        </w:rPr>
        <w:t> </w:t>
      </w:r>
      <w:r>
        <w:rPr/>
        <w:t>10</w:t>
      </w:r>
      <w:r>
        <w:rPr>
          <w:spacing w:val="-58"/>
        </w:rPr>
        <w:t> </w:t>
      </w:r>
      <w:r>
        <w:rPr>
          <w:spacing w:val="15"/>
        </w:rPr>
        <w:t>股转增3</w:t>
      </w:r>
      <w:r>
        <w:rPr>
          <w:spacing w:val="-58"/>
        </w:rPr>
        <w:t> </w:t>
      </w:r>
      <w:r>
        <w:rPr>
          <w:spacing w:val="-18"/>
        </w:rPr>
        <w:t>股，共计转增</w:t>
      </w:r>
      <w:r>
        <w:rPr>
          <w:spacing w:val="-58"/>
        </w:rPr>
        <w:t> </w:t>
      </w:r>
      <w:r>
        <w:rPr/>
        <w:t>6003</w:t>
      </w:r>
      <w:r>
        <w:rPr>
          <w:spacing w:val="-58"/>
        </w:rPr>
        <w:t> </w:t>
      </w:r>
      <w:r>
        <w:rPr>
          <w:spacing w:val="-8"/>
        </w:rPr>
        <w:t>万股，转增后公司总股本将增加至</w:t>
      </w:r>
      <w:r>
        <w:rPr>
          <w:spacing w:val="-58"/>
        </w:rPr>
        <w:t> </w:t>
      </w:r>
      <w:r>
        <w:rPr/>
        <w:t>26013</w:t>
      </w:r>
      <w:r>
        <w:rPr/>
        <w:t> 万股。</w:t>
      </w:r>
    </w:p>
    <w:p>
      <w:pPr>
        <w:pStyle w:val="BodyText"/>
        <w:spacing w:line="240" w:lineRule="auto" w:before="10"/>
        <w:ind w:left="633" w:right="3330"/>
        <w:jc w:val="left"/>
      </w:pPr>
      <w:r>
        <w:rPr/>
        <w:t>公司前三年度现金分红情况：</w:t>
      </w:r>
    </w:p>
    <w:p>
      <w:pPr>
        <w:spacing w:before="49"/>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16"/>
        <w:gridCol w:w="2482"/>
        <w:gridCol w:w="2471"/>
        <w:gridCol w:w="2860"/>
      </w:tblGrid>
      <w:tr>
        <w:trPr>
          <w:trHeight w:val="128" w:hRule="exact"/>
        </w:trPr>
        <w:tc>
          <w:tcPr>
            <w:tcW w:w="2016"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482"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47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781" w:right="59" w:hanging="720"/>
              <w:jc w:val="left"/>
              <w:rPr>
                <w:rFonts w:ascii="宋体" w:hAnsi="宋体" w:cs="宋体" w:eastAsia="宋体" w:hint="default"/>
                <w:sz w:val="18"/>
                <w:szCs w:val="18"/>
              </w:rPr>
            </w:pPr>
            <w:r>
              <w:rPr>
                <w:rFonts w:ascii="宋体" w:hAnsi="宋体" w:cs="宋体" w:eastAsia="宋体" w:hint="default"/>
                <w:sz w:val="18"/>
                <w:szCs w:val="18"/>
              </w:rPr>
              <w:t>合并报表中归属于母公司所有 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794" w:right="73" w:hanging="720"/>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 的净利润的比率</w:t>
            </w:r>
          </w:p>
        </w:tc>
      </w:tr>
      <w:tr>
        <w:trPr>
          <w:trHeight w:val="429" w:hRule="exact"/>
        </w:trPr>
        <w:tc>
          <w:tcPr>
            <w:tcW w:w="2016"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482"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33" w:lineRule="exact"/>
              <w:ind w:left="34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71"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51" w:space="0" w:color="DCDCDC"/>
              <w:left w:val="single" w:sz="13" w:space="0" w:color="DCDCDC"/>
              <w:bottom w:val="single" w:sz="4" w:space="0" w:color="000000"/>
              <w:right w:val="single" w:sz="4" w:space="0" w:color="000000"/>
            </w:tcBorders>
          </w:tcPr>
          <w:p>
            <w:pPr>
              <w:pStyle w:val="TableParagraph"/>
              <w:spacing w:line="197" w:lineRule="exact"/>
              <w:ind w:right="20"/>
              <w:jc w:val="right"/>
              <w:rPr>
                <w:rFonts w:ascii="Times New Roman" w:hAnsi="Times New Roman" w:cs="Times New Roman" w:eastAsia="Times New Roman" w:hint="default"/>
                <w:sz w:val="18"/>
                <w:szCs w:val="18"/>
              </w:rPr>
            </w:pPr>
            <w:r>
              <w:rPr>
                <w:rFonts w:ascii="Times New Roman"/>
                <w:spacing w:val="-1"/>
                <w:sz w:val="18"/>
              </w:rPr>
              <w:t>40,020,000.00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61,717,919.49</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64.84%</w:t>
            </w:r>
            <w:r>
              <w:rPr>
                <w:rFonts w:ascii="Times New Roman"/>
                <w:sz w:val="18"/>
              </w:rPr>
            </w:r>
          </w:p>
        </w:tc>
      </w:tr>
      <w:tr>
        <w:trPr>
          <w:trHeight w:val="323"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46,865,045.62</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31,805,227.53</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90" w:lineRule="auto" w:before="26"/>
        <w:ind w:left="634" w:right="930"/>
        <w:jc w:val="left"/>
      </w:pPr>
      <w:r>
        <w:rPr/>
        <w:t>六、其它需要披露的事项 1、报告期内公司选定《证券时报》为公司信息披露指定报刊，选定“巨潮资讯网</w:t>
      </w:r>
    </w:p>
    <w:p>
      <w:pPr>
        <w:pStyle w:val="BodyText"/>
        <w:spacing w:line="290" w:lineRule="auto" w:before="16"/>
        <w:ind w:left="633" w:right="331" w:hanging="480"/>
        <w:jc w:val="left"/>
      </w:pPr>
      <w:r>
        <w:rPr/>
        <w:t>（</w:t>
      </w:r>
      <w:r>
        <w:rPr>
          <w:color w:val="0000FF"/>
        </w:rPr>
      </w:r>
      <w:hyperlink r:id="rId10">
        <w:r>
          <w:rPr>
            <w:color w:val="0000FF"/>
            <w:u w:val="single" w:color="0000FF"/>
          </w:rPr>
          <w:t>www.cninfo.com.cn</w:t>
        </w:r>
        <w:r>
          <w:rPr>
            <w:color w:val="0000FF"/>
          </w:rPr>
        </w:r>
      </w:hyperlink>
      <w:r>
        <w:rPr/>
        <w:t>）”为公司指定信息披露网站。</w:t>
      </w:r>
      <w:r>
        <w:rPr/>
        <w:t> 2、于2007年9月17日召开的公司第一届董事会第十八次会议审议通过了公司《投资者关</w:t>
      </w:r>
    </w:p>
    <w:p>
      <w:pPr>
        <w:pStyle w:val="BodyText"/>
        <w:spacing w:line="290" w:lineRule="auto" w:before="14"/>
        <w:ind w:right="348"/>
        <w:jc w:val="both"/>
      </w:pPr>
      <w:r>
        <w:rPr/>
        <w:t>系管理制度》，规定“公司董事会秘书是公司投资者关系管理负责人，全面负责公司投资者 关系管理工作”，“公司董事会秘书办公室负责投资者关系管理的日常事务，负责投资者关 系管理的组织、协调工作”。根据上述规定，报告期内公司董事会秘书姜帆先生为投资者关 系管理负责人，董事会秘书办公室负责投资者关系管理的日常事务。</w:t>
      </w:r>
    </w:p>
    <w:p>
      <w:pPr>
        <w:pStyle w:val="BodyText"/>
        <w:spacing w:line="290" w:lineRule="auto" w:before="16"/>
        <w:ind w:right="348" w:firstLine="480"/>
        <w:jc w:val="both"/>
      </w:pPr>
      <w:r>
        <w:rPr/>
        <w:t>为加强与投资者的沟通、就公司2007年度报告中的有关问题解答投资者疑问、听取投资</w:t>
      </w:r>
      <w:hyperlink r:id="rId17">
        <w:r>
          <w:rPr/>
          <w:t> 者对公司经营发展意见和建议，公司于2008年4月2日在全景网平台http://irm.p5w.net举行</w:t>
        </w:r>
      </w:hyperlink>
      <w:r>
        <w:rPr/>
        <w:t> 了2007年度报告网上说明会，公司董事长陈亚妹女士、董事总经理乔昕先生、独立董事李秉</w:t>
      </w:r>
    </w:p>
    <w:p>
      <w:pPr>
        <w:spacing w:after="0" w:line="290" w:lineRule="auto"/>
        <w:jc w:val="both"/>
        <w:sectPr>
          <w:pgSz w:w="11910" w:h="16840"/>
          <w:pgMar w:header="787" w:footer="1339" w:top="1020" w:bottom="1520" w:left="980" w:right="820"/>
        </w:sectPr>
      </w:pPr>
    </w:p>
    <w:p>
      <w:pPr>
        <w:spacing w:line="240" w:lineRule="auto" w:before="0"/>
        <w:rPr>
          <w:rFonts w:ascii="宋体" w:hAnsi="宋体" w:cs="宋体" w:eastAsia="宋体" w:hint="default"/>
          <w:sz w:val="20"/>
          <w:szCs w:val="20"/>
        </w:rPr>
      </w:pPr>
    </w:p>
    <w:p>
      <w:pPr>
        <w:pStyle w:val="BodyText"/>
        <w:spacing w:line="290" w:lineRule="auto" w:before="173"/>
        <w:ind w:left="154" w:right="170"/>
        <w:jc w:val="left"/>
      </w:pPr>
      <w:r>
        <w:rPr/>
        <w:t>心先生、财务负责人吕培荣先生、董事会秘书姜帆先生及公司保荐代表人任兆成先生与投资 者进行了互动交流。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830" w:lineRule="atLeast" w:before="0"/>
        <w:ind w:left="634" w:right="0" w:firstLine="3495"/>
        <w:jc w:val="left"/>
      </w:pPr>
      <w:r>
        <w:rPr>
          <w:rFonts w:ascii="宋体" w:hAnsi="宋体" w:cs="宋体" w:eastAsia="宋体" w:hint="default"/>
          <w:b/>
          <w:bCs/>
        </w:rPr>
        <w:t>第九节、监事会报告</w:t>
      </w:r>
      <w:r>
        <w:rPr>
          <w:rFonts w:ascii="宋体" w:hAnsi="宋体" w:cs="宋体" w:eastAsia="宋体" w:hint="default"/>
          <w:b/>
          <w:bCs/>
          <w:spacing w:val="1"/>
          <w:w w:val="99"/>
        </w:rPr>
        <w:t> </w:t>
      </w:r>
      <w:r>
        <w:rPr>
          <w:spacing w:val="3"/>
        </w:rPr>
        <w:t>于2008年6月20日召开的公司2008年度第二次临时股东大会以累积投票制选举产生了第</w:t>
      </w:r>
      <w:r>
        <w:rPr/>
      </w:r>
    </w:p>
    <w:p>
      <w:pPr>
        <w:pStyle w:val="BodyText"/>
        <w:spacing w:line="290" w:lineRule="auto" w:before="65"/>
        <w:ind w:right="0"/>
        <w:jc w:val="left"/>
      </w:pPr>
      <w:r>
        <w:rPr/>
        <w:t>二届监事会监事成员，于2008年6月2日召开的公司2008年职工代表会议选举产生了第二届监 事会职工监事，共同组成公司第二届监事会。</w:t>
      </w:r>
    </w:p>
    <w:p>
      <w:pPr>
        <w:pStyle w:val="BodyText"/>
        <w:spacing w:line="290" w:lineRule="auto" w:before="16"/>
        <w:ind w:right="148" w:firstLine="480"/>
        <w:jc w:val="both"/>
      </w:pPr>
      <w:r>
        <w:rPr/>
        <w:t>报告期内，监事会本着对公司和全体股东负责的态度认真执行了《公司法》、《公司章</w:t>
      </w:r>
      <w:r>
        <w:rPr>
          <w:spacing w:val="1"/>
        </w:rPr>
        <w:t> </w:t>
      </w:r>
      <w:r>
        <w:rPr/>
        <w:t>程》所赋予的各项职权，对公司的规范经营、财务状况和关联交易进行了监督，对公司董事</w:t>
      </w:r>
      <w:r>
        <w:rPr>
          <w:spacing w:val="-83"/>
        </w:rPr>
        <w:t> </w:t>
      </w:r>
      <w:r>
        <w:rPr>
          <w:spacing w:val="-83"/>
        </w:rPr>
      </w:r>
      <w:r>
        <w:rPr/>
        <w:t>及高级管理人员的公职行为进行了监督，促进公司规范运作，维护公司整体利益和全体股东</w:t>
      </w:r>
      <w:r>
        <w:rPr>
          <w:spacing w:val="-83"/>
        </w:rPr>
        <w:t> </w:t>
      </w:r>
      <w:r>
        <w:rPr>
          <w:spacing w:val="-83"/>
        </w:rPr>
      </w:r>
      <w:r>
        <w:rPr/>
        <w:t>的利益。</w:t>
      </w:r>
    </w:p>
    <w:p>
      <w:pPr>
        <w:pStyle w:val="BodyText"/>
        <w:spacing w:line="290" w:lineRule="auto" w:before="14"/>
        <w:ind w:left="633" w:right="0"/>
        <w:jc w:val="left"/>
      </w:pPr>
      <w:r>
        <w:rPr/>
        <w:t>一、监事会会议情况： 1、第一届监事会第四次会议于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日在深圳市宝安区龙华大浪街道华兴路龙泉</w:t>
      </w:r>
    </w:p>
    <w:p>
      <w:pPr>
        <w:pStyle w:val="BodyText"/>
        <w:spacing w:line="306" w:lineRule="exact" w:before="0"/>
        <w:ind w:right="0"/>
        <w:jc w:val="left"/>
      </w:pPr>
      <w:r>
        <w:rPr/>
        <w:t>科技园1栋5楼会议室召开，会议审议通过如下决议：</w:t>
      </w:r>
    </w:p>
    <w:p>
      <w:pPr>
        <w:pStyle w:val="BodyText"/>
        <w:spacing w:line="240" w:lineRule="auto" w:before="65"/>
        <w:ind w:left="633" w:right="0"/>
        <w:jc w:val="left"/>
      </w:pPr>
      <w:r>
        <w:rPr/>
        <w:t>（1）公司《2007年度报告全文》及《2007年度报告摘要》；</w:t>
      </w:r>
    </w:p>
    <w:p>
      <w:pPr>
        <w:pStyle w:val="BodyText"/>
        <w:spacing w:line="240" w:lineRule="auto" w:before="66"/>
        <w:ind w:left="633" w:right="0"/>
        <w:jc w:val="left"/>
      </w:pPr>
      <w:r>
        <w:rPr/>
        <w:t>（2）公司《2007年度监事会工作报告</w:t>
      </w:r>
      <w:r>
        <w:rPr>
          <w:spacing w:val="-120"/>
        </w:rPr>
        <w:t>》</w:t>
      </w:r>
      <w:r>
        <w:rPr/>
        <w:t>；</w:t>
      </w:r>
    </w:p>
    <w:p>
      <w:pPr>
        <w:pStyle w:val="BodyText"/>
        <w:spacing w:line="240" w:lineRule="auto" w:before="66"/>
        <w:ind w:left="633" w:right="0"/>
        <w:jc w:val="left"/>
      </w:pPr>
      <w:r>
        <w:rPr/>
        <w:t>（3）公司《2007年度财务决算报告</w:t>
      </w:r>
      <w:r>
        <w:rPr>
          <w:spacing w:val="-120"/>
        </w:rPr>
        <w:t>》</w:t>
      </w:r>
      <w:r>
        <w:rPr/>
        <w:t>；</w:t>
      </w:r>
    </w:p>
    <w:p>
      <w:pPr>
        <w:pStyle w:val="BodyText"/>
        <w:spacing w:line="240" w:lineRule="auto" w:before="65"/>
        <w:ind w:left="633" w:right="0"/>
        <w:jc w:val="left"/>
      </w:pPr>
      <w:r>
        <w:rPr/>
        <w:t>（4）公司2007年度利润分配预案的议案；</w:t>
      </w:r>
    </w:p>
    <w:p>
      <w:pPr>
        <w:pStyle w:val="BodyText"/>
        <w:spacing w:line="240" w:lineRule="auto" w:before="66"/>
        <w:ind w:left="633" w:right="0"/>
        <w:jc w:val="left"/>
      </w:pPr>
      <w:r>
        <w:rPr/>
        <w:t>（5）公司《募集资金2007年度使用情况的专项报告</w:t>
      </w:r>
      <w:r>
        <w:rPr>
          <w:spacing w:val="-120"/>
        </w:rPr>
        <w:t>》</w:t>
      </w:r>
      <w:r>
        <w:rPr/>
        <w:t>；</w:t>
      </w:r>
    </w:p>
    <w:p>
      <w:pPr>
        <w:pStyle w:val="BodyText"/>
        <w:spacing w:line="240" w:lineRule="auto" w:before="66"/>
        <w:ind w:left="633" w:right="0"/>
        <w:jc w:val="left"/>
      </w:pPr>
      <w:r>
        <w:rPr/>
        <w:t>（6）关于续聘会计师事务所的议案；</w:t>
      </w:r>
    </w:p>
    <w:p>
      <w:pPr>
        <w:pStyle w:val="BodyText"/>
        <w:spacing w:line="240" w:lineRule="auto" w:before="65"/>
        <w:ind w:left="633" w:right="0"/>
        <w:jc w:val="left"/>
      </w:pPr>
      <w:r>
        <w:rPr/>
        <w:t>（7）公司更改募集资金投资项目的议案；</w:t>
      </w:r>
    </w:p>
    <w:p>
      <w:pPr>
        <w:pStyle w:val="BodyText"/>
        <w:spacing w:line="290" w:lineRule="auto" w:before="66"/>
        <w:ind w:left="633" w:right="135"/>
        <w:jc w:val="left"/>
      </w:pPr>
      <w:r>
        <w:rPr/>
        <w:t>（8）监事会2007年度工作情况的议案。 </w:t>
      </w:r>
      <w:r>
        <w:rPr>
          <w:spacing w:val="-2"/>
        </w:rPr>
        <w:t>上述决议公告刊登于2008年3月28日的《证券时报》及本公司指定信息披露网站“巨潮资</w:t>
      </w:r>
    </w:p>
    <w:p>
      <w:pPr>
        <w:pStyle w:val="BodyText"/>
        <w:spacing w:line="240" w:lineRule="auto" w:before="14"/>
        <w:ind w:right="0"/>
        <w:jc w:val="left"/>
      </w:pPr>
      <w:r>
        <w:rPr/>
        <w:t>讯网”。</w:t>
      </w:r>
    </w:p>
    <w:p>
      <w:pPr>
        <w:pStyle w:val="BodyText"/>
        <w:spacing w:line="276" w:lineRule="auto" w:before="66"/>
        <w:ind w:right="0" w:firstLine="480"/>
        <w:jc w:val="left"/>
      </w:pPr>
      <w:r>
        <w:rPr/>
        <w:t>2、第一届监事会第五次会议于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日在在深圳市宝安区龙华大浪街道华兴路龙</w:t>
      </w:r>
      <w:r>
        <w:rPr>
          <w:spacing w:val="1"/>
        </w:rPr>
        <w:t> </w:t>
      </w:r>
      <w:r>
        <w:rPr/>
        <w:t>泉科技园1栋5楼会议室召开，会议审议通过公司2008年第一季度报告全文。</w:t>
      </w:r>
    </w:p>
    <w:p>
      <w:pPr>
        <w:pStyle w:val="BodyText"/>
        <w:spacing w:line="290" w:lineRule="auto" w:before="29"/>
        <w:ind w:right="135" w:firstLine="480"/>
        <w:jc w:val="left"/>
      </w:pPr>
      <w:r>
        <w:rPr>
          <w:spacing w:val="-2"/>
        </w:rPr>
        <w:t>3、第一届监事会第六次会议于2008年6月3日在深圳市宝安区龙华大浪街道华兴路龙泉科</w:t>
      </w:r>
      <w:r>
        <w:rPr/>
        <w:t> 技园1栋5楼会议室召开，会议审议通过如下决议：</w:t>
      </w:r>
    </w:p>
    <w:p>
      <w:pPr>
        <w:pStyle w:val="BodyText"/>
        <w:spacing w:line="240" w:lineRule="auto" w:before="56"/>
        <w:ind w:left="633" w:right="0"/>
        <w:jc w:val="left"/>
      </w:pPr>
      <w:r>
        <w:rPr/>
        <w:t>（1）审议通过关于提名公司第二届监事会监事候选人的议案；</w:t>
      </w:r>
    </w:p>
    <w:p>
      <w:pPr>
        <w:pStyle w:val="BodyText"/>
        <w:spacing w:line="240" w:lineRule="auto" w:before="106"/>
        <w:ind w:left="633" w:right="0"/>
        <w:jc w:val="left"/>
      </w:pPr>
      <w:r>
        <w:rPr/>
        <w:t>（2）关于制定《整改方案》的议案；</w:t>
      </w:r>
    </w:p>
    <w:p>
      <w:pPr>
        <w:pStyle w:val="BodyText"/>
        <w:spacing w:line="292" w:lineRule="auto" w:before="104"/>
        <w:ind w:right="137" w:firstLine="480"/>
        <w:jc w:val="left"/>
      </w:pPr>
      <w:r>
        <w:rPr/>
        <w:t>上述决议公告刊登于</w:t>
      </w:r>
      <w:r>
        <w:rPr>
          <w:spacing w:val="-57"/>
        </w:rPr>
        <w:t> </w:t>
      </w:r>
      <w:r>
        <w:rPr>
          <w:spacing w:val="30"/>
        </w:rPr>
        <w:t>2008年6月4</w:t>
      </w:r>
      <w:r>
        <w:rPr>
          <w:spacing w:val="-57"/>
        </w:rPr>
        <w:t> </w:t>
      </w:r>
      <w:r>
        <w:rPr>
          <w:spacing w:val="-4"/>
        </w:rPr>
        <w:t>日的《证券时报》及本公司指定信息披露网站“巨潮</w:t>
      </w:r>
      <w:r>
        <w:rPr/>
        <w:t> 资讯网”。</w:t>
      </w:r>
    </w:p>
    <w:p>
      <w:pPr>
        <w:spacing w:after="0" w:line="292" w:lineRule="auto"/>
        <w:jc w:val="left"/>
        <w:sectPr>
          <w:pgSz w:w="11910" w:h="16840"/>
          <w:pgMar w:header="787" w:footer="1339" w:top="1020" w:bottom="1520" w:left="980" w:right="980"/>
        </w:sectPr>
      </w:pPr>
    </w:p>
    <w:p>
      <w:pPr>
        <w:spacing w:line="240" w:lineRule="auto" w:before="0"/>
        <w:rPr>
          <w:rFonts w:ascii="宋体" w:hAnsi="宋体" w:cs="宋体" w:eastAsia="宋体" w:hint="default"/>
          <w:sz w:val="20"/>
          <w:szCs w:val="20"/>
        </w:rPr>
      </w:pPr>
    </w:p>
    <w:p>
      <w:pPr>
        <w:pStyle w:val="BodyText"/>
        <w:spacing w:line="292" w:lineRule="auto" w:before="173"/>
        <w:ind w:right="214" w:firstLine="480"/>
        <w:jc w:val="left"/>
      </w:pPr>
      <w:r>
        <w:rPr>
          <w:spacing w:val="-6"/>
        </w:rPr>
        <w:t>4、第二届监事会第一次会议于</w:t>
      </w:r>
      <w:r>
        <w:rPr>
          <w:spacing w:val="-58"/>
        </w:rPr>
        <w:t> </w:t>
      </w:r>
      <w:r>
        <w:rPr>
          <w:spacing w:val="25"/>
        </w:rPr>
        <w:t>2008年6月</w:t>
      </w:r>
      <w:r>
        <w:rPr>
          <w:spacing w:val="-58"/>
        </w:rPr>
        <w:t> </w:t>
      </w:r>
      <w:r>
        <w:rPr/>
        <w:t>20</w:t>
      </w:r>
      <w:r>
        <w:rPr>
          <w:spacing w:val="-58"/>
        </w:rPr>
        <w:t> </w:t>
      </w:r>
      <w:r>
        <w:rPr/>
        <w:t>日在深圳市高新区北区清华信息港研发楼</w:t>
      </w:r>
      <w:r>
        <w:rPr/>
        <w:t> B</w:t>
      </w:r>
      <w:r>
        <w:rPr>
          <w:spacing w:val="-60"/>
        </w:rPr>
        <w:t> </w:t>
      </w:r>
      <w:r>
        <w:rPr/>
        <w:t>栋</w:t>
      </w:r>
      <w:r>
        <w:rPr>
          <w:spacing w:val="-60"/>
        </w:rPr>
        <w:t> </w:t>
      </w:r>
      <w:r>
        <w:rPr/>
        <w:t>501</w:t>
      </w:r>
      <w:r>
        <w:rPr>
          <w:spacing w:val="-60"/>
        </w:rPr>
        <w:t> </w:t>
      </w:r>
      <w:r>
        <w:rPr/>
        <w:t>会议室召开，会议审议通过选举薛桂香女士为第二届监事会主席的议案。</w:t>
      </w:r>
    </w:p>
    <w:p>
      <w:pPr>
        <w:pStyle w:val="BodyText"/>
        <w:spacing w:line="290" w:lineRule="auto" w:before="52"/>
        <w:ind w:right="253" w:firstLine="480"/>
        <w:jc w:val="left"/>
      </w:pPr>
      <w:r>
        <w:rPr/>
        <w:t>上述决议公告刊登于</w:t>
      </w:r>
      <w:r>
        <w:rPr>
          <w:spacing w:val="-59"/>
        </w:rPr>
        <w:t> </w:t>
      </w:r>
      <w:r>
        <w:rPr>
          <w:spacing w:val="25"/>
        </w:rPr>
        <w:t>2008年6月</w:t>
      </w:r>
      <w:r>
        <w:rPr>
          <w:spacing w:val="-59"/>
        </w:rPr>
        <w:t> </w:t>
      </w:r>
      <w:r>
        <w:rPr/>
        <w:t>21</w:t>
      </w:r>
      <w:r>
        <w:rPr>
          <w:spacing w:val="-59"/>
        </w:rPr>
        <w:t> </w:t>
      </w:r>
      <w:r>
        <w:rPr/>
        <w:t>日的《证券时报》及本公司指定信息披露网站“巨</w:t>
      </w:r>
      <w:r>
        <w:rPr/>
        <w:t> 潮资讯网”。</w:t>
      </w:r>
    </w:p>
    <w:p>
      <w:pPr>
        <w:pStyle w:val="BodyText"/>
        <w:spacing w:line="290" w:lineRule="auto" w:before="54"/>
        <w:ind w:right="231" w:firstLine="480"/>
        <w:jc w:val="both"/>
      </w:pPr>
      <w:r>
        <w:rPr>
          <w:spacing w:val="-6"/>
        </w:rPr>
        <w:t>5、第二届监事会第二次会议于</w:t>
      </w:r>
      <w:r>
        <w:rPr>
          <w:spacing w:val="-58"/>
        </w:rPr>
        <w:t> </w:t>
      </w:r>
      <w:r>
        <w:rPr>
          <w:spacing w:val="25"/>
        </w:rPr>
        <w:t>2008年7月</w:t>
      </w:r>
      <w:r>
        <w:rPr>
          <w:spacing w:val="-58"/>
        </w:rPr>
        <w:t> </w:t>
      </w:r>
      <w:r>
        <w:rPr/>
        <w:t>18</w:t>
      </w:r>
      <w:r>
        <w:rPr>
          <w:spacing w:val="-58"/>
        </w:rPr>
        <w:t> </w:t>
      </w:r>
      <w:r>
        <w:rPr/>
        <w:t>日在深圳市宝安区龙华大浪街道华兴路龙</w:t>
      </w:r>
      <w:r>
        <w:rPr/>
        <w:t> </w:t>
      </w:r>
      <w:r>
        <w:rPr>
          <w:spacing w:val="25"/>
        </w:rPr>
        <w:t>泉科技园1栋5</w:t>
      </w:r>
      <w:r>
        <w:rPr>
          <w:spacing w:val="-58"/>
        </w:rPr>
        <w:t> </w:t>
      </w:r>
      <w:r>
        <w:rPr/>
        <w:t>楼会议室召开，会议审议通过公司《关于大股东及其关联方资金占用的自查</w:t>
      </w:r>
      <w:r>
        <w:rPr>
          <w:spacing w:val="-118"/>
        </w:rPr>
        <w:t> </w:t>
      </w:r>
      <w:r>
        <w:rPr>
          <w:spacing w:val="-118"/>
        </w:rPr>
      </w:r>
      <w:r>
        <w:rPr/>
        <w:t>总结报告》。</w:t>
      </w:r>
    </w:p>
    <w:p>
      <w:pPr>
        <w:pStyle w:val="BodyText"/>
        <w:spacing w:line="290" w:lineRule="auto" w:before="54"/>
        <w:ind w:right="253" w:firstLine="480"/>
        <w:jc w:val="left"/>
      </w:pPr>
      <w:r>
        <w:rPr/>
        <w:t>上述决议公告刊登于</w:t>
      </w:r>
      <w:r>
        <w:rPr>
          <w:spacing w:val="-59"/>
        </w:rPr>
        <w:t> </w:t>
      </w:r>
      <w:r>
        <w:rPr>
          <w:spacing w:val="25"/>
        </w:rPr>
        <w:t>2008年7月</w:t>
      </w:r>
      <w:r>
        <w:rPr>
          <w:spacing w:val="-59"/>
        </w:rPr>
        <w:t> </w:t>
      </w:r>
      <w:r>
        <w:rPr/>
        <w:t>19</w:t>
      </w:r>
      <w:r>
        <w:rPr>
          <w:spacing w:val="-59"/>
        </w:rPr>
        <w:t> </w:t>
      </w:r>
      <w:r>
        <w:rPr/>
        <w:t>日的《证券时报》及本公司指定信息披露网站“巨</w:t>
      </w:r>
      <w:r>
        <w:rPr/>
        <w:t> 潮资讯网”。</w:t>
      </w:r>
    </w:p>
    <w:p>
      <w:pPr>
        <w:pStyle w:val="BodyText"/>
        <w:spacing w:line="292" w:lineRule="auto" w:before="54"/>
        <w:ind w:right="214" w:firstLine="480"/>
        <w:jc w:val="left"/>
      </w:pPr>
      <w:r>
        <w:rPr>
          <w:spacing w:val="-6"/>
        </w:rPr>
        <w:t>6、第二届监事会第三次会议于</w:t>
      </w:r>
      <w:r>
        <w:rPr>
          <w:spacing w:val="-58"/>
        </w:rPr>
        <w:t> </w:t>
      </w:r>
      <w:r>
        <w:rPr>
          <w:spacing w:val="25"/>
        </w:rPr>
        <w:t>2008年8月</w:t>
      </w:r>
      <w:r>
        <w:rPr>
          <w:spacing w:val="-58"/>
        </w:rPr>
        <w:t> </w:t>
      </w:r>
      <w:r>
        <w:rPr/>
        <w:t>26</w:t>
      </w:r>
      <w:r>
        <w:rPr>
          <w:spacing w:val="-58"/>
        </w:rPr>
        <w:t> </w:t>
      </w:r>
      <w:r>
        <w:rPr/>
        <w:t>日在深圳市宝安区龙华大浪街道华兴路龙</w:t>
      </w:r>
      <w:r>
        <w:rPr/>
        <w:t> </w:t>
      </w:r>
      <w:r>
        <w:rPr>
          <w:spacing w:val="25"/>
        </w:rPr>
        <w:t>泉科技园1栋5</w:t>
      </w:r>
      <w:r>
        <w:rPr>
          <w:spacing w:val="-55"/>
        </w:rPr>
        <w:t> </w:t>
      </w:r>
      <w:r>
        <w:rPr/>
        <w:t>楼会议室召开，会议审议通过决议如下：</w:t>
      </w:r>
    </w:p>
    <w:p>
      <w:pPr>
        <w:pStyle w:val="BodyText"/>
        <w:spacing w:line="240" w:lineRule="auto" w:before="53"/>
        <w:ind w:left="633" w:right="95"/>
        <w:jc w:val="left"/>
      </w:pPr>
      <w:r>
        <w:rPr/>
        <w:t>（1）公司《2008</w:t>
      </w:r>
      <w:r>
        <w:rPr>
          <w:spacing w:val="-60"/>
        </w:rPr>
        <w:t> </w:t>
      </w:r>
      <w:r>
        <w:rPr/>
        <w:t>半年度报告全文》及《2008</w:t>
      </w:r>
      <w:r>
        <w:rPr>
          <w:spacing w:val="-60"/>
        </w:rPr>
        <w:t> </w:t>
      </w:r>
      <w:r>
        <w:rPr/>
        <w:t>半年度报告摘要</w:t>
      </w:r>
      <w:r>
        <w:rPr>
          <w:spacing w:val="-120"/>
        </w:rPr>
        <w:t>》</w:t>
      </w:r>
      <w:r>
        <w:rPr/>
        <w:t>；</w:t>
      </w:r>
    </w:p>
    <w:p>
      <w:pPr>
        <w:pStyle w:val="BodyText"/>
        <w:spacing w:line="240" w:lineRule="auto" w:before="106"/>
        <w:ind w:left="633" w:right="95"/>
        <w:jc w:val="left"/>
      </w:pPr>
      <w:r>
        <w:rPr/>
        <w:t>（2</w:t>
      </w:r>
      <w:r>
        <w:rPr>
          <w:spacing w:val="-120"/>
        </w:rPr>
        <w:t>）</w:t>
      </w:r>
      <w:r>
        <w:rPr/>
        <w:t>《限期整改总结报告</w:t>
      </w:r>
      <w:r>
        <w:rPr>
          <w:spacing w:val="-120"/>
        </w:rPr>
        <w:t>》</w:t>
      </w:r>
      <w:r>
        <w:rPr/>
        <w:t>。</w:t>
      </w:r>
    </w:p>
    <w:p>
      <w:pPr>
        <w:pStyle w:val="BodyText"/>
        <w:spacing w:line="292" w:lineRule="auto" w:before="104"/>
        <w:ind w:right="253" w:firstLine="480"/>
        <w:jc w:val="left"/>
      </w:pPr>
      <w:r>
        <w:rPr/>
        <w:t>上述决议公告刊登于</w:t>
      </w:r>
      <w:r>
        <w:rPr>
          <w:spacing w:val="-59"/>
        </w:rPr>
        <w:t> </w:t>
      </w:r>
      <w:r>
        <w:rPr>
          <w:spacing w:val="25"/>
        </w:rPr>
        <w:t>2008年8月</w:t>
      </w:r>
      <w:r>
        <w:rPr>
          <w:spacing w:val="-59"/>
        </w:rPr>
        <w:t> </w:t>
      </w:r>
      <w:r>
        <w:rPr/>
        <w:t>27</w:t>
      </w:r>
      <w:r>
        <w:rPr>
          <w:spacing w:val="-59"/>
        </w:rPr>
        <w:t> </w:t>
      </w:r>
      <w:r>
        <w:rPr/>
        <w:t>日的《证券时报》及本公司指定信息披露网站“巨</w:t>
      </w:r>
      <w:r>
        <w:rPr/>
        <w:t> 潮资讯网”。</w:t>
      </w:r>
    </w:p>
    <w:p>
      <w:pPr>
        <w:pStyle w:val="BodyText"/>
        <w:spacing w:line="290" w:lineRule="auto" w:before="52"/>
        <w:ind w:right="251" w:firstLine="480"/>
        <w:jc w:val="left"/>
      </w:pPr>
      <w:r>
        <w:rPr/>
        <w:t>7、第二届监事会第四次会议于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29</w:t>
      </w:r>
      <w:r>
        <w:rPr>
          <w:spacing w:val="-60"/>
        </w:rPr>
        <w:t> </w:t>
      </w:r>
      <w:r>
        <w:rPr/>
        <w:t>日在深圳市宝安区龙华大浪街道华兴路</w:t>
      </w:r>
      <w:r>
        <w:rPr/>
        <w:t> </w:t>
      </w:r>
      <w:r>
        <w:rPr>
          <w:spacing w:val="22"/>
        </w:rPr>
        <w:t>龙泉科技园1栋5</w:t>
      </w:r>
      <w:r>
        <w:rPr>
          <w:spacing w:val="-56"/>
        </w:rPr>
        <w:t> </w:t>
      </w:r>
      <w:r>
        <w:rPr/>
        <w:t>楼会议室召开，会议审议通过决议如下：</w:t>
      </w:r>
    </w:p>
    <w:p>
      <w:pPr>
        <w:pStyle w:val="BodyText"/>
        <w:spacing w:line="240" w:lineRule="auto" w:before="55"/>
        <w:ind w:left="633" w:right="95"/>
        <w:jc w:val="left"/>
      </w:pPr>
      <w:r>
        <w:rPr/>
        <w:t>（1）公司《2008</w:t>
      </w:r>
      <w:r>
        <w:rPr>
          <w:spacing w:val="-60"/>
        </w:rPr>
        <w:t> </w:t>
      </w:r>
      <w:r>
        <w:rPr/>
        <w:t>年第三季度报告全文》及《2008</w:t>
      </w:r>
      <w:r>
        <w:rPr>
          <w:spacing w:val="-60"/>
        </w:rPr>
        <w:t> </w:t>
      </w:r>
      <w:r>
        <w:rPr/>
        <w:t>年第三季度报告正文</w:t>
      </w:r>
      <w:r>
        <w:rPr>
          <w:spacing w:val="-120"/>
        </w:rPr>
        <w:t>》</w:t>
      </w:r>
      <w:r>
        <w:rPr/>
        <w:t>；</w:t>
      </w:r>
    </w:p>
    <w:p>
      <w:pPr>
        <w:pStyle w:val="BodyText"/>
        <w:spacing w:line="240" w:lineRule="auto" w:before="106"/>
        <w:ind w:left="633" w:right="95"/>
        <w:jc w:val="left"/>
      </w:pPr>
      <w:r>
        <w:rPr/>
        <w:t>（2</w:t>
      </w:r>
      <w:r>
        <w:rPr>
          <w:spacing w:val="-120"/>
        </w:rPr>
        <w:t>）</w:t>
      </w:r>
      <w:r>
        <w:rPr/>
        <w:t>《关于运用部分闲置募集资金暂时补充流动资金的议案</w:t>
      </w:r>
      <w:r>
        <w:rPr>
          <w:spacing w:val="-120"/>
        </w:rPr>
        <w:t>》</w:t>
      </w:r>
      <w:r>
        <w:rPr/>
        <w:t>。</w:t>
      </w:r>
    </w:p>
    <w:p>
      <w:pPr>
        <w:pStyle w:val="BodyText"/>
        <w:spacing w:line="292" w:lineRule="auto" w:before="104"/>
        <w:ind w:right="219" w:firstLine="480"/>
        <w:jc w:val="left"/>
      </w:pPr>
      <w:r>
        <w:rPr/>
        <w:t>上述决议公告刊登于</w:t>
      </w:r>
      <w:r>
        <w:rPr>
          <w:spacing w:val="-60"/>
        </w:rPr>
        <w:t> </w:t>
      </w:r>
      <w:r>
        <w:rPr/>
        <w:t>2008</w:t>
      </w:r>
      <w:r>
        <w:rPr>
          <w:spacing w:val="-60"/>
        </w:rPr>
        <w:t> </w:t>
      </w:r>
      <w:r>
        <w:rPr/>
        <w:t>年</w:t>
      </w:r>
      <w:r>
        <w:rPr>
          <w:spacing w:val="-60"/>
        </w:rPr>
        <w:t> </w:t>
      </w:r>
      <w:r>
        <w:rPr/>
        <w:t>10</w:t>
      </w:r>
      <w:r>
        <w:rPr>
          <w:spacing w:val="-60"/>
        </w:rPr>
        <w:t> </w:t>
      </w:r>
      <w:r>
        <w:rPr/>
        <w:t>月</w:t>
      </w:r>
      <w:r>
        <w:rPr>
          <w:spacing w:val="-60"/>
        </w:rPr>
        <w:t> </w:t>
      </w:r>
      <w:r>
        <w:rPr/>
        <w:t>30</w:t>
      </w:r>
      <w:r>
        <w:rPr>
          <w:spacing w:val="-60"/>
        </w:rPr>
        <w:t> </w:t>
      </w:r>
      <w:r>
        <w:rPr>
          <w:spacing w:val="-4"/>
        </w:rPr>
        <w:t>日的《证券时报》及本公司指定信息披露网站“巨</w:t>
      </w:r>
      <w:r>
        <w:rPr/>
        <w:t> 潮资讯网”。</w:t>
      </w:r>
    </w:p>
    <w:p>
      <w:pPr>
        <w:spacing w:line="240" w:lineRule="auto" w:before="1"/>
        <w:rPr>
          <w:rFonts w:ascii="宋体" w:hAnsi="宋体" w:cs="宋体" w:eastAsia="宋体" w:hint="default"/>
          <w:sz w:val="33"/>
          <w:szCs w:val="33"/>
        </w:rPr>
      </w:pPr>
    </w:p>
    <w:p>
      <w:pPr>
        <w:pStyle w:val="BodyText"/>
        <w:spacing w:line="290" w:lineRule="auto" w:before="0"/>
        <w:ind w:left="633" w:right="95"/>
        <w:jc w:val="left"/>
      </w:pPr>
      <w:r>
        <w:rPr/>
        <w:t>二、监事会发表的意见： </w:t>
      </w:r>
      <w:r>
        <w:rPr>
          <w:spacing w:val="-3"/>
        </w:rPr>
        <w:t>1、监事会对公司的规范经营、财务状况和关联交易进行监督，以及对公司董事及高级管</w:t>
      </w:r>
    </w:p>
    <w:p>
      <w:pPr>
        <w:pStyle w:val="BodyText"/>
        <w:spacing w:line="290" w:lineRule="auto" w:before="16"/>
        <w:ind w:left="633" w:right="6251" w:hanging="480"/>
        <w:jc w:val="left"/>
      </w:pPr>
      <w:r>
        <w:rPr/>
        <w:t>理人员的公职行为进行监督的情况 监事会经认真审议认为：</w:t>
      </w:r>
    </w:p>
    <w:p>
      <w:pPr>
        <w:pStyle w:val="BodyText"/>
        <w:spacing w:line="290" w:lineRule="auto" w:before="14"/>
        <w:ind w:right="95" w:firstLine="480"/>
        <w:jc w:val="left"/>
      </w:pPr>
      <w:r>
        <w:rPr>
          <w:spacing w:val="-6"/>
        </w:rPr>
        <w:t>（1）报告期内公司各项决策程序合法，公司董事及高级管理人员执行公务时无违反法律、</w:t>
      </w:r>
      <w:r>
        <w:rPr/>
        <w:t> 法规、公司章程及损害公司利益的行为；</w:t>
      </w:r>
    </w:p>
    <w:p>
      <w:pPr>
        <w:pStyle w:val="BodyText"/>
        <w:spacing w:line="290" w:lineRule="auto" w:before="16"/>
        <w:ind w:right="213" w:firstLine="480"/>
        <w:jc w:val="left"/>
      </w:pPr>
      <w:r>
        <w:rPr>
          <w:spacing w:val="-2"/>
        </w:rPr>
        <w:t>（2）监事会认真审核了公司的财务状况，公司2008年度财务报告真实的反映了公司的财</w:t>
      </w:r>
      <w:r>
        <w:rPr/>
        <w:t> 务状况和经营成果，立信会计师事务所有限公司为公司出具的审计报告是客观、公正的；</w:t>
      </w:r>
    </w:p>
    <w:p>
      <w:pPr>
        <w:pStyle w:val="BodyText"/>
        <w:spacing w:line="290" w:lineRule="auto" w:before="16"/>
        <w:ind w:right="95" w:firstLine="480"/>
        <w:jc w:val="left"/>
      </w:pPr>
      <w:r>
        <w:rPr>
          <w:spacing w:val="-3"/>
        </w:rPr>
        <w:t>（3）报告期内公司未发生关联交易以及对外担保等事项，没有损害公司及全体股东，特</w:t>
      </w:r>
      <w:r>
        <w:rPr/>
        <w:t> 别是中小股东的利益。</w:t>
      </w:r>
    </w:p>
    <w:p>
      <w:pPr>
        <w:pStyle w:val="BodyText"/>
        <w:spacing w:line="290" w:lineRule="auto" w:before="14"/>
        <w:ind w:left="633" w:right="95"/>
        <w:jc w:val="left"/>
      </w:pPr>
      <w:r>
        <w:rPr/>
        <w:t>2、募集资金使用情况 </w:t>
      </w:r>
      <w:r>
        <w:rPr>
          <w:spacing w:val="-11"/>
        </w:rPr>
        <w:t>监事会审议通过了公司《募集资金2008年度使用及存放情况的专项报告》，认为：公司2008</w:t>
      </w:r>
    </w:p>
    <w:p>
      <w:pPr>
        <w:pStyle w:val="BodyText"/>
        <w:spacing w:line="240" w:lineRule="auto" w:before="16"/>
        <w:ind w:left="154" w:right="95"/>
        <w:jc w:val="left"/>
      </w:pPr>
      <w:r>
        <w:rPr/>
        <w:t>年度募集资金实际投入项目与承诺投入项目一致，在募集资金管理上严格按照《募集资金管</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pStyle w:val="BodyText"/>
        <w:spacing w:line="290" w:lineRule="auto" w:before="173"/>
        <w:ind w:left="634" w:right="5170" w:hanging="480"/>
        <w:jc w:val="left"/>
      </w:pPr>
      <w:r>
        <w:rPr/>
        <w:t>理办法》的规定执行。 3、关于公司《内部控制自我评价报告》</w:t>
      </w:r>
    </w:p>
    <w:p>
      <w:pPr>
        <w:pStyle w:val="BodyText"/>
        <w:spacing w:line="290" w:lineRule="auto" w:before="14"/>
        <w:ind w:left="154" w:right="250" w:firstLine="480"/>
        <w:jc w:val="left"/>
      </w:pPr>
      <w:r>
        <w:rPr/>
        <w:t>监事会经审议认为，公司已建立了较为完善、有效的内部控制制度，并得到了基本有效 的落实和执行，公司</w:t>
      </w:r>
      <w:r>
        <w:rPr>
          <w:spacing w:val="-60"/>
        </w:rPr>
        <w:t> </w:t>
      </w:r>
      <w:r>
        <w:rPr/>
        <w:t>2008</w:t>
      </w:r>
      <w:r>
        <w:rPr>
          <w:spacing w:val="-60"/>
        </w:rPr>
        <w:t> </w:t>
      </w:r>
      <w:r>
        <w:rPr/>
        <w:t>年度内部控制自我评价报告基本真实、准确、客观。</w:t>
      </w:r>
    </w:p>
    <w:p>
      <w:pPr>
        <w:spacing w:line="240" w:lineRule="auto" w:before="10"/>
        <w:rPr>
          <w:rFonts w:ascii="宋体" w:hAnsi="宋体" w:cs="宋体" w:eastAsia="宋体" w:hint="default"/>
          <w:sz w:val="34"/>
          <w:szCs w:val="34"/>
        </w:rPr>
      </w:pPr>
    </w:p>
    <w:p>
      <w:pPr>
        <w:pStyle w:val="Heading1"/>
        <w:spacing w:line="240" w:lineRule="auto"/>
        <w:ind w:left="4249" w:right="95"/>
        <w:jc w:val="left"/>
        <w:rPr>
          <w:b w:val="0"/>
          <w:bCs w:val="0"/>
        </w:rPr>
      </w:pPr>
      <w:bookmarkStart w:name="_TOC_250001" w:id="6"/>
      <w:r>
        <w:rPr/>
        <w:t>第十节、重要事项</w:t>
      </w:r>
      <w:bookmarkEnd w:id="6"/>
      <w:r>
        <w:rPr>
          <w:b w:val="0"/>
          <w:bCs w:val="0"/>
        </w:rPr>
      </w:r>
    </w:p>
    <w:p>
      <w:pPr>
        <w:spacing w:line="240" w:lineRule="auto" w:before="2"/>
        <w:rPr>
          <w:rFonts w:ascii="宋体" w:hAnsi="宋体" w:cs="宋体" w:eastAsia="宋体" w:hint="default"/>
          <w:b/>
          <w:bCs/>
          <w:sz w:val="34"/>
          <w:szCs w:val="34"/>
        </w:rPr>
      </w:pPr>
    </w:p>
    <w:p>
      <w:pPr>
        <w:pStyle w:val="BodyText"/>
        <w:spacing w:line="290" w:lineRule="auto" w:before="0"/>
        <w:ind w:left="633" w:right="95"/>
        <w:jc w:val="left"/>
      </w:pPr>
      <w:r>
        <w:rPr/>
        <w:t>一、报告期内，公司无重大诉讼、仲裁事项。 二、报告期内，公司无重大收购及出售资产、吸收合并事项。 三、报告期内，公司未发生破产重组等相关事项。 </w:t>
      </w:r>
      <w:r>
        <w:rPr>
          <w:spacing w:val="-3"/>
        </w:rPr>
        <w:t>四、报告期内，公司未持有其他上市公司股权，未参股商业银行、证券公司、保险公司、</w:t>
      </w:r>
    </w:p>
    <w:p>
      <w:pPr>
        <w:pStyle w:val="BodyText"/>
        <w:spacing w:line="290" w:lineRule="auto" w:before="14"/>
        <w:ind w:left="633" w:right="4811" w:hanging="480"/>
        <w:jc w:val="left"/>
      </w:pPr>
      <w:r>
        <w:rPr/>
        <w:t>信托公司和期货公司等金融企业股权。 五、报告期内，公司未发生关联交易事项。 六、重大合同及其履行情况</w:t>
      </w:r>
    </w:p>
    <w:p>
      <w:pPr>
        <w:pStyle w:val="BodyText"/>
        <w:spacing w:line="290" w:lineRule="auto" w:before="14"/>
        <w:ind w:right="95" w:firstLine="480"/>
        <w:jc w:val="left"/>
      </w:pPr>
      <w:r>
        <w:rPr/>
        <w:t>（一）报告期内，公司无委托、承包、租赁其它公司资产或其它公司托管、承包、租赁</w:t>
      </w:r>
      <w:r>
        <w:rPr>
          <w:spacing w:val="1"/>
        </w:rPr>
        <w:t> </w:t>
      </w:r>
      <w:r>
        <w:rPr/>
        <w:t>公司资产的事项。</w:t>
      </w:r>
    </w:p>
    <w:p>
      <w:pPr>
        <w:pStyle w:val="BodyText"/>
        <w:spacing w:line="240" w:lineRule="auto" w:before="16"/>
        <w:ind w:left="633" w:right="95"/>
        <w:jc w:val="left"/>
      </w:pPr>
      <w:r>
        <w:rPr/>
        <w:t>（二）报告期内，公司无重大担保事项。</w:t>
      </w:r>
    </w:p>
    <w:p>
      <w:pPr>
        <w:pStyle w:val="BodyText"/>
        <w:spacing w:line="240" w:lineRule="auto" w:before="65"/>
        <w:ind w:left="633" w:right="95"/>
        <w:jc w:val="left"/>
      </w:pPr>
      <w:r>
        <w:rPr/>
        <w:t>（三）报告期内，公司无委托他人进行现金资产管理事项。</w:t>
      </w:r>
    </w:p>
    <w:p>
      <w:pPr>
        <w:pStyle w:val="BodyText"/>
        <w:spacing w:line="290" w:lineRule="auto" w:before="66"/>
        <w:ind w:left="633" w:right="95"/>
        <w:jc w:val="left"/>
      </w:pPr>
      <w:r>
        <w:rPr/>
        <w:t>（四）报告期内，公司无其它重大合同事项发生。 七、报告期内，公司未制定或实施股权激励计划。 八、公司或持有公司5%以上（含5%）的股东承诺事项 </w:t>
      </w:r>
      <w:r>
        <w:rPr>
          <w:spacing w:val="-3"/>
        </w:rPr>
        <w:t>1、首次公开发行前股东所持股份自愿锁定的承诺：本公司控股股东恒顺昌公司、主要股</w:t>
      </w:r>
    </w:p>
    <w:p>
      <w:pPr>
        <w:pStyle w:val="BodyText"/>
        <w:spacing w:line="290" w:lineRule="auto" w:before="16"/>
        <w:ind w:right="228"/>
        <w:jc w:val="both"/>
      </w:pPr>
      <w:r>
        <w:rPr/>
        <w:t>东冠德成公司承诺，自本股票上市之日起三十六个月内，不转让或者委托他人管理其持有的</w:t>
      </w:r>
      <w:r>
        <w:rPr>
          <w:spacing w:val="-83"/>
        </w:rPr>
        <w:t> </w:t>
      </w:r>
      <w:r>
        <w:rPr>
          <w:spacing w:val="-83"/>
        </w:rPr>
      </w:r>
      <w:r>
        <w:rPr/>
        <w:t>本公司股份，也不由本公司回购其持有的股份。</w:t>
      </w:r>
    </w:p>
    <w:p>
      <w:pPr>
        <w:pStyle w:val="BodyText"/>
        <w:spacing w:line="290" w:lineRule="auto" w:before="16"/>
        <w:ind w:right="215" w:firstLine="480"/>
        <w:jc w:val="left"/>
      </w:pPr>
      <w:r>
        <w:rPr>
          <w:spacing w:val="-2"/>
        </w:rPr>
        <w:t>本公司股票于2007年6月13日在深圳证券交易所挂牌上市，截止目前恒顺昌、冠德成持有</w:t>
      </w:r>
      <w:r>
        <w:rPr/>
        <w:t> 的本公司股份尚在锁定阶段。</w:t>
      </w:r>
    </w:p>
    <w:p>
      <w:pPr>
        <w:pStyle w:val="BodyText"/>
        <w:spacing w:line="290" w:lineRule="auto" w:before="14"/>
        <w:ind w:left="154" w:right="95" w:firstLine="480"/>
        <w:jc w:val="left"/>
      </w:pPr>
      <w:r>
        <w:rPr>
          <w:spacing w:val="-6"/>
        </w:rPr>
        <w:t>2、对于公司享有的企业所得税税收优惠事项的承诺：公司实际控制人乔昕、陈亚妹夫妇，</w:t>
      </w:r>
      <w:r>
        <w:rPr/>
        <w:t> 以及恒顺昌、冠德成承诺，若日后国家税务主管部门要求本公司补缴因享受有关税收政策而</w:t>
      </w:r>
      <w:r>
        <w:rPr>
          <w:spacing w:val="-83"/>
        </w:rPr>
        <w:t> </w:t>
      </w:r>
      <w:r>
        <w:rPr>
          <w:spacing w:val="-83"/>
        </w:rPr>
      </w:r>
      <w:r>
        <w:rPr/>
        <w:t>免缴及少缴的企业所得税，则乔昕、陈亚妹夫妇及恒顺昌、冠德成将以连带责任方式，无条</w:t>
      </w:r>
      <w:r>
        <w:rPr>
          <w:spacing w:val="-83"/>
        </w:rPr>
        <w:t> </w:t>
      </w:r>
      <w:r>
        <w:rPr>
          <w:spacing w:val="-83"/>
        </w:rPr>
      </w:r>
      <w:r>
        <w:rPr/>
        <w:t>件全额承担本公司在上市前应补缴的税款及/或因此所产生的相关费用。</w:t>
      </w:r>
    </w:p>
    <w:p>
      <w:pPr>
        <w:pStyle w:val="BodyText"/>
        <w:spacing w:line="290" w:lineRule="auto" w:before="16"/>
        <w:ind w:left="634" w:right="95"/>
        <w:jc w:val="left"/>
      </w:pPr>
      <w:r>
        <w:rPr/>
        <w:t>报告期内，公司未接到国家税务部门关于补缴企业所得税的要求。 </w:t>
      </w:r>
      <w:r>
        <w:rPr>
          <w:spacing w:val="-3"/>
        </w:rPr>
        <w:t>3、关于无锡实益达土地使用权出让金事宜的承诺：公司实际控制人乔昕、陈亚妹夫妇承</w:t>
      </w:r>
    </w:p>
    <w:p>
      <w:pPr>
        <w:pStyle w:val="BodyText"/>
        <w:spacing w:line="290" w:lineRule="auto" w:before="14"/>
        <w:ind w:left="154" w:right="227"/>
        <w:jc w:val="both"/>
      </w:pPr>
      <w:r>
        <w:rPr>
          <w:spacing w:val="-3"/>
        </w:rPr>
        <w:t>诺（1）如果日后有关政府部门要求无锡实益达缴付全部土地出让金，则乔昕、陈亚妹夫妇将</w:t>
      </w:r>
      <w:r>
        <w:rPr>
          <w:spacing w:val="-81"/>
        </w:rPr>
        <w:t> </w:t>
      </w:r>
      <w:r>
        <w:rPr>
          <w:spacing w:val="-81"/>
        </w:rPr>
      </w:r>
      <w:r>
        <w:rPr>
          <w:spacing w:val="-3"/>
        </w:rPr>
        <w:t>对无锡实益达欠缴得多土地使用权出让金承担连带责任；（2）如果日后有关政府部门因无锡</w:t>
      </w:r>
      <w:r>
        <w:rPr>
          <w:spacing w:val="-95"/>
        </w:rPr>
        <w:t> </w:t>
      </w:r>
      <w:r>
        <w:rPr>
          <w:spacing w:val="-95"/>
        </w:rPr>
      </w:r>
      <w:r>
        <w:rPr>
          <w:spacing w:val="3"/>
        </w:rPr>
        <w:t>实益达未能缴足土地使用权出让金而要求其支付相应滞纳金及/或要求其承担其它任何经济</w:t>
      </w:r>
      <w:r>
        <w:rPr>
          <w:spacing w:val="-101"/>
        </w:rPr>
        <w:t> </w:t>
      </w:r>
      <w:r>
        <w:rPr>
          <w:spacing w:val="-101"/>
        </w:rPr>
      </w:r>
      <w:r>
        <w:rPr>
          <w:spacing w:val="-2"/>
        </w:rPr>
        <w:t>处罚，乔昕、陈亚妹夫妇将以连带责任方式代无锡实益达支付滞纳金及/或承担其它任何经济</w:t>
      </w:r>
    </w:p>
    <w:p>
      <w:pPr>
        <w:spacing w:line="240" w:lineRule="auto" w:before="2"/>
        <w:rPr>
          <w:rFonts w:ascii="宋体" w:hAnsi="宋体" w:cs="宋体" w:eastAsia="宋体" w:hint="default"/>
          <w:sz w:val="7"/>
          <w:szCs w:val="7"/>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18"/>
          <w:pgSz w:w="11910" w:h="16840"/>
          <w:pgMar w:footer="711" w:header="787" w:top="1020" w:bottom="900" w:left="980" w:right="900"/>
        </w:sectPr>
      </w:pPr>
    </w:p>
    <w:p>
      <w:pPr>
        <w:spacing w:line="240" w:lineRule="auto" w:before="0"/>
        <w:rPr>
          <w:rFonts w:ascii="宋体" w:hAnsi="宋体" w:cs="宋体" w:eastAsia="宋体" w:hint="default"/>
          <w:sz w:val="20"/>
          <w:szCs w:val="20"/>
        </w:rPr>
      </w:pPr>
    </w:p>
    <w:p>
      <w:pPr>
        <w:pStyle w:val="BodyText"/>
        <w:spacing w:line="290" w:lineRule="auto" w:before="173"/>
        <w:ind w:left="694" w:right="219" w:hanging="480"/>
        <w:jc w:val="left"/>
      </w:pPr>
      <w:r>
        <w:rPr/>
        <w:t>处罚，且不向无锡实益达进行追偿。 报告期内，公司未接到任何政府部门关于追缴无锡实益达土地使用权出让金，以及支付</w:t>
      </w:r>
    </w:p>
    <w:p>
      <w:pPr>
        <w:pStyle w:val="BodyText"/>
        <w:spacing w:line="290" w:lineRule="auto" w:before="14"/>
        <w:ind w:left="693" w:right="4931" w:hanging="480"/>
        <w:jc w:val="left"/>
      </w:pPr>
      <w:r>
        <w:rPr/>
        <w:t>与之相关的滞纳金及/或其它经济处罚的要求。 九、聘任、解聘会计师事务所的情况</w:t>
      </w:r>
    </w:p>
    <w:p>
      <w:pPr>
        <w:pStyle w:val="BodyText"/>
        <w:spacing w:line="290" w:lineRule="auto" w:before="16"/>
        <w:ind w:left="213" w:right="224" w:firstLine="480"/>
        <w:jc w:val="both"/>
      </w:pPr>
      <w:r>
        <w:rPr>
          <w:spacing w:val="3"/>
        </w:rPr>
        <w:t>于2008年4月18日召开的公司2007年度股东大会审议通过了关于聘任北京立信会计师事</w:t>
      </w:r>
      <w:r>
        <w:rPr>
          <w:spacing w:val="4"/>
        </w:rPr>
        <w:t> </w:t>
      </w:r>
      <w:r>
        <w:rPr>
          <w:spacing w:val="-5"/>
        </w:rPr>
        <w:t>务所有限公司（以下简称“北京立信”）为本公司2008年度财务审计机构的议案；其后公司收</w:t>
      </w:r>
      <w:r>
        <w:rPr>
          <w:spacing w:val="-109"/>
        </w:rPr>
        <w:t> </w:t>
      </w:r>
      <w:r>
        <w:rPr>
          <w:spacing w:val="-109"/>
        </w:rPr>
      </w:r>
      <w:r>
        <w:rPr/>
        <w:t>到北京立信的通知，由于立信会计师事务所管理公司系统内部资源重组行为，北京立信与本</w:t>
      </w:r>
      <w:r>
        <w:rPr>
          <w:spacing w:val="-83"/>
        </w:rPr>
        <w:t> </w:t>
      </w:r>
      <w:r>
        <w:rPr>
          <w:spacing w:val="-83"/>
        </w:rPr>
      </w:r>
      <w:r>
        <w:rPr/>
        <w:t>公司签署的审计业务约定书约定的事项，均由立信会计师事务所有限公司履行，该事项涉及</w:t>
      </w:r>
      <w:r>
        <w:rPr>
          <w:spacing w:val="-83"/>
        </w:rPr>
        <w:t> </w:t>
      </w:r>
      <w:r>
        <w:rPr>
          <w:spacing w:val="-83"/>
        </w:rPr>
      </w:r>
      <w:r>
        <w:rPr/>
        <w:t>本公司2008年度财务审计机构变更，已经于2008年11月14日召开的本公司2008年度第二次临</w:t>
      </w:r>
      <w:r>
        <w:rPr>
          <w:spacing w:val="-114"/>
        </w:rPr>
        <w:t> </w:t>
      </w:r>
      <w:r>
        <w:rPr>
          <w:spacing w:val="-114"/>
        </w:rPr>
      </w:r>
      <w:r>
        <w:rPr/>
        <w:t>时股东大会审议通过。</w:t>
      </w:r>
    </w:p>
    <w:p>
      <w:pPr>
        <w:pStyle w:val="BodyText"/>
        <w:spacing w:line="290" w:lineRule="auto" w:before="16"/>
        <w:ind w:left="694" w:right="219"/>
        <w:jc w:val="left"/>
      </w:pPr>
      <w:r>
        <w:rPr/>
        <w:t>2008年度公司支付立信会计师事务所有限公司审计费用合计人民币33万元。 十、报告期内，公司及董事、监事、高级管理人员、公司股东、实际控制人没有受有权</w:t>
      </w:r>
    </w:p>
    <w:p>
      <w:pPr>
        <w:pStyle w:val="BodyText"/>
        <w:spacing w:line="290" w:lineRule="auto" w:before="16"/>
        <w:ind w:left="214" w:right="92"/>
        <w:jc w:val="left"/>
      </w:pPr>
      <w:r>
        <w:rPr>
          <w:spacing w:val="-3"/>
        </w:rPr>
        <w:t>机关调查、司法纪检部门采取强制措施、被移送司法机关或追究刑事责任、中国证监会稽查、</w:t>
      </w:r>
      <w:r>
        <w:rPr>
          <w:spacing w:val="-81"/>
        </w:rPr>
        <w:t> </w:t>
      </w:r>
      <w:r>
        <w:rPr>
          <w:spacing w:val="-81"/>
        </w:rPr>
      </w:r>
      <w:r>
        <w:rPr>
          <w:spacing w:val="-2"/>
        </w:rPr>
        <w:t>证券市场禁入、认定为不适当人选或被其他行政管理部门处罚及证券交易所公开谴责的情形。</w:t>
      </w:r>
    </w:p>
    <w:p>
      <w:pPr>
        <w:pStyle w:val="BodyText"/>
        <w:spacing w:line="240" w:lineRule="auto" w:before="14"/>
        <w:ind w:left="694" w:right="219"/>
        <w:jc w:val="left"/>
      </w:pPr>
      <w:r>
        <w:rPr/>
        <w:t>十一、报告期内公司发布的重大信息索引</w:t>
      </w:r>
    </w:p>
    <w:p>
      <w:pPr>
        <w:spacing w:line="240" w:lineRule="auto" w:before="4"/>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68"/>
        <w:gridCol w:w="1980"/>
        <w:gridCol w:w="5040"/>
        <w:gridCol w:w="1466"/>
      </w:tblGrid>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公告日期</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公告内容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刊登媒体</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2008年1月3日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第一届董事会第二十一次会议决议公告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28" w:right="126"/>
              <w:jc w:val="left"/>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2008年2月2日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2007年度业绩快报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2008年2月20日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关于部分募集资金补充流动资金的归还公告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第一届董事会第二十二次会议决议公告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第一届董事会第二十三次会议决议公告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第一届董事会第二十四次会议决议公告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2007年度报告摘要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关于变更募集资金投资项目的公告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2008－009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募集资金2007年度使用情况的专项报告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关于召开2007年度股东大会通知的公告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第一届监事会第四次会议决议公告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2008年3月30日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关于举行2007年度报告网上说明会的公告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2008年4月12日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关于召开2007年度股东大会的提示公告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2008年4月19日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2007年度股东大会决议公告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2008年4月25日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第一届董事会第二十五次会议决议公告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2008年4月25日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2008年第一季度季度报告正文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2008年5月6日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2007年度利润分配及资本公积金转增股本实施 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bl>
    <w:p>
      <w:pPr>
        <w:spacing w:after="0" w:line="240" w:lineRule="auto"/>
        <w:jc w:val="center"/>
        <w:rPr>
          <w:rFonts w:ascii="宋体" w:hAnsi="宋体" w:cs="宋体" w:eastAsia="宋体" w:hint="default"/>
          <w:sz w:val="24"/>
          <w:szCs w:val="24"/>
        </w:rPr>
        <w:sectPr>
          <w:footerReference w:type="default" r:id="rId19"/>
          <w:pgSz w:w="11910" w:h="16840"/>
          <w:pgMar w:footer="1339" w:header="787" w:top="1020" w:bottom="1520" w:left="920" w:right="900"/>
          <w:pgNumType w:start="53"/>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368"/>
        <w:gridCol w:w="1980"/>
        <w:gridCol w:w="5040"/>
        <w:gridCol w:w="1466"/>
      </w:tblGrid>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5" w:right="0"/>
              <w:jc w:val="left"/>
              <w:rPr>
                <w:rFonts w:ascii="宋体" w:hAnsi="宋体" w:cs="宋体" w:eastAsia="宋体" w:hint="default"/>
                <w:sz w:val="24"/>
                <w:szCs w:val="24"/>
              </w:rPr>
            </w:pPr>
            <w:r>
              <w:rPr>
                <w:rFonts w:ascii="宋体" w:hAnsi="宋体" w:cs="宋体" w:eastAsia="宋体" w:hint="default"/>
                <w:sz w:val="24"/>
                <w:szCs w:val="24"/>
              </w:rPr>
              <w:t>2008年6月5日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第一届董事会第二十六次会议决议公告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5" w:right="0"/>
              <w:jc w:val="left"/>
              <w:rPr>
                <w:rFonts w:ascii="宋体" w:hAnsi="宋体" w:cs="宋体" w:eastAsia="宋体" w:hint="default"/>
                <w:sz w:val="24"/>
                <w:szCs w:val="24"/>
              </w:rPr>
            </w:pPr>
            <w:r>
              <w:rPr>
                <w:rFonts w:ascii="宋体" w:hAnsi="宋体" w:cs="宋体" w:eastAsia="宋体" w:hint="default"/>
                <w:sz w:val="24"/>
                <w:szCs w:val="24"/>
              </w:rPr>
              <w:t>2008年6月5日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关于召开2008年度第一次临时股东大会通知的 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5" w:right="0"/>
              <w:jc w:val="left"/>
              <w:rPr>
                <w:rFonts w:ascii="宋体" w:hAnsi="宋体" w:cs="宋体" w:eastAsia="宋体" w:hint="default"/>
                <w:sz w:val="24"/>
                <w:szCs w:val="24"/>
              </w:rPr>
            </w:pPr>
            <w:r>
              <w:rPr>
                <w:rFonts w:ascii="宋体" w:hAnsi="宋体" w:cs="宋体" w:eastAsia="宋体" w:hint="default"/>
                <w:sz w:val="24"/>
                <w:szCs w:val="24"/>
              </w:rPr>
              <w:t>2008年6月5日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第一届监事会第六次会议决议公告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5" w:right="0"/>
              <w:jc w:val="left"/>
              <w:rPr>
                <w:rFonts w:ascii="宋体" w:hAnsi="宋体" w:cs="宋体" w:eastAsia="宋体" w:hint="default"/>
                <w:sz w:val="24"/>
                <w:szCs w:val="24"/>
              </w:rPr>
            </w:pPr>
            <w:r>
              <w:rPr>
                <w:rFonts w:ascii="宋体" w:hAnsi="宋体" w:cs="宋体" w:eastAsia="宋体" w:hint="default"/>
                <w:sz w:val="24"/>
                <w:szCs w:val="24"/>
              </w:rPr>
              <w:t>2008年6月5日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关于深圳证监局《限期整改通知》的整改方案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2008年6月21日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2008年度第一次临时股东大会决议公告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2008－022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2008年6月21日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第二届董事会第一次会议决议公告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2008－023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2008年6月21日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第二届监事会第一次会议决议公告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第二届董事会第二次会议决议公告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关于公司治理整改情况的说明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关于大股东及其关联方资金占用的自查总结报 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第二届监事会第二次会议决议公告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2008年7月25日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关于大股东为公司申请银行综合授信额度提供 担保的公告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2008年7月31日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2008半年度业绩快报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2008年8月27日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第二届董事会第三次会议决议公告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2008年8月27日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第二届监事会第三次会议决议公告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2008年8月27日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关于深圳证监局《限期整改通知》的整改总结 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2008年8月27日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2008年半年度报告摘要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3"/>
              <w:jc w:val="right"/>
              <w:rPr>
                <w:rFonts w:ascii="宋体" w:hAnsi="宋体" w:cs="宋体" w:eastAsia="宋体" w:hint="default"/>
                <w:sz w:val="24"/>
                <w:szCs w:val="24"/>
              </w:rPr>
            </w:pPr>
            <w:r>
              <w:rPr>
                <w:rFonts w:ascii="宋体" w:hAnsi="宋体" w:cs="宋体" w:eastAsia="宋体" w:hint="default"/>
                <w:sz w:val="24"/>
                <w:szCs w:val="24"/>
              </w:rPr>
              <w:t>2008年9月10日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关于重大投资事项进展情况的公告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第二届董事会第四次会议决议公告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关于为控股子公司无锡实益达提供对外担保的 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关于运用部分闲置募集资金暂时补充流动资金 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关于召开2008年度第二次临时股东大会通知的 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第二届监事会第四次会议决议公告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2008年第三季度报告正文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2008年10月30日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关于会计师事务所变更的公告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76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2008年11月12日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3"/>
              <w:ind w:left="103" w:right="125"/>
              <w:jc w:val="left"/>
              <w:rPr>
                <w:rFonts w:ascii="宋体" w:hAnsi="宋体" w:cs="宋体" w:eastAsia="宋体" w:hint="default"/>
                <w:sz w:val="24"/>
                <w:szCs w:val="24"/>
              </w:rPr>
            </w:pPr>
            <w:r>
              <w:rPr>
                <w:rFonts w:ascii="宋体" w:hAnsi="宋体" w:cs="宋体" w:eastAsia="宋体" w:hint="default"/>
                <w:sz w:val="24"/>
                <w:szCs w:val="24"/>
              </w:rPr>
              <w:t>关于召开2008年度第二次临时股东大会的提示 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r>
        <w:trPr>
          <w:trHeight w:val="3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sz w:val="24"/>
              </w:rPr>
              <w:t>2008-043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3"/>
              <w:jc w:val="right"/>
              <w:rPr>
                <w:rFonts w:ascii="宋体" w:hAnsi="宋体" w:cs="宋体" w:eastAsia="宋体" w:hint="default"/>
                <w:sz w:val="24"/>
                <w:szCs w:val="24"/>
              </w:rPr>
            </w:pPr>
            <w:r>
              <w:rPr>
                <w:rFonts w:ascii="宋体" w:hAnsi="宋体" w:cs="宋体" w:eastAsia="宋体" w:hint="default"/>
                <w:sz w:val="24"/>
                <w:szCs w:val="24"/>
              </w:rPr>
              <w:t>2008年11月15日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4"/>
                <w:szCs w:val="24"/>
              </w:rPr>
            </w:pPr>
            <w:r>
              <w:rPr>
                <w:rFonts w:ascii="宋体" w:hAnsi="宋体" w:cs="宋体" w:eastAsia="宋体" w:hint="default"/>
                <w:sz w:val="24"/>
                <w:szCs w:val="24"/>
              </w:rPr>
              <w:t>2008年度第二次临时股东大会决议公告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4"/>
                <w:szCs w:val="24"/>
              </w:rPr>
            </w:pPr>
            <w:r>
              <w:rPr>
                <w:rFonts w:ascii="宋体" w:hAnsi="宋体" w:cs="宋体" w:eastAsia="宋体" w:hint="default"/>
                <w:sz w:val="24"/>
                <w:szCs w:val="24"/>
              </w:rPr>
              <w:t>同上</w:t>
            </w:r>
          </w:p>
        </w:tc>
      </w:tr>
    </w:tbl>
    <w:p>
      <w:pPr>
        <w:spacing w:after="0" w:line="240" w:lineRule="auto"/>
        <w:jc w:val="center"/>
        <w:rPr>
          <w:rFonts w:ascii="宋体" w:hAnsi="宋体" w:cs="宋体" w:eastAsia="宋体" w:hint="default"/>
          <w:sz w:val="24"/>
          <w:szCs w:val="24"/>
        </w:rPr>
        <w:sectPr>
          <w:pgSz w:w="11910" w:h="16840"/>
          <w:pgMar w:header="787" w:footer="1339" w:top="1020" w:bottom="1520" w:left="920" w:right="900"/>
        </w:sectPr>
      </w:pPr>
    </w:p>
    <w:p>
      <w:pPr>
        <w:spacing w:line="240" w:lineRule="auto" w:before="0"/>
        <w:rPr>
          <w:rFonts w:ascii="Times New Roman" w:hAnsi="Times New Roman" w:cs="Times New Roman" w:eastAsia="Times New Roman" w:hint="default"/>
          <w:sz w:val="20"/>
          <w:szCs w:val="20"/>
        </w:rPr>
      </w:pPr>
    </w:p>
    <w:p>
      <w:pPr>
        <w:pStyle w:val="BodyText"/>
        <w:spacing w:line="290" w:lineRule="auto" w:before="205"/>
        <w:ind w:right="106" w:firstLine="480"/>
        <w:jc w:val="left"/>
      </w:pPr>
      <w:r>
        <w:rPr>
          <w:spacing w:val="-5"/>
        </w:rPr>
        <w:t>说明：由于董事会秘书办公室工作失误，造成报告期内公告编号2008－021号重复的情况，</w:t>
      </w:r>
      <w:r>
        <w:rPr/>
        <w:t> 特此向广大投资者致歉。</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pStyle w:val="Heading1"/>
        <w:spacing w:line="240" w:lineRule="auto"/>
        <w:ind w:left="3648" w:right="95"/>
        <w:jc w:val="left"/>
        <w:rPr>
          <w:b w:val="0"/>
          <w:bCs w:val="0"/>
        </w:rPr>
      </w:pPr>
      <w:bookmarkStart w:name="_TOC_250000" w:id="7"/>
      <w:r>
        <w:rPr/>
        <w:t>第十一节、财务报告</w:t>
      </w:r>
      <w:bookmarkEnd w:id="7"/>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BodyText"/>
        <w:spacing w:line="240" w:lineRule="auto" w:before="0"/>
        <w:ind w:left="634" w:right="95"/>
        <w:jc w:val="left"/>
      </w:pPr>
      <w:r>
        <w:rPr/>
        <w:t>一、审计报告（全文附后）</w:t>
      </w:r>
    </w:p>
    <w:p>
      <w:pPr>
        <w:pStyle w:val="BodyText"/>
        <w:spacing w:line="240" w:lineRule="auto" w:before="166"/>
        <w:ind w:left="633" w:right="95"/>
        <w:jc w:val="left"/>
      </w:pPr>
      <w:r>
        <w:rPr/>
        <w:t>立信会计师事务所有限公司对公司</w:t>
      </w:r>
      <w:r>
        <w:rPr>
          <w:spacing w:val="-60"/>
        </w:rPr>
        <w:t> </w:t>
      </w:r>
      <w:r>
        <w:rPr/>
        <w:t>2008</w:t>
      </w:r>
      <w:r>
        <w:rPr>
          <w:spacing w:val="-60"/>
        </w:rPr>
        <w:t> </w:t>
      </w:r>
      <w:r>
        <w:rPr/>
        <w:t>年度报告出具了标准无保留意见审计报告。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624" w:right="95"/>
        <w:jc w:val="left"/>
      </w:pPr>
      <w:r>
        <w:rPr/>
        <w:t>二、会计报表（附后）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624" w:right="95"/>
        <w:jc w:val="left"/>
      </w:pPr>
      <w:r>
        <w:rPr/>
        <w:t>三、会计报表附注（附后）</w:t>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41" w:val="left" w:leader="none"/>
          <w:tab w:pos="882" w:val="left" w:leader="none"/>
          <w:tab w:pos="1325" w:val="left" w:leader="none"/>
        </w:tabs>
        <w:spacing w:line="240" w:lineRule="auto" w:before="191"/>
        <w:ind w:left="0" w:right="118"/>
        <w:jc w:val="center"/>
        <w:rPr>
          <w:b w:val="0"/>
          <w:bCs w:val="0"/>
        </w:rPr>
      </w:pPr>
      <w:r>
        <w:rPr>
          <w:w w:val="95"/>
        </w:rPr>
        <w:t>审</w:t>
        <w:tab/>
        <w:t>计</w:t>
        <w:tab/>
        <w:t>报</w:t>
        <w:tab/>
      </w:r>
      <w:r>
        <w:rPr/>
        <w:t>告</w:t>
      </w:r>
      <w:r>
        <w:rPr>
          <w:b w:val="0"/>
          <w:bCs w:val="0"/>
        </w:rPr>
      </w:r>
    </w:p>
    <w:p>
      <w:pPr>
        <w:pStyle w:val="BodyText"/>
        <w:spacing w:line="240" w:lineRule="auto" w:before="85"/>
        <w:ind w:left="6432" w:right="95"/>
        <w:jc w:val="left"/>
      </w:pPr>
      <w:r>
        <w:rPr/>
        <w:t>信会师报字（2009）第</w:t>
      </w:r>
      <w:r>
        <w:rPr>
          <w:spacing w:val="-60"/>
        </w:rPr>
        <w:t> </w:t>
      </w:r>
      <w:r>
        <w:rPr/>
        <w:t>10628</w:t>
      </w:r>
      <w:r>
        <w:rPr>
          <w:spacing w:val="-60"/>
        </w:rPr>
        <w:t> </w:t>
      </w:r>
      <w:r>
        <w:rPr/>
        <w:t>号</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304" w:lineRule="auto" w:before="26"/>
        <w:ind w:left="633" w:right="95" w:hanging="480"/>
        <w:jc w:val="left"/>
        <w:rPr>
          <w:rFonts w:ascii="宋体" w:hAnsi="宋体" w:cs="宋体" w:eastAsia="宋体" w:hint="default"/>
          <w:sz w:val="24"/>
          <w:szCs w:val="24"/>
        </w:rPr>
      </w:pPr>
      <w:r>
        <w:rPr>
          <w:rFonts w:ascii="宋体" w:hAnsi="宋体" w:cs="宋体" w:eastAsia="宋体" w:hint="default"/>
          <w:b/>
          <w:bCs/>
          <w:sz w:val="24"/>
          <w:szCs w:val="24"/>
        </w:rPr>
        <w:t>深圳市实益达科技股份有限公司全体股东：</w:t>
      </w:r>
      <w:r>
        <w:rPr>
          <w:rFonts w:ascii="宋体" w:hAnsi="宋体" w:cs="宋体" w:eastAsia="宋体" w:hint="default"/>
          <w:b/>
          <w:bCs/>
          <w:spacing w:val="1"/>
          <w:w w:val="99"/>
          <w:sz w:val="24"/>
          <w:szCs w:val="24"/>
        </w:rPr>
        <w:t> </w:t>
      </w:r>
      <w:r>
        <w:rPr>
          <w:rFonts w:ascii="宋体" w:hAnsi="宋体" w:cs="宋体" w:eastAsia="宋体" w:hint="default"/>
          <w:sz w:val="24"/>
          <w:szCs w:val="24"/>
        </w:rPr>
        <w:t>我们审计了后附的深圳市实益达科技股份有限公司（以下简称实益达）财务报表，包括</w:t>
      </w:r>
    </w:p>
    <w:p>
      <w:pPr>
        <w:pStyle w:val="BodyText"/>
        <w:spacing w:line="304" w:lineRule="auto" w:before="22"/>
        <w:ind w:right="231"/>
        <w:jc w:val="both"/>
      </w:pP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3"/>
        </w:rPr>
        <w:t>日的资产负债表和合并资产负债表、2008</w:t>
      </w:r>
      <w:r>
        <w:rPr>
          <w:spacing w:val="-56"/>
        </w:rPr>
        <w:t> </w:t>
      </w:r>
      <w:r>
        <w:rPr>
          <w:spacing w:val="-3"/>
        </w:rPr>
        <w:t>年度的利润表和合并利润表、2008</w:t>
      </w:r>
      <w:r>
        <w:rPr/>
        <w:t> 年度的现金流量表和合并现金流量表、2008</w:t>
      </w:r>
      <w:r>
        <w:rPr>
          <w:spacing w:val="-80"/>
        </w:rPr>
        <w:t> </w:t>
      </w:r>
      <w:r>
        <w:rPr/>
        <w:t>年度的所有者权益变动表和合并所有者权益变动</w:t>
      </w:r>
      <w:r>
        <w:rPr/>
        <w:t> 表以及财务报表附注。</w:t>
      </w:r>
    </w:p>
    <w:p>
      <w:pPr>
        <w:spacing w:line="304" w:lineRule="auto" w:before="22"/>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按照企业会计准则的规定编制财务报表是实益达管理层的责任。这种责任包括：（1）设</w:t>
      </w:r>
      <w:r>
        <w:rPr>
          <w:rFonts w:ascii="宋体" w:hAnsi="宋体" w:cs="宋体" w:eastAsia="宋体" w:hint="default"/>
          <w:sz w:val="24"/>
          <w:szCs w:val="24"/>
        </w:rPr>
      </w:r>
    </w:p>
    <w:p>
      <w:pPr>
        <w:pStyle w:val="BodyText"/>
        <w:spacing w:line="307" w:lineRule="auto"/>
        <w:ind w:right="95"/>
        <w:jc w:val="left"/>
      </w:pPr>
      <w:r>
        <w:rPr/>
        <w:t>计、实施和维护与财务报表编制相关的内部控制，以使财务报表不存在由于舞弊或错误而导</w:t>
      </w:r>
      <w:r>
        <w:rPr>
          <w:spacing w:val="-83"/>
        </w:rPr>
        <w:t> </w:t>
      </w:r>
      <w:r>
        <w:rPr>
          <w:spacing w:val="-83"/>
        </w:rPr>
      </w:r>
      <w:r>
        <w:rPr>
          <w:spacing w:val="-7"/>
        </w:rPr>
        <w:t>致的重大错报；（2）选择和运用恰当的会计政策；（3）作出合理的会计估计。</w:t>
      </w:r>
    </w:p>
    <w:p>
      <w:pPr>
        <w:spacing w:line="304" w:lineRule="auto" w:before="18"/>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我们的责任是在实施审计工作的基础上对财务报表发表审计意见。我们按照中国注册会</w:t>
      </w:r>
    </w:p>
    <w:p>
      <w:pPr>
        <w:pStyle w:val="BodyText"/>
        <w:spacing w:line="304" w:lineRule="auto" w:before="22"/>
        <w:ind w:right="93"/>
        <w:jc w:val="left"/>
      </w:pP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304" w:lineRule="auto"/>
        <w:ind w:right="93"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w:t>
      </w:r>
      <w:r>
        <w:rPr>
          <w:spacing w:val="-83"/>
        </w:rPr>
        <w:t> </w:t>
      </w:r>
      <w:r>
        <w:rPr>
          <w:spacing w:val="-83"/>
        </w:rPr>
      </w:r>
      <w:r>
        <w:rPr/>
        <w:t>目的并非对内部控制的有效性发表意见。审计工作还包括评价管理层选用会计政策的恰当性</w:t>
      </w:r>
      <w:r>
        <w:rPr>
          <w:spacing w:val="-83"/>
        </w:rPr>
        <w:t> </w:t>
      </w:r>
      <w:r>
        <w:rPr>
          <w:spacing w:val="-83"/>
        </w:rPr>
      </w:r>
      <w:r>
        <w:rPr/>
        <w:t>和作出会计估计的合理性，以及评价财务报表的总体列报。</w:t>
      </w:r>
    </w:p>
    <w:p>
      <w:pPr>
        <w:pStyle w:val="BodyText"/>
        <w:spacing w:line="304" w:lineRule="auto"/>
        <w:ind w:left="633" w:right="95"/>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spacing w:val="1"/>
          <w:w w:val="99"/>
        </w:rPr>
        <w:t> </w:t>
      </w:r>
      <w:r>
        <w:rPr/>
        <w:t>我们认为，实益达财务报表已经按照企业会计准则的规定编制，在所有重大方面公允反</w:t>
      </w:r>
    </w:p>
    <w:p>
      <w:pPr>
        <w:pStyle w:val="BodyText"/>
        <w:spacing w:line="240" w:lineRule="auto"/>
        <w:ind w:right="0"/>
        <w:jc w:val="both"/>
      </w:pPr>
      <w:r>
        <w:rPr/>
        <w:t>映了实益达</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日的财务状况以及</w:t>
      </w:r>
      <w:r>
        <w:rPr>
          <w:spacing w:val="-60"/>
        </w:rPr>
        <w:t> </w:t>
      </w:r>
      <w:r>
        <w:rPr/>
        <w:t>2008</w:t>
      </w:r>
      <w:r>
        <w:rPr>
          <w:spacing w:val="-60"/>
        </w:rPr>
        <w:t> </w:t>
      </w:r>
      <w:r>
        <w:rPr/>
        <w:t>年度的经营成果和现金流量。</w:t>
      </w:r>
    </w:p>
    <w:p>
      <w:pPr>
        <w:spacing w:line="240" w:lineRule="auto" w:before="0"/>
        <w:rPr>
          <w:rFonts w:ascii="宋体" w:hAnsi="宋体" w:cs="宋体" w:eastAsia="宋体" w:hint="default"/>
          <w:sz w:val="24"/>
          <w:szCs w:val="24"/>
        </w:rPr>
      </w:pPr>
    </w:p>
    <w:p>
      <w:pPr>
        <w:pStyle w:val="Heading1"/>
        <w:tabs>
          <w:tab w:pos="4010" w:val="left" w:leader="none"/>
        </w:tabs>
        <w:spacing w:line="240" w:lineRule="auto" w:before="172"/>
        <w:ind w:left="636" w:right="95"/>
        <w:jc w:val="left"/>
        <w:rPr>
          <w:b w:val="0"/>
          <w:bCs w:val="0"/>
        </w:rPr>
      </w:pPr>
      <w:r>
        <w:rPr>
          <w:w w:val="95"/>
        </w:rPr>
        <w:t>立信会计师事务所有限公司</w:t>
        <w:tab/>
      </w:r>
      <w:r>
        <w:rPr/>
        <w:t>中国注册会计师：章顺文</w:t>
      </w:r>
      <w:r>
        <w:rPr>
          <w:b w:val="0"/>
          <w:bCs w:val="0"/>
        </w:rPr>
      </w:r>
    </w:p>
    <w:p>
      <w:pPr>
        <w:spacing w:after="0" w:line="240" w:lineRule="auto"/>
        <w:jc w:val="left"/>
        <w:sectPr>
          <w:pgSz w:w="11910" w:h="16840"/>
          <w:pgMar w:header="787" w:footer="1339" w:top="1020" w:bottom="152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26"/>
        <w:ind w:left="806" w:right="241" w:firstLine="0"/>
        <w:jc w:val="center"/>
        <w:rPr>
          <w:rFonts w:ascii="宋体" w:hAnsi="宋体" w:cs="宋体" w:eastAsia="宋体" w:hint="default"/>
          <w:sz w:val="24"/>
          <w:szCs w:val="24"/>
        </w:rPr>
      </w:pPr>
      <w:r>
        <w:rPr>
          <w:rFonts w:ascii="宋体" w:hAnsi="宋体" w:cs="宋体" w:eastAsia="宋体" w:hint="default"/>
          <w:b/>
          <w:bCs/>
          <w:sz w:val="24"/>
          <w:szCs w:val="24"/>
        </w:rPr>
        <w:t>中国注册会计师：游朝霞</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19"/>
          <w:szCs w:val="19"/>
        </w:rPr>
      </w:pPr>
    </w:p>
    <w:p>
      <w:pPr>
        <w:tabs>
          <w:tab w:pos="4152" w:val="left" w:leader="none"/>
        </w:tabs>
        <w:spacing w:before="0"/>
        <w:ind w:left="556" w:right="3330" w:firstLine="0"/>
        <w:jc w:val="left"/>
        <w:rPr>
          <w:rFonts w:ascii="宋体" w:hAnsi="宋体" w:cs="宋体" w:eastAsia="宋体" w:hint="default"/>
          <w:sz w:val="24"/>
          <w:szCs w:val="24"/>
        </w:rPr>
      </w:pPr>
      <w:r>
        <w:rPr>
          <w:rFonts w:ascii="宋体" w:hAnsi="宋体" w:cs="宋体" w:eastAsia="宋体" w:hint="default"/>
          <w:b/>
          <w:bCs/>
          <w:spacing w:val="-29"/>
          <w:sz w:val="24"/>
          <w:szCs w:val="24"/>
        </w:rPr>
        <w:t>中国·上海</w:t>
        <w:tab/>
      </w:r>
      <w:r>
        <w:rPr>
          <w:rFonts w:ascii="宋体" w:hAnsi="宋体" w:cs="宋体" w:eastAsia="宋体" w:hint="default"/>
          <w:b/>
          <w:bCs/>
          <w:sz w:val="24"/>
          <w:szCs w:val="24"/>
        </w:rPr>
        <w:t>二ＯＯ九年三月十八日</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2"/>
          <w:szCs w:val="22"/>
        </w:rPr>
      </w:pPr>
    </w:p>
    <w:p>
      <w:pPr>
        <w:pStyle w:val="BodyText"/>
        <w:spacing w:line="240" w:lineRule="auto" w:before="0"/>
        <w:ind w:left="84" w:right="241"/>
        <w:jc w:val="center"/>
      </w:pPr>
      <w:r>
        <w:rPr/>
        <w:t>资产负债表</w:t>
      </w:r>
    </w:p>
    <w:p>
      <w:pPr>
        <w:tabs>
          <w:tab w:pos="5027" w:val="left" w:leader="none"/>
          <w:tab w:pos="8132" w:val="left" w:leader="none"/>
        </w:tabs>
        <w:spacing w:before="65"/>
        <w:ind w:left="0" w:right="157"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深圳市实益达科技股份有限公司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7"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617,482,661.13</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577,518,603.89</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219,892,797.75</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206,224,167.91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25,762,657.36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505,600.00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173,182,184.75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164,042,054.01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311,200,755.55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309,394,611.80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20,144,010.31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14,793,648.71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14,478,015.92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13,257,761.99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12,572,041.59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12,572,041.59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6,465,461.63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68,981,576.33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3,712,637.82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3,514,479.29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64,974,282.94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53,762,496.93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114,236,397.80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109,406,728.17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920,683,299.71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892,176,021.46</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663,620,604.84</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641,797,749.16</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4,618,098.56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30,274,193.46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30,274,193.46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166,540,710.23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113,858,120.23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177,889,436.14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127,047,209.59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66,223,487.85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65,933,224.40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1,655,989.64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1,257,881.19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52,165,651.87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43,171,371.77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53,313,201.64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44,172,136.66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3,587,838.93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3,419,927.89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2,445,306.51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2,445,306.51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3,423,199.67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2,833,355.20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1,637,545.49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1,122,468.60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296,558,987.11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259,490,192.95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236,941,479.42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206,319,196.01</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1,217,242,286.82</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1,151,666,214.41</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900,562,084.26</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848,116,945.17</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517,522,880.00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497,572,880.00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119,569,000.00</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109,569,000.00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4,353,176.99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4,353,176.99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1,614,478.51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1,614,478.51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141,030,289.54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122,559,296.26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207,738,253.19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192,046,829.84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1,715,166.52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171,323.91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1,348,333.78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1,302,230.99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4,721,666.04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4,198,397.83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3,839,888.63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3,578,562.14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1,936,094.44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385,816.97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2,635,218.81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2,974,868.93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8,326,079.22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8,259,937.03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387,040.81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387,040.81</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10,431,558.77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3,370,183.17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16,877,159.97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14,620,329.49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1,673,017.81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691,709,929.33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640,871,012.16</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354,009,373.70</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326,093,340.71</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8,881,810.95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101,120.00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101,120.00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101,120.00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8,881,810.95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691,811,049.33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640,972,132.16</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362,891,184.65</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326,093,340.71</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200,100,000.00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200,100,000.00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133,400,000.00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133,400,000.00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223,989,200.00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223,989,200.00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290,689,200.00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290,689,200.00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14,505,464.19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14,505,464.19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11,636,416.41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11,636,416.41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69,399,257.69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72,099,418.06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78,516,789.08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86,297,988.05</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148,411.54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43,365.35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508,142,333.42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510,694,082.25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514,285,770.84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522,023,604.46</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17,288,904.07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23,385,128.77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525,431,237.49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510,694,082.25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537,670,899.61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522,023,604.46</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1,217,242,286.82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1,151,666,214.41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900,562,084.26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848,116,945.17</w:t>
            </w:r>
          </w:p>
        </w:tc>
      </w:tr>
    </w:tbl>
    <w:p>
      <w:pPr>
        <w:pStyle w:val="BodyText"/>
        <w:spacing w:line="240" w:lineRule="auto" w:before="71"/>
        <w:ind w:left="84" w:right="241"/>
        <w:jc w:val="center"/>
      </w:pPr>
      <w:r>
        <w:rPr/>
        <w:t>利润表</w:t>
      </w:r>
    </w:p>
    <w:p>
      <w:pPr>
        <w:tabs>
          <w:tab w:pos="5129" w:val="left" w:leader="none"/>
          <w:tab w:pos="8024" w:val="left" w:leader="none"/>
        </w:tabs>
        <w:spacing w:before="23"/>
        <w:ind w:left="0" w:right="241" w:firstLine="0"/>
        <w:jc w:val="center"/>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883,588,041.07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842,855,843.34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1,202,703,869.46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1,198,225,342.73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883,588,041.07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842,855,843.34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1,202,703,869.46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1,198,225,342.73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868,381,951.37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803,145,912.81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1,142,531,399.33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1,126,518,004.84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18"/>
                <w:szCs w:val="18"/>
              </w:rPr>
            </w:pPr>
            <w:r>
              <w:rPr>
                <w:rFonts w:ascii="Times New Roman"/>
                <w:spacing w:val="-1"/>
                <w:sz w:val="18"/>
              </w:rPr>
              <w:t>814,893,373.83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767,882,438.34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1,088,532,991.96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1,082,910,931.42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z w:val="18"/>
              </w:rPr>
              <w:t>50,073.70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z w:val="18"/>
              </w:rPr>
              <w:t>47,402.48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z w:val="18"/>
              </w:rPr>
              <w:t>6,452.74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z w:val="18"/>
              </w:rPr>
              <w:t>5,300.52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4,482,168.85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4,004,492.59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1,947,202.05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1,666,807.16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40,412,209.86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36,056,508.73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33,995,510.68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25,326,822.19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3,773,549.22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1,865,495.09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6,476,238.98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5,664,573.31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4,770,575.91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-6,710,424.42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11,573,002.92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10,943,570.24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21,409,193.97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-3,847,576.99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4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-3,502,025.00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-3,502,025.00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4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4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33,113,258.67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32,360,328.54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60,172,470.13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71,707,337.89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1,072,813.87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1,067,448.24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2,433,050.00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2,403,050.00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1,047,546.84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18"/>
                <w:szCs w:val="18"/>
              </w:rPr>
            </w:pPr>
            <w:r>
              <w:rPr>
                <w:rFonts w:ascii="Times New Roman"/>
                <w:spacing w:val="-1"/>
                <w:sz w:val="18"/>
              </w:rPr>
              <w:t>1,034,416.66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z w:val="18"/>
              </w:rPr>
              <w:t>219,684.64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z w:val="18"/>
              </w:rPr>
              <w:t>218,682.64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8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196" w:lineRule="exact" w:before="9"/>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752" w:right="0"/>
              <w:jc w:val="left"/>
              <w:rPr>
                <w:rFonts w:ascii="Times New Roman" w:hAnsi="Times New Roman" w:cs="Times New Roman" w:eastAsia="Times New Roman" w:hint="default"/>
                <w:sz w:val="18"/>
                <w:szCs w:val="18"/>
              </w:rPr>
            </w:pPr>
            <w:r>
              <w:rPr>
                <w:rFonts w:ascii="Times New Roman"/>
                <w:sz w:val="18"/>
              </w:rPr>
              <w:t>33,138,525.70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32,393,360.12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62,385,835.49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73,891,705.25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5,463,234.01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3,702,882.33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4,996,850.15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5,397,333.47</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27,675,291.69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28,690,477.79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57,388,985.34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68,494,371.78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33,771,516.39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28,690,477.79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61,717,919.49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68,494,371.78</w:t>
            </w:r>
          </w:p>
        </w:tc>
      </w:tr>
      <w:tr>
        <w:trPr>
          <w:trHeight w:val="3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-6,096,224.70</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-4,328,934.15</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0.1688</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0.1434</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0.3084</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0.3423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0.1434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0.3084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0.3423</w:t>
            </w:r>
          </w:p>
        </w:tc>
      </w:tr>
    </w:tbl>
    <w:p>
      <w:pPr>
        <w:pStyle w:val="BodyText"/>
        <w:spacing w:line="240" w:lineRule="auto" w:before="1"/>
        <w:ind w:left="84" w:right="241"/>
        <w:jc w:val="center"/>
      </w:pPr>
      <w:r>
        <w:rPr/>
        <w:t>现金流量表</w:t>
      </w:r>
    </w:p>
    <w:p>
      <w:pPr>
        <w:tabs>
          <w:tab w:pos="5129" w:val="left" w:leader="none"/>
          <w:tab w:pos="8024" w:val="left" w:leader="none"/>
        </w:tabs>
        <w:spacing w:before="45"/>
        <w:ind w:left="0" w:right="241" w:firstLine="0"/>
        <w:jc w:val="center"/>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17"/>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985,079,079.39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818,523,328.43</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907,293,067.30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898,099,632.74</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2,751,243.84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2,751,243.84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1,554,054.01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1,554,054.01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39,423,456.05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441,548,361.16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5,964,086.48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5,054,707.86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1,027,253,779.28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1,262,822,933.43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914,811,207.79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904,708,394.61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758,561,346.82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783,366,910.36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977,718,310.56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959,762,183.83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right="9"/>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3"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57,857,424.61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46,624,109.70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53,503,080.23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44,862,389.41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10,691,276.85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10,564,222.78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5,280,226.77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5,226,376.58</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62,151,206.90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192,625,460.86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37,342,220.32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57,114,159.33</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889,261,255.18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1,033,180,703.70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1,073,843,837.88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1,066,965,109.15</w:t>
            </w:r>
          </w:p>
        </w:tc>
      </w:tr>
      <w:tr>
        <w:trPr>
          <w:trHeight w:val="56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137,992,524.10</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229,642,229.73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-159,032,630.09</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-162,256,714.54</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11" w:right="-21"/>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5"/>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52"/>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52"/>
              <w:ind w:left="11" w:right="1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z w:val="18"/>
              </w:rPr>
              <w:t>360,000.00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360,000.00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60,713,231.15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56,413,946.68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82,843,673.45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62,719,244.17</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19,480,762.30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4,087,275.00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34,106,859.18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6,773,186.95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114,300,852.63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67,274,408.63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82,843,673.45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62,719,244.17</w:t>
            </w:r>
          </w:p>
        </w:tc>
      </w:tr>
      <w:tr>
        <w:trPr>
          <w:trHeight w:val="6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52"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-114,300,852.63</w:t>
            </w:r>
          </w:p>
        </w:tc>
        <w:tc>
          <w:tcPr>
            <w:tcW w:w="1820"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-67,274,408.63</w:t>
            </w:r>
          </w:p>
        </w:tc>
        <w:tc>
          <w:tcPr>
            <w:tcW w:w="1819"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-82,483,673.45</w:t>
            </w:r>
          </w:p>
        </w:tc>
        <w:tc>
          <w:tcPr>
            <w:tcW w:w="1820"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-62,359,244.17</w:t>
            </w:r>
          </w:p>
        </w:tc>
      </w:tr>
      <w:tr>
        <w:trPr>
          <w:trHeight w:val="42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4"/>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8"/>
                <w:szCs w:val="18"/>
              </w:rPr>
            </w:pPr>
            <w:r>
              <w:rPr>
                <w:rFonts w:ascii="Times New Roman"/>
                <w:sz w:val="18"/>
              </w:rPr>
              <w:t>0.00</w:t>
            </w:r>
          </w:p>
        </w:tc>
        <w:tc>
          <w:tcPr>
            <w:tcW w:w="1820"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pacing w:val="-1"/>
                <w:sz w:val="18"/>
              </w:rPr>
              <w:t>330,259,200.00</w:t>
            </w:r>
          </w:p>
        </w:tc>
        <w:tc>
          <w:tcPr>
            <w:tcW w:w="1820" w:type="dxa"/>
            <w:tcBorders>
              <w:top w:val="single" w:sz="53" w:space="0" w:color="DCDCDC"/>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pacing w:val="-1"/>
                <w:sz w:val="18"/>
              </w:rPr>
              <w:t>330,259,200.00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839,646,572.58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673,090,572.58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445,110,344.18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421,556,170.00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839,646,572.58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673,090,572.58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775,369,544.18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751,815,370.00</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424,855,695.00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398,263,750.00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378,615,892.93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373,471,378.76</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64,727,112.33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64,173,202.16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6,426,637.03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5,997,450.95</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525,833,163.86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525,833,163.86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pacing w:val="-1"/>
                <w:sz w:val="18"/>
              </w:rPr>
              <w:t>5,017,976.70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5,017,976.70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339" w:top="1020" w:bottom="16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1,015,415,971.19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988,270,116.02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390,060,506.66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384,486,806.41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-175,769,398.61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-315,179,543.44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385,309,037.52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367,328,563.59</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-3,569,425.15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-1,797,185.12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-865,833.20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-669,882.11</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-155,647,152.29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-154,608,907.46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142,926,900.78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142,042,722.77</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215,389,554.24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201,720,924.40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72,462,653.46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59,678,201.63</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59,742,401.95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47,112,016.94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215,389,554.24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201,720,924.40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339" w:top="102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before="35"/>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9.2.4</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tabs>
          <w:tab w:pos="7443" w:val="left" w:leader="none"/>
          <w:tab w:pos="1207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65"/>
        <w:gridCol w:w="701"/>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CDCDC"/>
          </w:tcPr>
          <w:p>
            <w:pPr/>
          </w:p>
        </w:tc>
        <w:tc>
          <w:tcPr>
            <w:tcW w:w="621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0" w:hRule="exact"/>
        </w:trPr>
        <w:tc>
          <w:tcPr>
            <w:tcW w:w="2265" w:type="dxa"/>
            <w:vMerge/>
            <w:tcBorders>
              <w:left w:val="single" w:sz="4" w:space="0" w:color="000000"/>
              <w:right w:val="single" w:sz="4" w:space="0" w:color="000000"/>
            </w:tcBorders>
            <w:shd w:val="clear" w:color="auto" w:fill="DCDCDC"/>
          </w:tcPr>
          <w:p>
            <w:pPr/>
          </w:p>
        </w:tc>
        <w:tc>
          <w:tcPr>
            <w:tcW w:w="4835"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2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9"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4835"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3" w:hRule="exact"/>
        </w:trPr>
        <w:tc>
          <w:tcPr>
            <w:tcW w:w="2265"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1"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74"/>
              <w:ind w:left="34" w:right="20" w:hanging="3"/>
              <w:jc w:val="center"/>
              <w:rPr>
                <w:rFonts w:ascii="宋体" w:hAnsi="宋体" w:cs="宋体" w:eastAsia="宋体" w:hint="default"/>
                <w:sz w:val="18"/>
                <w:szCs w:val="18"/>
              </w:rPr>
            </w:pPr>
            <w:r>
              <w:rPr>
                <w:rFonts w:ascii="宋体" w:hAnsi="宋体" w:cs="宋体" w:eastAsia="宋体" w:hint="default"/>
                <w:sz w:val="18"/>
                <w:szCs w:val="18"/>
              </w:rPr>
              <w:t>实收资 </w:t>
            </w: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28"/>
              <w:ind w:left="68"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74"/>
              <w:ind w:left="23" w:right="19" w:hanging="3"/>
              <w:jc w:val="center"/>
              <w:rPr>
                <w:rFonts w:ascii="宋体" w:hAnsi="宋体" w:cs="宋体" w:eastAsia="宋体" w:hint="default"/>
                <w:sz w:val="18"/>
                <w:szCs w:val="18"/>
              </w:rPr>
            </w:pPr>
            <w:r>
              <w:rPr>
                <w:rFonts w:ascii="宋体" w:hAnsi="宋体" w:cs="宋体" w:eastAsia="宋体" w:hint="default"/>
                <w:sz w:val="18"/>
                <w:szCs w:val="18"/>
              </w:rPr>
              <w:t>实收资 </w:t>
            </w: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28"/>
              <w:ind w:left="69"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tcBorders>
              <w:left w:val="single" w:sz="4" w:space="0" w:color="000000"/>
              <w:right w:val="single" w:sz="4" w:space="0" w:color="000000"/>
            </w:tcBorders>
            <w:shd w:val="clear" w:color="auto" w:fill="DCDCDC"/>
          </w:tcPr>
          <w:p>
            <w:pPr/>
          </w:p>
        </w:tc>
      </w:tr>
      <w:tr>
        <w:trPr>
          <w:trHeight w:val="149"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9"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9"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371" w:hRule="exact"/>
        </w:trPr>
        <w:tc>
          <w:tcPr>
            <w:tcW w:w="2265" w:type="dxa"/>
            <w:vMerge w:val="restart"/>
            <w:tcBorders>
              <w:top w:val="nil" w:sz="6" w:space="0" w:color="auto"/>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55"/>
              <w:ind w:left="1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131" w:hRule="exact"/>
        </w:trPr>
        <w:tc>
          <w:tcPr>
            <w:tcW w:w="226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90"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73" w:hRule="exact"/>
        </w:trPr>
        <w:tc>
          <w:tcPr>
            <w:tcW w:w="2265" w:type="dxa"/>
            <w:vMerge/>
            <w:tcBorders>
              <w:left w:val="single" w:sz="4" w:space="0" w:color="000000"/>
              <w:bottom w:val="single" w:sz="4" w:space="0" w:color="000000"/>
              <w:right w:val="single" w:sz="4" w:space="0" w:color="000000"/>
            </w:tcBorders>
            <w:shd w:val="clear" w:color="auto" w:fill="DCDCDC"/>
          </w:tcPr>
          <w:p>
            <w:pPr/>
          </w:p>
        </w:tc>
        <w:tc>
          <w:tcPr>
            <w:tcW w:w="701"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11,636,4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16.41</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78,516,7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89.08</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23,385,1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28.77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537,670,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899.61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0.44</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8,576,89</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2.64</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28,863,7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54.65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62.92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165,137,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360.65</w:t>
            </w:r>
          </w:p>
        </w:tc>
      </w:tr>
      <w:tr>
        <w:trPr>
          <w:trHeight w:val="39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-0.44</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-3,789,9</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13.41</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-5,215,4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47.88</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-9,005,3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61.73</w:t>
            </w:r>
          </w:p>
        </w:tc>
      </w:tr>
      <w:tr>
        <w:trPr>
          <w:trHeight w:val="39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01"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1"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11,636,4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16.41</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78,516,7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89.08</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23,385,1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28.77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537,670,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899.61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9.23</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23,648,3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06.77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62.92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156,131,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998.92</w:t>
            </w:r>
          </w:p>
        </w:tc>
      </w:tr>
      <w:tr>
        <w:trPr>
          <w:trHeight w:val="39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1" w:right="82"/>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66,700,0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-66,700,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2,869,04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-9,117,5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31.39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-6,096,2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24.70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-12,239,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662.12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54,868,4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82.31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34.15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381,538,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900.69</w:t>
            </w: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33,771,5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16.39</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-6,096,2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24.70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27,675,2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91.69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61,717,9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19.49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34.15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57,388,9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85.34</w:t>
            </w:r>
          </w:p>
        </w:tc>
      </w:tr>
      <w:tr>
        <w:trPr>
          <w:trHeight w:val="39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1" w:right="82" w:firstLine="180"/>
              <w:jc w:val="left"/>
              <w:rPr>
                <w:rFonts w:ascii="宋体" w:hAnsi="宋体" w:cs="宋体" w:eastAsia="宋体" w:hint="default"/>
                <w:sz w:val="18"/>
                <w:szCs w:val="18"/>
              </w:rPr>
            </w:pPr>
            <w:r>
              <w:rPr>
                <w:rFonts w:ascii="宋体" w:hAnsi="宋体" w:cs="宋体" w:eastAsia="宋体" w:hint="default"/>
                <w:sz w:val="18"/>
                <w:szCs w:val="18"/>
              </w:rPr>
              <w:t>（二）直接计入所有者权 益的利得和损失</w:t>
            </w:r>
          </w:p>
        </w:tc>
        <w:tc>
          <w:tcPr>
            <w:tcW w:w="701"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37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．可供出售金融资产公</w:t>
            </w:r>
          </w:p>
        </w:tc>
        <w:tc>
          <w:tcPr>
            <w:tcW w:w="701"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6840" w:h="11910" w:orient="landscape"/>
          <w:pgMar w:header="918" w:footer="1464" w:top="1160" w:bottom="1660" w:left="980" w:right="900"/>
          <w:pgNumType w:start="63"/>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6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允价值变动净额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．权益法下被投资单位</w:t>
            </w:r>
            <w:r>
              <w:rPr>
                <w:rFonts w:ascii="宋体" w:hAnsi="宋体" w:cs="宋体" w:eastAsia="宋体" w:hint="default"/>
                <w:sz w:val="18"/>
                <w:szCs w:val="18"/>
              </w:rPr>
              <w:t> 其他所有者权益变动的影响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．与计入所有者权益项</w:t>
            </w:r>
            <w:r>
              <w:rPr>
                <w:rFonts w:ascii="宋体" w:hAnsi="宋体" w:cs="宋体" w:eastAsia="宋体" w:hint="default"/>
                <w:sz w:val="18"/>
                <w:szCs w:val="18"/>
              </w:rPr>
              <w:t> 目相关的所得税影响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33,771,5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16.39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-6,096,2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24.70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27,780,3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37.88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61,717,9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19.49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34.15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57,449,7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00.69</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94"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324,089,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324,089,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w:t>
            </w:r>
            <w:r>
              <w:rPr>
                <w:rFonts w:ascii="宋体" w:hAnsi="宋体" w:cs="宋体" w:eastAsia="宋体" w:hint="default"/>
                <w:sz w:val="18"/>
                <w:szCs w:val="18"/>
              </w:rPr>
              <w:t> 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2,869,04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-42,889,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047.78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-40,020,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-6,849,4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2,869,04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7.78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-2,869,0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47.78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-6,849,4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37.18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51"/>
              <w:ind w:left="22" w:right="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-40,020,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-40,020,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8" w:footer="1464" w:top="1160" w:bottom="1740" w:left="980" w:right="900"/>
        </w:sectPr>
      </w:pPr>
    </w:p>
    <w:p>
      <w:pPr>
        <w:spacing w:line="240" w:lineRule="auto" w:before="4"/>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2" w:right="94"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66,700,0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-66,700,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66,700,0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-66,700,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223,989,</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14,505,4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64.19</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69,399,2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57.69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148,411.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17,288,9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04.07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525,431,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237.49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11,636,4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16.41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78,516,7</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89.08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23,385,1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28.77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537,670,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899.61</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918" w:footer="1464" w:top="1160" w:bottom="1660" w:left="980" w:right="900"/>
        </w:sectPr>
      </w:pPr>
    </w:p>
    <w:p>
      <w:pPr>
        <w:spacing w:line="240" w:lineRule="auto" w:before="5"/>
        <w:rPr>
          <w:rFonts w:ascii="Times New Roman" w:hAnsi="Times New Roman" w:cs="Times New Roman" w:eastAsia="Times New Roman" w:hint="default"/>
          <w:sz w:val="26"/>
          <w:szCs w:val="26"/>
        </w:rPr>
      </w:pPr>
    </w:p>
    <w:p>
      <w:pPr>
        <w:spacing w:line="285" w:lineRule="auto" w:before="1"/>
        <w:ind w:left="2728" w:right="2126" w:hanging="676"/>
        <w:jc w:val="left"/>
        <w:rPr>
          <w:rFonts w:ascii="黑体" w:hAnsi="黑体" w:cs="黑体" w:eastAsia="黑体" w:hint="default"/>
          <w:sz w:val="32"/>
          <w:szCs w:val="32"/>
        </w:rPr>
      </w:pPr>
      <w:r>
        <w:rPr>
          <w:rFonts w:ascii="黑体" w:hAnsi="黑体" w:cs="黑体" w:eastAsia="黑体" w:hint="default"/>
          <w:spacing w:val="-1"/>
          <w:sz w:val="32"/>
          <w:szCs w:val="32"/>
        </w:rPr>
        <w:t>深圳市实益达科技股份有限公司</w:t>
      </w:r>
      <w:r>
        <w:rPr>
          <w:rFonts w:ascii="黑体" w:hAnsi="黑体" w:cs="黑体" w:eastAsia="黑体" w:hint="default"/>
          <w:spacing w:val="-155"/>
          <w:sz w:val="32"/>
          <w:szCs w:val="32"/>
        </w:rPr>
        <w:t> </w:t>
      </w:r>
      <w:r>
        <w:rPr>
          <w:rFonts w:ascii="黑体" w:hAnsi="黑体" w:cs="黑体" w:eastAsia="黑体" w:hint="default"/>
          <w:spacing w:val="-13"/>
          <w:sz w:val="32"/>
          <w:szCs w:val="32"/>
        </w:rPr>
        <w:t>二ＯＯ八年度财务报表附注</w:t>
      </w:r>
      <w:r>
        <w:rPr>
          <w:rFonts w:ascii="黑体" w:hAnsi="黑体" w:cs="黑体" w:eastAsia="黑体" w:hint="default"/>
          <w:sz w:val="32"/>
          <w:szCs w:val="32"/>
        </w:rPr>
      </w:r>
    </w:p>
    <w:p>
      <w:pPr>
        <w:spacing w:before="21"/>
        <w:ind w:left="562" w:right="2126"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97" w:lineRule="auto" w:before="66"/>
        <w:ind w:left="139" w:right="101" w:firstLine="420"/>
        <w:jc w:val="left"/>
        <w:rPr>
          <w:rFonts w:ascii="宋体" w:hAnsi="宋体" w:cs="宋体" w:eastAsia="宋体" w:hint="default"/>
          <w:sz w:val="21"/>
          <w:szCs w:val="21"/>
        </w:rPr>
      </w:pPr>
      <w:r>
        <w:rPr>
          <w:rFonts w:ascii="宋体" w:hAnsi="宋体" w:cs="宋体" w:eastAsia="宋体" w:hint="default"/>
          <w:sz w:val="21"/>
          <w:szCs w:val="21"/>
        </w:rPr>
        <w:t>深圳市实益达科技股份有限公</w:t>
      </w:r>
      <w:r>
        <w:rPr>
          <w:rFonts w:ascii="宋体" w:hAnsi="宋体" w:cs="宋体" w:eastAsia="宋体" w:hint="default"/>
          <w:spacing w:val="-20"/>
          <w:sz w:val="21"/>
          <w:szCs w:val="21"/>
        </w:rPr>
        <w:t>司</w:t>
      </w:r>
      <w:r>
        <w:rPr>
          <w:rFonts w:ascii="宋体" w:hAnsi="宋体" w:cs="宋体" w:eastAsia="宋体" w:hint="default"/>
          <w:sz w:val="21"/>
          <w:szCs w:val="21"/>
        </w:rPr>
        <w:t>（以下简</w:t>
      </w:r>
      <w:r>
        <w:rPr>
          <w:rFonts w:ascii="宋体" w:hAnsi="宋体" w:cs="宋体" w:eastAsia="宋体" w:hint="default"/>
          <w:spacing w:val="-20"/>
          <w:sz w:val="21"/>
          <w:szCs w:val="21"/>
        </w:rPr>
        <w:t>称</w:t>
      </w:r>
      <w:r>
        <w:rPr>
          <w:rFonts w:ascii="宋体" w:hAnsi="宋体" w:cs="宋体" w:eastAsia="宋体" w:hint="default"/>
          <w:sz w:val="21"/>
          <w:szCs w:val="21"/>
        </w:rPr>
        <w:t>“公司</w:t>
      </w:r>
      <w:r>
        <w:rPr>
          <w:rFonts w:ascii="宋体" w:hAnsi="宋体" w:cs="宋体" w:eastAsia="宋体" w:hint="default"/>
          <w:spacing w:val="-20"/>
          <w:sz w:val="21"/>
          <w:szCs w:val="21"/>
        </w:rPr>
        <w:t>”或</w:t>
      </w:r>
      <w:r>
        <w:rPr>
          <w:rFonts w:ascii="宋体" w:hAnsi="宋体" w:cs="宋体" w:eastAsia="宋体" w:hint="default"/>
          <w:sz w:val="21"/>
          <w:szCs w:val="21"/>
        </w:rPr>
        <w:t>“</w:t>
      </w:r>
      <w:r>
        <w:rPr>
          <w:rFonts w:ascii="宋体" w:hAnsi="宋体" w:cs="宋体" w:eastAsia="宋体" w:hint="default"/>
          <w:spacing w:val="1"/>
          <w:sz w:val="21"/>
          <w:szCs w:val="21"/>
        </w:rPr>
        <w:t>本</w:t>
      </w:r>
      <w:r>
        <w:rPr>
          <w:rFonts w:ascii="宋体" w:hAnsi="宋体" w:cs="宋体" w:eastAsia="宋体" w:hint="default"/>
          <w:sz w:val="21"/>
          <w:szCs w:val="21"/>
        </w:rPr>
        <w:t>公司</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pacing w:val="-2"/>
          <w:sz w:val="21"/>
          <w:szCs w:val="21"/>
        </w:rPr>
        <w:t>前</w:t>
      </w:r>
      <w:r>
        <w:rPr>
          <w:rFonts w:ascii="宋体" w:hAnsi="宋体" w:cs="宋体" w:eastAsia="宋体" w:hint="default"/>
          <w:sz w:val="21"/>
          <w:szCs w:val="21"/>
        </w:rPr>
        <w:t>身系深圳市实益</w:t>
      </w:r>
      <w:r>
        <w:rPr>
          <w:rFonts w:ascii="宋体" w:hAnsi="宋体" w:cs="宋体" w:eastAsia="宋体" w:hint="default"/>
          <w:sz w:val="21"/>
          <w:szCs w:val="21"/>
        </w:rPr>
        <w:t> 达实业有限公司(以下</w:t>
      </w:r>
      <w:r>
        <w:rPr>
          <w:rFonts w:ascii="宋体" w:hAnsi="宋体" w:cs="宋体" w:eastAsia="宋体" w:hint="default"/>
          <w:spacing w:val="-2"/>
          <w:sz w:val="21"/>
          <w:szCs w:val="21"/>
        </w:rPr>
        <w:t>简</w:t>
      </w:r>
      <w:r>
        <w:rPr>
          <w:rFonts w:ascii="宋体" w:hAnsi="宋体" w:cs="宋体" w:eastAsia="宋体" w:hint="default"/>
          <w:sz w:val="21"/>
          <w:szCs w:val="21"/>
        </w:rPr>
        <w:t>称原有限公司)</w:t>
      </w:r>
      <w:r>
        <w:rPr>
          <w:rFonts w:ascii="宋体" w:hAnsi="宋体" w:cs="宋体" w:eastAsia="宋体" w:hint="default"/>
          <w:spacing w:val="-94"/>
          <w:sz w:val="21"/>
          <w:szCs w:val="21"/>
        </w:rPr>
        <w:t>，</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在深圳市工商管理局注册成立，</w:t>
      </w:r>
    </w:p>
    <w:p>
      <w:pPr>
        <w:spacing w:before="14"/>
        <w:ind w:left="139" w:right="101" w:firstLine="0"/>
        <w:jc w:val="left"/>
        <w:rPr>
          <w:rFonts w:ascii="宋体" w:hAnsi="宋体" w:cs="宋体" w:eastAsia="宋体" w:hint="default"/>
          <w:sz w:val="21"/>
          <w:szCs w:val="21"/>
        </w:rPr>
      </w:pPr>
      <w:r>
        <w:rPr>
          <w:rFonts w:ascii="宋体" w:hAnsi="宋体" w:cs="宋体" w:eastAsia="宋体" w:hint="default"/>
          <w:sz w:val="21"/>
          <w:szCs w:val="21"/>
        </w:rPr>
        <w:t>成立时的注册资本为人民币</w:t>
      </w:r>
      <w:r>
        <w:rPr>
          <w:rFonts w:ascii="宋体" w:hAnsi="宋体" w:cs="宋体" w:eastAsia="宋体" w:hint="default"/>
          <w:spacing w:val="-45"/>
          <w:sz w:val="21"/>
          <w:szCs w:val="21"/>
        </w:rPr>
        <w:t> </w:t>
      </w:r>
      <w:r>
        <w:rPr>
          <w:rFonts w:ascii="宋体" w:hAnsi="宋体" w:cs="宋体" w:eastAsia="宋体" w:hint="default"/>
          <w:sz w:val="21"/>
          <w:szCs w:val="21"/>
        </w:rPr>
        <w:t>100</w:t>
      </w:r>
      <w:r>
        <w:rPr>
          <w:rFonts w:ascii="宋体" w:hAnsi="宋体" w:cs="宋体" w:eastAsia="宋体" w:hint="default"/>
          <w:spacing w:val="-45"/>
          <w:sz w:val="21"/>
          <w:szCs w:val="21"/>
        </w:rPr>
        <w:t> </w:t>
      </w:r>
      <w:r>
        <w:rPr>
          <w:rFonts w:ascii="宋体" w:hAnsi="宋体" w:cs="宋体" w:eastAsia="宋体" w:hint="default"/>
          <w:sz w:val="21"/>
          <w:szCs w:val="21"/>
        </w:rPr>
        <w:t>万元；2001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日，原有限公司注册资本变更为人民</w:t>
      </w:r>
    </w:p>
    <w:p>
      <w:pPr>
        <w:spacing w:before="66"/>
        <w:ind w:left="139" w:right="101"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5"/>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万元；2001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日，原有限公司注册资本变更为人民币</w:t>
      </w:r>
      <w:r>
        <w:rPr>
          <w:rFonts w:ascii="宋体" w:hAnsi="宋体" w:cs="宋体" w:eastAsia="宋体" w:hint="default"/>
          <w:spacing w:val="-55"/>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万元。2005</w:t>
      </w:r>
      <w:r>
        <w:rPr>
          <w:rFonts w:ascii="宋体" w:hAnsi="宋体" w:cs="宋体" w:eastAsia="宋体" w:hint="default"/>
          <w:spacing w:val="-55"/>
          <w:sz w:val="21"/>
          <w:szCs w:val="21"/>
        </w:rPr>
        <w:t> </w:t>
      </w:r>
      <w:r>
        <w:rPr>
          <w:rFonts w:ascii="宋体" w:hAnsi="宋体" w:cs="宋体" w:eastAsia="宋体" w:hint="default"/>
          <w:sz w:val="21"/>
          <w:szCs w:val="21"/>
        </w:rPr>
        <w:t>年</w:t>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3"/>
          <w:sz w:val="21"/>
          <w:szCs w:val="21"/>
        </w:rPr>
        <w:t>日，经深圳市人民政府深府股[2005]13</w:t>
      </w:r>
      <w:r>
        <w:rPr>
          <w:rFonts w:ascii="宋体" w:hAnsi="宋体" w:cs="宋体" w:eastAsia="宋体" w:hint="default"/>
          <w:spacing w:val="-45"/>
          <w:sz w:val="21"/>
          <w:szCs w:val="21"/>
        </w:rPr>
        <w:t> </w:t>
      </w:r>
      <w:r>
        <w:rPr>
          <w:rFonts w:ascii="宋体" w:hAnsi="宋体" w:cs="宋体" w:eastAsia="宋体" w:hint="default"/>
          <w:spacing w:val="-5"/>
          <w:sz w:val="21"/>
          <w:szCs w:val="21"/>
        </w:rPr>
        <w:t>号文件批准，以原有限公司净资产折股，深圳</w:t>
      </w:r>
      <w:r>
        <w:rPr>
          <w:rFonts w:ascii="宋体" w:hAnsi="宋体" w:cs="宋体" w:eastAsia="宋体" w:hint="default"/>
          <w:sz w:val="21"/>
          <w:szCs w:val="21"/>
        </w:rPr>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市实益达实业有限公司整体变更为深圳市实益达科技股份有限公司，2006</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15</w:t>
      </w:r>
      <w:r>
        <w:rPr>
          <w:rFonts w:ascii="宋体" w:hAnsi="宋体" w:cs="宋体" w:eastAsia="宋体" w:hint="default"/>
          <w:spacing w:val="-63"/>
          <w:sz w:val="21"/>
          <w:szCs w:val="21"/>
        </w:rPr>
        <w:t> </w:t>
      </w:r>
      <w:r>
        <w:rPr>
          <w:rFonts w:ascii="宋体" w:hAnsi="宋体" w:cs="宋体" w:eastAsia="宋体" w:hint="default"/>
          <w:spacing w:val="-7"/>
          <w:sz w:val="21"/>
          <w:szCs w:val="21"/>
        </w:rPr>
        <w:t>日，经</w:t>
      </w:r>
    </w:p>
    <w:p>
      <w:pPr>
        <w:spacing w:before="66"/>
        <w:ind w:left="139" w:right="101" w:firstLine="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年第二次临时股东大会决议，本公司以经审计的截至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30</w:t>
      </w:r>
      <w:r>
        <w:rPr>
          <w:rFonts w:ascii="宋体" w:hAnsi="宋体" w:cs="宋体" w:eastAsia="宋体" w:hint="default"/>
          <w:spacing w:val="-45"/>
          <w:sz w:val="21"/>
          <w:szCs w:val="21"/>
        </w:rPr>
        <w:t> </w:t>
      </w:r>
      <w:r>
        <w:rPr>
          <w:rFonts w:ascii="宋体" w:hAnsi="宋体" w:cs="宋体" w:eastAsia="宋体" w:hint="default"/>
          <w:sz w:val="21"/>
          <w:szCs w:val="21"/>
        </w:rPr>
        <w:t>日止的未分配利</w:t>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59"/>
          <w:sz w:val="21"/>
          <w:szCs w:val="21"/>
        </w:rPr>
        <w:t> </w:t>
      </w:r>
      <w:r>
        <w:rPr>
          <w:rFonts w:ascii="宋体" w:hAnsi="宋体" w:cs="宋体" w:eastAsia="宋体" w:hint="default"/>
          <w:sz w:val="21"/>
          <w:szCs w:val="21"/>
        </w:rPr>
        <w:t>35,208,975.00</w:t>
      </w:r>
      <w:r>
        <w:rPr>
          <w:rFonts w:ascii="宋体" w:hAnsi="宋体" w:cs="宋体" w:eastAsia="宋体" w:hint="default"/>
          <w:spacing w:val="-58"/>
          <w:sz w:val="21"/>
          <w:szCs w:val="21"/>
        </w:rPr>
        <w:t> </w:t>
      </w:r>
      <w:r>
        <w:rPr>
          <w:rFonts w:ascii="宋体" w:hAnsi="宋体" w:cs="宋体" w:eastAsia="宋体" w:hint="default"/>
          <w:sz w:val="21"/>
          <w:szCs w:val="21"/>
        </w:rPr>
        <w:t>元实</w:t>
      </w:r>
      <w:r>
        <w:rPr>
          <w:rFonts w:ascii="宋体" w:hAnsi="宋体" w:cs="宋体" w:eastAsia="宋体" w:hint="default"/>
          <w:spacing w:val="-2"/>
          <w:sz w:val="21"/>
          <w:szCs w:val="21"/>
        </w:rPr>
        <w:t>施</w:t>
      </w: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派</w:t>
      </w:r>
      <w:r>
        <w:rPr>
          <w:rFonts w:ascii="宋体" w:hAnsi="宋体" w:cs="宋体" w:eastAsia="宋体" w:hint="default"/>
          <w:sz w:val="21"/>
          <w:szCs w:val="21"/>
        </w:rPr>
        <w:t>送</w:t>
      </w:r>
      <w:r>
        <w:rPr>
          <w:rFonts w:ascii="宋体" w:hAnsi="宋体" w:cs="宋体" w:eastAsia="宋体" w:hint="default"/>
          <w:spacing w:val="-60"/>
          <w:sz w:val="21"/>
          <w:szCs w:val="21"/>
        </w:rPr>
        <w:t> </w:t>
      </w:r>
      <w:r>
        <w:rPr>
          <w:rFonts w:ascii="宋体" w:hAnsi="宋体" w:cs="宋体" w:eastAsia="宋体" w:hint="default"/>
          <w:sz w:val="21"/>
          <w:szCs w:val="21"/>
        </w:rPr>
        <w:t>5.4342</w:t>
      </w:r>
      <w:r>
        <w:rPr>
          <w:rFonts w:ascii="宋体" w:hAnsi="宋体" w:cs="宋体" w:eastAsia="宋体" w:hint="default"/>
          <w:spacing w:val="-58"/>
          <w:sz w:val="21"/>
          <w:szCs w:val="21"/>
        </w:rPr>
        <w:t> </w:t>
      </w:r>
      <w:r>
        <w:rPr>
          <w:rFonts w:ascii="宋体" w:hAnsi="宋体" w:cs="宋体" w:eastAsia="宋体" w:hint="default"/>
          <w:sz w:val="21"/>
          <w:szCs w:val="21"/>
        </w:rPr>
        <w:t>股</w:t>
      </w:r>
      <w:r>
        <w:rPr>
          <w:rFonts w:ascii="宋体" w:hAnsi="宋体" w:cs="宋体" w:eastAsia="宋体" w:hint="default"/>
          <w:spacing w:val="-2"/>
          <w:sz w:val="21"/>
          <w:szCs w:val="21"/>
        </w:rPr>
        <w:t>红</w:t>
      </w:r>
      <w:r>
        <w:rPr>
          <w:rFonts w:ascii="宋体" w:hAnsi="宋体" w:cs="宋体" w:eastAsia="宋体" w:hint="default"/>
          <w:sz w:val="21"/>
          <w:szCs w:val="21"/>
        </w:rPr>
        <w:t>股的利润分配方案</w:t>
      </w:r>
      <w:r>
        <w:rPr>
          <w:rFonts w:ascii="宋体" w:hAnsi="宋体" w:cs="宋体" w:eastAsia="宋体" w:hint="default"/>
          <w:spacing w:val="-105"/>
          <w:sz w:val="21"/>
          <w:szCs w:val="21"/>
        </w:rPr>
        <w:t>，</w:t>
      </w:r>
      <w:r>
        <w:rPr>
          <w:rFonts w:ascii="宋体" w:hAnsi="宋体" w:cs="宋体" w:eastAsia="宋体" w:hint="default"/>
          <w:sz w:val="21"/>
          <w:szCs w:val="21"/>
        </w:rPr>
        <w:t>共</w:t>
      </w:r>
      <w:r>
        <w:rPr>
          <w:rFonts w:ascii="宋体" w:hAnsi="宋体" w:cs="宋体" w:eastAsia="宋体" w:hint="default"/>
          <w:spacing w:val="-2"/>
          <w:sz w:val="21"/>
          <w:szCs w:val="21"/>
        </w:rPr>
        <w:t>送</w:t>
      </w:r>
      <w:r>
        <w:rPr>
          <w:rFonts w:ascii="宋体" w:hAnsi="宋体" w:cs="宋体" w:eastAsia="宋体" w:hint="default"/>
          <w:sz w:val="21"/>
          <w:szCs w:val="21"/>
        </w:rPr>
        <w:t>红股</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5</w:t>
      </w:r>
      <w:r>
        <w:rPr>
          <w:rFonts w:ascii="宋体" w:hAnsi="宋体" w:cs="宋体" w:eastAsia="宋体" w:hint="default"/>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8,</w:t>
      </w:r>
      <w:r>
        <w:rPr>
          <w:rFonts w:ascii="宋体" w:hAnsi="宋体" w:cs="宋体" w:eastAsia="宋体" w:hint="default"/>
          <w:sz w:val="21"/>
          <w:szCs w:val="21"/>
        </w:rPr>
        <w:t>975</w:t>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股，注册资本变更为人民币</w:t>
      </w:r>
      <w:r>
        <w:rPr>
          <w:rFonts w:ascii="宋体" w:hAnsi="宋体" w:cs="宋体" w:eastAsia="宋体" w:hint="default"/>
          <w:spacing w:val="-44"/>
          <w:sz w:val="21"/>
          <w:szCs w:val="21"/>
        </w:rPr>
        <w:t> </w:t>
      </w:r>
      <w:r>
        <w:rPr>
          <w:rFonts w:ascii="宋体" w:hAnsi="宋体" w:cs="宋体" w:eastAsia="宋体" w:hint="default"/>
          <w:sz w:val="21"/>
          <w:szCs w:val="21"/>
        </w:rPr>
        <w:t>10,000</w:t>
      </w:r>
      <w:r>
        <w:rPr>
          <w:rFonts w:ascii="宋体" w:hAnsi="宋体" w:cs="宋体" w:eastAsia="宋体" w:hint="default"/>
          <w:spacing w:val="-45"/>
          <w:sz w:val="21"/>
          <w:szCs w:val="21"/>
        </w:rPr>
        <w:t> </w:t>
      </w:r>
      <w:r>
        <w:rPr>
          <w:rFonts w:ascii="宋体" w:hAnsi="宋体" w:cs="宋体" w:eastAsia="宋体" w:hint="default"/>
          <w:sz w:val="21"/>
          <w:szCs w:val="21"/>
        </w:rPr>
        <w:t>万元。2007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13</w:t>
      </w:r>
      <w:r>
        <w:rPr>
          <w:rFonts w:ascii="宋体" w:hAnsi="宋体" w:cs="宋体" w:eastAsia="宋体" w:hint="default"/>
          <w:spacing w:val="-44"/>
          <w:sz w:val="21"/>
          <w:szCs w:val="21"/>
        </w:rPr>
        <w:t> </w:t>
      </w:r>
      <w:r>
        <w:rPr>
          <w:rFonts w:ascii="宋体" w:hAnsi="宋体" w:cs="宋体" w:eastAsia="宋体" w:hint="default"/>
          <w:sz w:val="21"/>
          <w:szCs w:val="21"/>
        </w:rPr>
        <w:t>日在深圳证券交易所上市，注册</w:t>
      </w:r>
    </w:p>
    <w:p>
      <w:pPr>
        <w:spacing w:before="66"/>
        <w:ind w:left="139" w:right="101" w:firstLine="0"/>
        <w:jc w:val="left"/>
        <w:rPr>
          <w:rFonts w:ascii="宋体" w:hAnsi="宋体" w:cs="宋体" w:eastAsia="宋体" w:hint="default"/>
          <w:sz w:val="21"/>
          <w:szCs w:val="21"/>
        </w:rPr>
      </w:pPr>
      <w:r>
        <w:rPr>
          <w:rFonts w:ascii="宋体" w:hAnsi="宋体" w:cs="宋体" w:eastAsia="宋体" w:hint="default"/>
          <w:spacing w:val="-1"/>
          <w:sz w:val="21"/>
          <w:szCs w:val="21"/>
        </w:rPr>
        <w:t>资本变更为人民</w:t>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pacing w:val="-1"/>
          <w:sz w:val="21"/>
          <w:szCs w:val="21"/>
        </w:rPr>
        <w:t>13,34</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万元</w:t>
      </w:r>
      <w:r>
        <w:rPr>
          <w:rFonts w:ascii="宋体" w:hAnsi="宋体" w:cs="宋体" w:eastAsia="宋体" w:hint="default"/>
          <w:spacing w:val="-94"/>
          <w:sz w:val="21"/>
          <w:szCs w:val="21"/>
        </w:rPr>
        <w:t>。</w:t>
      </w:r>
      <w:r>
        <w:rPr>
          <w:rFonts w:ascii="宋体" w:hAnsi="宋体" w:cs="宋体" w:eastAsia="宋体" w:hint="default"/>
          <w:spacing w:val="-1"/>
          <w:sz w:val="21"/>
          <w:szCs w:val="21"/>
        </w:rPr>
        <w:t>根</w:t>
      </w:r>
      <w:r>
        <w:rPr>
          <w:rFonts w:ascii="宋体" w:hAnsi="宋体" w:cs="宋体" w:eastAsia="宋体" w:hint="default"/>
          <w:spacing w:val="-2"/>
          <w:sz w:val="21"/>
          <w:szCs w:val="21"/>
        </w:rPr>
        <w:t>据</w:t>
      </w:r>
      <w:r>
        <w:rPr>
          <w:rFonts w:ascii="宋体" w:hAnsi="宋体" w:cs="宋体" w:eastAsia="宋体" w:hint="default"/>
          <w:spacing w:val="-1"/>
          <w:sz w:val="21"/>
          <w:szCs w:val="21"/>
        </w:rPr>
        <w:t>本公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2"/>
          <w:sz w:val="21"/>
          <w:szCs w:val="21"/>
        </w:rPr>
        <w:t>日</w:t>
      </w:r>
      <w:r>
        <w:rPr>
          <w:rFonts w:ascii="宋体" w:hAnsi="宋体" w:cs="宋体" w:eastAsia="宋体" w:hint="default"/>
          <w:spacing w:val="-1"/>
          <w:sz w:val="21"/>
          <w:szCs w:val="21"/>
        </w:rPr>
        <w:t>召开</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1"/>
          <w:sz w:val="21"/>
          <w:szCs w:val="21"/>
        </w:rPr>
        <w:t>年度股东大</w:t>
      </w:r>
      <w:r>
        <w:rPr>
          <w:rFonts w:ascii="宋体" w:hAnsi="宋体" w:cs="宋体" w:eastAsia="宋体" w:hint="default"/>
          <w:spacing w:val="1"/>
          <w:sz w:val="21"/>
          <w:szCs w:val="21"/>
        </w:rPr>
        <w:t>会</w:t>
      </w:r>
      <w:r>
        <w:rPr>
          <w:rFonts w:ascii="宋体" w:hAnsi="宋体" w:cs="宋体" w:eastAsia="宋体" w:hint="default"/>
          <w:sz w:val="21"/>
          <w:szCs w:val="21"/>
        </w:rPr>
        <w:t>决</w:t>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议，以</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日以</w:t>
      </w:r>
      <w:r>
        <w:rPr>
          <w:rFonts w:ascii="宋体" w:hAnsi="宋体" w:cs="宋体" w:eastAsia="宋体" w:hint="default"/>
          <w:spacing w:val="-54"/>
          <w:sz w:val="21"/>
          <w:szCs w:val="21"/>
        </w:rPr>
        <w:t> </w:t>
      </w:r>
      <w:r>
        <w:rPr>
          <w:rFonts w:ascii="宋体" w:hAnsi="宋体" w:cs="宋体" w:eastAsia="宋体" w:hint="default"/>
          <w:sz w:val="21"/>
          <w:szCs w:val="21"/>
        </w:rPr>
        <w:t>13,340</w:t>
      </w:r>
      <w:r>
        <w:rPr>
          <w:rFonts w:ascii="宋体" w:hAnsi="宋体" w:cs="宋体" w:eastAsia="宋体" w:hint="default"/>
          <w:spacing w:val="-55"/>
          <w:sz w:val="21"/>
          <w:szCs w:val="21"/>
        </w:rPr>
        <w:t> </w:t>
      </w:r>
      <w:r>
        <w:rPr>
          <w:rFonts w:ascii="宋体" w:hAnsi="宋体" w:cs="宋体" w:eastAsia="宋体" w:hint="default"/>
          <w:sz w:val="21"/>
          <w:szCs w:val="21"/>
        </w:rPr>
        <w:t>万股为基数，按每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股由资本公积金转增</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股，共计</w:t>
      </w:r>
    </w:p>
    <w:p>
      <w:pPr>
        <w:spacing w:before="64"/>
        <w:ind w:left="139" w:right="101" w:firstLine="0"/>
        <w:jc w:val="left"/>
        <w:rPr>
          <w:rFonts w:ascii="宋体" w:hAnsi="宋体" w:cs="宋体" w:eastAsia="宋体" w:hint="default"/>
          <w:sz w:val="21"/>
          <w:szCs w:val="21"/>
        </w:rPr>
      </w:pPr>
      <w:r>
        <w:rPr>
          <w:rFonts w:ascii="宋体" w:hAnsi="宋体" w:cs="宋体" w:eastAsia="宋体" w:hint="default"/>
          <w:sz w:val="21"/>
          <w:szCs w:val="21"/>
        </w:rPr>
        <w:t>转增</w:t>
      </w:r>
      <w:r>
        <w:rPr>
          <w:rFonts w:ascii="宋体" w:hAnsi="宋体" w:cs="宋体" w:eastAsia="宋体" w:hint="default"/>
          <w:spacing w:val="-60"/>
          <w:sz w:val="21"/>
          <w:szCs w:val="21"/>
        </w:rPr>
        <w:t> </w:t>
      </w:r>
      <w:r>
        <w:rPr>
          <w:rFonts w:ascii="宋体" w:hAnsi="宋体" w:cs="宋体" w:eastAsia="宋体" w:hint="default"/>
          <w:sz w:val="21"/>
          <w:szCs w:val="21"/>
        </w:rPr>
        <w:t>6,670</w:t>
      </w:r>
      <w:r>
        <w:rPr>
          <w:rFonts w:ascii="宋体" w:hAnsi="宋体" w:cs="宋体" w:eastAsia="宋体" w:hint="default"/>
          <w:spacing w:val="-60"/>
          <w:sz w:val="21"/>
          <w:szCs w:val="21"/>
        </w:rPr>
        <w:t> </w:t>
      </w:r>
      <w:r>
        <w:rPr>
          <w:rFonts w:ascii="宋体" w:hAnsi="宋体" w:cs="宋体" w:eastAsia="宋体" w:hint="default"/>
          <w:sz w:val="21"/>
          <w:szCs w:val="21"/>
        </w:rPr>
        <w:t>万股，并于</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年度实施。转增后，注册资本增至人民币</w:t>
      </w:r>
      <w:r>
        <w:rPr>
          <w:rFonts w:ascii="宋体" w:hAnsi="宋体" w:cs="宋体" w:eastAsia="宋体" w:hint="default"/>
          <w:spacing w:val="-60"/>
          <w:sz w:val="21"/>
          <w:szCs w:val="21"/>
        </w:rPr>
        <w:t> </w:t>
      </w:r>
      <w:r>
        <w:rPr>
          <w:rFonts w:ascii="宋体" w:hAnsi="宋体" w:cs="宋体" w:eastAsia="宋体" w:hint="default"/>
          <w:sz w:val="21"/>
          <w:szCs w:val="21"/>
        </w:rPr>
        <w:t>20,010</w:t>
      </w:r>
      <w:r>
        <w:rPr>
          <w:rFonts w:ascii="宋体" w:hAnsi="宋体" w:cs="宋体" w:eastAsia="宋体" w:hint="default"/>
          <w:spacing w:val="-59"/>
          <w:sz w:val="21"/>
          <w:szCs w:val="21"/>
        </w:rPr>
        <w:t> </w:t>
      </w:r>
      <w:r>
        <w:rPr>
          <w:rFonts w:ascii="宋体" w:hAnsi="宋体" w:cs="宋体" w:eastAsia="宋体" w:hint="default"/>
          <w:sz w:val="21"/>
          <w:szCs w:val="21"/>
        </w:rPr>
        <w:t>元。</w:t>
      </w:r>
    </w:p>
    <w:p>
      <w:pPr>
        <w:spacing w:line="297" w:lineRule="auto" w:before="66"/>
        <w:ind w:left="140" w:right="101" w:firstLine="419"/>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5"/>
          <w:sz w:val="21"/>
          <w:szCs w:val="21"/>
        </w:rPr>
        <w:t>年5</w:t>
      </w:r>
      <w:r>
        <w:rPr>
          <w:rFonts w:ascii="宋体" w:hAnsi="宋体" w:cs="宋体" w:eastAsia="宋体" w:hint="default"/>
          <w:spacing w:val="-52"/>
          <w:sz w:val="21"/>
          <w:szCs w:val="21"/>
        </w:rPr>
        <w:t> </w:t>
      </w:r>
      <w:r>
        <w:rPr>
          <w:rFonts w:ascii="宋体" w:hAnsi="宋体" w:cs="宋体" w:eastAsia="宋体" w:hint="default"/>
          <w:spacing w:val="25"/>
          <w:sz w:val="21"/>
          <w:szCs w:val="21"/>
        </w:rPr>
        <w:t>月6</w:t>
      </w:r>
      <w:r>
        <w:rPr>
          <w:rFonts w:ascii="宋体" w:hAnsi="宋体" w:cs="宋体" w:eastAsia="宋体" w:hint="default"/>
          <w:spacing w:val="-52"/>
          <w:sz w:val="21"/>
          <w:szCs w:val="21"/>
        </w:rPr>
        <w:t> </w:t>
      </w:r>
      <w:r>
        <w:rPr>
          <w:rFonts w:ascii="宋体" w:hAnsi="宋体" w:cs="宋体" w:eastAsia="宋体" w:hint="default"/>
          <w:spacing w:val="-7"/>
          <w:sz w:val="21"/>
          <w:szCs w:val="21"/>
        </w:rPr>
        <w:t>日，本公司累计发行股本总数</w:t>
      </w:r>
      <w:r>
        <w:rPr>
          <w:rFonts w:ascii="宋体" w:hAnsi="宋体" w:cs="宋体" w:eastAsia="宋体" w:hint="default"/>
          <w:spacing w:val="-53"/>
          <w:sz w:val="21"/>
          <w:szCs w:val="21"/>
        </w:rPr>
        <w:t> </w:t>
      </w:r>
      <w:r>
        <w:rPr>
          <w:rFonts w:ascii="宋体" w:hAnsi="宋体" w:cs="宋体" w:eastAsia="宋体" w:hint="default"/>
          <w:sz w:val="21"/>
          <w:szCs w:val="21"/>
        </w:rPr>
        <w:t>20,010</w:t>
      </w:r>
      <w:r>
        <w:rPr>
          <w:rFonts w:ascii="宋体" w:hAnsi="宋体" w:cs="宋体" w:eastAsia="宋体" w:hint="default"/>
          <w:spacing w:val="-52"/>
          <w:sz w:val="21"/>
          <w:szCs w:val="21"/>
        </w:rPr>
        <w:t> </w:t>
      </w:r>
      <w:r>
        <w:rPr>
          <w:rFonts w:ascii="宋体" w:hAnsi="宋体" w:cs="宋体" w:eastAsia="宋体" w:hint="default"/>
          <w:spacing w:val="-8"/>
          <w:sz w:val="21"/>
          <w:szCs w:val="21"/>
        </w:rPr>
        <w:t>万股，公司注册资本为</w:t>
      </w:r>
      <w:r>
        <w:rPr>
          <w:rFonts w:ascii="宋体" w:hAnsi="宋体" w:cs="宋体" w:eastAsia="宋体" w:hint="default"/>
          <w:spacing w:val="-53"/>
          <w:sz w:val="21"/>
          <w:szCs w:val="21"/>
        </w:rPr>
        <w:t> </w:t>
      </w:r>
      <w:r>
        <w:rPr>
          <w:rFonts w:ascii="宋体" w:hAnsi="宋体" w:cs="宋体" w:eastAsia="宋体" w:hint="default"/>
          <w:sz w:val="21"/>
          <w:szCs w:val="21"/>
        </w:rPr>
        <w:t>20,010</w:t>
      </w:r>
      <w:r>
        <w:rPr>
          <w:rFonts w:ascii="宋体" w:hAnsi="宋体" w:cs="宋体" w:eastAsia="宋体" w:hint="default"/>
          <w:sz w:val="21"/>
          <w:szCs w:val="21"/>
        </w:rPr>
        <w:t> 万元。</w:t>
      </w:r>
    </w:p>
    <w:p>
      <w:pPr>
        <w:spacing w:line="297" w:lineRule="auto" w:before="14"/>
        <w:ind w:left="140" w:right="280" w:firstLine="420"/>
        <w:jc w:val="both"/>
        <w:rPr>
          <w:rFonts w:ascii="宋体" w:hAnsi="宋体" w:cs="宋体" w:eastAsia="宋体" w:hint="default"/>
          <w:sz w:val="21"/>
          <w:szCs w:val="21"/>
        </w:rPr>
      </w:pPr>
      <w:r>
        <w:rPr>
          <w:rFonts w:ascii="宋体" w:hAnsi="宋体" w:cs="宋体" w:eastAsia="宋体" w:hint="default"/>
          <w:sz w:val="21"/>
          <w:szCs w:val="21"/>
        </w:rPr>
        <w:t>公司所属行业为</w:t>
      </w:r>
      <w:r>
        <w:rPr>
          <w:rFonts w:ascii="宋体" w:hAnsi="宋体" w:cs="宋体" w:eastAsia="宋体" w:hint="default"/>
          <w:spacing w:val="-57"/>
          <w:sz w:val="21"/>
          <w:szCs w:val="21"/>
        </w:rPr>
        <w:t> </w:t>
      </w:r>
      <w:r>
        <w:rPr>
          <w:rFonts w:ascii="宋体" w:hAnsi="宋体" w:cs="宋体" w:eastAsia="宋体" w:hint="default"/>
          <w:sz w:val="21"/>
          <w:szCs w:val="21"/>
        </w:rPr>
        <w:t>EMS(电子制造服务)行业，EMS(电子制造服务)是指为品牌生产商提供</w:t>
      </w:r>
      <w:r>
        <w:rPr>
          <w:rFonts w:ascii="宋体" w:hAnsi="宋体" w:cs="宋体" w:eastAsia="宋体" w:hint="default"/>
          <w:sz w:val="21"/>
          <w:szCs w:val="21"/>
        </w:rPr>
        <w:t> 电子产品设计、工程、制造、测试以及物料采购等一系列服务，从事</w:t>
      </w:r>
      <w:r>
        <w:rPr>
          <w:rFonts w:ascii="宋体" w:hAnsi="宋体" w:cs="宋体" w:eastAsia="宋体" w:hint="default"/>
          <w:spacing w:val="-54"/>
          <w:sz w:val="21"/>
          <w:szCs w:val="21"/>
        </w:rPr>
        <w:t> </w:t>
      </w:r>
      <w:r>
        <w:rPr>
          <w:rFonts w:ascii="宋体" w:hAnsi="宋体" w:cs="宋体" w:eastAsia="宋体" w:hint="default"/>
          <w:sz w:val="21"/>
          <w:szCs w:val="21"/>
        </w:rPr>
        <w:t>EMS</w:t>
      </w:r>
      <w:r>
        <w:rPr>
          <w:rFonts w:ascii="宋体" w:hAnsi="宋体" w:cs="宋体" w:eastAsia="宋体" w:hint="default"/>
          <w:spacing w:val="-53"/>
          <w:sz w:val="21"/>
          <w:szCs w:val="21"/>
        </w:rPr>
        <w:t> </w:t>
      </w:r>
      <w:r>
        <w:rPr>
          <w:rFonts w:ascii="宋体" w:hAnsi="宋体" w:cs="宋体" w:eastAsia="宋体" w:hint="default"/>
          <w:sz w:val="21"/>
          <w:szCs w:val="21"/>
        </w:rPr>
        <w:t>业务的公司称为</w:t>
      </w:r>
      <w:r>
        <w:rPr>
          <w:rFonts w:ascii="宋体" w:hAnsi="宋体" w:cs="宋体" w:eastAsia="宋体" w:hint="default"/>
          <w:sz w:val="21"/>
          <w:szCs w:val="21"/>
        </w:rPr>
        <w:t> EMS</w:t>
      </w:r>
      <w:r>
        <w:rPr>
          <w:rFonts w:ascii="宋体" w:hAnsi="宋体" w:cs="宋体" w:eastAsia="宋体" w:hint="default"/>
          <w:spacing w:val="-52"/>
          <w:sz w:val="21"/>
          <w:szCs w:val="21"/>
        </w:rPr>
        <w:t> </w:t>
      </w:r>
      <w:r>
        <w:rPr>
          <w:rFonts w:ascii="宋体" w:hAnsi="宋体" w:cs="宋体" w:eastAsia="宋体" w:hint="default"/>
          <w:sz w:val="21"/>
          <w:szCs w:val="21"/>
        </w:rPr>
        <w:t>公司。</w:t>
      </w:r>
    </w:p>
    <w:p>
      <w:pPr>
        <w:spacing w:line="297" w:lineRule="auto" w:before="14"/>
        <w:ind w:left="140" w:right="96" w:firstLine="420"/>
        <w:jc w:val="left"/>
        <w:rPr>
          <w:rFonts w:ascii="宋体" w:hAnsi="宋体" w:cs="宋体" w:eastAsia="宋体" w:hint="default"/>
          <w:sz w:val="21"/>
          <w:szCs w:val="21"/>
        </w:rPr>
      </w:pPr>
      <w:r>
        <w:rPr>
          <w:rFonts w:ascii="宋体" w:hAnsi="宋体" w:cs="宋体" w:eastAsia="宋体" w:hint="default"/>
          <w:sz w:val="21"/>
          <w:szCs w:val="21"/>
        </w:rPr>
        <w:t>经营范围为：兴办实业（具体项目另行申报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电子产品的生产，国内商业、物资供应</w:t>
      </w:r>
      <w:r>
        <w:rPr>
          <w:rFonts w:ascii="宋体" w:hAnsi="宋体" w:cs="宋体" w:eastAsia="宋体" w:hint="default"/>
          <w:sz w:val="21"/>
          <w:szCs w:val="21"/>
        </w:rPr>
        <w:t> </w:t>
      </w:r>
      <w:r>
        <w:rPr>
          <w:rFonts w:ascii="宋体" w:hAnsi="宋体" w:cs="宋体" w:eastAsia="宋体" w:hint="default"/>
          <w:spacing w:val="-16"/>
          <w:sz w:val="21"/>
          <w:szCs w:val="21"/>
        </w:rPr>
        <w:t>业</w:t>
      </w:r>
      <w:r>
        <w:rPr>
          <w:rFonts w:ascii="宋体" w:hAnsi="宋体" w:cs="宋体" w:eastAsia="宋体" w:hint="default"/>
          <w:sz w:val="21"/>
          <w:szCs w:val="21"/>
        </w:rPr>
        <w:t>（不含专营</w:t>
      </w:r>
      <w:r>
        <w:rPr>
          <w:rFonts w:ascii="宋体" w:hAnsi="宋体" w:cs="宋体" w:eastAsia="宋体" w:hint="default"/>
          <w:spacing w:val="-16"/>
          <w:sz w:val="21"/>
          <w:szCs w:val="21"/>
        </w:rPr>
        <w:t>、</w:t>
      </w:r>
      <w:r>
        <w:rPr>
          <w:rFonts w:ascii="宋体" w:hAnsi="宋体" w:cs="宋体" w:eastAsia="宋体" w:hint="default"/>
          <w:sz w:val="21"/>
          <w:szCs w:val="21"/>
        </w:rPr>
        <w:t>专控</w:t>
      </w:r>
      <w:r>
        <w:rPr>
          <w:rFonts w:ascii="宋体" w:hAnsi="宋体" w:cs="宋体" w:eastAsia="宋体" w:hint="default"/>
          <w:spacing w:val="-16"/>
          <w:sz w:val="21"/>
          <w:szCs w:val="21"/>
        </w:rPr>
        <w:t>、</w:t>
      </w:r>
      <w:r>
        <w:rPr>
          <w:rFonts w:ascii="宋体" w:hAnsi="宋体" w:cs="宋体" w:eastAsia="宋体" w:hint="default"/>
          <w:sz w:val="21"/>
          <w:szCs w:val="21"/>
        </w:rPr>
        <w:t>专卖商品及限制项目</w:t>
      </w:r>
      <w:r>
        <w:rPr>
          <w:rFonts w:ascii="宋体" w:hAnsi="宋体" w:cs="宋体" w:eastAsia="宋体" w:hint="default"/>
          <w:spacing w:val="-105"/>
          <w:sz w:val="21"/>
          <w:szCs w:val="21"/>
        </w:rPr>
        <w:t>）</w:t>
      </w:r>
      <w:r>
        <w:rPr>
          <w:rFonts w:ascii="宋体" w:hAnsi="宋体" w:cs="宋体" w:eastAsia="宋体" w:hint="default"/>
          <w:spacing w:val="-17"/>
          <w:sz w:val="21"/>
          <w:szCs w:val="21"/>
        </w:rPr>
        <w:t>；</w:t>
      </w:r>
      <w:r>
        <w:rPr>
          <w:rFonts w:ascii="宋体" w:hAnsi="宋体" w:cs="宋体" w:eastAsia="宋体" w:hint="default"/>
          <w:sz w:val="21"/>
          <w:szCs w:val="21"/>
        </w:rPr>
        <w:t>进口</w:t>
      </w:r>
      <w:r>
        <w:rPr>
          <w:rFonts w:ascii="宋体" w:hAnsi="宋体" w:cs="宋体" w:eastAsia="宋体" w:hint="default"/>
          <w:spacing w:val="-16"/>
          <w:sz w:val="21"/>
          <w:szCs w:val="21"/>
        </w:rPr>
        <w:t>；</w:t>
      </w:r>
      <w:r>
        <w:rPr>
          <w:rFonts w:ascii="宋体" w:hAnsi="宋体" w:cs="宋体" w:eastAsia="宋体" w:hint="default"/>
          <w:sz w:val="21"/>
          <w:szCs w:val="21"/>
        </w:rPr>
        <w:t>生产所需的机械设备和原材料</w:t>
      </w:r>
      <w:r>
        <w:rPr>
          <w:rFonts w:ascii="宋体" w:hAnsi="宋体" w:cs="宋体" w:eastAsia="宋体" w:hint="default"/>
          <w:spacing w:val="-16"/>
          <w:sz w:val="21"/>
          <w:szCs w:val="21"/>
        </w:rPr>
        <w:t>；</w:t>
      </w:r>
      <w:r>
        <w:rPr>
          <w:rFonts w:ascii="宋体" w:hAnsi="宋体" w:cs="宋体" w:eastAsia="宋体" w:hint="default"/>
          <w:sz w:val="21"/>
          <w:szCs w:val="21"/>
        </w:rPr>
        <w:t>出口；</w:t>
      </w:r>
      <w:r>
        <w:rPr>
          <w:rFonts w:ascii="宋体" w:hAnsi="宋体" w:cs="宋体" w:eastAsia="宋体" w:hint="default"/>
          <w:sz w:val="21"/>
          <w:szCs w:val="21"/>
        </w:rPr>
        <w:t> </w:t>
      </w:r>
      <w:r>
        <w:rPr>
          <w:rFonts w:ascii="宋体" w:hAnsi="宋体" w:cs="宋体" w:eastAsia="宋体" w:hint="default"/>
          <w:spacing w:val="-1"/>
          <w:sz w:val="21"/>
          <w:szCs w:val="21"/>
        </w:rPr>
        <w:t>经营范围内的自产产</w:t>
      </w:r>
      <w:r>
        <w:rPr>
          <w:rFonts w:ascii="宋体" w:hAnsi="宋体" w:cs="宋体" w:eastAsia="宋体" w:hint="default"/>
          <w:spacing w:val="-47"/>
          <w:sz w:val="21"/>
          <w:szCs w:val="21"/>
        </w:rPr>
        <w:t>品</w:t>
      </w:r>
      <w:r>
        <w:rPr>
          <w:rFonts w:ascii="宋体" w:hAnsi="宋体" w:cs="宋体" w:eastAsia="宋体" w:hint="default"/>
          <w:spacing w:val="-1"/>
          <w:sz w:val="21"/>
          <w:szCs w:val="21"/>
        </w:rPr>
        <w:t>（配额许可证商品按深贸管登证字</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2000-04</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1"/>
          <w:sz w:val="21"/>
          <w:szCs w:val="21"/>
        </w:rPr>
        <w:t>号</w:t>
      </w:r>
      <w:r>
        <w:rPr>
          <w:rFonts w:ascii="宋体" w:hAnsi="宋体" w:cs="宋体" w:eastAsia="宋体" w:hint="default"/>
          <w:spacing w:val="-2"/>
          <w:sz w:val="21"/>
          <w:szCs w:val="21"/>
        </w:rPr>
        <w:t>规</w:t>
      </w:r>
      <w:r>
        <w:rPr>
          <w:rFonts w:ascii="宋体" w:hAnsi="宋体" w:cs="宋体" w:eastAsia="宋体" w:hint="default"/>
          <w:spacing w:val="-1"/>
          <w:sz w:val="21"/>
          <w:szCs w:val="21"/>
        </w:rPr>
        <w:t>定办理</w:t>
      </w:r>
      <w:r>
        <w:rPr>
          <w:rFonts w:ascii="宋体" w:hAnsi="宋体" w:cs="宋体" w:eastAsia="宋体" w:hint="default"/>
          <w:spacing w:val="-152"/>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由</w:t>
      </w:r>
      <w:r>
        <w:rPr>
          <w:rFonts w:ascii="宋体" w:hAnsi="宋体" w:cs="宋体" w:eastAsia="宋体" w:hint="default"/>
          <w:sz w:val="21"/>
          <w:szCs w:val="21"/>
        </w:rPr>
        <w:t>分支</w:t>
      </w:r>
      <w:r>
        <w:rPr>
          <w:rFonts w:ascii="宋体" w:hAnsi="宋体" w:cs="宋体" w:eastAsia="宋体" w:hint="default"/>
          <w:sz w:val="21"/>
          <w:szCs w:val="21"/>
        </w:rPr>
        <w:t> 机构生产</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97" w:lineRule="auto" w:before="15"/>
        <w:ind w:left="140" w:right="99" w:firstLine="420"/>
        <w:jc w:val="left"/>
        <w:rPr>
          <w:rFonts w:ascii="宋体" w:hAnsi="宋体" w:cs="宋体" w:eastAsia="宋体" w:hint="default"/>
          <w:sz w:val="21"/>
          <w:szCs w:val="21"/>
        </w:rPr>
      </w:pPr>
      <w:r>
        <w:rPr>
          <w:rFonts w:ascii="宋体" w:hAnsi="宋体" w:cs="宋体" w:eastAsia="宋体" w:hint="default"/>
          <w:sz w:val="21"/>
          <w:szCs w:val="21"/>
        </w:rPr>
        <w:t>主要产品为：</w:t>
      </w:r>
      <w:r>
        <w:rPr>
          <w:rFonts w:ascii="宋体" w:hAnsi="宋体" w:cs="宋体" w:eastAsia="宋体" w:hint="default"/>
          <w:spacing w:val="-44"/>
          <w:sz w:val="21"/>
          <w:szCs w:val="21"/>
        </w:rPr>
        <w:t> </w:t>
      </w:r>
      <w:r>
        <w:rPr>
          <w:rFonts w:ascii="宋体" w:hAnsi="宋体" w:cs="宋体" w:eastAsia="宋体" w:hint="default"/>
          <w:sz w:val="21"/>
          <w:szCs w:val="21"/>
        </w:rPr>
        <w:t>PCBA</w:t>
      </w:r>
      <w:r>
        <w:rPr>
          <w:rFonts w:ascii="宋体" w:hAnsi="宋体" w:cs="宋体" w:eastAsia="宋体" w:hint="default"/>
          <w:spacing w:val="-45"/>
          <w:sz w:val="21"/>
          <w:szCs w:val="21"/>
        </w:rPr>
        <w:t> </w:t>
      </w:r>
      <w:r>
        <w:rPr>
          <w:rFonts w:ascii="宋体" w:hAnsi="宋体" w:cs="宋体" w:eastAsia="宋体" w:hint="default"/>
          <w:spacing w:val="-10"/>
          <w:sz w:val="21"/>
          <w:szCs w:val="21"/>
        </w:rPr>
        <w:t>控制板（包括前面板、解码板、功放板）的贴装，少量贴牌生产</w:t>
      </w:r>
      <w:r>
        <w:rPr>
          <w:rFonts w:ascii="宋体" w:hAnsi="宋体" w:cs="宋体" w:eastAsia="宋体" w:hint="default"/>
          <w:spacing w:val="-46"/>
          <w:sz w:val="21"/>
          <w:szCs w:val="21"/>
        </w:rPr>
        <w:t> </w:t>
      </w:r>
      <w:r>
        <w:rPr>
          <w:rFonts w:ascii="宋体" w:hAnsi="宋体" w:cs="宋体" w:eastAsia="宋体" w:hint="default"/>
          <w:sz w:val="21"/>
          <w:szCs w:val="21"/>
        </w:rPr>
        <w:t>DVD、</w:t>
      </w:r>
      <w:r>
        <w:rPr>
          <w:rFonts w:ascii="宋体" w:hAnsi="宋体" w:cs="宋体" w:eastAsia="宋体" w:hint="default"/>
          <w:sz w:val="21"/>
          <w:szCs w:val="21"/>
        </w:rPr>
        <w:t> 机顶盒、MP3</w:t>
      </w:r>
      <w:r>
        <w:rPr>
          <w:rFonts w:ascii="宋体" w:hAnsi="宋体" w:cs="宋体" w:eastAsia="宋体" w:hint="default"/>
          <w:spacing w:val="-64"/>
          <w:sz w:val="21"/>
          <w:szCs w:val="21"/>
        </w:rPr>
        <w:t> </w:t>
      </w:r>
      <w:r>
        <w:rPr>
          <w:rFonts w:ascii="宋体" w:hAnsi="宋体" w:cs="宋体" w:eastAsia="宋体" w:hint="default"/>
          <w:sz w:val="21"/>
          <w:szCs w:val="21"/>
        </w:rPr>
        <w:t>整机产品。</w:t>
      </w:r>
    </w:p>
    <w:p>
      <w:pPr>
        <w:spacing w:line="297" w:lineRule="auto" w:before="14"/>
        <w:ind w:left="560" w:right="2211" w:firstLine="0"/>
        <w:jc w:val="left"/>
        <w:rPr>
          <w:rFonts w:ascii="宋体" w:hAnsi="宋体" w:cs="宋体" w:eastAsia="宋体" w:hint="default"/>
          <w:sz w:val="21"/>
          <w:szCs w:val="21"/>
        </w:rPr>
      </w:pPr>
      <w:r>
        <w:rPr>
          <w:rFonts w:ascii="宋体" w:hAnsi="宋体" w:cs="宋体" w:eastAsia="宋体" w:hint="default"/>
          <w:sz w:val="21"/>
          <w:szCs w:val="21"/>
        </w:rPr>
        <w:t>公司注册地:</w:t>
      </w:r>
      <w:r>
        <w:rPr>
          <w:rFonts w:ascii="宋体" w:hAnsi="宋体" w:cs="宋体" w:eastAsia="宋体" w:hint="default"/>
          <w:spacing w:val="-1"/>
          <w:sz w:val="21"/>
          <w:szCs w:val="21"/>
        </w:rPr>
        <w:t> </w:t>
      </w:r>
      <w:r>
        <w:rPr>
          <w:rFonts w:ascii="宋体" w:hAnsi="宋体" w:cs="宋体" w:eastAsia="宋体" w:hint="default"/>
          <w:sz w:val="21"/>
          <w:szCs w:val="21"/>
        </w:rPr>
        <w:t>深圳市高新区北区清华信息港研发楼</w:t>
      </w:r>
      <w:r>
        <w:rPr>
          <w:rFonts w:ascii="宋体" w:hAnsi="宋体" w:cs="宋体" w:eastAsia="宋体" w:hint="default"/>
          <w:spacing w:val="-54"/>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栋</w:t>
      </w:r>
      <w:r>
        <w:rPr>
          <w:rFonts w:ascii="宋体" w:hAnsi="宋体" w:cs="宋体" w:eastAsia="宋体" w:hint="default"/>
          <w:spacing w:val="-55"/>
          <w:sz w:val="21"/>
          <w:szCs w:val="21"/>
        </w:rPr>
        <w:t> </w:t>
      </w:r>
      <w:r>
        <w:rPr>
          <w:rFonts w:ascii="宋体" w:hAnsi="宋体" w:cs="宋体" w:eastAsia="宋体" w:hint="default"/>
          <w:sz w:val="21"/>
          <w:szCs w:val="21"/>
        </w:rPr>
        <w:t>501</w:t>
      </w:r>
      <w:r>
        <w:rPr>
          <w:rFonts w:ascii="宋体" w:hAnsi="宋体" w:cs="宋体" w:eastAsia="宋体" w:hint="default"/>
          <w:spacing w:val="-54"/>
          <w:sz w:val="21"/>
          <w:szCs w:val="21"/>
        </w:rPr>
        <w:t> </w:t>
      </w:r>
      <w:r>
        <w:rPr>
          <w:rFonts w:ascii="宋体" w:hAnsi="宋体" w:cs="宋体" w:eastAsia="宋体" w:hint="default"/>
          <w:sz w:val="21"/>
          <w:szCs w:val="21"/>
        </w:rPr>
        <w:t>室。</w:t>
      </w:r>
      <w:r>
        <w:rPr>
          <w:rFonts w:ascii="宋体" w:hAnsi="宋体" w:cs="宋体" w:eastAsia="宋体" w:hint="default"/>
          <w:sz w:val="21"/>
          <w:szCs w:val="21"/>
        </w:rPr>
        <w:t> 总部办公地：深圳市宝安区龙华大浪街道华兴路龙泉科技园。</w:t>
      </w:r>
    </w:p>
    <w:p>
      <w:pPr>
        <w:spacing w:line="240" w:lineRule="auto" w:before="1"/>
        <w:rPr>
          <w:rFonts w:ascii="宋体" w:hAnsi="宋体" w:cs="宋体" w:eastAsia="宋体" w:hint="default"/>
          <w:sz w:val="27"/>
          <w:szCs w:val="27"/>
        </w:rPr>
      </w:pPr>
    </w:p>
    <w:p>
      <w:pPr>
        <w:spacing w:line="297" w:lineRule="auto" w:before="0"/>
        <w:ind w:left="560" w:right="101" w:firstLine="2"/>
        <w:jc w:val="left"/>
        <w:rPr>
          <w:rFonts w:ascii="宋体" w:hAnsi="宋体" w:cs="宋体" w:eastAsia="宋体" w:hint="default"/>
          <w:sz w:val="21"/>
          <w:szCs w:val="21"/>
        </w:rPr>
      </w:pPr>
      <w:r>
        <w:rPr>
          <w:rFonts w:ascii="宋体" w:hAnsi="宋体" w:cs="宋体" w:eastAsia="宋体" w:hint="default"/>
          <w:b/>
          <w:bCs/>
          <w:sz w:val="21"/>
          <w:szCs w:val="21"/>
        </w:rPr>
        <w:t>二、财务报表的编制基础及遵循企业会计准则的声明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公司以持续经营为基础，根据实际发生的交易和事项，按照《企业会计准则—基本准则》</w:t>
      </w:r>
    </w:p>
    <w:p>
      <w:pPr>
        <w:spacing w:line="297" w:lineRule="auto" w:before="14"/>
        <w:ind w:left="560" w:right="101" w:hanging="420"/>
        <w:jc w:val="left"/>
        <w:rPr>
          <w:rFonts w:ascii="宋体" w:hAnsi="宋体" w:cs="宋体" w:eastAsia="宋体" w:hint="default"/>
          <w:sz w:val="21"/>
          <w:szCs w:val="21"/>
        </w:rPr>
      </w:pPr>
      <w:r>
        <w:rPr>
          <w:rFonts w:ascii="宋体" w:hAnsi="宋体" w:cs="宋体" w:eastAsia="宋体" w:hint="default"/>
          <w:sz w:val="21"/>
          <w:szCs w:val="21"/>
        </w:rPr>
        <w:t>和其他各项会计准则的规定进行确认和计量，在此基础上编制财务报表。 </w:t>
      </w:r>
      <w:r>
        <w:rPr>
          <w:rFonts w:ascii="宋体" w:hAnsi="宋体" w:cs="宋体" w:eastAsia="宋体" w:hint="default"/>
          <w:spacing w:val="-6"/>
          <w:sz w:val="21"/>
          <w:szCs w:val="21"/>
        </w:rPr>
        <w:t>公司所编制的财务报表符合企业会计准则的要求，真实、完整地反映了公司的财务状况、</w:t>
      </w:r>
    </w:p>
    <w:p>
      <w:pPr>
        <w:spacing w:line="297" w:lineRule="auto" w:before="15"/>
        <w:ind w:left="562" w:right="4287" w:hanging="423"/>
        <w:jc w:val="left"/>
        <w:rPr>
          <w:rFonts w:ascii="宋体" w:hAnsi="宋体" w:cs="宋体" w:eastAsia="宋体" w:hint="default"/>
          <w:sz w:val="21"/>
          <w:szCs w:val="21"/>
        </w:rPr>
      </w:pPr>
      <w:r>
        <w:rPr>
          <w:rFonts w:ascii="宋体" w:hAnsi="宋体" w:cs="宋体" w:eastAsia="宋体" w:hint="default"/>
          <w:sz w:val="21"/>
          <w:szCs w:val="21"/>
        </w:rPr>
        <w:t>经营成果和现金流量等有关信息。 </w:t>
      </w:r>
      <w:r>
        <w:rPr>
          <w:rFonts w:ascii="宋体" w:hAnsi="宋体" w:cs="宋体" w:eastAsia="宋体" w:hint="default"/>
          <w:b/>
          <w:bCs/>
          <w:sz w:val="21"/>
          <w:szCs w:val="21"/>
        </w:rPr>
        <w:t>三、主要会计政策、会计估计和前期差错</w:t>
      </w:r>
      <w:r>
        <w:rPr>
          <w:rFonts w:ascii="宋体" w:hAnsi="宋体" w:cs="宋体" w:eastAsia="宋体" w:hint="default"/>
          <w:sz w:val="21"/>
          <w:szCs w:val="21"/>
        </w:rPr>
      </w:r>
    </w:p>
    <w:p>
      <w:pPr>
        <w:spacing w:before="14"/>
        <w:ind w:left="562" w:right="2126" w:firstLine="0"/>
        <w:jc w:val="left"/>
        <w:rPr>
          <w:rFonts w:ascii="宋体" w:hAnsi="宋体" w:cs="宋体" w:eastAsia="宋体" w:hint="default"/>
          <w:sz w:val="21"/>
          <w:szCs w:val="21"/>
        </w:rPr>
      </w:pPr>
      <w:r>
        <w:rPr>
          <w:rFonts w:ascii="宋体" w:hAnsi="宋体" w:cs="宋体" w:eastAsia="宋体" w:hint="default"/>
          <w:b/>
          <w:bCs/>
          <w:sz w:val="21"/>
          <w:szCs w:val="21"/>
        </w:rPr>
        <w:t>（一）会计期间</w:t>
      </w:r>
      <w:r>
        <w:rPr>
          <w:rFonts w:ascii="宋体" w:hAnsi="宋体" w:cs="宋体" w:eastAsia="宋体" w:hint="default"/>
          <w:sz w:val="21"/>
          <w:szCs w:val="21"/>
        </w:rPr>
      </w:r>
    </w:p>
    <w:p>
      <w:pPr>
        <w:spacing w:before="66"/>
        <w:ind w:left="560" w:right="2126"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日止为一个会计年度。</w:t>
      </w:r>
    </w:p>
    <w:p>
      <w:pPr>
        <w:spacing w:line="297" w:lineRule="auto" w:before="64"/>
        <w:ind w:left="560" w:right="5564" w:firstLine="2"/>
        <w:jc w:val="left"/>
        <w:rPr>
          <w:rFonts w:ascii="宋体" w:hAnsi="宋体" w:cs="宋体" w:eastAsia="宋体" w:hint="default"/>
          <w:sz w:val="21"/>
          <w:szCs w:val="21"/>
        </w:rPr>
      </w:pPr>
      <w:r>
        <w:rPr>
          <w:rFonts w:ascii="宋体" w:hAnsi="宋体" w:cs="宋体" w:eastAsia="宋体" w:hint="default"/>
          <w:b/>
          <w:bCs/>
          <w:sz w:val="21"/>
          <w:szCs w:val="21"/>
        </w:rPr>
        <w:t>（二）记账本位币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before="15"/>
        <w:ind w:left="560" w:right="101" w:firstLine="0"/>
        <w:jc w:val="left"/>
        <w:rPr>
          <w:rFonts w:ascii="宋体" w:hAnsi="宋体" w:cs="宋体" w:eastAsia="宋体" w:hint="default"/>
          <w:sz w:val="21"/>
          <w:szCs w:val="21"/>
        </w:rPr>
      </w:pPr>
      <w:r>
        <w:rPr>
          <w:rFonts w:ascii="宋体" w:hAnsi="宋体" w:cs="宋体" w:eastAsia="宋体" w:hint="default"/>
          <w:sz w:val="21"/>
          <w:szCs w:val="21"/>
        </w:rPr>
        <w:t>境外子公司以其经营所处的主要经济环境中的货币港币为记账本位币</w:t>
      </w:r>
      <w:r>
        <w:rPr>
          <w:rFonts w:ascii="宋体" w:hAnsi="宋体" w:cs="宋体" w:eastAsia="宋体" w:hint="default"/>
          <w:spacing w:val="-94"/>
          <w:sz w:val="21"/>
          <w:szCs w:val="21"/>
        </w:rPr>
        <w:t>，</w:t>
      </w:r>
      <w:r>
        <w:rPr>
          <w:rFonts w:ascii="宋体" w:hAnsi="宋体" w:cs="宋体" w:eastAsia="宋体" w:hint="default"/>
          <w:sz w:val="21"/>
          <w:szCs w:val="21"/>
        </w:rPr>
        <w:t>编制财务报表时</w:t>
      </w:r>
    </w:p>
    <w:p>
      <w:pPr>
        <w:spacing w:after="0"/>
        <w:jc w:val="left"/>
        <w:rPr>
          <w:rFonts w:ascii="宋体" w:hAnsi="宋体" w:cs="宋体" w:eastAsia="宋体" w:hint="default"/>
          <w:sz w:val="21"/>
          <w:szCs w:val="21"/>
        </w:rPr>
        <w:sectPr>
          <w:headerReference w:type="default" r:id="rId22"/>
          <w:footerReference w:type="default" r:id="rId23"/>
          <w:pgSz w:w="11910" w:h="16840"/>
          <w:pgMar w:header="918" w:footer="950" w:top="1160" w:bottom="1140" w:left="1660" w:right="1580"/>
          <w:pgNumType w:start="66"/>
        </w:sectPr>
      </w:pPr>
    </w:p>
    <w:p>
      <w:pPr>
        <w:spacing w:line="240" w:lineRule="auto" w:before="10"/>
        <w:rPr>
          <w:rFonts w:ascii="宋体" w:hAnsi="宋体" w:cs="宋体" w:eastAsia="宋体" w:hint="default"/>
          <w:sz w:val="20"/>
          <w:szCs w:val="20"/>
        </w:rPr>
      </w:pPr>
    </w:p>
    <w:p>
      <w:pPr>
        <w:spacing w:before="35"/>
        <w:ind w:left="140" w:right="0" w:firstLine="0"/>
        <w:jc w:val="both"/>
        <w:rPr>
          <w:rFonts w:ascii="宋体" w:hAnsi="宋体" w:cs="宋体" w:eastAsia="宋体" w:hint="default"/>
          <w:sz w:val="21"/>
          <w:szCs w:val="21"/>
        </w:rPr>
      </w:pPr>
      <w:r>
        <w:rPr>
          <w:rFonts w:ascii="宋体" w:hAnsi="宋体" w:cs="宋体" w:eastAsia="宋体" w:hint="default"/>
          <w:sz w:val="21"/>
          <w:szCs w:val="21"/>
        </w:rPr>
        <w:t>折算为人民币。</w:t>
      </w:r>
    </w:p>
    <w:p>
      <w:pPr>
        <w:spacing w:line="297" w:lineRule="auto" w:before="64"/>
        <w:ind w:left="560" w:right="2184" w:firstLine="2"/>
        <w:jc w:val="left"/>
        <w:rPr>
          <w:rFonts w:ascii="宋体" w:hAnsi="宋体" w:cs="宋体" w:eastAsia="宋体" w:hint="default"/>
          <w:sz w:val="21"/>
          <w:szCs w:val="21"/>
        </w:rPr>
      </w:pPr>
      <w:r>
        <w:rPr>
          <w:rFonts w:ascii="宋体" w:hAnsi="宋体" w:cs="宋体" w:eastAsia="宋体" w:hint="default"/>
          <w:b/>
          <w:bCs/>
          <w:sz w:val="21"/>
          <w:szCs w:val="21"/>
        </w:rPr>
        <w:t>（三）计量属性</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本公司在对会计报表项目进行计量时，一般采用历史成本计量。 本年报表项目的计量属性未发生变化。</w:t>
      </w:r>
    </w:p>
    <w:p>
      <w:pPr>
        <w:spacing w:line="297" w:lineRule="auto" w:before="14"/>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（四）现金等价物的确定标准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在编制现金流量表时，将同时具备期限短（从购买日起三个月内到期）、流动性强、易</w:t>
      </w:r>
    </w:p>
    <w:p>
      <w:pPr>
        <w:spacing w:before="14"/>
        <w:ind w:left="139" w:right="0" w:firstLine="0"/>
        <w:jc w:val="both"/>
        <w:rPr>
          <w:rFonts w:ascii="宋体" w:hAnsi="宋体" w:cs="宋体" w:eastAsia="宋体" w:hint="default"/>
          <w:sz w:val="21"/>
          <w:szCs w:val="21"/>
        </w:rPr>
      </w:pPr>
      <w:r>
        <w:rPr>
          <w:rFonts w:ascii="宋体" w:hAnsi="宋体" w:cs="宋体" w:eastAsia="宋体" w:hint="default"/>
          <w:sz w:val="21"/>
          <w:szCs w:val="21"/>
        </w:rPr>
        <w:t>于转换为已知现金、价值变动风险很小四个条件的投资，确定为现金等价物。</w:t>
      </w:r>
    </w:p>
    <w:p>
      <w:pPr>
        <w:spacing w:line="297" w:lineRule="auto" w:before="64"/>
        <w:ind w:left="559" w:right="85" w:firstLine="2"/>
        <w:jc w:val="left"/>
        <w:rPr>
          <w:rFonts w:ascii="宋体" w:hAnsi="宋体" w:cs="宋体" w:eastAsia="宋体" w:hint="default"/>
          <w:sz w:val="21"/>
          <w:szCs w:val="21"/>
        </w:rPr>
      </w:pPr>
      <w:r>
        <w:rPr>
          <w:rFonts w:ascii="宋体" w:hAnsi="宋体" w:cs="宋体" w:eastAsia="宋体" w:hint="default"/>
          <w:b/>
          <w:bCs/>
          <w:sz w:val="21"/>
          <w:szCs w:val="21"/>
        </w:rPr>
        <w:t>（五）外币业务核算方法</w:t>
      </w:r>
      <w:r>
        <w:rPr>
          <w:rFonts w:ascii="宋体" w:hAnsi="宋体" w:cs="宋体" w:eastAsia="宋体" w:hint="default"/>
          <w:b/>
          <w:bCs/>
          <w:w w:val="99"/>
          <w:sz w:val="21"/>
          <w:szCs w:val="21"/>
        </w:rPr>
        <w:t> </w:t>
      </w:r>
      <w:r>
        <w:rPr>
          <w:rFonts w:ascii="宋体" w:hAnsi="宋体" w:cs="宋体" w:eastAsia="宋体" w:hint="default"/>
          <w:sz w:val="21"/>
          <w:szCs w:val="21"/>
        </w:rPr>
        <w:t>外币业务采用交易发生日的即期汇率作为折算汇率折合成人民币记账。 </w:t>
      </w:r>
      <w:r>
        <w:rPr>
          <w:rFonts w:ascii="宋体" w:hAnsi="宋体" w:cs="宋体" w:eastAsia="宋体" w:hint="default"/>
          <w:spacing w:val="-3"/>
          <w:sz w:val="21"/>
          <w:szCs w:val="21"/>
        </w:rPr>
        <w:t>外币货币性项目余额按资产负债表日即期汇率折算，由此产生的汇兑差额，除属于与购</w:t>
      </w:r>
    </w:p>
    <w:p>
      <w:pPr>
        <w:spacing w:line="297" w:lineRule="auto" w:before="14"/>
        <w:ind w:left="139" w:right="193" w:firstLine="0"/>
        <w:jc w:val="both"/>
        <w:rPr>
          <w:rFonts w:ascii="宋体" w:hAnsi="宋体" w:cs="宋体" w:eastAsia="宋体" w:hint="default"/>
          <w:sz w:val="21"/>
          <w:szCs w:val="21"/>
        </w:rPr>
      </w:pPr>
      <w:r>
        <w:rPr>
          <w:rFonts w:ascii="宋体" w:hAnsi="宋体" w:cs="宋体" w:eastAsia="宋体" w:hint="default"/>
          <w:spacing w:val="2"/>
          <w:sz w:val="21"/>
          <w:szCs w:val="21"/>
        </w:rPr>
        <w:t>建符合资本化条件的资产相关的外币专门借款产生的汇兑差额按照借款费用资本化的原则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处理外，均计入当期损益。以历史成本计量的外币非货币性项目，仍采用交易发生日的即期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汇率折算，不改变其记账本位币金额。以公允价值计量的外币非货币性项目，采用公允价值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确定日的即期汇率折算，由此产生的汇兑差额计入当期损益或资本公积。</w:t>
      </w:r>
    </w:p>
    <w:p>
      <w:pPr>
        <w:spacing w:line="297" w:lineRule="auto" w:before="15"/>
        <w:ind w:left="559" w:right="85" w:firstLine="2"/>
        <w:jc w:val="left"/>
        <w:rPr>
          <w:rFonts w:ascii="宋体" w:hAnsi="宋体" w:cs="宋体" w:eastAsia="宋体" w:hint="default"/>
          <w:sz w:val="21"/>
          <w:szCs w:val="21"/>
        </w:rPr>
      </w:pPr>
      <w:r>
        <w:rPr>
          <w:rFonts w:ascii="宋体" w:hAnsi="宋体" w:cs="宋体" w:eastAsia="宋体" w:hint="default"/>
          <w:b/>
          <w:bCs/>
          <w:sz w:val="21"/>
          <w:szCs w:val="21"/>
        </w:rPr>
        <w:t>（六）外币财务报表的折算方法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297" w:lineRule="auto" w:before="14"/>
        <w:ind w:left="139" w:right="197" w:firstLine="0"/>
        <w:jc w:val="both"/>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目，采用按照系统合理的方法确定的、与交易发生日即期汇率近似的汇率）折算。按照上述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折算产生的外币财务报表折算差额，在资产负债表所有者权益项目下单独列示。</w:t>
      </w:r>
    </w:p>
    <w:p>
      <w:pPr>
        <w:spacing w:line="297" w:lineRule="auto" w:before="14"/>
        <w:ind w:left="139" w:right="196" w:firstLine="420"/>
        <w:jc w:val="both"/>
        <w:rPr>
          <w:rFonts w:ascii="宋体" w:hAnsi="宋体" w:cs="宋体" w:eastAsia="宋体" w:hint="default"/>
          <w:sz w:val="21"/>
          <w:szCs w:val="21"/>
        </w:rPr>
      </w:pPr>
      <w:r>
        <w:rPr>
          <w:rFonts w:ascii="宋体" w:hAnsi="宋体" w:cs="宋体" w:eastAsia="宋体" w:hint="default"/>
          <w:spacing w:val="-3"/>
          <w:sz w:val="21"/>
          <w:szCs w:val="21"/>
        </w:rPr>
        <w:t>在处置境外经营时，将资产负债表中所有者权益项目下列示的、与该境外经营相关的外</w:t>
      </w:r>
      <w:r>
        <w:rPr>
          <w:rFonts w:ascii="宋体" w:hAnsi="宋体" w:cs="宋体" w:eastAsia="宋体" w:hint="default"/>
          <w:sz w:val="21"/>
          <w:szCs w:val="21"/>
        </w:rPr>
        <w:t> </w:t>
      </w:r>
      <w:r>
        <w:rPr>
          <w:rFonts w:ascii="宋体" w:hAnsi="宋体" w:cs="宋体" w:eastAsia="宋体" w:hint="default"/>
          <w:spacing w:val="-3"/>
          <w:sz w:val="21"/>
          <w:szCs w:val="21"/>
        </w:rPr>
        <w:t>币财务报表折算差额，自所有者权益项目转入处置当期损益；部分处置境外经营的，按处置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的比例计算处置部分的外币财务报表折算差额，转入处置当期损益。</w:t>
      </w:r>
    </w:p>
    <w:p>
      <w:pPr>
        <w:spacing w:line="297" w:lineRule="auto" w:before="14"/>
        <w:ind w:left="562" w:right="4478" w:firstLine="0"/>
        <w:jc w:val="left"/>
        <w:rPr>
          <w:rFonts w:ascii="宋体" w:hAnsi="宋体" w:cs="宋体" w:eastAsia="宋体" w:hint="default"/>
          <w:sz w:val="21"/>
          <w:szCs w:val="21"/>
        </w:rPr>
      </w:pPr>
      <w:r>
        <w:rPr>
          <w:rFonts w:ascii="宋体" w:hAnsi="宋体" w:cs="宋体" w:eastAsia="宋体" w:hint="default"/>
          <w:b/>
          <w:bCs/>
          <w:sz w:val="21"/>
          <w:szCs w:val="21"/>
        </w:rPr>
        <w:t>（七）金融资产和金融负债的核算方法</w:t>
      </w:r>
      <w:r>
        <w:rPr>
          <w:rFonts w:ascii="宋体" w:hAnsi="宋体" w:cs="宋体" w:eastAsia="宋体" w:hint="default"/>
          <w:b/>
          <w:bCs/>
          <w:w w:val="99"/>
          <w:sz w:val="21"/>
          <w:szCs w:val="21"/>
        </w:rPr>
        <w:t> </w:t>
      </w:r>
      <w:r>
        <w:rPr>
          <w:rFonts w:ascii="宋体" w:hAnsi="宋体" w:cs="宋体" w:eastAsia="宋体" w:hint="default"/>
          <w:b/>
          <w:bCs/>
          <w:sz w:val="21"/>
          <w:szCs w:val="21"/>
        </w:rPr>
        <w:t>1、金融资产和金融负债的分类</w:t>
      </w:r>
      <w:r>
        <w:rPr>
          <w:rFonts w:ascii="宋体" w:hAnsi="宋体" w:cs="宋体" w:eastAsia="宋体" w:hint="default"/>
          <w:sz w:val="21"/>
          <w:szCs w:val="21"/>
        </w:rPr>
      </w:r>
    </w:p>
    <w:p>
      <w:pPr>
        <w:spacing w:line="297" w:lineRule="auto" w:before="14"/>
        <w:ind w:left="139" w:right="196" w:firstLine="420"/>
        <w:jc w:val="both"/>
        <w:rPr>
          <w:rFonts w:ascii="宋体" w:hAnsi="宋体" w:cs="宋体" w:eastAsia="宋体" w:hint="default"/>
          <w:sz w:val="21"/>
          <w:szCs w:val="21"/>
        </w:rPr>
      </w:pPr>
      <w:r>
        <w:rPr>
          <w:rFonts w:ascii="宋体" w:hAnsi="宋体" w:cs="宋体" w:eastAsia="宋体" w:hint="default"/>
          <w:spacing w:val="-3"/>
          <w:sz w:val="21"/>
          <w:szCs w:val="21"/>
        </w:rPr>
        <w:t>管理层按照取得持有金融资产和承担金融负债的目的，将其划分为：以公允价值计量且</w:t>
      </w:r>
      <w:r>
        <w:rPr>
          <w:rFonts w:ascii="宋体" w:hAnsi="宋体" w:cs="宋体" w:eastAsia="宋体" w:hint="default"/>
          <w:sz w:val="21"/>
          <w:szCs w:val="21"/>
        </w:rPr>
        <w:t> </w:t>
      </w:r>
      <w:r>
        <w:rPr>
          <w:rFonts w:ascii="宋体" w:hAnsi="宋体" w:cs="宋体" w:eastAsia="宋体" w:hint="default"/>
          <w:spacing w:val="-3"/>
          <w:sz w:val="21"/>
          <w:szCs w:val="21"/>
        </w:rPr>
        <w:t>其变动计入当期损益的金融资产或金融负债，包括交易性金融资产或金融负债；持有至到期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投资；应收款项；可供出售金融资产；其他金融负债等。</w:t>
      </w:r>
    </w:p>
    <w:p>
      <w:pPr>
        <w:spacing w:before="14"/>
        <w:ind w:left="562" w:right="2184" w:firstLine="0"/>
        <w:jc w:val="left"/>
        <w:rPr>
          <w:rFonts w:ascii="宋体" w:hAnsi="宋体" w:cs="宋体" w:eastAsia="宋体" w:hint="default"/>
          <w:sz w:val="21"/>
          <w:szCs w:val="21"/>
        </w:rPr>
      </w:pPr>
      <w:r>
        <w:rPr>
          <w:rFonts w:ascii="宋体" w:hAnsi="宋体" w:cs="宋体" w:eastAsia="宋体" w:hint="default"/>
          <w:b/>
          <w:bCs/>
          <w:sz w:val="21"/>
          <w:szCs w:val="21"/>
        </w:rPr>
        <w:t>2、金融资产和金融负债的确认和计量方法</w:t>
      </w:r>
      <w:r>
        <w:rPr>
          <w:rFonts w:ascii="宋体" w:hAnsi="宋体" w:cs="宋体" w:eastAsia="宋体" w:hint="default"/>
          <w:sz w:val="21"/>
          <w:szCs w:val="21"/>
        </w:rPr>
      </w:r>
    </w:p>
    <w:p>
      <w:pPr>
        <w:spacing w:line="297" w:lineRule="auto" w:before="64"/>
        <w:ind w:left="559" w:right="85" w:firstLine="0"/>
        <w:jc w:val="left"/>
        <w:rPr>
          <w:rFonts w:ascii="宋体" w:hAnsi="宋体" w:cs="宋体" w:eastAsia="宋体" w:hint="default"/>
          <w:sz w:val="21"/>
          <w:szCs w:val="21"/>
        </w:rPr>
      </w:pPr>
      <w:r>
        <w:rPr>
          <w:rFonts w:ascii="宋体" w:hAnsi="宋体" w:cs="宋体" w:eastAsia="宋体" w:hint="default"/>
          <w:sz w:val="21"/>
          <w:szCs w:val="21"/>
        </w:rPr>
        <w:t>（1）以公允价值计量且其变动计入当期损益的金融资产（金融负债） </w:t>
      </w:r>
      <w:r>
        <w:rPr>
          <w:rFonts w:ascii="宋体" w:hAnsi="宋体" w:cs="宋体" w:eastAsia="宋体" w:hint="default"/>
          <w:spacing w:val="-3"/>
          <w:sz w:val="21"/>
          <w:szCs w:val="21"/>
        </w:rPr>
        <w:t>取得时以公允价值（扣除已宣告但尚未发放的现金股利或已到付息期但尚未领取的债券</w:t>
      </w:r>
    </w:p>
    <w:p>
      <w:pPr>
        <w:spacing w:line="297" w:lineRule="auto" w:before="14"/>
        <w:ind w:left="559" w:right="85" w:hanging="420"/>
        <w:jc w:val="left"/>
        <w:rPr>
          <w:rFonts w:ascii="宋体" w:hAnsi="宋体" w:cs="宋体" w:eastAsia="宋体" w:hint="default"/>
          <w:sz w:val="21"/>
          <w:szCs w:val="21"/>
        </w:rPr>
      </w:pPr>
      <w:r>
        <w:rPr>
          <w:rFonts w:ascii="宋体" w:hAnsi="宋体" w:cs="宋体" w:eastAsia="宋体" w:hint="default"/>
          <w:sz w:val="21"/>
          <w:szCs w:val="21"/>
        </w:rPr>
        <w:t>利息）作为初始确认金额，相关的交易费用计入当期损益。 </w:t>
      </w:r>
      <w:r>
        <w:rPr>
          <w:rFonts w:ascii="宋体" w:hAnsi="宋体" w:cs="宋体" w:eastAsia="宋体" w:hint="default"/>
          <w:spacing w:val="2"/>
          <w:sz w:val="21"/>
          <w:szCs w:val="21"/>
        </w:rPr>
        <w:t>持有期间将取得的利息或现金股利确认为投资收益，年末将公允价值变动计入当期损</w:t>
      </w:r>
    </w:p>
    <w:p>
      <w:pPr>
        <w:spacing w:before="15"/>
        <w:ind w:left="139" w:right="0" w:firstLine="0"/>
        <w:jc w:val="both"/>
        <w:rPr>
          <w:rFonts w:ascii="宋体" w:hAnsi="宋体" w:cs="宋体" w:eastAsia="宋体" w:hint="default"/>
          <w:sz w:val="21"/>
          <w:szCs w:val="21"/>
        </w:rPr>
      </w:pPr>
      <w:r>
        <w:rPr>
          <w:rFonts w:ascii="宋体" w:hAnsi="宋体" w:cs="宋体" w:eastAsia="宋体" w:hint="default"/>
          <w:sz w:val="21"/>
          <w:szCs w:val="21"/>
        </w:rPr>
        <w:t>益。</w:t>
      </w:r>
    </w:p>
    <w:p>
      <w:pPr>
        <w:spacing w:line="297" w:lineRule="auto" w:before="64"/>
        <w:ind w:left="139" w:right="196" w:firstLine="420"/>
        <w:jc w:val="both"/>
        <w:rPr>
          <w:rFonts w:ascii="宋体" w:hAnsi="宋体" w:cs="宋体" w:eastAsia="宋体" w:hint="default"/>
          <w:sz w:val="21"/>
          <w:szCs w:val="21"/>
        </w:rPr>
      </w:pPr>
      <w:r>
        <w:rPr>
          <w:rFonts w:ascii="宋体" w:hAnsi="宋体" w:cs="宋体" w:eastAsia="宋体" w:hint="default"/>
          <w:spacing w:val="-3"/>
          <w:sz w:val="21"/>
          <w:szCs w:val="21"/>
        </w:rPr>
        <w:t>处置时，其公允价值与初始入账金额之间的差额确认为投资收益，同时调整公允价值变</w:t>
      </w:r>
      <w:r>
        <w:rPr>
          <w:rFonts w:ascii="宋体" w:hAnsi="宋体" w:cs="宋体" w:eastAsia="宋体" w:hint="default"/>
          <w:sz w:val="21"/>
          <w:szCs w:val="21"/>
        </w:rPr>
        <w:t> 动损益。</w:t>
      </w:r>
    </w:p>
    <w:p>
      <w:pPr>
        <w:spacing w:line="297" w:lineRule="auto" w:before="15"/>
        <w:ind w:left="559" w:right="85" w:firstLine="0"/>
        <w:jc w:val="left"/>
        <w:rPr>
          <w:rFonts w:ascii="宋体" w:hAnsi="宋体" w:cs="宋体" w:eastAsia="宋体" w:hint="default"/>
          <w:sz w:val="21"/>
          <w:szCs w:val="21"/>
        </w:rPr>
      </w:pPr>
      <w:r>
        <w:rPr>
          <w:rFonts w:ascii="宋体" w:hAnsi="宋体" w:cs="宋体" w:eastAsia="宋体" w:hint="default"/>
          <w:sz w:val="21"/>
          <w:szCs w:val="21"/>
        </w:rPr>
        <w:t>（2）持有至到期投资 </w:t>
      </w:r>
      <w:r>
        <w:rPr>
          <w:rFonts w:ascii="宋体" w:hAnsi="宋体" w:cs="宋体" w:eastAsia="宋体" w:hint="default"/>
          <w:spacing w:val="-3"/>
          <w:sz w:val="21"/>
          <w:szCs w:val="21"/>
        </w:rPr>
        <w:t>取得时按公允价值（扣除已到付息期但尚未领取的债券利息）和相关交易费用之和作为</w:t>
      </w:r>
    </w:p>
    <w:p>
      <w:pPr>
        <w:spacing w:line="297" w:lineRule="auto" w:before="14"/>
        <w:ind w:left="559" w:right="85" w:hanging="420"/>
        <w:jc w:val="left"/>
        <w:rPr>
          <w:rFonts w:ascii="宋体" w:hAnsi="宋体" w:cs="宋体" w:eastAsia="宋体" w:hint="default"/>
          <w:sz w:val="21"/>
          <w:szCs w:val="21"/>
        </w:rPr>
      </w:pPr>
      <w:r>
        <w:rPr>
          <w:rFonts w:ascii="宋体" w:hAnsi="宋体" w:cs="宋体" w:eastAsia="宋体" w:hint="default"/>
          <w:sz w:val="21"/>
          <w:szCs w:val="21"/>
        </w:rPr>
        <w:t>初始确认金额。 持有期间按照摊余成本和实际利率（如实际利率与票面利率差别较小的，按票面利率）</w:t>
      </w:r>
    </w:p>
    <w:p>
      <w:pPr>
        <w:spacing w:line="297" w:lineRule="auto" w:before="14"/>
        <w:ind w:left="139" w:right="196" w:firstLine="0"/>
        <w:jc w:val="both"/>
        <w:rPr>
          <w:rFonts w:ascii="宋体" w:hAnsi="宋体" w:cs="宋体" w:eastAsia="宋体" w:hint="default"/>
          <w:sz w:val="21"/>
          <w:szCs w:val="21"/>
        </w:rPr>
      </w:pPr>
      <w:r>
        <w:rPr>
          <w:rFonts w:ascii="宋体" w:hAnsi="宋体" w:cs="宋体" w:eastAsia="宋体" w:hint="default"/>
          <w:spacing w:val="-3"/>
          <w:sz w:val="21"/>
          <w:szCs w:val="21"/>
        </w:rPr>
        <w:t>计算确认利息收入，计入投资收益。实际利率在取得时确定，在该预期存续期间或适用的更</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短期间内保持不变。</w:t>
      </w:r>
    </w:p>
    <w:p>
      <w:pPr>
        <w:spacing w:after="0" w:line="297" w:lineRule="auto"/>
        <w:jc w:val="both"/>
        <w:rPr>
          <w:rFonts w:ascii="宋体" w:hAnsi="宋体" w:cs="宋体" w:eastAsia="宋体" w:hint="default"/>
          <w:sz w:val="21"/>
          <w:szCs w:val="21"/>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before="35"/>
        <w:ind w:left="560" w:right="85"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297" w:lineRule="auto" w:before="64"/>
        <w:ind w:left="560" w:right="85" w:firstLine="0"/>
        <w:jc w:val="left"/>
        <w:rPr>
          <w:rFonts w:ascii="宋体" w:hAnsi="宋体" w:cs="宋体" w:eastAsia="宋体" w:hint="default"/>
          <w:sz w:val="21"/>
          <w:szCs w:val="21"/>
        </w:rPr>
      </w:pPr>
      <w:r>
        <w:rPr>
          <w:rFonts w:ascii="宋体" w:hAnsi="宋体" w:cs="宋体" w:eastAsia="宋体" w:hint="default"/>
          <w:sz w:val="21"/>
          <w:szCs w:val="21"/>
        </w:rPr>
        <w:t>（3）应收款项 </w:t>
      </w:r>
      <w:r>
        <w:rPr>
          <w:rFonts w:ascii="宋体" w:hAnsi="宋体" w:cs="宋体" w:eastAsia="宋体" w:hint="default"/>
          <w:spacing w:val="-3"/>
          <w:sz w:val="21"/>
          <w:szCs w:val="21"/>
        </w:rPr>
        <w:t>公司对外销售商品或提供劳务形成的应收债权，以及公司持有的其他企业的不包括在活</w:t>
      </w:r>
    </w:p>
    <w:p>
      <w:pPr>
        <w:spacing w:line="297" w:lineRule="auto" w:before="14"/>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跃市场上有报价的债务工具的债权，包括应收账款、其他应收款、应收票据、预付账款、长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期应收款等，以向购货方应收的合同或协议价款作为初始确认金额。</w:t>
      </w:r>
    </w:p>
    <w:p>
      <w:pPr>
        <w:spacing w:before="15"/>
        <w:ind w:left="560" w:right="85"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97" w:lineRule="auto" w:before="64"/>
        <w:ind w:left="560" w:right="85" w:firstLine="0"/>
        <w:jc w:val="left"/>
        <w:rPr>
          <w:rFonts w:ascii="宋体" w:hAnsi="宋体" w:cs="宋体" w:eastAsia="宋体" w:hint="default"/>
          <w:sz w:val="21"/>
          <w:szCs w:val="21"/>
        </w:rPr>
      </w:pPr>
      <w:r>
        <w:rPr>
          <w:rFonts w:ascii="宋体" w:hAnsi="宋体" w:cs="宋体" w:eastAsia="宋体" w:hint="default"/>
          <w:sz w:val="21"/>
          <w:szCs w:val="21"/>
        </w:rPr>
        <w:t>（4）可供出售金融资产 </w:t>
      </w:r>
      <w:r>
        <w:rPr>
          <w:rFonts w:ascii="宋体" w:hAnsi="宋体" w:cs="宋体" w:eastAsia="宋体" w:hint="default"/>
          <w:spacing w:val="-3"/>
          <w:sz w:val="21"/>
          <w:szCs w:val="21"/>
        </w:rPr>
        <w:t>取得时按公允价值（扣除已宣告但尚未发放的现金股利或已到付息期但尚未领取的债券</w:t>
      </w:r>
    </w:p>
    <w:p>
      <w:pPr>
        <w:spacing w:line="297" w:lineRule="auto" w:before="15"/>
        <w:ind w:left="560" w:right="85" w:hanging="420"/>
        <w:jc w:val="left"/>
        <w:rPr>
          <w:rFonts w:ascii="宋体" w:hAnsi="宋体" w:cs="宋体" w:eastAsia="宋体" w:hint="default"/>
          <w:sz w:val="21"/>
          <w:szCs w:val="21"/>
        </w:rPr>
      </w:pPr>
      <w:r>
        <w:rPr>
          <w:rFonts w:ascii="宋体" w:hAnsi="宋体" w:cs="宋体" w:eastAsia="宋体" w:hint="default"/>
          <w:sz w:val="21"/>
          <w:szCs w:val="21"/>
        </w:rPr>
        <w:t>利息）和相关交易费用之和作为初始确认金额。 </w:t>
      </w:r>
      <w:r>
        <w:rPr>
          <w:rFonts w:ascii="宋体" w:hAnsi="宋体" w:cs="宋体" w:eastAsia="宋体" w:hint="default"/>
          <w:spacing w:val="-3"/>
          <w:sz w:val="21"/>
          <w:szCs w:val="21"/>
        </w:rPr>
        <w:t>持有期间将取得的利息或现金股利确认为投资收益。年末以公允价值计量且将公允价值</w:t>
      </w:r>
    </w:p>
    <w:p>
      <w:pPr>
        <w:spacing w:line="297" w:lineRule="auto" w:before="14"/>
        <w:ind w:left="560" w:right="85" w:hanging="420"/>
        <w:jc w:val="left"/>
        <w:rPr>
          <w:rFonts w:ascii="宋体" w:hAnsi="宋体" w:cs="宋体" w:eastAsia="宋体" w:hint="default"/>
          <w:sz w:val="21"/>
          <w:szCs w:val="21"/>
        </w:rPr>
      </w:pPr>
      <w:r>
        <w:rPr>
          <w:rFonts w:ascii="宋体" w:hAnsi="宋体" w:cs="宋体" w:eastAsia="宋体" w:hint="default"/>
          <w:spacing w:val="-7"/>
          <w:sz w:val="21"/>
          <w:szCs w:val="21"/>
        </w:rPr>
        <w:t>变动计入资本公积（其他资本公积）。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处置时，将取得的价款与该金融资产账面价值之间的差额，计入投资损益；同时，将原</w:t>
      </w:r>
    </w:p>
    <w:p>
      <w:pPr>
        <w:spacing w:before="14"/>
        <w:ind w:left="140" w:right="85" w:firstLine="0"/>
        <w:jc w:val="left"/>
        <w:rPr>
          <w:rFonts w:ascii="宋体" w:hAnsi="宋体" w:cs="宋体" w:eastAsia="宋体" w:hint="default"/>
          <w:sz w:val="21"/>
          <w:szCs w:val="21"/>
        </w:rPr>
      </w:pPr>
      <w:r>
        <w:rPr>
          <w:rFonts w:ascii="宋体" w:hAnsi="宋体" w:cs="宋体" w:eastAsia="宋体" w:hint="default"/>
          <w:sz w:val="21"/>
          <w:szCs w:val="21"/>
        </w:rPr>
        <w:t>直接计入所有者权益的公允价值变动累计额对应处置部分的金额转出，计入投资损益。</w:t>
      </w:r>
    </w:p>
    <w:p>
      <w:pPr>
        <w:spacing w:line="297" w:lineRule="auto" w:before="64"/>
        <w:ind w:left="529" w:right="85" w:firstLine="30"/>
        <w:jc w:val="left"/>
        <w:rPr>
          <w:rFonts w:ascii="宋体" w:hAnsi="宋体" w:cs="宋体" w:eastAsia="宋体" w:hint="default"/>
          <w:sz w:val="21"/>
          <w:szCs w:val="21"/>
        </w:rPr>
      </w:pPr>
      <w:r>
        <w:rPr>
          <w:rFonts w:ascii="宋体" w:hAnsi="宋体" w:cs="宋体" w:eastAsia="宋体" w:hint="default"/>
          <w:sz w:val="21"/>
          <w:szCs w:val="21"/>
        </w:rPr>
        <w:t>（5）其他金融负债 按其公允价值和相关交易费用之和作为初始确认金额。采用摊余成本进行后续计量。 </w:t>
      </w:r>
      <w:r>
        <w:rPr>
          <w:rFonts w:ascii="宋体" w:hAnsi="宋体" w:cs="宋体" w:eastAsia="宋体" w:hint="default"/>
          <w:b/>
          <w:bCs/>
          <w:sz w:val="21"/>
          <w:szCs w:val="21"/>
        </w:rPr>
        <w:t>3、金融资产转移的确认依据和计量方法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公司发生金融资产转移时，如已将金融资产所有权上几乎所有的风险和报酬转移给转入</w:t>
      </w:r>
    </w:p>
    <w:p>
      <w:pPr>
        <w:spacing w:line="297" w:lineRule="auto" w:before="15"/>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方，则终止确认该金融资产；如保留了金融资产所有权上几乎所有的风险和报酬的，则不终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止确认该金融资产。在判断金融资产转移是否满足上述金融资产终止确认条件时，采用实质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重于形式的原则。公司将金融资产转移区分为金融资产整体转移和部分转移。金融资产整体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转移满足终止确认条件的，将下列两项金额的差额计入当期损益：</w:t>
      </w:r>
    </w:p>
    <w:p>
      <w:pPr>
        <w:spacing w:before="14"/>
        <w:ind w:left="560" w:right="2184" w:firstLine="0"/>
        <w:jc w:val="left"/>
        <w:rPr>
          <w:rFonts w:ascii="宋体" w:hAnsi="宋体" w:cs="宋体" w:eastAsia="宋体" w:hint="default"/>
          <w:sz w:val="21"/>
          <w:szCs w:val="21"/>
        </w:rPr>
      </w:pPr>
      <w:r>
        <w:rPr>
          <w:rFonts w:ascii="宋体" w:hAnsi="宋体" w:cs="宋体" w:eastAsia="宋体" w:hint="default"/>
          <w:sz w:val="21"/>
          <w:szCs w:val="21"/>
        </w:rPr>
        <w:t>（1）所转移金融资产的账面价值；</w:t>
      </w:r>
    </w:p>
    <w:p>
      <w:pPr>
        <w:spacing w:line="297" w:lineRule="auto" w:before="64"/>
        <w:ind w:left="140" w:right="189" w:firstLine="420"/>
        <w:jc w:val="left"/>
        <w:rPr>
          <w:rFonts w:ascii="宋体" w:hAnsi="宋体" w:cs="宋体" w:eastAsia="宋体" w:hint="default"/>
          <w:sz w:val="21"/>
          <w:szCs w:val="21"/>
        </w:rPr>
      </w:pPr>
      <w:r>
        <w:rPr>
          <w:rFonts w:ascii="宋体" w:hAnsi="宋体" w:cs="宋体" w:eastAsia="宋体" w:hint="default"/>
          <w:sz w:val="21"/>
          <w:szCs w:val="21"/>
        </w:rPr>
        <w:t>（2）因转移而收到的对价，与原直接计入所有者权益的公允价值变动累计额（涉及转 移的金融资产为可供出售金融资产的情形）之和。</w:t>
      </w:r>
    </w:p>
    <w:p>
      <w:pPr>
        <w:spacing w:line="297" w:lineRule="auto" w:before="14"/>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金融资产部分转移满足终止确认条件的，将所转移金融资产整体的账面价值，在终止确</w:t>
      </w:r>
      <w:r>
        <w:rPr>
          <w:rFonts w:ascii="宋体" w:hAnsi="宋体" w:cs="宋体" w:eastAsia="宋体" w:hint="default"/>
          <w:sz w:val="21"/>
          <w:szCs w:val="21"/>
        </w:rPr>
        <w:t> </w:t>
      </w:r>
      <w:r>
        <w:rPr>
          <w:rFonts w:ascii="宋体" w:hAnsi="宋体" w:cs="宋体" w:eastAsia="宋体" w:hint="default"/>
          <w:spacing w:val="-3"/>
          <w:sz w:val="21"/>
          <w:szCs w:val="21"/>
        </w:rPr>
        <w:t>认部分和未终止确认部分之间，按照各自的相对公允价值进行分摊，并将下列两项金额的差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额计入当期损益：</w:t>
      </w:r>
    </w:p>
    <w:p>
      <w:pPr>
        <w:spacing w:before="14"/>
        <w:ind w:left="560" w:right="2184" w:firstLine="0"/>
        <w:jc w:val="left"/>
        <w:rPr>
          <w:rFonts w:ascii="宋体" w:hAnsi="宋体" w:cs="宋体" w:eastAsia="宋体" w:hint="default"/>
          <w:sz w:val="21"/>
          <w:szCs w:val="21"/>
        </w:rPr>
      </w:pPr>
      <w:r>
        <w:rPr>
          <w:rFonts w:ascii="宋体" w:hAnsi="宋体" w:cs="宋体" w:eastAsia="宋体" w:hint="default"/>
          <w:sz w:val="21"/>
          <w:szCs w:val="21"/>
        </w:rPr>
        <w:t>（1）终止确认部分的账面价值；</w:t>
      </w:r>
    </w:p>
    <w:p>
      <w:pPr>
        <w:spacing w:line="297" w:lineRule="auto" w:before="64"/>
        <w:ind w:left="140" w:right="189" w:firstLine="420"/>
        <w:jc w:val="left"/>
        <w:rPr>
          <w:rFonts w:ascii="宋体" w:hAnsi="宋体" w:cs="宋体" w:eastAsia="宋体" w:hint="default"/>
          <w:sz w:val="21"/>
          <w:szCs w:val="21"/>
        </w:rPr>
      </w:pPr>
      <w:r>
        <w:rPr>
          <w:rFonts w:ascii="宋体" w:hAnsi="宋体" w:cs="宋体" w:eastAsia="宋体" w:hint="default"/>
          <w:sz w:val="21"/>
          <w:szCs w:val="21"/>
        </w:rPr>
        <w:t>（2）终止确认部分的对价，与原直接计入所有者权益的公允价值变动累计额中对应终 止确认部分的金额（涉及转移的金融资产为可供出售金融资产的情形）之和。</w:t>
      </w:r>
    </w:p>
    <w:p>
      <w:pPr>
        <w:spacing w:line="297" w:lineRule="auto" w:before="14"/>
        <w:ind w:left="140" w:right="85" w:firstLine="420"/>
        <w:jc w:val="left"/>
        <w:rPr>
          <w:rFonts w:ascii="宋体" w:hAnsi="宋体" w:cs="宋体" w:eastAsia="宋体" w:hint="default"/>
          <w:sz w:val="21"/>
          <w:szCs w:val="21"/>
        </w:rPr>
      </w:pPr>
      <w:r>
        <w:rPr>
          <w:rFonts w:ascii="宋体" w:hAnsi="宋体" w:cs="宋体" w:eastAsia="宋体" w:hint="default"/>
          <w:spacing w:val="-3"/>
          <w:sz w:val="21"/>
          <w:szCs w:val="21"/>
        </w:rPr>
        <w:t>金融资产转移不满足终止确认条件的，继续确认该金融资产，所收到的对价确认为一项</w:t>
      </w:r>
      <w:r>
        <w:rPr>
          <w:rFonts w:ascii="宋体" w:hAnsi="宋体" w:cs="宋体" w:eastAsia="宋体" w:hint="default"/>
          <w:sz w:val="21"/>
          <w:szCs w:val="21"/>
        </w:rPr>
        <w:t> 金融负债。</w:t>
      </w:r>
    </w:p>
    <w:p>
      <w:pPr>
        <w:spacing w:line="297" w:lineRule="auto" w:before="15"/>
        <w:ind w:left="560" w:right="84" w:firstLine="2"/>
        <w:jc w:val="left"/>
        <w:rPr>
          <w:rFonts w:ascii="宋体" w:hAnsi="宋体" w:cs="宋体" w:eastAsia="宋体" w:hint="default"/>
          <w:sz w:val="21"/>
          <w:szCs w:val="21"/>
        </w:rPr>
      </w:pPr>
      <w:r>
        <w:rPr>
          <w:rFonts w:ascii="宋体" w:hAnsi="宋体" w:cs="宋体" w:eastAsia="宋体" w:hint="default"/>
          <w:b/>
          <w:bCs/>
          <w:sz w:val="21"/>
          <w:szCs w:val="21"/>
        </w:rPr>
        <w:t>4、金融资产和金融负债公允价值的确定方法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本公司采用公允价值计量的金融资产和金融负债全部直接参考年末活跃市场中的报价。 </w:t>
      </w:r>
      <w:r>
        <w:rPr>
          <w:rFonts w:ascii="宋体" w:hAnsi="宋体" w:cs="宋体" w:eastAsia="宋体" w:hint="default"/>
          <w:b/>
          <w:bCs/>
          <w:sz w:val="21"/>
          <w:szCs w:val="21"/>
        </w:rPr>
        <w:t>5、金融资产的减值准备</w:t>
      </w:r>
      <w:r>
        <w:rPr>
          <w:rFonts w:ascii="宋体" w:hAnsi="宋体" w:cs="宋体" w:eastAsia="宋体" w:hint="default"/>
          <w:sz w:val="21"/>
          <w:szCs w:val="21"/>
        </w:rPr>
      </w:r>
    </w:p>
    <w:p>
      <w:pPr>
        <w:spacing w:line="297" w:lineRule="auto" w:before="15"/>
        <w:ind w:left="559" w:right="85" w:firstLine="0"/>
        <w:jc w:val="left"/>
        <w:rPr>
          <w:rFonts w:ascii="宋体" w:hAnsi="宋体" w:cs="宋体" w:eastAsia="宋体" w:hint="default"/>
          <w:sz w:val="21"/>
          <w:szCs w:val="21"/>
        </w:rPr>
      </w:pPr>
      <w:r>
        <w:rPr>
          <w:rFonts w:ascii="宋体" w:hAnsi="宋体" w:cs="宋体" w:eastAsia="宋体" w:hint="default"/>
          <w:sz w:val="21"/>
          <w:szCs w:val="21"/>
        </w:rPr>
        <w:t>（1）可供出售金融资产的减值准备： </w:t>
      </w:r>
      <w:r>
        <w:rPr>
          <w:rFonts w:ascii="宋体" w:hAnsi="宋体" w:cs="宋体" w:eastAsia="宋体" w:hint="default"/>
          <w:spacing w:val="-3"/>
          <w:sz w:val="21"/>
          <w:szCs w:val="21"/>
        </w:rPr>
        <w:t>年末如果可供出售金融资产的公允价值发生较大幅度下降，或在综合考虑各种相关因素</w:t>
      </w:r>
    </w:p>
    <w:p>
      <w:pPr>
        <w:spacing w:line="297" w:lineRule="auto" w:before="14"/>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后，预期这种下降趋势属于非暂时性的，就认定其已发生减值，将原直接计入所有者权益的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公允价值下降形成的累计损失一并转出，确认减值损失。</w:t>
      </w:r>
    </w:p>
    <w:p>
      <w:pPr>
        <w:spacing w:line="297" w:lineRule="auto" w:before="14"/>
        <w:ind w:left="560" w:right="1554" w:firstLine="0"/>
        <w:jc w:val="left"/>
        <w:rPr>
          <w:rFonts w:ascii="宋体" w:hAnsi="宋体" w:cs="宋体" w:eastAsia="宋体" w:hint="default"/>
          <w:sz w:val="21"/>
          <w:szCs w:val="21"/>
        </w:rPr>
      </w:pPr>
      <w:r>
        <w:rPr>
          <w:rFonts w:ascii="宋体" w:hAnsi="宋体" w:cs="宋体" w:eastAsia="宋体" w:hint="default"/>
          <w:sz w:val="21"/>
          <w:szCs w:val="21"/>
        </w:rPr>
        <w:t>（2）持有至到期投资的减值准备： 持有至到期投资减值损失的计量比照应收款项减值损失计量方法处理。</w:t>
      </w:r>
    </w:p>
    <w:p>
      <w:pPr>
        <w:spacing w:after="0" w:line="297" w:lineRule="auto"/>
        <w:jc w:val="left"/>
        <w:rPr>
          <w:rFonts w:ascii="宋体" w:hAnsi="宋体" w:cs="宋体" w:eastAsia="宋体" w:hint="default"/>
          <w:sz w:val="21"/>
          <w:szCs w:val="21"/>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line="297" w:lineRule="auto" w:before="35"/>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（八）应收款项坏账准备的确认标准和计提方法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年末如果有客观证据表明应收款项发生减值，则将其账面价值减记至可收回金额，减记</w:t>
      </w:r>
    </w:p>
    <w:p>
      <w:pPr>
        <w:spacing w:line="297" w:lineRule="auto" w:before="15"/>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的金额确认为资产减值损失，计入当期损益。可收回金额是通过对其的未来现金流量（不包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括尚未发生的信用损失）按原实际利率折现确定，并考虑相关担保物的价值（扣除预计处置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1"/>
          <w:sz w:val="21"/>
          <w:szCs w:val="21"/>
        </w:rPr>
        <w:t>费用等）。</w:t>
      </w:r>
    </w:p>
    <w:p>
      <w:pPr>
        <w:spacing w:line="297" w:lineRule="auto" w:before="15"/>
        <w:ind w:left="560" w:right="85" w:firstLine="0"/>
        <w:jc w:val="left"/>
        <w:rPr>
          <w:rFonts w:ascii="宋体" w:hAnsi="宋体" w:cs="宋体" w:eastAsia="宋体" w:hint="default"/>
          <w:sz w:val="21"/>
          <w:szCs w:val="21"/>
        </w:rPr>
      </w:pPr>
      <w:r>
        <w:rPr>
          <w:rFonts w:ascii="宋体" w:hAnsi="宋体" w:cs="宋体" w:eastAsia="宋体" w:hint="default"/>
          <w:sz w:val="21"/>
          <w:szCs w:val="21"/>
        </w:rPr>
        <w:t>原实际利率是初始确认该应收款项时计算确定的实际利率。 </w:t>
      </w:r>
      <w:r>
        <w:rPr>
          <w:rFonts w:ascii="宋体" w:hAnsi="宋体" w:cs="宋体" w:eastAsia="宋体" w:hint="default"/>
          <w:spacing w:val="-3"/>
          <w:sz w:val="21"/>
          <w:szCs w:val="21"/>
        </w:rPr>
        <w:t>短期应收款项的预计未来现金流量与其现值相差很小，在确定相关减值损失时，不对其</w:t>
      </w:r>
    </w:p>
    <w:p>
      <w:pPr>
        <w:spacing w:line="297" w:lineRule="auto" w:before="14"/>
        <w:ind w:left="560" w:right="85" w:hanging="420"/>
        <w:jc w:val="left"/>
        <w:rPr>
          <w:rFonts w:ascii="宋体" w:hAnsi="宋体" w:cs="宋体" w:eastAsia="宋体" w:hint="default"/>
          <w:sz w:val="21"/>
          <w:szCs w:val="21"/>
        </w:rPr>
      </w:pPr>
      <w:r>
        <w:rPr>
          <w:rFonts w:ascii="宋体" w:hAnsi="宋体" w:cs="宋体" w:eastAsia="宋体" w:hint="default"/>
          <w:sz w:val="21"/>
          <w:szCs w:val="21"/>
        </w:rPr>
        <w:t>预计未来现金流量进行折现。 </w:t>
      </w:r>
      <w:r>
        <w:rPr>
          <w:rFonts w:ascii="宋体" w:hAnsi="宋体" w:cs="宋体" w:eastAsia="宋体" w:hint="default"/>
          <w:spacing w:val="-3"/>
          <w:sz w:val="21"/>
          <w:szCs w:val="21"/>
        </w:rPr>
        <w:t>年末对于单项金额重大的应收款项单独进行减值测试。如有客观证据表明其发生了减值</w:t>
      </w:r>
    </w:p>
    <w:p>
      <w:pPr>
        <w:spacing w:line="297" w:lineRule="auto" w:before="14"/>
        <w:ind w:left="560" w:right="454" w:hanging="420"/>
        <w:jc w:val="left"/>
        <w:rPr>
          <w:rFonts w:ascii="宋体" w:hAnsi="宋体" w:cs="宋体" w:eastAsia="宋体" w:hint="default"/>
          <w:sz w:val="21"/>
          <w:szCs w:val="21"/>
        </w:rPr>
      </w:pPr>
      <w:r>
        <w:rPr>
          <w:rFonts w:ascii="宋体" w:hAnsi="宋体" w:cs="宋体" w:eastAsia="宋体" w:hint="default"/>
          <w:sz w:val="21"/>
          <w:szCs w:val="21"/>
        </w:rPr>
        <w:t>的，根据其未来现金流量现值低于其账面价值的差额，确认减值损失，计提坏账准备。 单项金额重大是指：应收款项余额前五名或占应收账款余额</w:t>
      </w:r>
      <w:r>
        <w:rPr>
          <w:rFonts w:ascii="宋体" w:hAnsi="宋体" w:cs="宋体" w:eastAsia="宋体" w:hint="default"/>
          <w:spacing w:val="-55"/>
          <w:sz w:val="21"/>
          <w:szCs w:val="21"/>
        </w:rPr>
        <w:t> </w:t>
      </w:r>
      <w:r>
        <w:rPr>
          <w:rFonts w:ascii="宋体" w:hAnsi="宋体" w:cs="宋体" w:eastAsia="宋体" w:hint="default"/>
          <w:sz w:val="21"/>
          <w:szCs w:val="21"/>
        </w:rPr>
        <w:t>10％以上的款项之和。</w:t>
      </w:r>
    </w:p>
    <w:p>
      <w:pPr>
        <w:spacing w:line="297" w:lineRule="auto" w:before="15"/>
        <w:ind w:left="140" w:right="197" w:firstLine="630"/>
        <w:jc w:val="both"/>
        <w:rPr>
          <w:rFonts w:ascii="宋体" w:hAnsi="宋体" w:cs="宋体" w:eastAsia="宋体" w:hint="default"/>
          <w:sz w:val="21"/>
          <w:szCs w:val="21"/>
        </w:rPr>
      </w:pPr>
      <w:r>
        <w:rPr>
          <w:rFonts w:ascii="宋体" w:hAnsi="宋体" w:cs="宋体" w:eastAsia="宋体" w:hint="default"/>
          <w:sz w:val="21"/>
          <w:szCs w:val="21"/>
        </w:rPr>
        <w:t>对于年末单项金额非重大的应收款项</w:t>
      </w:r>
      <w:r>
        <w:rPr>
          <w:rFonts w:ascii="宋体" w:hAnsi="宋体" w:cs="宋体" w:eastAsia="宋体" w:hint="default"/>
          <w:spacing w:val="-94"/>
          <w:sz w:val="21"/>
          <w:szCs w:val="21"/>
        </w:rPr>
        <w:t>，</w:t>
      </w:r>
      <w:r>
        <w:rPr>
          <w:rFonts w:ascii="宋体" w:hAnsi="宋体" w:cs="宋体" w:eastAsia="宋体" w:hint="default"/>
          <w:sz w:val="21"/>
          <w:szCs w:val="21"/>
        </w:rPr>
        <w:t>包括在具有类似信用风险特征的应收款项组合</w:t>
      </w:r>
      <w:r>
        <w:rPr>
          <w:rFonts w:ascii="宋体" w:hAnsi="宋体" w:cs="宋体" w:eastAsia="宋体" w:hint="default"/>
          <w:sz w:val="21"/>
          <w:szCs w:val="21"/>
        </w:rPr>
        <w:t> 中进行减</w:t>
      </w:r>
      <w:r>
        <w:rPr>
          <w:rFonts w:ascii="宋体" w:hAnsi="宋体" w:cs="宋体" w:eastAsia="宋体" w:hint="default"/>
          <w:spacing w:val="1"/>
          <w:sz w:val="21"/>
          <w:szCs w:val="21"/>
        </w:rPr>
        <w:t>值</w:t>
      </w:r>
      <w:r>
        <w:rPr>
          <w:rFonts w:ascii="宋体" w:hAnsi="宋体" w:cs="宋体" w:eastAsia="宋体" w:hint="default"/>
          <w:sz w:val="21"/>
          <w:szCs w:val="21"/>
        </w:rPr>
        <w:t>测试</w:t>
      </w:r>
      <w:r>
        <w:rPr>
          <w:rFonts w:ascii="宋体" w:hAnsi="宋体" w:cs="宋体" w:eastAsia="宋体" w:hint="default"/>
          <w:spacing w:val="-105"/>
          <w:sz w:val="21"/>
          <w:szCs w:val="21"/>
        </w:rPr>
        <w:t>）</w:t>
      </w:r>
      <w:r>
        <w:rPr>
          <w:rFonts w:ascii="宋体" w:hAnsi="宋体" w:cs="宋体" w:eastAsia="宋体" w:hint="default"/>
          <w:sz w:val="21"/>
          <w:szCs w:val="21"/>
        </w:rPr>
        <w:t>。单</w:t>
      </w:r>
      <w:r>
        <w:rPr>
          <w:rFonts w:ascii="宋体" w:hAnsi="宋体" w:cs="宋体" w:eastAsia="宋体" w:hint="default"/>
          <w:spacing w:val="1"/>
          <w:sz w:val="21"/>
          <w:szCs w:val="21"/>
        </w:rPr>
        <w:t>独</w:t>
      </w:r>
      <w:r>
        <w:rPr>
          <w:rFonts w:ascii="宋体" w:hAnsi="宋体" w:cs="宋体" w:eastAsia="宋体" w:hint="default"/>
          <w:sz w:val="21"/>
          <w:szCs w:val="21"/>
        </w:rPr>
        <w:t>测试未发</w:t>
      </w:r>
      <w:r>
        <w:rPr>
          <w:rFonts w:ascii="宋体" w:hAnsi="宋体" w:cs="宋体" w:eastAsia="宋体" w:hint="default"/>
          <w:spacing w:val="1"/>
          <w:sz w:val="21"/>
          <w:szCs w:val="21"/>
        </w:rPr>
        <w:t>生</w:t>
      </w:r>
      <w:r>
        <w:rPr>
          <w:rFonts w:ascii="宋体" w:hAnsi="宋体" w:cs="宋体" w:eastAsia="宋体" w:hint="default"/>
          <w:sz w:val="21"/>
          <w:szCs w:val="21"/>
        </w:rPr>
        <w:t>减值的应</w:t>
      </w:r>
      <w:r>
        <w:rPr>
          <w:rFonts w:ascii="宋体" w:hAnsi="宋体" w:cs="宋体" w:eastAsia="宋体" w:hint="default"/>
          <w:spacing w:val="1"/>
          <w:sz w:val="21"/>
          <w:szCs w:val="21"/>
        </w:rPr>
        <w:t>收</w:t>
      </w:r>
      <w:r>
        <w:rPr>
          <w:rFonts w:ascii="宋体" w:hAnsi="宋体" w:cs="宋体" w:eastAsia="宋体" w:hint="default"/>
          <w:sz w:val="21"/>
          <w:szCs w:val="21"/>
        </w:rPr>
        <w:t>款项（包</w:t>
      </w:r>
      <w:r>
        <w:rPr>
          <w:rFonts w:ascii="宋体" w:hAnsi="宋体" w:cs="宋体" w:eastAsia="宋体" w:hint="default"/>
          <w:spacing w:val="1"/>
          <w:sz w:val="21"/>
          <w:szCs w:val="21"/>
        </w:rPr>
        <w:t>括</w:t>
      </w:r>
      <w:r>
        <w:rPr>
          <w:rFonts w:ascii="宋体" w:hAnsi="宋体" w:cs="宋体" w:eastAsia="宋体" w:hint="default"/>
          <w:sz w:val="21"/>
          <w:szCs w:val="21"/>
        </w:rPr>
        <w:t>单项金额</w:t>
      </w:r>
      <w:r>
        <w:rPr>
          <w:rFonts w:ascii="宋体" w:hAnsi="宋体" w:cs="宋体" w:eastAsia="宋体" w:hint="default"/>
          <w:spacing w:val="1"/>
          <w:sz w:val="21"/>
          <w:szCs w:val="21"/>
        </w:rPr>
        <w:t>重</w:t>
      </w:r>
      <w:r>
        <w:rPr>
          <w:rFonts w:ascii="宋体" w:hAnsi="宋体" w:cs="宋体" w:eastAsia="宋体" w:hint="default"/>
          <w:sz w:val="21"/>
          <w:szCs w:val="21"/>
        </w:rPr>
        <w:t>大和不重</w:t>
      </w:r>
      <w:r>
        <w:rPr>
          <w:rFonts w:ascii="宋体" w:hAnsi="宋体" w:cs="宋体" w:eastAsia="宋体" w:hint="default"/>
          <w:spacing w:val="1"/>
          <w:sz w:val="21"/>
          <w:szCs w:val="21"/>
        </w:rPr>
        <w:t>大</w:t>
      </w:r>
      <w:r>
        <w:rPr>
          <w:rFonts w:ascii="宋体" w:hAnsi="宋体" w:cs="宋体" w:eastAsia="宋体" w:hint="default"/>
          <w:sz w:val="21"/>
          <w:szCs w:val="21"/>
        </w:rPr>
        <w:t>的应收款</w:t>
      </w:r>
      <w:r>
        <w:rPr>
          <w:rFonts w:ascii="宋体" w:hAnsi="宋体" w:cs="宋体" w:eastAsia="宋体" w:hint="default"/>
          <w:sz w:val="21"/>
          <w:szCs w:val="21"/>
        </w:rPr>
        <w:t> 项</w:t>
      </w:r>
      <w:r>
        <w:rPr>
          <w:rFonts w:ascii="宋体" w:hAnsi="宋体" w:cs="宋体" w:eastAsia="宋体" w:hint="default"/>
          <w:spacing w:val="-105"/>
          <w:sz w:val="21"/>
          <w:szCs w:val="21"/>
        </w:rPr>
        <w:t>）</w:t>
      </w:r>
      <w:r>
        <w:rPr>
          <w:rFonts w:ascii="宋体" w:hAnsi="宋体" w:cs="宋体" w:eastAsia="宋体" w:hint="default"/>
          <w:sz w:val="21"/>
          <w:szCs w:val="21"/>
        </w:rPr>
        <w:t>，包括</w:t>
      </w:r>
      <w:r>
        <w:rPr>
          <w:rFonts w:ascii="宋体" w:hAnsi="宋体" w:cs="宋体" w:eastAsia="宋体" w:hint="default"/>
          <w:spacing w:val="-2"/>
          <w:sz w:val="21"/>
          <w:szCs w:val="21"/>
        </w:rPr>
        <w:t>在</w:t>
      </w:r>
      <w:r>
        <w:rPr>
          <w:rFonts w:ascii="宋体" w:hAnsi="宋体" w:cs="宋体" w:eastAsia="宋体" w:hint="default"/>
          <w:sz w:val="21"/>
          <w:szCs w:val="21"/>
        </w:rPr>
        <w:t>具有类似信用风险特征的应收款项组合中再进行减值测试。</w:t>
      </w:r>
    </w:p>
    <w:p>
      <w:pPr>
        <w:spacing w:line="297" w:lineRule="auto" w:before="15"/>
        <w:ind w:left="140" w:right="197" w:firstLine="630"/>
        <w:jc w:val="both"/>
        <w:rPr>
          <w:rFonts w:ascii="宋体" w:hAnsi="宋体" w:cs="宋体" w:eastAsia="宋体" w:hint="default"/>
          <w:sz w:val="21"/>
          <w:szCs w:val="21"/>
        </w:rPr>
      </w:pPr>
      <w:r>
        <w:rPr>
          <w:rFonts w:ascii="宋体" w:hAnsi="宋体" w:cs="宋体" w:eastAsia="宋体" w:hint="default"/>
          <w:spacing w:val="-3"/>
          <w:sz w:val="21"/>
          <w:szCs w:val="21"/>
        </w:rPr>
        <w:t>除已单独计提减值准备的应收款项外，公司根据以前年度与之相同或相类似的、按账</w:t>
      </w:r>
      <w:r>
        <w:rPr>
          <w:rFonts w:ascii="宋体" w:hAnsi="宋体" w:cs="宋体" w:eastAsia="宋体" w:hint="default"/>
          <w:sz w:val="21"/>
          <w:szCs w:val="21"/>
        </w:rPr>
        <w:t> </w:t>
      </w:r>
      <w:r>
        <w:rPr>
          <w:rFonts w:ascii="宋体" w:hAnsi="宋体" w:cs="宋体" w:eastAsia="宋体" w:hint="default"/>
          <w:spacing w:val="-3"/>
          <w:sz w:val="21"/>
          <w:szCs w:val="21"/>
        </w:rPr>
        <w:t>龄段划分的具有类似信用风险特征的应收款项组合的实际损失率为基础，结合现时情况确定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以下坏账准备计提的比例：</w:t>
      </w:r>
    </w:p>
    <w:tbl>
      <w:tblPr>
        <w:tblW w:w="0" w:type="auto"/>
        <w:jc w:val="left"/>
        <w:tblInd w:w="1635" w:type="dxa"/>
        <w:tblLayout w:type="fixed"/>
        <w:tblCellMar>
          <w:top w:w="0" w:type="dxa"/>
          <w:left w:w="0" w:type="dxa"/>
          <w:bottom w:w="0" w:type="dxa"/>
          <w:right w:w="0" w:type="dxa"/>
        </w:tblCellMar>
        <w:tblLook w:val="01E0"/>
      </w:tblPr>
      <w:tblGrid>
        <w:gridCol w:w="2735"/>
        <w:gridCol w:w="2375"/>
      </w:tblGrid>
      <w:tr>
        <w:trPr>
          <w:trHeight w:val="704"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8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应收款项账龄</w:t>
            </w:r>
            <w:r>
              <w:rPr>
                <w:rFonts w:ascii="宋体" w:hAnsi="宋体" w:cs="宋体" w:eastAsia="宋体" w:hint="default"/>
                <w:sz w:val="18"/>
                <w:szCs w:val="18"/>
              </w:rPr>
            </w:r>
          </w:p>
          <w:p>
            <w:pPr>
              <w:pStyle w:val="TableParagraph"/>
              <w:spacing w:line="240" w:lineRule="auto" w:before="104"/>
              <w:ind w:right="158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提取比例</w:t>
            </w:r>
            <w:r>
              <w:rPr>
                <w:rFonts w:ascii="宋体" w:hAnsi="宋体" w:cs="宋体" w:eastAsia="宋体" w:hint="default"/>
                <w:sz w:val="18"/>
                <w:szCs w:val="18"/>
              </w:rPr>
            </w:r>
          </w:p>
          <w:p>
            <w:pPr>
              <w:pStyle w:val="TableParagraph"/>
              <w:spacing w:line="240" w:lineRule="auto" w:before="146"/>
              <w:ind w:right="27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3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8"/>
              <w:jc w:val="right"/>
              <w:rPr>
                <w:rFonts w:ascii="Times New Roman" w:hAnsi="Times New Roman" w:cs="Times New Roman" w:eastAsia="Times New Roman" w:hint="default"/>
                <w:sz w:val="18"/>
                <w:szCs w:val="18"/>
              </w:rPr>
            </w:pPr>
            <w:r>
              <w:rPr>
                <w:rFonts w:ascii="Times New Roman"/>
                <w:sz w:val="18"/>
              </w:rPr>
              <w:t>20%</w:t>
            </w:r>
          </w:p>
        </w:tc>
      </w:tr>
      <w:tr>
        <w:trPr>
          <w:trHeight w:val="3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8"/>
              <w:jc w:val="right"/>
              <w:rPr>
                <w:rFonts w:ascii="Times New Roman" w:hAnsi="Times New Roman" w:cs="Times New Roman" w:eastAsia="Times New Roman" w:hint="default"/>
                <w:sz w:val="18"/>
                <w:szCs w:val="18"/>
              </w:rPr>
            </w:pPr>
            <w:r>
              <w:rPr>
                <w:rFonts w:ascii="Times New Roman"/>
                <w:sz w:val="18"/>
              </w:rPr>
              <w:t>50%</w:t>
            </w:r>
          </w:p>
        </w:tc>
      </w:tr>
      <w:tr>
        <w:trPr>
          <w:trHeight w:val="349"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56" w:lineRule="exact" w:before="0"/>
        <w:ind w:left="562" w:right="2184" w:firstLine="0"/>
        <w:jc w:val="left"/>
        <w:rPr>
          <w:rFonts w:ascii="宋体" w:hAnsi="宋体" w:cs="宋体" w:eastAsia="宋体" w:hint="default"/>
          <w:sz w:val="21"/>
          <w:szCs w:val="21"/>
        </w:rPr>
      </w:pPr>
      <w:r>
        <w:rPr>
          <w:rFonts w:ascii="宋体" w:hAnsi="宋体" w:cs="宋体" w:eastAsia="宋体" w:hint="default"/>
          <w:b/>
          <w:bCs/>
          <w:sz w:val="21"/>
          <w:szCs w:val="21"/>
        </w:rPr>
        <w:t>（九）存货核算方法</w:t>
      </w:r>
      <w:r>
        <w:rPr>
          <w:rFonts w:ascii="宋体" w:hAnsi="宋体" w:cs="宋体" w:eastAsia="宋体" w:hint="default"/>
          <w:sz w:val="21"/>
          <w:szCs w:val="21"/>
        </w:rPr>
      </w:r>
    </w:p>
    <w:p>
      <w:pPr>
        <w:spacing w:line="297" w:lineRule="auto" w:before="66"/>
        <w:ind w:left="560" w:right="714" w:firstLine="2"/>
        <w:jc w:val="left"/>
        <w:rPr>
          <w:rFonts w:ascii="宋体" w:hAnsi="宋体" w:cs="宋体" w:eastAsia="宋体" w:hint="default"/>
          <w:sz w:val="21"/>
          <w:szCs w:val="21"/>
        </w:rPr>
      </w:pPr>
      <w:r>
        <w:rPr>
          <w:rFonts w:ascii="宋体" w:hAnsi="宋体" w:cs="宋体" w:eastAsia="宋体" w:hint="default"/>
          <w:b/>
          <w:bCs/>
          <w:sz w:val="21"/>
          <w:szCs w:val="21"/>
        </w:rPr>
        <w:t>1、存货的分类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存货分类为：在途物资、原材料、周转材料、库存商品、在产品、发出商品等。 </w:t>
      </w:r>
      <w:r>
        <w:rPr>
          <w:rFonts w:ascii="宋体" w:hAnsi="宋体" w:cs="宋体" w:eastAsia="宋体" w:hint="default"/>
          <w:b/>
          <w:bCs/>
          <w:sz w:val="21"/>
          <w:szCs w:val="21"/>
        </w:rPr>
        <w:t>2、发出存货的计价方法</w:t>
      </w:r>
      <w:r>
        <w:rPr>
          <w:rFonts w:ascii="宋体" w:hAnsi="宋体" w:cs="宋体" w:eastAsia="宋体" w:hint="default"/>
          <w:sz w:val="21"/>
          <w:szCs w:val="21"/>
        </w:rPr>
      </w:r>
    </w:p>
    <w:p>
      <w:pPr>
        <w:spacing w:before="15"/>
        <w:ind w:left="560" w:right="2184" w:firstLine="0"/>
        <w:jc w:val="left"/>
        <w:rPr>
          <w:rFonts w:ascii="宋体" w:hAnsi="宋体" w:cs="宋体" w:eastAsia="宋体" w:hint="default"/>
          <w:sz w:val="21"/>
          <w:szCs w:val="21"/>
        </w:rPr>
      </w:pPr>
      <w:r>
        <w:rPr>
          <w:rFonts w:ascii="宋体" w:hAnsi="宋体" w:cs="宋体" w:eastAsia="宋体" w:hint="default"/>
          <w:sz w:val="21"/>
          <w:szCs w:val="21"/>
        </w:rPr>
        <w:t>（1）存货发出时按加权平均法计价。</w:t>
      </w:r>
    </w:p>
    <w:p>
      <w:pPr>
        <w:spacing w:line="297" w:lineRule="auto" w:before="64"/>
        <w:ind w:left="560" w:right="5334" w:firstLine="0"/>
        <w:jc w:val="left"/>
        <w:rPr>
          <w:rFonts w:ascii="宋体" w:hAnsi="宋体" w:cs="宋体" w:eastAsia="宋体" w:hint="default"/>
          <w:sz w:val="21"/>
          <w:szCs w:val="21"/>
        </w:rPr>
      </w:pPr>
      <w:r>
        <w:rPr>
          <w:rFonts w:ascii="宋体" w:hAnsi="宋体" w:cs="宋体" w:eastAsia="宋体" w:hint="default"/>
          <w:sz w:val="21"/>
          <w:szCs w:val="21"/>
        </w:rPr>
        <w:t>（2）周转材料的摊销方法 低值易耗品采用一次摊销法； 包装物采用一次摊销法。 </w:t>
      </w:r>
      <w:r>
        <w:rPr>
          <w:rFonts w:ascii="宋体" w:hAnsi="宋体" w:cs="宋体" w:eastAsia="宋体" w:hint="default"/>
          <w:b/>
          <w:bCs/>
          <w:sz w:val="21"/>
          <w:szCs w:val="21"/>
        </w:rPr>
        <w:t>3、存货的盘存制度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宋体" w:hAnsi="宋体" w:cs="宋体" w:eastAsia="宋体" w:hint="default"/>
          <w:b/>
          <w:bCs/>
          <w:sz w:val="21"/>
          <w:szCs w:val="21"/>
        </w:rPr>
        <w:t>4、存货跌价准备的计提方法</w:t>
      </w:r>
      <w:r>
        <w:rPr>
          <w:rFonts w:ascii="宋体" w:hAnsi="宋体" w:cs="宋体" w:eastAsia="宋体" w:hint="default"/>
          <w:sz w:val="21"/>
          <w:szCs w:val="21"/>
        </w:rPr>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2"/>
          <w:sz w:val="21"/>
          <w:szCs w:val="21"/>
        </w:rPr>
        <w:t>年末对存货进行全面清查后，按存货的成本与可变现净值孰低提取或调整存货跌价准</w:t>
      </w:r>
      <w:r>
        <w:rPr>
          <w:rFonts w:ascii="宋体" w:hAnsi="宋体" w:cs="宋体" w:eastAsia="宋体" w:hint="default"/>
          <w:sz w:val="21"/>
          <w:szCs w:val="21"/>
        </w:rPr>
        <w:t> 备。</w:t>
      </w:r>
    </w:p>
    <w:p>
      <w:pPr>
        <w:spacing w:line="297" w:lineRule="auto" w:before="15"/>
        <w:ind w:left="140" w:right="102" w:firstLine="420"/>
        <w:jc w:val="both"/>
        <w:rPr>
          <w:rFonts w:ascii="宋体" w:hAnsi="宋体" w:cs="宋体" w:eastAsia="宋体" w:hint="default"/>
          <w:sz w:val="21"/>
          <w:szCs w:val="21"/>
        </w:rPr>
      </w:pPr>
      <w:r>
        <w:rPr>
          <w:rFonts w:ascii="宋体" w:hAnsi="宋体" w:cs="宋体" w:eastAsia="宋体" w:hint="default"/>
          <w:spacing w:val="-3"/>
          <w:sz w:val="21"/>
          <w:szCs w:val="21"/>
        </w:rPr>
        <w:t>产成品、库存商品和用于出售的材料等直接用于出售的商品存货，在正常生产经营过程</w:t>
      </w:r>
      <w:r>
        <w:rPr>
          <w:rFonts w:ascii="宋体" w:hAnsi="宋体" w:cs="宋体" w:eastAsia="宋体" w:hint="default"/>
          <w:sz w:val="21"/>
          <w:szCs w:val="21"/>
        </w:rPr>
        <w:t> </w:t>
      </w:r>
      <w:r>
        <w:rPr>
          <w:rFonts w:ascii="宋体" w:hAnsi="宋体" w:cs="宋体" w:eastAsia="宋体" w:hint="default"/>
          <w:spacing w:val="-3"/>
          <w:sz w:val="21"/>
          <w:szCs w:val="21"/>
        </w:rPr>
        <w:t>中，以该存货的估计售价减去估计的销售费用和相关税费后的金额，确定其可变现净值；需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要经过加工的材料存货，在正常生产经营过程中，以所生产的产成品的估计售价减去至完工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时估计将要发生的成本、估计的销售费用和相关税费后的金额，确定其可变现净值；为执行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销售合同或者劳务合同而持有的存货，其可变现净值以合同价格为基础计算，若持有存货的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数量多于销售合同订购数量的，超出部分的存货的可变现净值以一般销售价格为基础计算。</w:t>
      </w:r>
    </w:p>
    <w:p>
      <w:pPr>
        <w:spacing w:after="0" w:line="297" w:lineRule="auto"/>
        <w:jc w:val="both"/>
        <w:rPr>
          <w:rFonts w:ascii="宋体" w:hAnsi="宋体" w:cs="宋体" w:eastAsia="宋体" w:hint="default"/>
          <w:sz w:val="21"/>
          <w:szCs w:val="21"/>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line="297" w:lineRule="auto" w:before="35"/>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年末按照单个存货项目计提存货跌价准备；但对于数量繁多、单价较低的存货，按照存</w:t>
      </w:r>
      <w:r>
        <w:rPr>
          <w:rFonts w:ascii="宋体" w:hAnsi="宋体" w:cs="宋体" w:eastAsia="宋体" w:hint="default"/>
          <w:sz w:val="21"/>
          <w:szCs w:val="21"/>
        </w:rPr>
        <w:t> </w:t>
      </w:r>
      <w:r>
        <w:rPr>
          <w:rFonts w:ascii="宋体" w:hAnsi="宋体" w:cs="宋体" w:eastAsia="宋体" w:hint="default"/>
          <w:spacing w:val="-3"/>
          <w:sz w:val="21"/>
          <w:szCs w:val="21"/>
        </w:rPr>
        <w:t>货类别计提存货跌价准备；与在同一地区生产和销售的产品系列相关、具有相同或类似最终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用途或目的，且难以与其他项目分开计量的存货，则合并计提存货跌价准备。</w:t>
      </w:r>
    </w:p>
    <w:p>
      <w:pPr>
        <w:spacing w:line="297" w:lineRule="auto" w:before="14"/>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以前减记存货价值的影响因素已经消失的，减记的金额予以恢复，并在原已计提的存货</w:t>
      </w:r>
      <w:r>
        <w:rPr>
          <w:rFonts w:ascii="宋体" w:hAnsi="宋体" w:cs="宋体" w:eastAsia="宋体" w:hint="default"/>
          <w:sz w:val="21"/>
          <w:szCs w:val="21"/>
        </w:rPr>
        <w:t> 跌价准备金额内转回，转回的金额计入当期损益。</w:t>
      </w:r>
    </w:p>
    <w:p>
      <w:pPr>
        <w:spacing w:line="297" w:lineRule="auto" w:before="15"/>
        <w:ind w:left="562" w:right="5472" w:firstLine="0"/>
        <w:jc w:val="left"/>
        <w:rPr>
          <w:rFonts w:ascii="宋体" w:hAnsi="宋体" w:cs="宋体" w:eastAsia="宋体" w:hint="default"/>
          <w:sz w:val="21"/>
          <w:szCs w:val="21"/>
        </w:rPr>
      </w:pPr>
      <w:r>
        <w:rPr>
          <w:rFonts w:ascii="宋体" w:hAnsi="宋体" w:cs="宋体" w:eastAsia="宋体" w:hint="default"/>
          <w:b/>
          <w:bCs/>
          <w:sz w:val="21"/>
          <w:szCs w:val="21"/>
        </w:rPr>
        <w:t>（十）长期股权投资的核算</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1、初始计量</w:t>
      </w:r>
      <w:r>
        <w:rPr>
          <w:rFonts w:ascii="宋体" w:hAnsi="宋体" w:cs="宋体" w:eastAsia="宋体" w:hint="default"/>
          <w:sz w:val="21"/>
          <w:szCs w:val="21"/>
        </w:rPr>
      </w:r>
    </w:p>
    <w:p>
      <w:pPr>
        <w:spacing w:line="297" w:lineRule="auto" w:before="14"/>
        <w:ind w:left="560" w:right="129" w:firstLine="0"/>
        <w:jc w:val="left"/>
        <w:rPr>
          <w:rFonts w:ascii="宋体" w:hAnsi="宋体" w:cs="宋体" w:eastAsia="宋体" w:hint="default"/>
          <w:sz w:val="21"/>
          <w:szCs w:val="21"/>
        </w:rPr>
      </w:pPr>
      <w:r>
        <w:rPr>
          <w:rFonts w:ascii="宋体" w:hAnsi="宋体" w:cs="宋体" w:eastAsia="宋体" w:hint="default"/>
          <w:sz w:val="21"/>
          <w:szCs w:val="21"/>
        </w:rPr>
        <w:t>（1）企业合并形成的长期股权投资 </w:t>
      </w:r>
      <w:r>
        <w:rPr>
          <w:rFonts w:ascii="宋体" w:hAnsi="宋体" w:cs="宋体" w:eastAsia="宋体" w:hint="default"/>
          <w:spacing w:val="-3"/>
          <w:sz w:val="21"/>
          <w:szCs w:val="21"/>
        </w:rPr>
        <w:t>同一控制下的企业合并：公司以支付现金、转让非现金资产或承担债务方式以及以发行</w:t>
      </w:r>
    </w:p>
    <w:p>
      <w:pPr>
        <w:spacing w:line="297" w:lineRule="auto" w:before="14"/>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权益性证券作为合并对价的，在合并日按照取得被合并方所有者权益账面价值的份额作为长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期股权投资的初始投资成本。长期股权投资初始投资成本与支付合并对价之间的差额，调整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资本公积；资本公积不足冲减的，调整留存收益。合并发生的各项直接相关费用，包括为进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行合并而支付的审计费用、评估费用、法律服务费用等，于发生时计入当期损益。</w:t>
      </w:r>
    </w:p>
    <w:p>
      <w:pPr>
        <w:spacing w:line="297" w:lineRule="auto" w:before="14"/>
        <w:ind w:left="140" w:right="137" w:firstLine="420"/>
        <w:jc w:val="both"/>
        <w:rPr>
          <w:rFonts w:ascii="宋体" w:hAnsi="宋体" w:cs="宋体" w:eastAsia="宋体" w:hint="default"/>
          <w:sz w:val="21"/>
          <w:szCs w:val="21"/>
        </w:rPr>
      </w:pPr>
      <w:r>
        <w:rPr>
          <w:rFonts w:ascii="宋体" w:hAnsi="宋体" w:cs="宋体" w:eastAsia="宋体" w:hint="default"/>
          <w:spacing w:val="-3"/>
          <w:sz w:val="21"/>
          <w:szCs w:val="21"/>
        </w:rPr>
        <w:t>非同一控制下的企业合并：合并成本为购买日购买方为取得对被购买方的控制权而付出</w:t>
      </w:r>
      <w:r>
        <w:rPr>
          <w:rFonts w:ascii="宋体" w:hAnsi="宋体" w:cs="宋体" w:eastAsia="宋体" w:hint="default"/>
          <w:sz w:val="21"/>
          <w:szCs w:val="21"/>
        </w:rPr>
        <w:t> </w:t>
      </w:r>
      <w:r>
        <w:rPr>
          <w:rFonts w:ascii="宋体" w:hAnsi="宋体" w:cs="宋体" w:eastAsia="宋体" w:hint="default"/>
          <w:spacing w:val="-3"/>
          <w:sz w:val="21"/>
          <w:szCs w:val="21"/>
        </w:rPr>
        <w:t>的资产、发生或承担的负债以及发行的权益性证券的公允价值，以及为企业合并而发生的各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项直接相关费用。通过多次交换交易分步实现的企业合并，合并成本为每一单项交易成本之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和。在合并合同中对可能影响合并成本的未来事项作出约定的，购买日如果估计未来事项很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可能发生并且对合并成本的影响金额能够可靠计量的，也计入合并成本。</w:t>
      </w:r>
    </w:p>
    <w:p>
      <w:pPr>
        <w:spacing w:line="297" w:lineRule="auto" w:before="14"/>
        <w:ind w:left="560" w:right="129" w:firstLine="0"/>
        <w:jc w:val="left"/>
        <w:rPr>
          <w:rFonts w:ascii="宋体" w:hAnsi="宋体" w:cs="宋体" w:eastAsia="宋体" w:hint="default"/>
          <w:sz w:val="21"/>
          <w:szCs w:val="21"/>
        </w:rPr>
      </w:pPr>
      <w:r>
        <w:rPr>
          <w:rFonts w:ascii="宋体" w:hAnsi="宋体" w:cs="宋体" w:eastAsia="宋体" w:hint="default"/>
          <w:sz w:val="21"/>
          <w:szCs w:val="21"/>
        </w:rPr>
        <w:t>（2）其他方式取得的长期股权投资 以支付现金方式取得的长期股权投资，按照实际支付的购买价款作为初始投资成本。 </w:t>
      </w:r>
      <w:r>
        <w:rPr>
          <w:rFonts w:ascii="宋体" w:hAnsi="宋体" w:cs="宋体" w:eastAsia="宋体" w:hint="default"/>
          <w:spacing w:val="-3"/>
          <w:sz w:val="21"/>
          <w:szCs w:val="21"/>
        </w:rPr>
        <w:t>以发行权益性证券取得的长期股权投资，按照发行权益性证券的公允价值作为初始投资</w:t>
      </w:r>
    </w:p>
    <w:p>
      <w:pPr>
        <w:spacing w:before="14"/>
        <w:ind w:left="140" w:right="0" w:firstLine="0"/>
        <w:jc w:val="both"/>
        <w:rPr>
          <w:rFonts w:ascii="宋体" w:hAnsi="宋体" w:cs="宋体" w:eastAsia="宋体" w:hint="default"/>
          <w:sz w:val="21"/>
          <w:szCs w:val="21"/>
        </w:rPr>
      </w:pPr>
      <w:r>
        <w:rPr>
          <w:rFonts w:ascii="宋体" w:hAnsi="宋体" w:cs="宋体" w:eastAsia="宋体" w:hint="default"/>
          <w:sz w:val="21"/>
          <w:szCs w:val="21"/>
        </w:rPr>
        <w:t>成本。</w:t>
      </w:r>
    </w:p>
    <w:p>
      <w:pPr>
        <w:spacing w:line="297" w:lineRule="auto" w:before="64"/>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投资者投入的长期股权投资，按照投资合同或协议约定的价值（扣除已宣告但尚未发放</w:t>
      </w:r>
      <w:r>
        <w:rPr>
          <w:rFonts w:ascii="宋体" w:hAnsi="宋体" w:cs="宋体" w:eastAsia="宋体" w:hint="default"/>
          <w:sz w:val="21"/>
          <w:szCs w:val="21"/>
        </w:rPr>
        <w:t> 的现金股利或利润）作为初始投资成本，但合同或协议约定价值不公允的除外。</w:t>
      </w:r>
    </w:p>
    <w:p>
      <w:pPr>
        <w:spacing w:line="297" w:lineRule="auto" w:before="14"/>
        <w:ind w:left="140" w:right="133"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在非货币性资产交换具备商业实质和换入资产或换出资产的公允价值能够可靠计量的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前提下，非货币性资产交换换入的长期股权投资以换出资产的公允价值为基础确定其初始投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资成本，除非有确凿证据表明换入资产的公允价值更加可靠；不满足上述前提的非货币性资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产交换，以换出资产的账面价值和应支付的相关税费作为换入长期股权投资的初始投资成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本。</w:t>
      </w:r>
    </w:p>
    <w:p>
      <w:pPr>
        <w:spacing w:line="297" w:lineRule="auto" w:before="15"/>
        <w:ind w:left="560" w:right="129"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宋体" w:hAnsi="宋体" w:cs="宋体" w:eastAsia="宋体" w:hint="default"/>
          <w:b/>
          <w:bCs/>
          <w:sz w:val="21"/>
          <w:szCs w:val="21"/>
        </w:rPr>
        <w:t>2、被投资单位具有共同控制、重大影响的依据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spacing w:line="297" w:lineRule="auto" w:before="15"/>
        <w:ind w:left="140" w:right="137" w:firstLine="0"/>
        <w:jc w:val="both"/>
        <w:rPr>
          <w:rFonts w:ascii="宋体" w:hAnsi="宋体" w:cs="宋体" w:eastAsia="宋体" w:hint="default"/>
          <w:sz w:val="21"/>
          <w:szCs w:val="21"/>
        </w:rPr>
      </w:pPr>
      <w:r>
        <w:rPr>
          <w:rFonts w:ascii="宋体" w:hAnsi="宋体" w:cs="宋体" w:eastAsia="宋体" w:hint="default"/>
          <w:spacing w:val="-3"/>
          <w:sz w:val="21"/>
          <w:szCs w:val="21"/>
        </w:rPr>
        <w:t>营决策需要分享控制权的投资方一致同意时存在，则视为与其他方对被投资单位实施共同控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制；对一个企业的财务和经营决策有参与决策的权力，但并不能够控制或者与其他方一起共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同控制这些政策的制定，则视为投资企业能够对被投资单位施加重大影响。</w:t>
      </w:r>
    </w:p>
    <w:p>
      <w:pPr>
        <w:spacing w:line="297" w:lineRule="auto" w:before="15"/>
        <w:ind w:left="560" w:right="129" w:firstLine="2"/>
        <w:jc w:val="left"/>
        <w:rPr>
          <w:rFonts w:ascii="宋体" w:hAnsi="宋体" w:cs="宋体" w:eastAsia="宋体" w:hint="default"/>
          <w:sz w:val="21"/>
          <w:szCs w:val="21"/>
        </w:rPr>
      </w:pPr>
      <w:r>
        <w:rPr>
          <w:rFonts w:ascii="宋体" w:hAnsi="宋体" w:cs="宋体" w:eastAsia="宋体" w:hint="default"/>
          <w:b/>
          <w:bCs/>
          <w:sz w:val="21"/>
          <w:szCs w:val="21"/>
        </w:rPr>
        <w:t>3、后续计量及收益确认</w:t>
      </w:r>
      <w:r>
        <w:rPr>
          <w:rFonts w:ascii="宋体" w:hAnsi="宋体" w:cs="宋体" w:eastAsia="宋体" w:hint="default"/>
          <w:b/>
          <w:bCs/>
          <w:w w:val="99"/>
          <w:sz w:val="21"/>
          <w:szCs w:val="21"/>
        </w:rPr>
        <w:t> </w:t>
      </w:r>
      <w:r>
        <w:rPr>
          <w:rFonts w:ascii="宋体" w:hAnsi="宋体" w:cs="宋体" w:eastAsia="宋体" w:hint="default"/>
          <w:spacing w:val="-3"/>
          <w:sz w:val="21"/>
          <w:szCs w:val="21"/>
        </w:rPr>
        <w:t>公司能够对被投资单位施加重大影响或共同控制的，初始投资成本大于投资时应享有被</w:t>
      </w:r>
    </w:p>
    <w:p>
      <w:pPr>
        <w:spacing w:line="297" w:lineRule="auto" w:before="14"/>
        <w:ind w:left="140" w:right="136" w:firstLine="0"/>
        <w:jc w:val="both"/>
        <w:rPr>
          <w:rFonts w:ascii="宋体" w:hAnsi="宋体" w:cs="宋体" w:eastAsia="宋体" w:hint="default"/>
          <w:sz w:val="21"/>
          <w:szCs w:val="21"/>
        </w:rPr>
      </w:pPr>
      <w:r>
        <w:rPr>
          <w:rFonts w:ascii="宋体" w:hAnsi="宋体" w:cs="宋体" w:eastAsia="宋体" w:hint="default"/>
          <w:spacing w:val="-3"/>
          <w:sz w:val="21"/>
          <w:szCs w:val="21"/>
        </w:rPr>
        <w:t>投资单位可辨认净资产公允价值份额的差额，不调整长期股权投资的初始投资成本；初始投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资成本小于投资时应享有被投资单位可辨认净资产公允价值份额的差额，计入当期损益。</w:t>
      </w:r>
    </w:p>
    <w:p>
      <w:pPr>
        <w:spacing w:line="297" w:lineRule="auto" w:before="14"/>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公司对子公司的长期股权投资，采用成本法核算，编制合并财务报表时按照权益法进行</w:t>
      </w:r>
      <w:r>
        <w:rPr>
          <w:rFonts w:ascii="宋体" w:hAnsi="宋体" w:cs="宋体" w:eastAsia="宋体" w:hint="default"/>
          <w:sz w:val="21"/>
          <w:szCs w:val="21"/>
        </w:rPr>
        <w:t> 调整。</w:t>
      </w:r>
    </w:p>
    <w:p>
      <w:pPr>
        <w:spacing w:after="0" w:line="297" w:lineRule="auto"/>
        <w:jc w:val="both"/>
        <w:rPr>
          <w:rFonts w:ascii="宋体" w:hAnsi="宋体" w:cs="宋体" w:eastAsia="宋体" w:hint="default"/>
          <w:sz w:val="21"/>
          <w:szCs w:val="21"/>
        </w:rPr>
        <w:sectPr>
          <w:footerReference w:type="default" r:id="rId24"/>
          <w:pgSz w:w="11910" w:h="16840"/>
          <w:pgMar w:footer="950" w:header="918" w:top="1160" w:bottom="1140" w:left="1660" w:right="1660"/>
          <w:pgNumType w:start="70"/>
        </w:sectPr>
      </w:pPr>
    </w:p>
    <w:p>
      <w:pPr>
        <w:spacing w:line="240" w:lineRule="auto" w:before="10"/>
        <w:rPr>
          <w:rFonts w:ascii="宋体" w:hAnsi="宋体" w:cs="宋体" w:eastAsia="宋体" w:hint="default"/>
          <w:sz w:val="20"/>
          <w:szCs w:val="20"/>
        </w:rPr>
      </w:pPr>
    </w:p>
    <w:p>
      <w:pPr>
        <w:spacing w:line="297" w:lineRule="auto" w:before="35"/>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对被投资单位不具有共同控制或重大影响，并且在活跃市场中没有报价、公允价值不能</w:t>
      </w:r>
      <w:r>
        <w:rPr>
          <w:rFonts w:ascii="宋体" w:hAnsi="宋体" w:cs="宋体" w:eastAsia="宋体" w:hint="default"/>
          <w:sz w:val="21"/>
          <w:szCs w:val="21"/>
        </w:rPr>
        <w:t> 可靠计量的长期股权投资，采用成本法核算。</w:t>
      </w:r>
    </w:p>
    <w:p>
      <w:pPr>
        <w:spacing w:line="297" w:lineRule="auto" w:before="15"/>
        <w:ind w:left="560" w:right="85"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 </w:t>
      </w:r>
      <w:r>
        <w:rPr>
          <w:rFonts w:ascii="宋体" w:hAnsi="宋体" w:cs="宋体" w:eastAsia="宋体" w:hint="default"/>
          <w:spacing w:val="2"/>
          <w:sz w:val="21"/>
          <w:szCs w:val="21"/>
        </w:rPr>
        <w:t>成本法下公司确认投资收益，仅限于被投资单位接受投资后产生的累积净利润的分配</w:t>
      </w:r>
    </w:p>
    <w:p>
      <w:pPr>
        <w:spacing w:line="297" w:lineRule="auto" w:before="14"/>
        <w:ind w:left="560" w:right="84" w:hanging="420"/>
        <w:jc w:val="left"/>
        <w:rPr>
          <w:rFonts w:ascii="宋体" w:hAnsi="宋体" w:cs="宋体" w:eastAsia="宋体" w:hint="default"/>
          <w:sz w:val="21"/>
          <w:szCs w:val="21"/>
        </w:rPr>
      </w:pPr>
      <w:r>
        <w:rPr>
          <w:rFonts w:ascii="宋体" w:hAnsi="宋体" w:cs="宋体" w:eastAsia="宋体" w:hint="default"/>
          <w:sz w:val="21"/>
          <w:szCs w:val="21"/>
        </w:rPr>
        <w:t>额，所获得的利润或现金股利超过上述数额的部分作为初始投资成本的收回。 权益法下在公司确认应分担被投资单位发生的亏损时，按照以下顺序进行处理：首先，</w:t>
      </w:r>
    </w:p>
    <w:p>
      <w:pPr>
        <w:spacing w:line="297" w:lineRule="auto" w:before="14"/>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冲减长期股权投资的账面价值。其次，长期股权投资的账面价值不足以冲减的，以其他实质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上构成对被投资单位净投资的长期权益账面价值为限继续确认投资损失，冲减长期应收项目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等的账面价值。最后，经过上述处理，按照投资合同或协议约定企业仍承担额外义务的，按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预计承担的义务确认预计负债，计入当期投资损失。</w:t>
      </w:r>
    </w:p>
    <w:p>
      <w:pPr>
        <w:spacing w:line="297" w:lineRule="auto" w:before="14"/>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被投资单位以后期间实现盈利的，公司在扣除未确认的亏损分担额后，按与上述相反的</w:t>
      </w:r>
      <w:r>
        <w:rPr>
          <w:rFonts w:ascii="宋体" w:hAnsi="宋体" w:cs="宋体" w:eastAsia="宋体" w:hint="default"/>
          <w:sz w:val="21"/>
          <w:szCs w:val="21"/>
        </w:rPr>
        <w:t> </w:t>
      </w:r>
      <w:r>
        <w:rPr>
          <w:rFonts w:ascii="宋体" w:hAnsi="宋体" w:cs="宋体" w:eastAsia="宋体" w:hint="default"/>
          <w:spacing w:val="-3"/>
          <w:sz w:val="21"/>
          <w:szCs w:val="21"/>
        </w:rPr>
        <w:t>顺序处理，减记已确认预计负债的账面余额、恢复其他实质上构成对被投资单位净投资的长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期权益及长期股权投资的账面价值，同时确认投资收益。</w:t>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被投资单位除净损益以外所有者权益其他变动的处理：对于被投资单位除净损益以外所</w:t>
      </w:r>
      <w:r>
        <w:rPr>
          <w:rFonts w:ascii="宋体" w:hAnsi="宋体" w:cs="宋体" w:eastAsia="宋体" w:hint="default"/>
          <w:sz w:val="21"/>
          <w:szCs w:val="21"/>
        </w:rPr>
        <w:t> </w:t>
      </w:r>
      <w:r>
        <w:rPr>
          <w:rFonts w:ascii="宋体" w:hAnsi="宋体" w:cs="宋体" w:eastAsia="宋体" w:hint="default"/>
          <w:spacing w:val="-3"/>
          <w:sz w:val="21"/>
          <w:szCs w:val="21"/>
        </w:rPr>
        <w:t>有者权益的其他变动，在持股比例不变的情况下，公司按照持股比例计算应享有或承担的部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分，调整长期股权投资的账面价值，同时增加或减少资本公积（其他资本公积）。</w:t>
      </w:r>
    </w:p>
    <w:p>
      <w:pPr>
        <w:spacing w:line="297" w:lineRule="auto" w:before="14"/>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（十一）投资性房地产的种类和计量模式</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投资性房地产是指为赚取租金或资本增值，或两者兼有而持有的房地产，包括已出租的</w:t>
      </w:r>
    </w:p>
    <w:p>
      <w:pPr>
        <w:spacing w:line="297" w:lineRule="auto" w:before="14"/>
        <w:ind w:left="560" w:right="85" w:hanging="420"/>
        <w:jc w:val="left"/>
        <w:rPr>
          <w:rFonts w:ascii="宋体" w:hAnsi="宋体" w:cs="宋体" w:eastAsia="宋体" w:hint="default"/>
          <w:sz w:val="21"/>
          <w:szCs w:val="21"/>
        </w:rPr>
      </w:pPr>
      <w:r>
        <w:rPr>
          <w:rFonts w:ascii="宋体" w:hAnsi="宋体" w:cs="宋体" w:eastAsia="宋体" w:hint="default"/>
          <w:sz w:val="21"/>
          <w:szCs w:val="21"/>
        </w:rPr>
        <w:t>土地使用权、持有并准备增值后转让的土地使用权、已出租的建筑物。 </w:t>
      </w:r>
      <w:r>
        <w:rPr>
          <w:rFonts w:ascii="宋体" w:hAnsi="宋体" w:cs="宋体" w:eastAsia="宋体" w:hint="default"/>
          <w:spacing w:val="-3"/>
          <w:sz w:val="21"/>
          <w:szCs w:val="21"/>
        </w:rPr>
        <w:t>公司对投资性房地产采用成本模式计量。对按照成本模式计量的投资性房地产－出租用</w:t>
      </w:r>
    </w:p>
    <w:p>
      <w:pPr>
        <w:spacing w:line="297" w:lineRule="auto" w:before="15"/>
        <w:ind w:left="140" w:right="195" w:firstLine="0"/>
        <w:jc w:val="both"/>
        <w:rPr>
          <w:rFonts w:ascii="宋体" w:hAnsi="宋体" w:cs="宋体" w:eastAsia="宋体" w:hint="default"/>
          <w:sz w:val="21"/>
          <w:szCs w:val="21"/>
        </w:rPr>
      </w:pPr>
      <w:r>
        <w:rPr>
          <w:rFonts w:ascii="宋体" w:hAnsi="宋体" w:cs="宋体" w:eastAsia="宋体" w:hint="default"/>
          <w:spacing w:val="-3"/>
          <w:sz w:val="21"/>
          <w:szCs w:val="21"/>
        </w:rPr>
        <w:t>资产采用与本公司固定资产相同的折旧政策，出租用土地使用权按与无形资产相同的摊销政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策；对存在减值迹象的，估计其可收回金额，可收回金额低于其账面价值的，确认相应的减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值损失。</w:t>
      </w:r>
    </w:p>
    <w:p>
      <w:pPr>
        <w:spacing w:line="297" w:lineRule="auto" w:before="15"/>
        <w:ind w:left="562" w:right="4689" w:firstLine="0"/>
        <w:jc w:val="left"/>
        <w:rPr>
          <w:rFonts w:ascii="宋体" w:hAnsi="宋体" w:cs="宋体" w:eastAsia="宋体" w:hint="default"/>
          <w:sz w:val="21"/>
          <w:szCs w:val="21"/>
        </w:rPr>
      </w:pPr>
      <w:r>
        <w:rPr>
          <w:rFonts w:ascii="宋体" w:hAnsi="宋体" w:cs="宋体" w:eastAsia="宋体" w:hint="default"/>
          <w:b/>
          <w:bCs/>
          <w:sz w:val="21"/>
          <w:szCs w:val="21"/>
        </w:rPr>
        <w:t>（十二）固定资产的计价和折旧方法</w:t>
      </w:r>
      <w:r>
        <w:rPr>
          <w:rFonts w:ascii="宋体" w:hAnsi="宋体" w:cs="宋体" w:eastAsia="宋体" w:hint="default"/>
          <w:b/>
          <w:bCs/>
          <w:w w:val="99"/>
          <w:sz w:val="21"/>
          <w:szCs w:val="21"/>
        </w:rPr>
        <w:t> </w:t>
      </w:r>
      <w:r>
        <w:rPr>
          <w:rFonts w:ascii="宋体" w:hAnsi="宋体" w:cs="宋体" w:eastAsia="宋体" w:hint="default"/>
          <w:b/>
          <w:bCs/>
          <w:sz w:val="21"/>
          <w:szCs w:val="21"/>
        </w:rPr>
        <w:t>1、固定资产确认条件</w:t>
      </w:r>
      <w:r>
        <w:rPr>
          <w:rFonts w:ascii="宋体" w:hAnsi="宋体" w:cs="宋体" w:eastAsia="宋体" w:hint="default"/>
          <w:sz w:val="21"/>
          <w:szCs w:val="21"/>
        </w:rPr>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固定资产指为生产商品、提供劳务、出租或经营管理而持有，并且使用寿命超过一个会</w:t>
      </w:r>
      <w:r>
        <w:rPr>
          <w:rFonts w:ascii="宋体" w:hAnsi="宋体" w:cs="宋体" w:eastAsia="宋体" w:hint="default"/>
          <w:sz w:val="21"/>
          <w:szCs w:val="21"/>
        </w:rPr>
        <w:t> 计年度的有形资产。固定资产在同时满足下列条件时予以确认：</w:t>
      </w:r>
    </w:p>
    <w:p>
      <w:pPr>
        <w:spacing w:before="14"/>
        <w:ind w:left="560" w:right="2184" w:firstLine="0"/>
        <w:jc w:val="left"/>
        <w:rPr>
          <w:rFonts w:ascii="宋体" w:hAnsi="宋体" w:cs="宋体" w:eastAsia="宋体" w:hint="default"/>
          <w:sz w:val="21"/>
          <w:szCs w:val="21"/>
        </w:rPr>
      </w:pPr>
      <w:r>
        <w:rPr>
          <w:rFonts w:ascii="宋体" w:hAnsi="宋体" w:cs="宋体" w:eastAsia="宋体" w:hint="default"/>
          <w:sz w:val="21"/>
          <w:szCs w:val="21"/>
        </w:rPr>
        <w:t>（1）与该固定资产有关的经济利益很可能流入企业；</w:t>
      </w:r>
    </w:p>
    <w:p>
      <w:pPr>
        <w:spacing w:line="297" w:lineRule="auto" w:before="64"/>
        <w:ind w:left="562" w:right="4180" w:hanging="3"/>
        <w:jc w:val="left"/>
        <w:rPr>
          <w:rFonts w:ascii="宋体" w:hAnsi="宋体" w:cs="宋体" w:eastAsia="宋体" w:hint="default"/>
          <w:sz w:val="21"/>
          <w:szCs w:val="21"/>
        </w:rPr>
      </w:pPr>
      <w:r>
        <w:rPr>
          <w:rFonts w:ascii="宋体" w:hAnsi="宋体" w:cs="宋体" w:eastAsia="宋体" w:hint="default"/>
          <w:sz w:val="21"/>
          <w:szCs w:val="21"/>
        </w:rPr>
        <w:t>（2）该固定资产的成本能够可靠地计量。 </w:t>
      </w:r>
      <w:r>
        <w:rPr>
          <w:rFonts w:ascii="宋体" w:hAnsi="宋体" w:cs="宋体" w:eastAsia="宋体" w:hint="default"/>
          <w:b/>
          <w:bCs/>
          <w:sz w:val="21"/>
          <w:szCs w:val="21"/>
        </w:rPr>
        <w:t>2、固定资产的分类</w:t>
      </w:r>
      <w:r>
        <w:rPr>
          <w:rFonts w:ascii="宋体" w:hAnsi="宋体" w:cs="宋体" w:eastAsia="宋体" w:hint="default"/>
          <w:sz w:val="21"/>
          <w:szCs w:val="21"/>
        </w:rPr>
      </w:r>
    </w:p>
    <w:p>
      <w:pPr>
        <w:spacing w:line="297" w:lineRule="auto" w:before="14"/>
        <w:ind w:left="560" w:right="1764" w:firstLine="0"/>
        <w:jc w:val="left"/>
        <w:rPr>
          <w:rFonts w:ascii="宋体" w:hAnsi="宋体" w:cs="宋体" w:eastAsia="宋体" w:hint="default"/>
          <w:sz w:val="21"/>
          <w:szCs w:val="21"/>
        </w:rPr>
      </w:pPr>
      <w:r>
        <w:rPr>
          <w:rFonts w:ascii="宋体" w:hAnsi="宋体" w:cs="宋体" w:eastAsia="宋体" w:hint="default"/>
          <w:sz w:val="21"/>
          <w:szCs w:val="21"/>
        </w:rPr>
        <w:t>固定资产分类为：房屋及建筑物、机器设备、运输设备、电子设备。 </w:t>
      </w:r>
      <w:r>
        <w:rPr>
          <w:rFonts w:ascii="宋体" w:hAnsi="宋体" w:cs="宋体" w:eastAsia="宋体" w:hint="default"/>
          <w:b/>
          <w:bCs/>
          <w:sz w:val="21"/>
          <w:szCs w:val="21"/>
        </w:rPr>
        <w:t>3、固定资产的初始计量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固定资产取得时按照实际成本进行初始计量。</w:t>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外购固定资产的成本，以购买价款、相关税费、使固定资产达到预定可使用状态前所发</w:t>
      </w:r>
      <w:r>
        <w:rPr>
          <w:rFonts w:ascii="宋体" w:hAnsi="宋体" w:cs="宋体" w:eastAsia="宋体" w:hint="default"/>
          <w:sz w:val="21"/>
          <w:szCs w:val="21"/>
        </w:rPr>
        <w:t> 生的可归属于该项资产的运输费、装卸费、安装费和专业人员服务费等确定。</w:t>
      </w:r>
    </w:p>
    <w:p>
      <w:pPr>
        <w:spacing w:line="297" w:lineRule="auto" w:before="15"/>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购买固定资产的价款超过正常信用条件延期支付，实质上具有融资性质的，固定资产的</w:t>
      </w:r>
      <w:r>
        <w:rPr>
          <w:rFonts w:ascii="宋体" w:hAnsi="宋体" w:cs="宋体" w:eastAsia="宋体" w:hint="default"/>
          <w:sz w:val="21"/>
          <w:szCs w:val="21"/>
        </w:rPr>
        <w:t> 成本以购买价款的现值为基础确定。</w:t>
      </w:r>
    </w:p>
    <w:p>
      <w:pPr>
        <w:spacing w:line="297" w:lineRule="auto" w:before="14"/>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自行建造固定资产的成本，由建造该项资产达到预定可使用状态前所发生的必要支出构</w:t>
      </w:r>
      <w:r>
        <w:rPr>
          <w:rFonts w:ascii="宋体" w:hAnsi="宋体" w:cs="宋体" w:eastAsia="宋体" w:hint="default"/>
          <w:sz w:val="21"/>
          <w:szCs w:val="21"/>
        </w:rPr>
        <w:t> 成。</w:t>
      </w:r>
    </w:p>
    <w:p>
      <w:pPr>
        <w:spacing w:line="297" w:lineRule="auto" w:before="14"/>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债务重组取得债务人用以抵债的固定资产，以该固定资产的公允价值为基础确定其入账</w:t>
      </w:r>
      <w:r>
        <w:rPr>
          <w:rFonts w:ascii="宋体" w:hAnsi="宋体" w:cs="宋体" w:eastAsia="宋体" w:hint="default"/>
          <w:sz w:val="21"/>
          <w:szCs w:val="21"/>
        </w:rPr>
        <w:t> </w:t>
      </w:r>
      <w:r>
        <w:rPr>
          <w:rFonts w:ascii="宋体" w:hAnsi="宋体" w:cs="宋体" w:eastAsia="宋体" w:hint="default"/>
          <w:spacing w:val="-3"/>
          <w:sz w:val="21"/>
          <w:szCs w:val="21"/>
        </w:rPr>
        <w:t>价值，并将重组债务的账面价值与该用以抵债的固定资产公允价值之间的差额，计入当期损</w:t>
      </w:r>
    </w:p>
    <w:p>
      <w:pPr>
        <w:spacing w:after="0" w:line="297" w:lineRule="auto"/>
        <w:jc w:val="both"/>
        <w:rPr>
          <w:rFonts w:ascii="宋体" w:hAnsi="宋体" w:cs="宋体" w:eastAsia="宋体" w:hint="default"/>
          <w:sz w:val="21"/>
          <w:szCs w:val="21"/>
        </w:rPr>
        <w:sectPr>
          <w:footerReference w:type="default" r:id="rId25"/>
          <w:pgSz w:w="11910" w:h="16840"/>
          <w:pgMar w:footer="950" w:header="918" w:top="1160" w:bottom="1140" w:left="1660" w:right="1600"/>
          <w:pgNumType w:start="71"/>
        </w:sectPr>
      </w:pPr>
    </w:p>
    <w:p>
      <w:pPr>
        <w:spacing w:line="240" w:lineRule="auto" w:before="10"/>
        <w:rPr>
          <w:rFonts w:ascii="宋体" w:hAnsi="宋体" w:cs="宋体" w:eastAsia="宋体" w:hint="default"/>
          <w:sz w:val="20"/>
          <w:szCs w:val="20"/>
        </w:rPr>
      </w:pPr>
    </w:p>
    <w:p>
      <w:pPr>
        <w:spacing w:before="35"/>
        <w:ind w:left="140" w:right="2184"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297" w:lineRule="auto" w:before="64"/>
        <w:ind w:left="140" w:right="196" w:firstLine="420"/>
        <w:jc w:val="both"/>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在非货币性资产交换具备商业实质且换入资产或换出资产的公允价值能够可靠计量的</w:t>
      </w:r>
      <w:r>
        <w:rPr>
          <w:rFonts w:ascii="宋体" w:hAnsi="宋体" w:cs="宋体" w:eastAsia="宋体" w:hint="default"/>
          <w:sz w:val="21"/>
          <w:szCs w:val="21"/>
        </w:rPr>
        <w:t> </w:t>
      </w:r>
      <w:r>
        <w:rPr>
          <w:rFonts w:ascii="宋体" w:hAnsi="宋体" w:cs="宋体" w:eastAsia="宋体" w:hint="default"/>
          <w:spacing w:val="-3"/>
          <w:sz w:val="21"/>
          <w:szCs w:val="21"/>
        </w:rPr>
        <w:t>前提下，换入的固定资产以换出资产的公允价值为基础确定其入账价值，除非有确凿证据表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明换入资产的公允价值更加可靠；不满足上述前提的非货币性资产交换，以换出资产的账面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价值和应支付的相关税费作为换入固定资产的成本，不确认损益。</w:t>
      </w:r>
    </w:p>
    <w:p>
      <w:pPr>
        <w:spacing w:line="297" w:lineRule="auto" w:before="15"/>
        <w:ind w:left="140" w:right="197" w:firstLine="420"/>
        <w:jc w:val="both"/>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以同一控制下的企业吸收合并方式取得的固定资产按被合并方的账面价值确定其入账</w:t>
      </w:r>
      <w:r>
        <w:rPr>
          <w:rFonts w:ascii="宋体" w:hAnsi="宋体" w:cs="宋体" w:eastAsia="宋体" w:hint="default"/>
          <w:sz w:val="21"/>
          <w:szCs w:val="21"/>
        </w:rPr>
        <w:t> 价值；以非同一控制下的企业吸收合并方式取得的固定资产按公允价值确定其入账价值。</w:t>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融资租入的固定资产，按租赁开始日租赁资产公允价值与最低租赁付款额现值两者中较</w:t>
      </w:r>
      <w:r>
        <w:rPr>
          <w:rFonts w:ascii="宋体" w:hAnsi="宋体" w:cs="宋体" w:eastAsia="宋体" w:hint="default"/>
          <w:sz w:val="21"/>
          <w:szCs w:val="21"/>
        </w:rPr>
        <w:t> 低者作为入账价值。</w:t>
      </w:r>
    </w:p>
    <w:p>
      <w:pPr>
        <w:spacing w:line="297" w:lineRule="auto" w:before="14"/>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4、固定资产折旧计提方法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spacing w:line="297" w:lineRule="auto" w:before="15"/>
        <w:ind w:left="560" w:right="84" w:hanging="420"/>
        <w:jc w:val="left"/>
        <w:rPr>
          <w:rFonts w:ascii="宋体" w:hAnsi="宋体" w:cs="宋体" w:eastAsia="宋体" w:hint="default"/>
          <w:sz w:val="21"/>
          <w:szCs w:val="21"/>
        </w:rPr>
      </w:pPr>
      <w:r>
        <w:rPr>
          <w:rFonts w:ascii="宋体" w:hAnsi="宋体" w:cs="宋体" w:eastAsia="宋体" w:hint="default"/>
          <w:sz w:val="21"/>
          <w:szCs w:val="21"/>
        </w:rPr>
        <w:t>值率确定折旧率。 融资租赁方式租入的固定资产，能合理确定租赁期届满时将会取得租赁资产所有权的，</w:t>
      </w:r>
    </w:p>
    <w:p>
      <w:pPr>
        <w:spacing w:line="297" w:lineRule="auto" w:before="14"/>
        <w:ind w:left="140" w:right="85" w:firstLine="0"/>
        <w:jc w:val="left"/>
        <w:rPr>
          <w:rFonts w:ascii="宋体" w:hAnsi="宋体" w:cs="宋体" w:eastAsia="宋体" w:hint="default"/>
          <w:sz w:val="21"/>
          <w:szCs w:val="21"/>
        </w:rPr>
      </w:pPr>
      <w:r>
        <w:rPr>
          <w:rFonts w:ascii="宋体" w:hAnsi="宋体" w:cs="宋体" w:eastAsia="宋体" w:hint="default"/>
          <w:spacing w:val="-3"/>
          <w:sz w:val="21"/>
          <w:szCs w:val="21"/>
        </w:rPr>
        <w:t>在租赁资产尚可使用年限内计提折旧；无法合理确定租赁期届满时能够取得租赁资产所有权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的，在租赁期与租赁资产尚可使用年限两者中较短的期间内计提折旧。</w:t>
      </w:r>
    </w:p>
    <w:p>
      <w:pPr>
        <w:spacing w:line="297" w:lineRule="auto" w:before="14"/>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特殊固定资产包括以铂金为主要材料的贵金属制品以及树木、草坪等园林设施，具有长</w:t>
      </w:r>
      <w:r>
        <w:rPr>
          <w:rFonts w:ascii="宋体" w:hAnsi="宋体" w:cs="宋体" w:eastAsia="宋体" w:hint="default"/>
          <w:sz w:val="21"/>
          <w:szCs w:val="21"/>
        </w:rPr>
        <w:t> </w:t>
      </w:r>
      <w:r>
        <w:rPr>
          <w:rFonts w:ascii="宋体" w:hAnsi="宋体" w:cs="宋体" w:eastAsia="宋体" w:hint="default"/>
          <w:spacing w:val="-3"/>
          <w:sz w:val="21"/>
          <w:szCs w:val="21"/>
        </w:rPr>
        <w:t>期使用的过程中有形损耗极小、价值基本保持不变等特点，不估计使用年限和残值，也不计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提折旧。</w:t>
      </w:r>
    </w:p>
    <w:p>
      <w:pPr>
        <w:spacing w:before="14"/>
        <w:ind w:left="560" w:right="2184" w:firstLine="0"/>
        <w:jc w:val="left"/>
        <w:rPr>
          <w:rFonts w:ascii="宋体" w:hAnsi="宋体" w:cs="宋体" w:eastAsia="宋体" w:hint="default"/>
          <w:sz w:val="21"/>
          <w:szCs w:val="21"/>
        </w:rPr>
      </w:pPr>
      <w:r>
        <w:rPr>
          <w:rFonts w:ascii="宋体" w:hAnsi="宋体" w:cs="宋体" w:eastAsia="宋体" w:hint="default"/>
          <w:sz w:val="21"/>
          <w:szCs w:val="21"/>
        </w:rPr>
        <w:t>各类固定资产预计使用寿命和年折旧率如下：</w:t>
      </w:r>
    </w:p>
    <w:p>
      <w:pPr>
        <w:spacing w:line="240" w:lineRule="auto" w:before="6"/>
        <w:rPr>
          <w:rFonts w:ascii="宋体" w:hAnsi="宋体" w:cs="宋体" w:eastAsia="宋体" w:hint="default"/>
          <w:sz w:val="5"/>
          <w:szCs w:val="5"/>
        </w:rPr>
      </w:pPr>
    </w:p>
    <w:tbl>
      <w:tblPr>
        <w:tblW w:w="0" w:type="auto"/>
        <w:jc w:val="left"/>
        <w:tblInd w:w="367" w:type="dxa"/>
        <w:tblLayout w:type="fixed"/>
        <w:tblCellMar>
          <w:top w:w="0" w:type="dxa"/>
          <w:left w:w="0" w:type="dxa"/>
          <w:bottom w:w="0" w:type="dxa"/>
          <w:right w:w="0" w:type="dxa"/>
        </w:tblCellMar>
        <w:tblLook w:val="01E0"/>
      </w:tblPr>
      <w:tblGrid>
        <w:gridCol w:w="2015"/>
        <w:gridCol w:w="1912"/>
        <w:gridCol w:w="2048"/>
        <w:gridCol w:w="1611"/>
      </w:tblGrid>
      <w:tr>
        <w:trPr>
          <w:trHeight w:val="735"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367" w:lineRule="auto" w:before="44"/>
              <w:ind w:left="394" w:right="718"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资产类别</w:t>
            </w:r>
            <w:r>
              <w:rPr>
                <w:rFonts w:ascii="宋体" w:hAnsi="宋体" w:cs="宋体" w:eastAsia="宋体" w:hint="default"/>
                <w:sz w:val="18"/>
                <w:szCs w:val="18"/>
              </w:rPr>
            </w:r>
            <w:r>
              <w:rPr>
                <w:rFonts w:ascii="宋体" w:hAnsi="宋体" w:cs="宋体" w:eastAsia="宋体" w:hint="default"/>
                <w:sz w:val="18"/>
                <w:szCs w:val="18"/>
              </w:rPr>
              <w:t> 房屋建筑物</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p>
            <w:pPr>
              <w:pStyle w:val="TableParagraph"/>
              <w:spacing w:line="240" w:lineRule="auto" w:before="124"/>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预计残值率</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10.00%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年折旧率</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8" w:right="0"/>
              <w:jc w:val="center"/>
              <w:rPr>
                <w:rFonts w:ascii="Times New Roman" w:hAnsi="Times New Roman" w:cs="Times New Roman" w:eastAsia="Times New Roman" w:hint="default"/>
                <w:sz w:val="18"/>
                <w:szCs w:val="18"/>
              </w:rPr>
            </w:pPr>
            <w:r>
              <w:rPr>
                <w:rFonts w:ascii="Times New Roman"/>
                <w:sz w:val="18"/>
              </w:rPr>
              <w:t>4.50%</w:t>
            </w:r>
          </w:p>
        </w:tc>
      </w:tr>
      <w:tr>
        <w:trPr>
          <w:trHeight w:val="36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3"/>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center"/>
              <w:rPr>
                <w:rFonts w:ascii="Times New Roman" w:hAnsi="Times New Roman" w:cs="Times New Roman" w:eastAsia="Times New Roman" w:hint="default"/>
                <w:sz w:val="18"/>
                <w:szCs w:val="18"/>
              </w:rPr>
            </w:pPr>
            <w:r>
              <w:rPr>
                <w:rFonts w:ascii="Times New Roman"/>
                <w:sz w:val="18"/>
              </w:rPr>
              <w:t>10.00%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59" w:right="0"/>
              <w:jc w:val="center"/>
              <w:rPr>
                <w:rFonts w:ascii="Times New Roman" w:hAnsi="Times New Roman" w:cs="Times New Roman" w:eastAsia="Times New Roman" w:hint="default"/>
                <w:sz w:val="18"/>
                <w:szCs w:val="18"/>
              </w:rPr>
            </w:pPr>
            <w:r>
              <w:rPr>
                <w:rFonts w:ascii="Times New Roman"/>
                <w:sz w:val="18"/>
              </w:rPr>
              <w:t>18.00%-9.00%</w:t>
            </w:r>
          </w:p>
        </w:tc>
      </w:tr>
      <w:tr>
        <w:trPr>
          <w:trHeight w:val="36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3"/>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center"/>
              <w:rPr>
                <w:rFonts w:ascii="Times New Roman" w:hAnsi="Times New Roman" w:cs="Times New Roman" w:eastAsia="Times New Roman" w:hint="default"/>
                <w:sz w:val="18"/>
                <w:szCs w:val="18"/>
              </w:rPr>
            </w:pPr>
            <w:r>
              <w:rPr>
                <w:rFonts w:ascii="Times New Roman"/>
                <w:sz w:val="18"/>
              </w:rPr>
              <w:t>3.00%-10.00%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57" w:right="0"/>
              <w:jc w:val="center"/>
              <w:rPr>
                <w:rFonts w:ascii="Times New Roman" w:hAnsi="Times New Roman" w:cs="Times New Roman" w:eastAsia="Times New Roman" w:hint="default"/>
                <w:sz w:val="18"/>
                <w:szCs w:val="18"/>
              </w:rPr>
            </w:pPr>
            <w:r>
              <w:rPr>
                <w:rFonts w:ascii="Times New Roman"/>
                <w:sz w:val="18"/>
              </w:rPr>
              <w:t>9.70%-9.00%</w:t>
            </w:r>
          </w:p>
        </w:tc>
      </w:tr>
      <w:tr>
        <w:trPr>
          <w:trHeight w:val="364"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23"/>
              <w:jc w:val="center"/>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center"/>
              <w:rPr>
                <w:rFonts w:ascii="Times New Roman" w:hAnsi="Times New Roman" w:cs="Times New Roman" w:eastAsia="Times New Roman" w:hint="default"/>
                <w:sz w:val="18"/>
                <w:szCs w:val="18"/>
              </w:rPr>
            </w:pPr>
            <w:r>
              <w:rPr>
                <w:rFonts w:ascii="Times New Roman"/>
                <w:sz w:val="18"/>
              </w:rPr>
              <w:t>10.00%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59" w:right="0"/>
              <w:jc w:val="center"/>
              <w:rPr>
                <w:rFonts w:ascii="Times New Roman" w:hAnsi="Times New Roman" w:cs="Times New Roman" w:eastAsia="Times New Roman" w:hint="default"/>
                <w:sz w:val="18"/>
                <w:szCs w:val="18"/>
              </w:rPr>
            </w:pPr>
            <w:r>
              <w:rPr>
                <w:rFonts w:ascii="Times New Roman"/>
                <w:sz w:val="18"/>
              </w:rPr>
              <w:t>18.00%</w:t>
            </w:r>
          </w:p>
        </w:tc>
      </w:tr>
    </w:tbl>
    <w:p>
      <w:pPr>
        <w:spacing w:line="250" w:lineRule="exact" w:before="0"/>
        <w:ind w:left="562" w:right="2184" w:firstLine="0"/>
        <w:jc w:val="left"/>
        <w:rPr>
          <w:rFonts w:ascii="宋体" w:hAnsi="宋体" w:cs="宋体" w:eastAsia="宋体" w:hint="default"/>
          <w:sz w:val="21"/>
          <w:szCs w:val="21"/>
        </w:rPr>
      </w:pPr>
      <w:r>
        <w:rPr>
          <w:rFonts w:ascii="宋体" w:hAnsi="宋体" w:cs="宋体" w:eastAsia="宋体" w:hint="default"/>
          <w:b/>
          <w:bCs/>
          <w:sz w:val="21"/>
          <w:szCs w:val="21"/>
        </w:rPr>
        <w:t>（十三）在建工程核算方法</w:t>
      </w:r>
      <w:r>
        <w:rPr>
          <w:rFonts w:ascii="宋体" w:hAnsi="宋体" w:cs="宋体" w:eastAsia="宋体" w:hint="default"/>
          <w:sz w:val="21"/>
          <w:szCs w:val="21"/>
        </w:rPr>
      </w:r>
    </w:p>
    <w:p>
      <w:pPr>
        <w:spacing w:line="288" w:lineRule="auto" w:before="66"/>
        <w:ind w:left="560" w:right="416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97" w:lineRule="auto" w:before="3"/>
        <w:ind w:left="140" w:right="84" w:firstLine="420"/>
        <w:jc w:val="left"/>
        <w:rPr>
          <w:rFonts w:ascii="宋体" w:hAnsi="宋体" w:cs="宋体" w:eastAsia="宋体" w:hint="default"/>
          <w:sz w:val="21"/>
          <w:szCs w:val="21"/>
        </w:rPr>
      </w:pPr>
      <w:r>
        <w:rPr>
          <w:rFonts w:ascii="宋体" w:hAnsi="宋体" w:cs="宋体" w:eastAsia="宋体" w:hint="default"/>
          <w:spacing w:val="-3"/>
          <w:sz w:val="21"/>
          <w:szCs w:val="21"/>
        </w:rPr>
        <w:t>在建工程项目按建造该项资产达到预定可使用状态前所发生的全部支出，作为固定资产</w:t>
      </w:r>
      <w:r>
        <w:rPr>
          <w:rFonts w:ascii="宋体" w:hAnsi="宋体" w:cs="宋体" w:eastAsia="宋体" w:hint="default"/>
          <w:sz w:val="21"/>
          <w:szCs w:val="21"/>
        </w:rPr>
        <w:t> 的入账价值。所建造的固定资产在建工程已达到预定可使用状态，但尚未办理竣工决算的， </w:t>
      </w:r>
      <w:r>
        <w:rPr>
          <w:rFonts w:ascii="宋体" w:hAnsi="宋体" w:cs="宋体" w:eastAsia="宋体" w:hint="default"/>
          <w:spacing w:val="-3"/>
          <w:sz w:val="21"/>
          <w:szCs w:val="21"/>
        </w:rPr>
        <w:t>自达到预定可使用状态之日起，根据工程预算、造价或者工程实际成本等，按估计的价值转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入固定资产，并按本公司固定资产折旧政策计提固定资产的折旧，待办理竣工决算后，再按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实际成本调整原来的暂估价值，但不调整原已计提的折旧额。</w:t>
      </w:r>
    </w:p>
    <w:p>
      <w:pPr>
        <w:spacing w:line="288" w:lineRule="auto" w:before="14"/>
        <w:ind w:left="560" w:right="5532" w:firstLine="2"/>
        <w:jc w:val="left"/>
        <w:rPr>
          <w:rFonts w:ascii="宋体" w:hAnsi="宋体" w:cs="宋体" w:eastAsia="宋体" w:hint="default"/>
          <w:sz w:val="21"/>
          <w:szCs w:val="21"/>
        </w:rPr>
      </w:pPr>
      <w:r>
        <w:rPr>
          <w:rFonts w:ascii="宋体" w:hAnsi="宋体" w:cs="宋体" w:eastAsia="宋体" w:hint="default"/>
          <w:b/>
          <w:bCs/>
          <w:sz w:val="21"/>
          <w:szCs w:val="21"/>
        </w:rPr>
        <w:t>（十四）无形资产核算方法</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按成本进行初始计量；</w:t>
      </w:r>
    </w:p>
    <w:p>
      <w:pPr>
        <w:spacing w:line="297" w:lineRule="auto" w:before="22"/>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外购无形资产的成本，包括购买价款、相关税费以及直接归属于使该项资产达到预定用</w:t>
      </w:r>
      <w:r>
        <w:rPr>
          <w:rFonts w:ascii="宋体" w:hAnsi="宋体" w:cs="宋体" w:eastAsia="宋体" w:hint="default"/>
          <w:sz w:val="21"/>
          <w:szCs w:val="21"/>
        </w:rPr>
        <w:t> </w:t>
      </w:r>
      <w:r>
        <w:rPr>
          <w:rFonts w:ascii="宋体" w:hAnsi="宋体" w:cs="宋体" w:eastAsia="宋体" w:hint="default"/>
          <w:spacing w:val="-3"/>
          <w:sz w:val="21"/>
          <w:szCs w:val="21"/>
        </w:rPr>
        <w:t>途所发生的其他支出。购买无形资产的价款超过正常信用条件延期支付，实质上具有融资性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质的，无形资产的成本以购买价款的现值为基础确定。</w:t>
      </w:r>
    </w:p>
    <w:p>
      <w:pPr>
        <w:spacing w:before="14"/>
        <w:ind w:left="560" w:right="85" w:firstLine="0"/>
        <w:jc w:val="left"/>
        <w:rPr>
          <w:rFonts w:ascii="宋体" w:hAnsi="宋体" w:cs="宋体" w:eastAsia="宋体" w:hint="default"/>
          <w:sz w:val="21"/>
          <w:szCs w:val="21"/>
        </w:rPr>
      </w:pPr>
      <w:r>
        <w:rPr>
          <w:rFonts w:ascii="宋体" w:hAnsi="宋体" w:cs="宋体" w:eastAsia="宋体" w:hint="default"/>
          <w:sz w:val="21"/>
          <w:szCs w:val="21"/>
        </w:rPr>
        <w:t>债务重组取得债务人用以抵债的无形资产</w:t>
      </w:r>
      <w:r>
        <w:rPr>
          <w:rFonts w:ascii="宋体" w:hAnsi="宋体" w:cs="宋体" w:eastAsia="宋体" w:hint="default"/>
          <w:spacing w:val="-94"/>
          <w:sz w:val="21"/>
          <w:szCs w:val="21"/>
        </w:rPr>
        <w:t>，</w:t>
      </w:r>
      <w:r>
        <w:rPr>
          <w:rFonts w:ascii="宋体" w:hAnsi="宋体" w:cs="宋体" w:eastAsia="宋体" w:hint="default"/>
          <w:sz w:val="21"/>
          <w:szCs w:val="21"/>
        </w:rPr>
        <w:t>以该无形资产的公允价值为基础确定其入账</w:t>
      </w:r>
    </w:p>
    <w:p>
      <w:pPr>
        <w:spacing w:after="0"/>
        <w:jc w:val="left"/>
        <w:rPr>
          <w:rFonts w:ascii="宋体" w:hAnsi="宋体" w:cs="宋体" w:eastAsia="宋体" w:hint="default"/>
          <w:sz w:val="21"/>
          <w:szCs w:val="21"/>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line="297" w:lineRule="auto" w:before="35"/>
        <w:ind w:left="140" w:right="85" w:firstLine="0"/>
        <w:jc w:val="left"/>
        <w:rPr>
          <w:rFonts w:ascii="宋体" w:hAnsi="宋体" w:cs="宋体" w:eastAsia="宋体" w:hint="default"/>
          <w:sz w:val="21"/>
          <w:szCs w:val="21"/>
        </w:rPr>
      </w:pPr>
      <w:r>
        <w:rPr>
          <w:rFonts w:ascii="宋体" w:hAnsi="宋体" w:cs="宋体" w:eastAsia="宋体" w:hint="default"/>
          <w:spacing w:val="-3"/>
          <w:sz w:val="21"/>
          <w:szCs w:val="21"/>
        </w:rPr>
        <w:t>价值，并将重组债务的账面价值与该用以抵债的无形资产公允价值之间的差额，计入当期损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p>
      <w:pPr>
        <w:spacing w:line="297" w:lineRule="auto" w:before="15"/>
        <w:ind w:left="140" w:right="84" w:firstLine="420"/>
        <w:jc w:val="left"/>
        <w:rPr>
          <w:rFonts w:ascii="宋体" w:hAnsi="宋体" w:cs="宋体" w:eastAsia="宋体" w:hint="default"/>
          <w:sz w:val="21"/>
          <w:szCs w:val="21"/>
        </w:rPr>
      </w:pPr>
      <w:r>
        <w:rPr>
          <w:rFonts w:ascii="宋体" w:hAnsi="宋体" w:cs="宋体" w:eastAsia="宋体" w:hint="default"/>
          <w:spacing w:val="2"/>
          <w:sz w:val="21"/>
          <w:szCs w:val="21"/>
        </w:rPr>
        <w:t>在非货币性资产交换具备商业实质且换入资产或换出资产的公允价值能够可靠计量的</w:t>
      </w:r>
      <w:r>
        <w:rPr>
          <w:rFonts w:ascii="宋体" w:hAnsi="宋体" w:cs="宋体" w:eastAsia="宋体" w:hint="default"/>
          <w:sz w:val="21"/>
          <w:szCs w:val="21"/>
        </w:rPr>
        <w:t> 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spacing w:line="297" w:lineRule="auto" w:before="14"/>
        <w:ind w:left="140" w:right="85" w:firstLine="420"/>
        <w:jc w:val="left"/>
        <w:rPr>
          <w:rFonts w:ascii="宋体" w:hAnsi="宋体" w:cs="宋体" w:eastAsia="宋体" w:hint="default"/>
          <w:sz w:val="21"/>
          <w:szCs w:val="21"/>
        </w:rPr>
      </w:pPr>
      <w:r>
        <w:rPr>
          <w:rFonts w:ascii="宋体" w:hAnsi="宋体" w:cs="宋体" w:eastAsia="宋体" w:hint="default"/>
          <w:spacing w:val="2"/>
          <w:sz w:val="21"/>
          <w:szCs w:val="21"/>
        </w:rPr>
        <w:t>以同一控制下的企业吸收合并方式取得的无形资产按被合并方的账面价值确定其入账</w:t>
      </w:r>
      <w:r>
        <w:rPr>
          <w:rFonts w:ascii="宋体" w:hAnsi="宋体" w:cs="宋体" w:eastAsia="宋体" w:hint="default"/>
          <w:sz w:val="21"/>
          <w:szCs w:val="21"/>
        </w:rPr>
        <w:t> 价值；以非同一控制下的企业吸收合并方式取得的无形资产按公允价值确定其入账价值。</w:t>
      </w:r>
    </w:p>
    <w:p>
      <w:pPr>
        <w:spacing w:before="15"/>
        <w:ind w:left="562" w:right="21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、无形资产使用寿命及摊销</w:t>
      </w:r>
      <w:r>
        <w:rPr>
          <w:rFonts w:ascii="宋体" w:hAnsi="宋体" w:cs="宋体" w:eastAsia="宋体" w:hint="default"/>
          <w:sz w:val="21"/>
          <w:szCs w:val="21"/>
        </w:rPr>
      </w:r>
    </w:p>
    <w:p>
      <w:pPr>
        <w:spacing w:before="49"/>
        <w:ind w:left="560" w:right="21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）使用寿命有限的无形资产的使用寿命估计情况：</w:t>
      </w:r>
    </w:p>
    <w:p>
      <w:pPr>
        <w:spacing w:line="240" w:lineRule="auto" w:before="0"/>
        <w:rPr>
          <w:rFonts w:ascii="宋体" w:hAnsi="宋体" w:cs="宋体" w:eastAsia="宋体" w:hint="default"/>
          <w:sz w:val="3"/>
          <w:szCs w:val="3"/>
        </w:rPr>
      </w:pPr>
    </w:p>
    <w:tbl>
      <w:tblPr>
        <w:tblW w:w="0" w:type="auto"/>
        <w:jc w:val="left"/>
        <w:tblInd w:w="889" w:type="dxa"/>
        <w:tblLayout w:type="fixed"/>
        <w:tblCellMar>
          <w:top w:w="0" w:type="dxa"/>
          <w:left w:w="0" w:type="dxa"/>
          <w:bottom w:w="0" w:type="dxa"/>
          <w:right w:w="0" w:type="dxa"/>
        </w:tblCellMar>
        <w:tblLook w:val="01E0"/>
      </w:tblPr>
      <w:tblGrid>
        <w:gridCol w:w="1932"/>
        <w:gridCol w:w="2857"/>
        <w:gridCol w:w="1685"/>
      </w:tblGrid>
      <w:tr>
        <w:trPr>
          <w:trHeight w:val="706" w:hRule="exact"/>
        </w:trPr>
        <w:tc>
          <w:tcPr>
            <w:tcW w:w="1932"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81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70"/>
              <w:ind w:right="81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p>
            <w:pPr>
              <w:pStyle w:val="TableParagraph"/>
              <w:spacing w:line="240" w:lineRule="auto" w:before="105"/>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nil" w:sz="6" w:space="0" w:color="auto"/>
              <w:left w:val="nil" w:sz="6" w:space="0" w:color="auto"/>
              <w:bottom w:val="nil" w:sz="6" w:space="0" w:color="auto"/>
              <w:right w:val="nil" w:sz="6" w:space="0" w:color="auto"/>
            </w:tcBorders>
          </w:tcPr>
          <w:p>
            <w:pPr>
              <w:pStyle w:val="TableParagraph"/>
              <w:spacing w:line="348" w:lineRule="auto" w:before="44"/>
              <w:ind w:left="930" w:right="33" w:firstLine="13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依 据</w:t>
            </w:r>
            <w:r>
              <w:rPr>
                <w:rFonts w:ascii="宋体" w:hAnsi="宋体" w:cs="宋体" w:eastAsia="宋体" w:hint="default"/>
                <w:sz w:val="18"/>
                <w:szCs w:val="18"/>
              </w:rPr>
            </w:r>
            <w:r>
              <w:rPr>
                <w:rFonts w:ascii="宋体" w:hAnsi="宋体" w:cs="宋体" w:eastAsia="宋体" w:hint="default"/>
                <w:sz w:val="18"/>
                <w:szCs w:val="18"/>
              </w:rPr>
              <w:t> 受益期限</w:t>
            </w:r>
          </w:p>
        </w:tc>
      </w:tr>
      <w:tr>
        <w:trPr>
          <w:trHeight w:val="340"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9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0"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99" w:right="0"/>
              <w:jc w:val="left"/>
              <w:rPr>
                <w:rFonts w:ascii="宋体" w:hAnsi="宋体" w:cs="宋体" w:eastAsia="宋体" w:hint="default"/>
                <w:sz w:val="18"/>
                <w:szCs w:val="18"/>
              </w:rPr>
            </w:pPr>
            <w:r>
              <w:rPr>
                <w:rFonts w:ascii="宋体" w:hAnsi="宋体" w:cs="宋体" w:eastAsia="宋体" w:hint="default"/>
                <w:sz w:val="18"/>
                <w:szCs w:val="18"/>
              </w:rPr>
              <w:t>考勤系统</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0"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hAnsi="宋体" w:cs="宋体" w:eastAsia="宋体" w:hint="default"/>
                <w:sz w:val="18"/>
                <w:szCs w:val="18"/>
              </w:rPr>
              <w:t>受益期限</w:t>
            </w:r>
          </w:p>
        </w:tc>
      </w:tr>
      <w:tr>
        <w:trPr>
          <w:trHeight w:val="349"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99"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受益期限</w:t>
            </w:r>
          </w:p>
        </w:tc>
      </w:tr>
    </w:tbl>
    <w:p>
      <w:pPr>
        <w:spacing w:line="250" w:lineRule="exact" w:before="0"/>
        <w:ind w:left="560" w:right="85" w:firstLine="0"/>
        <w:jc w:val="left"/>
        <w:rPr>
          <w:rFonts w:ascii="宋体" w:hAnsi="宋体" w:cs="宋体" w:eastAsia="宋体" w:hint="default"/>
          <w:sz w:val="21"/>
          <w:szCs w:val="21"/>
        </w:rPr>
      </w:pPr>
      <w:r>
        <w:rPr>
          <w:rFonts w:ascii="宋体" w:hAnsi="宋体" w:cs="宋体" w:eastAsia="宋体" w:hint="default"/>
          <w:sz w:val="21"/>
          <w:szCs w:val="21"/>
        </w:rPr>
        <w:t>每年末，对使用寿命有限的无形资产的使用寿命及摊销方法进行复核。</w:t>
      </w:r>
    </w:p>
    <w:p>
      <w:pPr>
        <w:spacing w:before="66"/>
        <w:ind w:left="560" w:right="85" w:firstLine="0"/>
        <w:jc w:val="left"/>
        <w:rPr>
          <w:rFonts w:ascii="宋体" w:hAnsi="宋体" w:cs="宋体" w:eastAsia="宋体" w:hint="default"/>
          <w:sz w:val="21"/>
          <w:szCs w:val="21"/>
        </w:rPr>
      </w:pPr>
      <w:r>
        <w:rPr>
          <w:rFonts w:ascii="宋体" w:hAnsi="宋体" w:cs="宋体" w:eastAsia="宋体" w:hint="default"/>
          <w:sz w:val="21"/>
          <w:szCs w:val="21"/>
        </w:rPr>
        <w:t>经复核，本年末无形资产的使用寿命及摊销方法与以前估计未有不同。</w:t>
      </w:r>
    </w:p>
    <w:p>
      <w:pPr>
        <w:spacing w:line="280" w:lineRule="auto" w:before="64"/>
        <w:ind w:left="560" w:right="85"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）无形资产的摊销： </w:t>
      </w:r>
      <w:r>
        <w:rPr>
          <w:rFonts w:ascii="宋体" w:hAnsi="宋体" w:cs="宋体" w:eastAsia="宋体" w:hint="default"/>
          <w:spacing w:val="-3"/>
          <w:sz w:val="21"/>
          <w:szCs w:val="21"/>
        </w:rPr>
        <w:t>对于使用寿命有限的无形资产，在为企业带来经济利益的期限内按直线法摊销；无法预</w:t>
      </w:r>
    </w:p>
    <w:p>
      <w:pPr>
        <w:spacing w:before="30"/>
        <w:ind w:left="0" w:right="382" w:firstLine="0"/>
        <w:jc w:val="center"/>
        <w:rPr>
          <w:rFonts w:ascii="宋体" w:hAnsi="宋体" w:cs="宋体" w:eastAsia="宋体" w:hint="default"/>
          <w:sz w:val="21"/>
          <w:szCs w:val="21"/>
        </w:rPr>
      </w:pPr>
      <w:r>
        <w:rPr>
          <w:rFonts w:ascii="宋体" w:hAnsi="宋体" w:cs="宋体" w:eastAsia="宋体" w:hint="default"/>
          <w:sz w:val="21"/>
          <w:szCs w:val="21"/>
        </w:rPr>
        <w:t>见无形资产为企业带来经济利益期限的，视为使用寿命不确定的无形资产，不予摊销。</w:t>
      </w:r>
    </w:p>
    <w:p>
      <w:pPr>
        <w:spacing w:line="288" w:lineRule="auto" w:before="64"/>
        <w:ind w:left="560" w:right="1134"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）内部研究开发项目支出的会计处理： 内部研究开发项目研究阶段的支出，在发生时计入当期损益。 内部研究开发项目开发阶段的支出，同时满足下列条件时确认为无形资产：</w:t>
      </w:r>
    </w:p>
    <w:p>
      <w:pPr>
        <w:spacing w:before="22"/>
        <w:ind w:left="560" w:right="85"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before="64"/>
        <w:ind w:left="560" w:right="2184"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297" w:lineRule="auto" w:before="66"/>
        <w:ind w:left="140" w:right="85" w:firstLine="420"/>
        <w:jc w:val="left"/>
        <w:rPr>
          <w:rFonts w:ascii="宋体" w:hAnsi="宋体" w:cs="宋体" w:eastAsia="宋体" w:hint="default"/>
          <w:sz w:val="21"/>
          <w:szCs w:val="21"/>
        </w:rPr>
      </w:pPr>
      <w:r>
        <w:rPr>
          <w:rFonts w:ascii="宋体" w:hAnsi="宋体" w:cs="宋体" w:eastAsia="宋体" w:hint="default"/>
          <w:spacing w:val="-3"/>
          <w:sz w:val="21"/>
          <w:szCs w:val="21"/>
        </w:rPr>
        <w:t>③无形资产产生经济利益的方式，包括能够证明运用该无形资产生产的产品存在市场或</w:t>
      </w:r>
      <w:r>
        <w:rPr>
          <w:rFonts w:ascii="宋体" w:hAnsi="宋体" w:cs="宋体" w:eastAsia="宋体" w:hint="default"/>
          <w:sz w:val="21"/>
          <w:szCs w:val="21"/>
        </w:rPr>
        <w:t> 无形资产自身存在市场，无形资产将在内部使用的，能够证明其有用性；</w:t>
      </w:r>
    </w:p>
    <w:p>
      <w:pPr>
        <w:spacing w:line="297" w:lineRule="auto" w:before="14"/>
        <w:ind w:left="140" w:right="85" w:firstLine="420"/>
        <w:jc w:val="left"/>
        <w:rPr>
          <w:rFonts w:ascii="宋体" w:hAnsi="宋体" w:cs="宋体" w:eastAsia="宋体" w:hint="default"/>
          <w:sz w:val="21"/>
          <w:szCs w:val="21"/>
        </w:rPr>
      </w:pPr>
      <w:r>
        <w:rPr>
          <w:rFonts w:ascii="宋体" w:hAnsi="宋体" w:cs="宋体" w:eastAsia="宋体" w:hint="default"/>
          <w:spacing w:val="-3"/>
          <w:sz w:val="21"/>
          <w:szCs w:val="21"/>
        </w:rPr>
        <w:t>④有足够的技术、财务资源和其他资源支持，以完成该无形资产的开发，并有能力使用</w:t>
      </w:r>
      <w:r>
        <w:rPr>
          <w:rFonts w:ascii="宋体" w:hAnsi="宋体" w:cs="宋体" w:eastAsia="宋体" w:hint="default"/>
          <w:sz w:val="21"/>
          <w:szCs w:val="21"/>
        </w:rPr>
        <w:t> 或出售该无形资产；</w:t>
      </w:r>
    </w:p>
    <w:p>
      <w:pPr>
        <w:spacing w:before="14"/>
        <w:ind w:left="560" w:right="2184" w:firstLine="0"/>
        <w:jc w:val="left"/>
        <w:rPr>
          <w:rFonts w:ascii="宋体" w:hAnsi="宋体" w:cs="宋体" w:eastAsia="宋体" w:hint="default"/>
          <w:sz w:val="21"/>
          <w:szCs w:val="21"/>
        </w:rPr>
      </w:pPr>
      <w:r>
        <w:rPr>
          <w:rFonts w:ascii="宋体" w:hAnsi="宋体" w:cs="宋体" w:eastAsia="宋体" w:hint="default"/>
          <w:sz w:val="21"/>
          <w:szCs w:val="21"/>
        </w:rPr>
        <w:t>⑤归属于该无形资产开发阶段的支出能够可靠地计量。</w:t>
      </w:r>
    </w:p>
    <w:p>
      <w:pPr>
        <w:spacing w:line="297" w:lineRule="auto" w:before="64"/>
        <w:ind w:left="560" w:right="3846" w:firstLine="2"/>
        <w:jc w:val="left"/>
        <w:rPr>
          <w:rFonts w:ascii="宋体" w:hAnsi="宋体" w:cs="宋体" w:eastAsia="宋体" w:hint="default"/>
          <w:sz w:val="21"/>
          <w:szCs w:val="21"/>
        </w:rPr>
      </w:pPr>
      <w:r>
        <w:rPr>
          <w:rFonts w:ascii="宋体" w:hAnsi="宋体" w:cs="宋体" w:eastAsia="宋体" w:hint="default"/>
          <w:b/>
          <w:bCs/>
          <w:sz w:val="21"/>
          <w:szCs w:val="21"/>
        </w:rPr>
        <w:t>（十五）长期待摊费用的摊销方法及摊销年限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长期待摊费用在受益期内平均摊销，其中：</w:t>
      </w:r>
    </w:p>
    <w:p>
      <w:pPr>
        <w:tabs>
          <w:tab w:pos="2335" w:val="left" w:leader="none"/>
          <w:tab w:pos="5755" w:val="left" w:leader="none"/>
        </w:tabs>
        <w:spacing w:before="49"/>
        <w:ind w:left="1796" w:right="8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预计使用寿命</w:t>
      </w:r>
      <w:r>
        <w:rPr>
          <w:rFonts w:ascii="宋体" w:hAnsi="宋体" w:cs="宋体" w:eastAsia="宋体" w:hint="default"/>
          <w:sz w:val="18"/>
          <w:szCs w:val="18"/>
        </w:rPr>
      </w:r>
    </w:p>
    <w:p>
      <w:pPr>
        <w:tabs>
          <w:tab w:pos="6138" w:val="left" w:leader="none"/>
        </w:tabs>
        <w:spacing w:before="104"/>
        <w:ind w:left="1706" w:right="85" w:firstLine="0"/>
        <w:jc w:val="left"/>
        <w:rPr>
          <w:rFonts w:ascii="宋体" w:hAnsi="宋体" w:cs="宋体" w:eastAsia="宋体" w:hint="default"/>
          <w:sz w:val="18"/>
          <w:szCs w:val="18"/>
        </w:rPr>
      </w:pPr>
      <w:r>
        <w:rPr>
          <w:rFonts w:ascii="宋体" w:hAnsi="宋体" w:cs="宋体" w:eastAsia="宋体" w:hint="default"/>
          <w:sz w:val="18"/>
          <w:szCs w:val="18"/>
        </w:rPr>
        <w:t>厂房装修费</w:t>
        <w:tab/>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tabs>
          <w:tab w:pos="6138" w:val="left" w:leader="none"/>
        </w:tabs>
        <w:spacing w:before="91"/>
        <w:ind w:left="1706" w:right="85" w:firstLine="0"/>
        <w:jc w:val="left"/>
        <w:rPr>
          <w:rFonts w:ascii="宋体" w:hAnsi="宋体" w:cs="宋体" w:eastAsia="宋体" w:hint="default"/>
          <w:sz w:val="18"/>
          <w:szCs w:val="18"/>
        </w:rPr>
      </w:pPr>
      <w:r>
        <w:rPr>
          <w:rFonts w:ascii="宋体" w:hAnsi="宋体" w:cs="宋体" w:eastAsia="宋体" w:hint="default"/>
          <w:sz w:val="18"/>
          <w:szCs w:val="18"/>
        </w:rPr>
        <w:t>绿化工程费</w:t>
        <w:tab/>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tabs>
          <w:tab w:pos="6138" w:val="left" w:leader="none"/>
        </w:tabs>
        <w:spacing w:before="90"/>
        <w:ind w:left="1706" w:right="85" w:firstLine="0"/>
        <w:jc w:val="left"/>
        <w:rPr>
          <w:rFonts w:ascii="宋体" w:hAnsi="宋体" w:cs="宋体" w:eastAsia="宋体" w:hint="default"/>
          <w:sz w:val="18"/>
          <w:szCs w:val="18"/>
        </w:rPr>
      </w:pPr>
      <w:r>
        <w:rPr>
          <w:rFonts w:ascii="宋体" w:hAnsi="宋体" w:cs="宋体" w:eastAsia="宋体" w:hint="default"/>
          <w:sz w:val="18"/>
          <w:szCs w:val="18"/>
        </w:rPr>
        <w:t>网络通讯费</w:t>
        <w:tab/>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tabs>
          <w:tab w:pos="4972" w:val="left" w:leader="none"/>
        </w:tabs>
        <w:spacing w:before="90"/>
        <w:ind w:left="0" w:right="1023" w:firstLine="0"/>
        <w:jc w:val="center"/>
        <w:rPr>
          <w:rFonts w:ascii="宋体" w:hAnsi="宋体" w:cs="宋体" w:eastAsia="宋体" w:hint="default"/>
          <w:sz w:val="18"/>
          <w:szCs w:val="18"/>
        </w:rPr>
      </w:pPr>
      <w:r>
        <w:rPr>
          <w:rFonts w:ascii="宋体" w:hAnsi="宋体" w:cs="宋体" w:eastAsia="宋体" w:hint="default"/>
          <w:sz w:val="18"/>
          <w:szCs w:val="18"/>
        </w:rPr>
        <w:t>龙岗厂房配套设施装修费</w:t>
        <w:tab/>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88" w:lineRule="auto" w:before="56"/>
        <w:ind w:left="560" w:right="196" w:firstLine="2"/>
        <w:jc w:val="left"/>
        <w:rPr>
          <w:rFonts w:ascii="宋体" w:hAnsi="宋体" w:cs="宋体" w:eastAsia="宋体" w:hint="default"/>
          <w:sz w:val="21"/>
          <w:szCs w:val="21"/>
        </w:rPr>
      </w:pPr>
      <w:r>
        <w:rPr>
          <w:rFonts w:ascii="宋体" w:hAnsi="宋体" w:cs="宋体" w:eastAsia="宋体" w:hint="default"/>
          <w:b/>
          <w:bCs/>
          <w:sz w:val="21"/>
          <w:szCs w:val="21"/>
        </w:rPr>
        <w:t>（十六）除存货、投资性房地产及金融资产外的其他主要资产的减值</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成本法核算的、在活跃市场中没有报价、公允价值不能可靠计量的长期股权投资，其减</w:t>
      </w:r>
    </w:p>
    <w:p>
      <w:pPr>
        <w:spacing w:after="0" w:line="288" w:lineRule="auto"/>
        <w:jc w:val="left"/>
        <w:rPr>
          <w:rFonts w:ascii="宋体" w:hAnsi="宋体" w:cs="宋体" w:eastAsia="宋体" w:hint="default"/>
          <w:sz w:val="21"/>
          <w:szCs w:val="21"/>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line="297" w:lineRule="auto" w:before="35"/>
        <w:ind w:left="140" w:right="129" w:firstLine="0"/>
        <w:jc w:val="left"/>
        <w:rPr>
          <w:rFonts w:ascii="宋体" w:hAnsi="宋体" w:cs="宋体" w:eastAsia="宋体" w:hint="default"/>
          <w:sz w:val="21"/>
          <w:szCs w:val="21"/>
        </w:rPr>
      </w:pPr>
      <w:r>
        <w:rPr>
          <w:rFonts w:ascii="宋体" w:hAnsi="宋体" w:cs="宋体" w:eastAsia="宋体" w:hint="default"/>
          <w:spacing w:val="2"/>
          <w:sz w:val="21"/>
          <w:szCs w:val="21"/>
        </w:rPr>
        <w:t>值损失是根据其账面价值与按类似金融资产当时市场收益率对未来现金流量折现确定的现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值之间的差额进行确定。</w:t>
      </w:r>
    </w:p>
    <w:p>
      <w:pPr>
        <w:spacing w:line="297" w:lineRule="auto" w:before="15"/>
        <w:ind w:left="140" w:right="129" w:firstLine="420"/>
        <w:jc w:val="left"/>
        <w:rPr>
          <w:rFonts w:ascii="宋体" w:hAnsi="宋体" w:cs="宋体" w:eastAsia="宋体" w:hint="default"/>
          <w:sz w:val="21"/>
          <w:szCs w:val="21"/>
        </w:rPr>
      </w:pPr>
      <w:r>
        <w:rPr>
          <w:rFonts w:ascii="宋体" w:hAnsi="宋体" w:cs="宋体" w:eastAsia="宋体" w:hint="default"/>
          <w:spacing w:val="-3"/>
          <w:sz w:val="21"/>
          <w:szCs w:val="21"/>
        </w:rPr>
        <w:t>其他长期股权投资，如果可收回金额的计量结果表明，该长期股权投资的可收回金额低</w:t>
      </w:r>
      <w:r>
        <w:rPr>
          <w:rFonts w:ascii="宋体" w:hAnsi="宋体" w:cs="宋体" w:eastAsia="宋体" w:hint="default"/>
          <w:sz w:val="21"/>
          <w:szCs w:val="21"/>
        </w:rPr>
        <w:t> 于其账面价值的，将差额确认为减值损失。</w:t>
      </w:r>
    </w:p>
    <w:p>
      <w:pPr>
        <w:spacing w:line="288" w:lineRule="auto" w:before="14"/>
        <w:ind w:left="560" w:right="129"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、固定资产、在建工程、无形资产、商誉等长期非金融资产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对于固定资产、在建工程、无形资产等长期非金融资产，公司在每年末判断相关资产是</w:t>
      </w:r>
    </w:p>
    <w:p>
      <w:pPr>
        <w:spacing w:line="297" w:lineRule="auto" w:before="22"/>
        <w:ind w:left="560" w:right="129" w:hanging="420"/>
        <w:jc w:val="left"/>
        <w:rPr>
          <w:rFonts w:ascii="宋体" w:hAnsi="宋体" w:cs="宋体" w:eastAsia="宋体" w:hint="default"/>
          <w:sz w:val="21"/>
          <w:szCs w:val="21"/>
        </w:rPr>
      </w:pPr>
      <w:r>
        <w:rPr>
          <w:rFonts w:ascii="宋体" w:hAnsi="宋体" w:cs="宋体" w:eastAsia="宋体" w:hint="default"/>
          <w:sz w:val="21"/>
          <w:szCs w:val="21"/>
        </w:rPr>
        <w:t>否存在可能发生减值的迹象。 </w:t>
      </w:r>
      <w:r>
        <w:rPr>
          <w:rFonts w:ascii="宋体" w:hAnsi="宋体" w:cs="宋体" w:eastAsia="宋体" w:hint="default"/>
          <w:spacing w:val="-3"/>
          <w:sz w:val="21"/>
          <w:szCs w:val="21"/>
        </w:rPr>
        <w:t>因企业合并所形成的商誉和使用寿命不确定的无形资产，无论是否存在减值迹象，每年</w:t>
      </w:r>
    </w:p>
    <w:p>
      <w:pPr>
        <w:spacing w:line="297" w:lineRule="auto" w:before="14"/>
        <w:ind w:left="560" w:right="129" w:hanging="420"/>
        <w:jc w:val="left"/>
        <w:rPr>
          <w:rFonts w:ascii="宋体" w:hAnsi="宋体" w:cs="宋体" w:eastAsia="宋体" w:hint="default"/>
          <w:sz w:val="21"/>
          <w:szCs w:val="21"/>
        </w:rPr>
      </w:pPr>
      <w:r>
        <w:rPr>
          <w:rFonts w:ascii="宋体" w:hAnsi="宋体" w:cs="宋体" w:eastAsia="宋体" w:hint="default"/>
          <w:sz w:val="21"/>
          <w:szCs w:val="21"/>
        </w:rPr>
        <w:t>都进行减值测试。 </w:t>
      </w:r>
      <w:r>
        <w:rPr>
          <w:rFonts w:ascii="宋体" w:hAnsi="宋体" w:cs="宋体" w:eastAsia="宋体" w:hint="default"/>
          <w:spacing w:val="-3"/>
          <w:sz w:val="21"/>
          <w:szCs w:val="21"/>
        </w:rPr>
        <w:t>资产存在减值迹象的，估计其可收回金额。可收回金额根据资产的公允价值减去处置费</w:t>
      </w:r>
    </w:p>
    <w:p>
      <w:pPr>
        <w:spacing w:line="297" w:lineRule="auto" w:before="15"/>
        <w:ind w:left="560" w:right="129" w:hanging="420"/>
        <w:jc w:val="left"/>
        <w:rPr>
          <w:rFonts w:ascii="宋体" w:hAnsi="宋体" w:cs="宋体" w:eastAsia="宋体" w:hint="default"/>
          <w:sz w:val="21"/>
          <w:szCs w:val="21"/>
        </w:rPr>
      </w:pPr>
      <w:r>
        <w:rPr>
          <w:rFonts w:ascii="宋体" w:hAnsi="宋体" w:cs="宋体" w:eastAsia="宋体" w:hint="default"/>
          <w:sz w:val="21"/>
          <w:szCs w:val="21"/>
        </w:rPr>
        <w:t>用后的净额与资产预计未来现金流量的现值两者之间较高者确定。 </w:t>
      </w:r>
      <w:r>
        <w:rPr>
          <w:rFonts w:ascii="宋体" w:hAnsi="宋体" w:cs="宋体" w:eastAsia="宋体" w:hint="default"/>
          <w:spacing w:val="-3"/>
          <w:sz w:val="21"/>
          <w:szCs w:val="21"/>
        </w:rPr>
        <w:t>当资产的可收回金额低于其账面价值的，将资产的账面价值减记至可收回金额，减记的</w:t>
      </w:r>
    </w:p>
    <w:p>
      <w:pPr>
        <w:spacing w:line="297" w:lineRule="auto" w:before="14"/>
        <w:ind w:left="560" w:right="129" w:hanging="420"/>
        <w:jc w:val="left"/>
        <w:rPr>
          <w:rFonts w:ascii="宋体" w:hAnsi="宋体" w:cs="宋体" w:eastAsia="宋体" w:hint="default"/>
          <w:sz w:val="21"/>
          <w:szCs w:val="21"/>
        </w:rPr>
      </w:pPr>
      <w:r>
        <w:rPr>
          <w:rFonts w:ascii="宋体" w:hAnsi="宋体" w:cs="宋体" w:eastAsia="宋体" w:hint="default"/>
          <w:sz w:val="21"/>
          <w:szCs w:val="21"/>
        </w:rPr>
        <w:t>金额确认为资产减值损失，计入当期损益，同时计提相应的资产减值准备。 </w:t>
      </w:r>
      <w:r>
        <w:rPr>
          <w:rFonts w:ascii="宋体" w:hAnsi="宋体" w:cs="宋体" w:eastAsia="宋体" w:hint="default"/>
          <w:spacing w:val="-3"/>
          <w:sz w:val="21"/>
          <w:szCs w:val="21"/>
        </w:rPr>
        <w:t>资产减值损失确认后，减值资产的折旧或者摊销费用在未来期间作相应调整，以使该资</w:t>
      </w:r>
    </w:p>
    <w:p>
      <w:pPr>
        <w:spacing w:line="297" w:lineRule="auto" w:before="14"/>
        <w:ind w:left="560" w:right="129" w:hanging="420"/>
        <w:jc w:val="left"/>
        <w:rPr>
          <w:rFonts w:ascii="宋体" w:hAnsi="宋体" w:cs="宋体" w:eastAsia="宋体" w:hint="default"/>
          <w:sz w:val="21"/>
          <w:szCs w:val="21"/>
        </w:rPr>
      </w:pPr>
      <w:r>
        <w:rPr>
          <w:rFonts w:ascii="宋体" w:hAnsi="宋体" w:cs="宋体" w:eastAsia="宋体" w:hint="default"/>
          <w:spacing w:val="-3"/>
          <w:sz w:val="21"/>
          <w:szCs w:val="21"/>
        </w:rPr>
        <w:t>产在剩余使用寿命内，系统地分摊调整后的资产账面价值（扣除预计净残值）。</w:t>
      </w:r>
      <w:r>
        <w:rPr>
          <w:rFonts w:ascii="宋体" w:hAnsi="宋体" w:cs="宋体" w:eastAsia="宋体" w:hint="default"/>
          <w:sz w:val="21"/>
          <w:szCs w:val="21"/>
        </w:rPr>
        <w:t> 长期非金融资产的减值损失一经确认，在以后会计期间不再转回。 </w:t>
      </w:r>
      <w:r>
        <w:rPr>
          <w:rFonts w:ascii="宋体" w:hAnsi="宋体" w:cs="宋体" w:eastAsia="宋体" w:hint="default"/>
          <w:spacing w:val="-3"/>
          <w:sz w:val="21"/>
          <w:szCs w:val="21"/>
        </w:rPr>
        <w:t>有迹象表明一项资产可能发生减值的，企业以单项资产为基础估计其可收回金额。企业</w:t>
      </w:r>
    </w:p>
    <w:p>
      <w:pPr>
        <w:spacing w:line="297" w:lineRule="auto" w:before="14"/>
        <w:ind w:left="140" w:right="129" w:firstLine="0"/>
        <w:jc w:val="left"/>
        <w:rPr>
          <w:rFonts w:ascii="宋体" w:hAnsi="宋体" w:cs="宋体" w:eastAsia="宋体" w:hint="default"/>
          <w:sz w:val="21"/>
          <w:szCs w:val="21"/>
        </w:rPr>
      </w:pPr>
      <w:r>
        <w:rPr>
          <w:rFonts w:ascii="宋体" w:hAnsi="宋体" w:cs="宋体" w:eastAsia="宋体" w:hint="default"/>
          <w:spacing w:val="-3"/>
          <w:sz w:val="21"/>
          <w:szCs w:val="21"/>
        </w:rPr>
        <w:t>难以对单项资产的可收回金额进行估计的，以该资产所属的资产组为基础确定资产组的可收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回金额。</w:t>
      </w:r>
    </w:p>
    <w:p>
      <w:pPr>
        <w:spacing w:before="15"/>
        <w:ind w:left="562" w:right="5472" w:firstLine="0"/>
        <w:jc w:val="left"/>
        <w:rPr>
          <w:rFonts w:ascii="宋体" w:hAnsi="宋体" w:cs="宋体" w:eastAsia="宋体" w:hint="default"/>
          <w:sz w:val="21"/>
          <w:szCs w:val="21"/>
        </w:rPr>
      </w:pPr>
      <w:r>
        <w:rPr>
          <w:rFonts w:ascii="宋体" w:hAnsi="宋体" w:cs="宋体" w:eastAsia="宋体" w:hint="default"/>
          <w:b/>
          <w:bCs/>
          <w:sz w:val="21"/>
          <w:szCs w:val="21"/>
        </w:rPr>
        <w:t>（十七）借款费用资本化</w:t>
      </w:r>
      <w:r>
        <w:rPr>
          <w:rFonts w:ascii="宋体" w:hAnsi="宋体" w:cs="宋体" w:eastAsia="宋体" w:hint="default"/>
          <w:sz w:val="21"/>
          <w:szCs w:val="21"/>
        </w:rPr>
      </w:r>
    </w:p>
    <w:p>
      <w:pPr>
        <w:spacing w:line="280" w:lineRule="auto" w:before="64"/>
        <w:ind w:left="559" w:right="12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line="297" w:lineRule="auto" w:before="30"/>
        <w:ind w:left="139" w:right="129" w:firstLine="0"/>
        <w:jc w:val="left"/>
        <w:rPr>
          <w:rFonts w:ascii="宋体" w:hAnsi="宋体" w:cs="宋体" w:eastAsia="宋体" w:hint="default"/>
          <w:sz w:val="21"/>
          <w:szCs w:val="21"/>
        </w:rPr>
      </w:pPr>
      <w:r>
        <w:rPr>
          <w:rFonts w:ascii="宋体" w:hAnsi="宋体" w:cs="宋体" w:eastAsia="宋体" w:hint="default"/>
          <w:spacing w:val="-3"/>
          <w:sz w:val="21"/>
          <w:szCs w:val="21"/>
        </w:rPr>
        <w:t>本化，计入相关资产成本；其他借款费用，在发生时根据其发生额确认为费用，计入当期损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益。</w:t>
      </w:r>
    </w:p>
    <w:p>
      <w:pPr>
        <w:spacing w:line="297" w:lineRule="auto" w:before="14"/>
        <w:ind w:left="139" w:right="129" w:firstLine="420"/>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符合资本化条件的资产，是指需要经过相当长时间的购建或者生产活动才能达到预定可</w:t>
      </w:r>
      <w:r>
        <w:rPr>
          <w:rFonts w:ascii="宋体" w:hAnsi="宋体" w:cs="宋体" w:eastAsia="宋体" w:hint="default"/>
          <w:sz w:val="21"/>
          <w:szCs w:val="21"/>
        </w:rPr>
        <w:t> 使用或者可销售状态的固定资产、投资性房地产和存货等资产。</w:t>
      </w:r>
    </w:p>
    <w:p>
      <w:pPr>
        <w:spacing w:before="14"/>
        <w:ind w:left="560" w:right="129"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80" w:lineRule="auto" w:before="64"/>
        <w:ind w:left="140" w:right="129"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）资产支出已经发生，资产支出包括为购建或者生产符合资本化条件的资产而以支 付现金、转移非现金资产或者承担带息债务形式发生的支出；</w:t>
      </w:r>
    </w:p>
    <w:p>
      <w:pPr>
        <w:spacing w:before="29"/>
        <w:ind w:left="560" w:right="54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280" w:lineRule="auto" w:before="49"/>
        <w:ind w:left="560" w:right="130" w:hanging="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 </w:t>
      </w:r>
      <w:r>
        <w:rPr>
          <w:rFonts w:ascii="宋体" w:hAnsi="宋体" w:cs="宋体" w:eastAsia="宋体" w:hint="default"/>
          <w:spacing w:val="-3"/>
          <w:sz w:val="21"/>
          <w:szCs w:val="21"/>
        </w:rPr>
        <w:t>当符合资本化条件的资产在购建或者生产过程中发生非正常中断、且中断时间连续超过</w:t>
      </w:r>
    </w:p>
    <w:p>
      <w:pPr>
        <w:spacing w:line="280" w:lineRule="auto" w:before="29"/>
        <w:ind w:left="560" w:right="129"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个月的，借款费用暂停资本化。 </w:t>
      </w:r>
      <w:r>
        <w:rPr>
          <w:rFonts w:ascii="宋体" w:hAnsi="宋体" w:cs="宋体" w:eastAsia="宋体" w:hint="default"/>
          <w:spacing w:val="-3"/>
          <w:sz w:val="21"/>
          <w:szCs w:val="21"/>
        </w:rPr>
        <w:t>当购建或者生产符合资本化条件的资产达到预定可使用或者可销售状态时，借款费用停</w:t>
      </w:r>
    </w:p>
    <w:p>
      <w:pPr>
        <w:spacing w:before="30"/>
        <w:ind w:left="140" w:right="5472"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297" w:lineRule="auto" w:before="64"/>
        <w:ind w:left="140" w:right="129" w:firstLine="420"/>
        <w:jc w:val="left"/>
        <w:rPr>
          <w:rFonts w:ascii="宋体" w:hAnsi="宋体" w:cs="宋体" w:eastAsia="宋体" w:hint="default"/>
          <w:sz w:val="21"/>
          <w:szCs w:val="21"/>
        </w:rPr>
      </w:pPr>
      <w:r>
        <w:rPr>
          <w:rFonts w:ascii="宋体" w:hAnsi="宋体" w:cs="宋体" w:eastAsia="宋体" w:hint="default"/>
          <w:spacing w:val="-3"/>
          <w:sz w:val="21"/>
          <w:szCs w:val="21"/>
        </w:rPr>
        <w:t>当购建或者生产符合资本化条件的资产中部分项目分别完工且可单独使用时，该部分资</w:t>
      </w:r>
      <w:r>
        <w:rPr>
          <w:rFonts w:ascii="宋体" w:hAnsi="宋体" w:cs="宋体" w:eastAsia="宋体" w:hint="default"/>
          <w:sz w:val="21"/>
          <w:szCs w:val="21"/>
        </w:rPr>
        <w:t> 产借款费用停止资本化。</w:t>
      </w:r>
    </w:p>
    <w:p>
      <w:pPr>
        <w:spacing w:line="280" w:lineRule="auto" w:before="15"/>
        <w:ind w:left="560" w:right="12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3"/>
          <w:sz w:val="21"/>
          <w:szCs w:val="21"/>
        </w:rPr>
        <w:t>资本化期间，指从借款费用开始资本化时点到停止资本化时点的期间，借款费用暂停资</w:t>
      </w:r>
    </w:p>
    <w:p>
      <w:pPr>
        <w:spacing w:before="29"/>
        <w:ind w:left="140" w:right="5472" w:firstLine="0"/>
        <w:jc w:val="left"/>
        <w:rPr>
          <w:rFonts w:ascii="宋体" w:hAnsi="宋体" w:cs="宋体" w:eastAsia="宋体" w:hint="default"/>
          <w:sz w:val="21"/>
          <w:szCs w:val="21"/>
        </w:rPr>
      </w:pPr>
      <w:r>
        <w:rPr>
          <w:rFonts w:ascii="宋体" w:hAnsi="宋体" w:cs="宋体" w:eastAsia="宋体" w:hint="default"/>
          <w:sz w:val="21"/>
          <w:szCs w:val="21"/>
        </w:rPr>
        <w:t>本化的期间不包括在内。</w:t>
      </w:r>
    </w:p>
    <w:p>
      <w:pPr>
        <w:spacing w:after="0"/>
        <w:jc w:val="left"/>
        <w:rPr>
          <w:rFonts w:ascii="宋体" w:hAnsi="宋体" w:cs="宋体" w:eastAsia="宋体" w:hint="default"/>
          <w:sz w:val="21"/>
          <w:szCs w:val="21"/>
        </w:rPr>
        <w:sectPr>
          <w:pgSz w:w="11910" w:h="16840"/>
          <w:pgMar w:header="918" w:footer="950" w:top="1160" w:bottom="1140" w:left="1660" w:right="1660"/>
        </w:sectPr>
      </w:pPr>
    </w:p>
    <w:p>
      <w:pPr>
        <w:spacing w:line="240" w:lineRule="auto" w:before="10"/>
        <w:rPr>
          <w:rFonts w:ascii="宋体" w:hAnsi="宋体" w:cs="宋体" w:eastAsia="宋体" w:hint="default"/>
          <w:sz w:val="20"/>
          <w:szCs w:val="20"/>
        </w:rPr>
      </w:pPr>
    </w:p>
    <w:p>
      <w:pPr>
        <w:spacing w:line="280" w:lineRule="auto" w:before="35"/>
        <w:ind w:left="560" w:right="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专门借款的利息费用（扣除尚未动用的借款资金存入银行取得的利息收入或者进行暂时</w:t>
      </w:r>
    </w:p>
    <w:p>
      <w:pPr>
        <w:spacing w:line="297" w:lineRule="auto" w:before="30"/>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性投资取得的投资收益）及其辅助费用在所购建或者生产的符合资本化条件的资产达到预定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可使用或者可销售状态前，予以资本化。</w:t>
      </w:r>
    </w:p>
    <w:p>
      <w:pPr>
        <w:spacing w:line="297" w:lineRule="auto" w:before="14"/>
        <w:ind w:left="140" w:right="196" w:firstLine="420"/>
        <w:jc w:val="both"/>
        <w:rPr>
          <w:rFonts w:ascii="宋体" w:hAnsi="宋体" w:cs="宋体" w:eastAsia="宋体" w:hint="default"/>
          <w:sz w:val="21"/>
          <w:szCs w:val="21"/>
        </w:rPr>
      </w:pPr>
      <w:r>
        <w:rPr>
          <w:rFonts w:ascii="宋体" w:hAnsi="宋体" w:cs="宋体" w:eastAsia="宋体" w:hint="default"/>
          <w:spacing w:val="2"/>
          <w:sz w:val="21"/>
          <w:szCs w:val="21"/>
        </w:rPr>
        <w:t>根据累计资产支出超过专门借款部分的资产支出加权平均数乘以所占用一般借款的资</w:t>
      </w:r>
      <w:r>
        <w:rPr>
          <w:rFonts w:ascii="宋体" w:hAnsi="宋体" w:cs="宋体" w:eastAsia="宋体" w:hint="default"/>
          <w:sz w:val="21"/>
          <w:szCs w:val="21"/>
        </w:rPr>
        <w:t> </w:t>
      </w:r>
      <w:r>
        <w:rPr>
          <w:rFonts w:ascii="宋体" w:hAnsi="宋体" w:cs="宋体" w:eastAsia="宋体" w:hint="default"/>
          <w:spacing w:val="-3"/>
          <w:sz w:val="21"/>
          <w:szCs w:val="21"/>
        </w:rPr>
        <w:t>本化率，计算确定一般借款应予资本化的利息金额。资本化率根据一般借款加权平均利率计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算确定。</w:t>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w:t>
      </w:r>
      <w:r>
        <w:rPr>
          <w:rFonts w:ascii="宋体" w:hAnsi="宋体" w:cs="宋体" w:eastAsia="宋体" w:hint="default"/>
          <w:sz w:val="21"/>
          <w:szCs w:val="21"/>
        </w:rPr>
        <w:t> 额，调整每期利息金额。</w:t>
      </w:r>
    </w:p>
    <w:p>
      <w:pPr>
        <w:spacing w:before="14"/>
        <w:ind w:left="562" w:right="2184" w:firstLine="0"/>
        <w:jc w:val="left"/>
        <w:rPr>
          <w:rFonts w:ascii="宋体" w:hAnsi="宋体" w:cs="宋体" w:eastAsia="宋体" w:hint="default"/>
          <w:sz w:val="21"/>
          <w:szCs w:val="21"/>
        </w:rPr>
      </w:pPr>
      <w:r>
        <w:rPr>
          <w:rFonts w:ascii="宋体" w:hAnsi="宋体" w:cs="宋体" w:eastAsia="宋体" w:hint="default"/>
          <w:b/>
          <w:bCs/>
          <w:sz w:val="21"/>
          <w:szCs w:val="21"/>
        </w:rPr>
        <w:t>（十八）股份支付</w:t>
      </w:r>
      <w:r>
        <w:rPr>
          <w:rFonts w:ascii="宋体" w:hAnsi="宋体" w:cs="宋体" w:eastAsia="宋体" w:hint="default"/>
          <w:sz w:val="21"/>
          <w:szCs w:val="21"/>
        </w:rPr>
      </w:r>
    </w:p>
    <w:p>
      <w:pPr>
        <w:spacing w:line="280" w:lineRule="auto" w:before="64"/>
        <w:ind w:left="560" w:right="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对于以权益结算的涉及职工的股份支付，按照授予日权益工具的公允价值计入成本费用</w:t>
      </w:r>
    </w:p>
    <w:p>
      <w:pPr>
        <w:spacing w:line="297" w:lineRule="auto" w:before="29"/>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和资本公积（其他资本公积），不确认其后续公允价值变动；在可行权之后不再对已确认的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成本费用和所有者权益总额进行调整。按照行权情况，确认股本和股本溢价，同时结转等待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期内确认的资本公积（其他资本公积）。其中：对于换取职工服务的股份支付，在等待期内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的每个资产负债表日，以对可行权权益工具数量的最佳估计为基础，按照权益工具在授予日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的公允价值，计入相关资产成本或当期费用，同时计入资本公积（其他资本公积）；对于换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取其他方服务的股份支付，以所换取其他方服务的公允价值计量。如果该公允价值不能可靠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计量的，但权益工具的公允价值能够可靠计量的，则按权益工具在服务取得日的公允价值计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量，计入相关资产成本或费用，同时计入资本公积中其他资本公积。</w:t>
      </w:r>
    </w:p>
    <w:p>
      <w:pPr>
        <w:spacing w:line="297" w:lineRule="auto" w:before="15"/>
        <w:ind w:left="140" w:right="102" w:firstLine="420"/>
        <w:jc w:val="both"/>
        <w:rPr>
          <w:rFonts w:ascii="宋体" w:hAnsi="宋体" w:cs="宋体" w:eastAsia="宋体" w:hint="default"/>
          <w:sz w:val="21"/>
          <w:szCs w:val="21"/>
        </w:rPr>
      </w:pPr>
      <w:r>
        <w:rPr>
          <w:rFonts w:ascii="宋体" w:hAnsi="宋体" w:cs="宋体" w:eastAsia="宋体" w:hint="default"/>
          <w:spacing w:val="-3"/>
          <w:sz w:val="21"/>
          <w:szCs w:val="21"/>
        </w:rPr>
        <w:t>对于以现金结算的涉及职工的股份支付，按照每个资产负债表日权益工具的公允价值重</w:t>
      </w:r>
      <w:r>
        <w:rPr>
          <w:rFonts w:ascii="宋体" w:hAnsi="宋体" w:cs="宋体" w:eastAsia="宋体" w:hint="default"/>
          <w:sz w:val="21"/>
          <w:szCs w:val="21"/>
        </w:rPr>
        <w:t> </w:t>
      </w:r>
      <w:r>
        <w:rPr>
          <w:rFonts w:ascii="宋体" w:hAnsi="宋体" w:cs="宋体" w:eastAsia="宋体" w:hint="default"/>
          <w:spacing w:val="-3"/>
          <w:sz w:val="21"/>
          <w:szCs w:val="21"/>
        </w:rPr>
        <w:t>新计量，确定成本费用和应付职工薪酬。在等待期内的每个资产负债表日，以对可行权权益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工具数量的最佳估计为基础，按照承担的以股份或其他权益工具为基础计算确定的负债的公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允价值计量，计入相关资产成本或费用，同时计入应付职工薪酬。在可行权之后不再确认成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本费用，对负债（应付职工薪酬）的公允价值重新计量，将其变动计入公允价值变动损益。</w:t>
      </w:r>
    </w:p>
    <w:p>
      <w:pPr>
        <w:spacing w:line="280" w:lineRule="auto" w:before="14"/>
        <w:ind w:left="560" w:right="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对于授予的期权等权益工具存在活跃市场的，按照活跃市场中的报价确定其公允价值。</w:t>
      </w:r>
    </w:p>
    <w:p>
      <w:pPr>
        <w:spacing w:line="297" w:lineRule="auto" w:before="29"/>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对于授予的期权等权益工具不存在活跃市场的，采用期权定价模型等确定其公允价值，选用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的期权定价模型至少应当考虑以下因素：①期权的行权价格；②期权的有效期；③标的股份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的现行价格④股价预计波动率；⑤股份的预计股利；⑥期权有效期内的无风险利率；⑦分期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行权的股份支付；</w:t>
      </w:r>
    </w:p>
    <w:p>
      <w:pPr>
        <w:spacing w:line="280" w:lineRule="auto" w:before="14"/>
        <w:ind w:left="560" w:right="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pacing w:val="-3"/>
          <w:sz w:val="21"/>
          <w:szCs w:val="21"/>
        </w:rPr>
        <w:t>等待期内每个资产负债表日，公司根据最新取得的可行权职工人数变动等后续信息作出</w:t>
      </w:r>
    </w:p>
    <w:p>
      <w:pPr>
        <w:spacing w:line="297" w:lineRule="auto" w:before="29"/>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最佳估计，修正预计可行权的权益工具数量。在可行权日，最终预计可行权权益工具的数量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应当与实际可行权数量一致。</w:t>
      </w:r>
    </w:p>
    <w:p>
      <w:pPr>
        <w:spacing w:line="297" w:lineRule="auto" w:before="15"/>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根据上述权益工具的公允价值和预计可行权的权益工具数量，计算截至当期累计应确认</w:t>
      </w:r>
      <w:r>
        <w:rPr>
          <w:rFonts w:ascii="宋体" w:hAnsi="宋体" w:cs="宋体" w:eastAsia="宋体" w:hint="default"/>
          <w:sz w:val="21"/>
          <w:szCs w:val="21"/>
        </w:rPr>
        <w:t> 的成本费用金额，再减去前期累计已确认金额，作为当期应确认的成本费用金额。</w:t>
      </w:r>
    </w:p>
    <w:p>
      <w:pPr>
        <w:spacing w:line="297" w:lineRule="auto" w:before="14"/>
        <w:ind w:left="562" w:right="5954" w:firstLine="0"/>
        <w:jc w:val="left"/>
        <w:rPr>
          <w:rFonts w:ascii="宋体" w:hAnsi="宋体" w:cs="宋体" w:eastAsia="宋体" w:hint="default"/>
          <w:sz w:val="21"/>
          <w:szCs w:val="21"/>
        </w:rPr>
      </w:pPr>
      <w:r>
        <w:rPr>
          <w:rFonts w:ascii="宋体" w:hAnsi="宋体" w:cs="宋体" w:eastAsia="宋体" w:hint="default"/>
          <w:b/>
          <w:bCs/>
          <w:sz w:val="21"/>
          <w:szCs w:val="21"/>
        </w:rPr>
        <w:t>（十九）收入确认原则</w:t>
      </w:r>
      <w:r>
        <w:rPr>
          <w:rFonts w:ascii="宋体" w:hAnsi="宋体" w:cs="宋体" w:eastAsia="宋体" w:hint="default"/>
          <w:b/>
          <w:bCs/>
          <w:w w:val="99"/>
          <w:sz w:val="21"/>
          <w:szCs w:val="21"/>
        </w:rPr>
        <w:t> </w:t>
      </w:r>
      <w:r>
        <w:rPr>
          <w:rFonts w:ascii="宋体" w:hAnsi="宋体" w:cs="宋体" w:eastAsia="宋体" w:hint="default"/>
          <w:b/>
          <w:bCs/>
          <w:sz w:val="21"/>
          <w:szCs w:val="21"/>
        </w:rPr>
        <w:t>1、销售商品</w:t>
      </w:r>
      <w:r>
        <w:rPr>
          <w:rFonts w:ascii="宋体" w:hAnsi="宋体" w:cs="宋体" w:eastAsia="宋体" w:hint="default"/>
          <w:sz w:val="21"/>
          <w:szCs w:val="21"/>
        </w:rPr>
      </w:r>
    </w:p>
    <w:p>
      <w:pPr>
        <w:spacing w:line="297" w:lineRule="auto" w:before="14"/>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公司已将商品所有权上的主要风险和报酬转移给购买方；公司既没有保留与所有权相联</w:t>
      </w:r>
      <w:r>
        <w:rPr>
          <w:rFonts w:ascii="宋体" w:hAnsi="宋体" w:cs="宋体" w:eastAsia="宋体" w:hint="default"/>
          <w:sz w:val="21"/>
          <w:szCs w:val="21"/>
        </w:rPr>
        <w:t> </w:t>
      </w:r>
      <w:r>
        <w:rPr>
          <w:rFonts w:ascii="宋体" w:hAnsi="宋体" w:cs="宋体" w:eastAsia="宋体" w:hint="default"/>
          <w:spacing w:val="-3"/>
          <w:sz w:val="21"/>
          <w:szCs w:val="21"/>
        </w:rPr>
        <w:t>系的继续管理权，也没有对已售出的商品实施有效控制；收入的金额能够可靠地计量；相关</w:t>
      </w:r>
    </w:p>
    <w:p>
      <w:pPr>
        <w:spacing w:after="0" w:line="297" w:lineRule="auto"/>
        <w:jc w:val="both"/>
        <w:rPr>
          <w:rFonts w:ascii="宋体" w:hAnsi="宋体" w:cs="宋体" w:eastAsia="宋体" w:hint="default"/>
          <w:sz w:val="21"/>
          <w:szCs w:val="21"/>
        </w:rPr>
        <w:sectPr>
          <w:footerReference w:type="default" r:id="rId26"/>
          <w:pgSz w:w="11910" w:h="16840"/>
          <w:pgMar w:footer="950" w:header="918" w:top="1160" w:bottom="1140" w:left="1660" w:right="1600"/>
          <w:pgNumType w:start="75"/>
        </w:sectPr>
      </w:pPr>
    </w:p>
    <w:p>
      <w:pPr>
        <w:spacing w:line="240" w:lineRule="auto" w:before="10"/>
        <w:rPr>
          <w:rFonts w:ascii="宋体" w:hAnsi="宋体" w:cs="宋体" w:eastAsia="宋体" w:hint="default"/>
          <w:sz w:val="20"/>
          <w:szCs w:val="20"/>
        </w:rPr>
      </w:pPr>
    </w:p>
    <w:p>
      <w:pPr>
        <w:spacing w:line="297" w:lineRule="auto" w:before="35"/>
        <w:ind w:left="140" w:right="85" w:firstLine="0"/>
        <w:jc w:val="left"/>
        <w:rPr>
          <w:rFonts w:ascii="宋体" w:hAnsi="宋体" w:cs="宋体" w:eastAsia="宋体" w:hint="default"/>
          <w:sz w:val="21"/>
          <w:szCs w:val="21"/>
        </w:rPr>
      </w:pPr>
      <w:r>
        <w:rPr>
          <w:rFonts w:ascii="宋体" w:hAnsi="宋体" w:cs="宋体" w:eastAsia="宋体" w:hint="default"/>
          <w:spacing w:val="-3"/>
          <w:sz w:val="21"/>
          <w:szCs w:val="21"/>
        </w:rPr>
        <w:t>的经济利益很可能流入企业；相关的已发生或将发生的成本能够可靠地计量时，确认商品销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售收入实现。</w:t>
      </w:r>
    </w:p>
    <w:p>
      <w:pPr>
        <w:spacing w:line="297" w:lineRule="auto" w:before="15"/>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2、提供劳务</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在资产负债表日提供劳务交易的结果能够可靠估计的，采用完工百分比法确认提供劳务</w:t>
      </w:r>
    </w:p>
    <w:p>
      <w:pPr>
        <w:spacing w:line="297" w:lineRule="auto" w:before="14"/>
        <w:ind w:left="140" w:right="84" w:firstLine="0"/>
        <w:jc w:val="left"/>
        <w:rPr>
          <w:rFonts w:ascii="宋体" w:hAnsi="宋体" w:cs="宋体" w:eastAsia="宋体" w:hint="default"/>
          <w:sz w:val="21"/>
          <w:szCs w:val="21"/>
        </w:rPr>
      </w:pPr>
      <w:r>
        <w:rPr>
          <w:rFonts w:ascii="宋体" w:hAnsi="宋体" w:cs="宋体" w:eastAsia="宋体" w:hint="default"/>
          <w:sz w:val="21"/>
          <w:szCs w:val="21"/>
        </w:rPr>
        <w:t>收入。提供劳务交易的完工进度，根据实际情况选用下列方法确定：依据已完工作的测量、 已经提供的劳务占应提供劳务总量的比例、已经发生的成本占估计总成本的比例确定。</w:t>
      </w:r>
    </w:p>
    <w:p>
      <w:pPr>
        <w:spacing w:line="297" w:lineRule="auto" w:before="14"/>
        <w:ind w:left="140" w:right="197" w:firstLine="420"/>
        <w:jc w:val="both"/>
        <w:rPr>
          <w:rFonts w:ascii="宋体" w:hAnsi="宋体" w:cs="宋体" w:eastAsia="宋体" w:hint="default"/>
          <w:sz w:val="21"/>
          <w:szCs w:val="21"/>
        </w:rPr>
      </w:pPr>
      <w:r>
        <w:rPr>
          <w:rFonts w:ascii="宋体" w:hAnsi="宋体" w:cs="宋体" w:eastAsia="宋体" w:hint="default"/>
          <w:spacing w:val="-3"/>
          <w:sz w:val="21"/>
          <w:szCs w:val="21"/>
        </w:rPr>
        <w:t>按照已收或应收的合同或协议价款确定提供劳务收入总额，但已收或应收的合同或协议</w:t>
      </w:r>
      <w:r>
        <w:rPr>
          <w:rFonts w:ascii="宋体" w:hAnsi="宋体" w:cs="宋体" w:eastAsia="宋体" w:hint="default"/>
          <w:sz w:val="21"/>
          <w:szCs w:val="21"/>
        </w:rPr>
        <w:t> </w:t>
      </w:r>
      <w:r>
        <w:rPr>
          <w:rFonts w:ascii="宋体" w:hAnsi="宋体" w:cs="宋体" w:eastAsia="宋体" w:hint="default"/>
          <w:spacing w:val="-3"/>
          <w:sz w:val="21"/>
          <w:szCs w:val="21"/>
        </w:rPr>
        <w:t>价款不公允的除外。资产负债表日按照提供劳务收入总额乘以完工进度扣除以前会计期间累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计已确认提供劳务收入后的金额，确认当期提供劳务收入；同时，按照提供劳务估计总成本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乘以完工进度扣除以前会计期间累计已确认劳务成本后的金额，结转当期劳务成本。</w:t>
      </w:r>
    </w:p>
    <w:p>
      <w:pPr>
        <w:spacing w:before="14"/>
        <w:ind w:left="560" w:right="85"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97" w:lineRule="auto" w:before="66"/>
        <w:ind w:left="140" w:right="189" w:firstLine="420"/>
        <w:jc w:val="left"/>
        <w:rPr>
          <w:rFonts w:ascii="宋体" w:hAnsi="宋体" w:cs="宋体" w:eastAsia="宋体" w:hint="default"/>
          <w:sz w:val="21"/>
          <w:szCs w:val="21"/>
        </w:rPr>
      </w:pPr>
      <w:r>
        <w:rPr>
          <w:rFonts w:ascii="宋体" w:hAnsi="宋体" w:cs="宋体" w:eastAsia="宋体" w:hint="default"/>
          <w:sz w:val="21"/>
          <w:szCs w:val="21"/>
        </w:rPr>
        <w:t>（1）已经发生的劳务成本预计能够得到补偿的，按照已经发生的劳务成本金额确认提 供劳务收入，并按相同金额结转劳务成本。</w:t>
      </w:r>
    </w:p>
    <w:p>
      <w:pPr>
        <w:spacing w:line="297" w:lineRule="auto" w:before="14"/>
        <w:ind w:left="140" w:right="189" w:firstLine="420"/>
        <w:jc w:val="left"/>
        <w:rPr>
          <w:rFonts w:ascii="宋体" w:hAnsi="宋体" w:cs="宋体" w:eastAsia="宋体" w:hint="default"/>
          <w:sz w:val="21"/>
          <w:szCs w:val="21"/>
        </w:rPr>
      </w:pPr>
      <w:r>
        <w:rPr>
          <w:rFonts w:ascii="宋体" w:hAnsi="宋体" w:cs="宋体" w:eastAsia="宋体" w:hint="default"/>
          <w:sz w:val="21"/>
          <w:szCs w:val="21"/>
        </w:rPr>
        <w:t>（2）已经发生的劳务成本预计不能够得到补偿的，将已经发生的劳务成本计入当期损 益，不确认提供劳务收入。</w:t>
      </w:r>
    </w:p>
    <w:p>
      <w:pPr>
        <w:spacing w:line="297" w:lineRule="auto" w:before="14"/>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3、让渡资产使用权</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与交易相关的经济利益很可能流入企业，收入的金额能够可靠地计量时。分别下列情况</w:t>
      </w:r>
    </w:p>
    <w:p>
      <w:pPr>
        <w:spacing w:before="15"/>
        <w:ind w:left="140" w:right="2184" w:firstLine="0"/>
        <w:jc w:val="left"/>
        <w:rPr>
          <w:rFonts w:ascii="宋体" w:hAnsi="宋体" w:cs="宋体" w:eastAsia="宋体" w:hint="default"/>
          <w:sz w:val="21"/>
          <w:szCs w:val="21"/>
        </w:rPr>
      </w:pPr>
      <w:r>
        <w:rPr>
          <w:rFonts w:ascii="宋体" w:hAnsi="宋体" w:cs="宋体" w:eastAsia="宋体" w:hint="default"/>
          <w:sz w:val="21"/>
          <w:szCs w:val="21"/>
        </w:rPr>
        <w:t>确定让渡资产使用权收入金额：</w:t>
      </w:r>
    </w:p>
    <w:p>
      <w:pPr>
        <w:spacing w:before="64"/>
        <w:ind w:left="560" w:right="85" w:firstLine="0"/>
        <w:jc w:val="left"/>
        <w:rPr>
          <w:rFonts w:ascii="宋体" w:hAnsi="宋体" w:cs="宋体" w:eastAsia="宋体" w:hint="default"/>
          <w:sz w:val="21"/>
          <w:szCs w:val="21"/>
        </w:rPr>
      </w:pPr>
      <w:r>
        <w:rPr>
          <w:rFonts w:ascii="宋体" w:hAnsi="宋体" w:cs="宋体" w:eastAsia="宋体" w:hint="default"/>
          <w:sz w:val="21"/>
          <w:szCs w:val="21"/>
        </w:rPr>
        <w:t>（1）利息收入金额，按照他人使用本企业货币资金的时间和实际利率计算确定。</w:t>
      </w:r>
    </w:p>
    <w:p>
      <w:pPr>
        <w:spacing w:before="64"/>
        <w:ind w:left="560" w:right="85" w:firstLine="0"/>
        <w:jc w:val="left"/>
        <w:rPr>
          <w:rFonts w:ascii="宋体" w:hAnsi="宋体" w:cs="宋体" w:eastAsia="宋体" w:hint="default"/>
          <w:sz w:val="21"/>
          <w:szCs w:val="21"/>
        </w:rPr>
      </w:pPr>
      <w:r>
        <w:rPr>
          <w:rFonts w:ascii="宋体" w:hAnsi="宋体" w:cs="宋体" w:eastAsia="宋体" w:hint="default"/>
          <w:sz w:val="21"/>
          <w:szCs w:val="21"/>
        </w:rPr>
        <w:t>（2）使用费收入金额，按照有关合同或协议约定的收费时间和方法计算确定。</w:t>
      </w:r>
    </w:p>
    <w:p>
      <w:pPr>
        <w:spacing w:line="297" w:lineRule="auto" w:before="66"/>
        <w:ind w:left="560" w:right="85" w:firstLine="2"/>
        <w:jc w:val="left"/>
        <w:rPr>
          <w:rFonts w:ascii="宋体" w:hAnsi="宋体" w:cs="宋体" w:eastAsia="宋体" w:hint="default"/>
          <w:sz w:val="21"/>
          <w:szCs w:val="21"/>
        </w:rPr>
      </w:pPr>
      <w:r>
        <w:rPr>
          <w:rFonts w:ascii="宋体" w:hAnsi="宋体" w:cs="宋体" w:eastAsia="宋体" w:hint="default"/>
          <w:b/>
          <w:bCs/>
          <w:sz w:val="21"/>
          <w:szCs w:val="21"/>
        </w:rPr>
        <w:t>（二十）确认递延所得税资产的依据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公司以很可能取得用来抵扣可抵扣暂时性差异的应纳税所得额为限，确认由可抵扣暂时</w:t>
      </w:r>
    </w:p>
    <w:p>
      <w:pPr>
        <w:spacing w:before="14"/>
        <w:ind w:left="140" w:right="2184" w:firstLine="0"/>
        <w:jc w:val="left"/>
        <w:rPr>
          <w:rFonts w:ascii="宋体" w:hAnsi="宋体" w:cs="宋体" w:eastAsia="宋体" w:hint="default"/>
          <w:sz w:val="21"/>
          <w:szCs w:val="21"/>
        </w:rPr>
      </w:pPr>
      <w:r>
        <w:rPr>
          <w:rFonts w:ascii="宋体" w:hAnsi="宋体" w:cs="宋体" w:eastAsia="宋体" w:hint="default"/>
          <w:sz w:val="21"/>
          <w:szCs w:val="21"/>
        </w:rPr>
        <w:t>性差异产生的递延所得税资产。</w:t>
      </w:r>
    </w:p>
    <w:p>
      <w:pPr>
        <w:spacing w:line="240" w:lineRule="auto" w:before="0"/>
        <w:rPr>
          <w:rFonts w:ascii="宋体" w:hAnsi="宋体" w:cs="宋体" w:eastAsia="宋体" w:hint="default"/>
          <w:sz w:val="20"/>
          <w:szCs w:val="20"/>
        </w:rPr>
      </w:pPr>
    </w:p>
    <w:p>
      <w:pPr>
        <w:spacing w:before="164"/>
        <w:ind w:left="562" w:right="2184" w:firstLine="0"/>
        <w:jc w:val="left"/>
        <w:rPr>
          <w:rFonts w:ascii="宋体" w:hAnsi="宋体" w:cs="宋体" w:eastAsia="宋体" w:hint="default"/>
          <w:sz w:val="21"/>
          <w:szCs w:val="21"/>
        </w:rPr>
      </w:pPr>
      <w:r>
        <w:rPr>
          <w:rFonts w:ascii="宋体" w:hAnsi="宋体" w:cs="宋体" w:eastAsia="宋体" w:hint="default"/>
          <w:b/>
          <w:bCs/>
          <w:sz w:val="21"/>
          <w:szCs w:val="21"/>
        </w:rPr>
        <w:t>四、税项</w:t>
      </w:r>
      <w:r>
        <w:rPr>
          <w:rFonts w:ascii="宋体" w:hAnsi="宋体" w:cs="宋体" w:eastAsia="宋体" w:hint="default"/>
          <w:sz w:val="21"/>
          <w:szCs w:val="21"/>
        </w:rPr>
      </w:r>
    </w:p>
    <w:p>
      <w:pPr>
        <w:spacing w:line="297" w:lineRule="auto" w:before="64"/>
        <w:ind w:left="560" w:right="2394" w:firstLine="2"/>
        <w:jc w:val="left"/>
        <w:rPr>
          <w:rFonts w:ascii="宋体" w:hAnsi="宋体" w:cs="宋体" w:eastAsia="宋体" w:hint="default"/>
          <w:sz w:val="21"/>
          <w:szCs w:val="21"/>
        </w:rPr>
      </w:pPr>
      <w:r>
        <w:rPr>
          <w:rFonts w:ascii="宋体" w:hAnsi="宋体" w:cs="宋体" w:eastAsia="宋体" w:hint="default"/>
          <w:b/>
          <w:bCs/>
          <w:sz w:val="21"/>
          <w:szCs w:val="21"/>
        </w:rPr>
        <w:t>（一）公司主要税种和税率</w:t>
      </w:r>
      <w:r>
        <w:rPr>
          <w:rFonts w:ascii="宋体" w:hAnsi="宋体" w:cs="宋体" w:eastAsia="宋体" w:hint="default"/>
          <w:b/>
          <w:bCs/>
          <w:w w:val="99"/>
          <w:sz w:val="21"/>
          <w:szCs w:val="21"/>
        </w:rPr>
        <w:t> </w:t>
      </w:r>
      <w:r>
        <w:rPr>
          <w:rFonts w:ascii="宋体" w:hAnsi="宋体" w:cs="宋体" w:eastAsia="宋体" w:hint="default"/>
          <w:sz w:val="21"/>
          <w:szCs w:val="21"/>
        </w:rPr>
        <w:t>深圳市实益达科技股份有限公司适用的主要税种和税率如下：</w:t>
      </w:r>
    </w:p>
    <w:tbl>
      <w:tblPr>
        <w:tblW w:w="0" w:type="auto"/>
        <w:jc w:val="left"/>
        <w:tblInd w:w="854" w:type="dxa"/>
        <w:tblLayout w:type="fixed"/>
        <w:tblCellMar>
          <w:top w:w="0" w:type="dxa"/>
          <w:left w:w="0" w:type="dxa"/>
          <w:bottom w:w="0" w:type="dxa"/>
          <w:right w:w="0" w:type="dxa"/>
        </w:tblCellMar>
        <w:tblLook w:val="01E0"/>
      </w:tblPr>
      <w:tblGrid>
        <w:gridCol w:w="1955"/>
        <w:gridCol w:w="3120"/>
        <w:gridCol w:w="1415"/>
      </w:tblGrid>
      <w:tr>
        <w:trPr>
          <w:trHeight w:val="704"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95" w:right="101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项</w:t>
            </w:r>
            <w:r>
              <w:rPr>
                <w:rFonts w:ascii="宋体" w:hAnsi="宋体" w:cs="宋体" w:eastAsia="宋体" w:hint="default"/>
                <w:sz w:val="18"/>
                <w:szCs w:val="18"/>
              </w:rPr>
            </w:r>
            <w:r>
              <w:rPr>
                <w:rFonts w:ascii="宋体" w:hAnsi="宋体" w:cs="宋体" w:eastAsia="宋体" w:hint="default"/>
                <w:sz w:val="18"/>
                <w:szCs w:val="18"/>
              </w:rPr>
              <w:t> 增值税</w:t>
            </w:r>
          </w:p>
        </w:tc>
        <w:tc>
          <w:tcPr>
            <w:tcW w:w="3120" w:type="dxa"/>
            <w:tcBorders>
              <w:top w:val="nil" w:sz="6" w:space="0" w:color="auto"/>
              <w:left w:val="nil" w:sz="6" w:space="0" w:color="auto"/>
              <w:bottom w:val="nil" w:sz="6" w:space="0" w:color="auto"/>
              <w:right w:val="nil" w:sz="6" w:space="0" w:color="auto"/>
            </w:tcBorders>
          </w:tcPr>
          <w:p>
            <w:pPr>
              <w:pStyle w:val="TableParagraph"/>
              <w:spacing w:line="345" w:lineRule="auto" w:before="44"/>
              <w:ind w:left="929" w:right="1108"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计税基础</w:t>
            </w:r>
            <w:r>
              <w:rPr>
                <w:rFonts w:ascii="宋体" w:hAnsi="宋体" w:cs="宋体" w:eastAsia="宋体" w:hint="default"/>
                <w:sz w:val="18"/>
                <w:szCs w:val="18"/>
              </w:rPr>
            </w:r>
            <w:r>
              <w:rPr>
                <w:rFonts w:ascii="宋体" w:hAnsi="宋体" w:cs="宋体" w:eastAsia="宋体" w:hint="default"/>
                <w:sz w:val="18"/>
                <w:szCs w:val="18"/>
              </w:rPr>
              <w:t> 产品销售收入</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0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率</w:t>
            </w:r>
            <w:r>
              <w:rPr>
                <w:rFonts w:ascii="宋体" w:hAnsi="宋体" w:cs="宋体" w:eastAsia="宋体" w:hint="default"/>
                <w:sz w:val="18"/>
                <w:szCs w:val="18"/>
              </w:rPr>
            </w:r>
          </w:p>
          <w:p>
            <w:pPr>
              <w:pStyle w:val="TableParagraph"/>
              <w:spacing w:line="240" w:lineRule="auto" w:before="146"/>
              <w:ind w:right="138"/>
              <w:jc w:val="right"/>
              <w:rPr>
                <w:rFonts w:ascii="Times New Roman" w:hAnsi="Times New Roman" w:cs="Times New Roman" w:eastAsia="Times New Roman" w:hint="default"/>
                <w:sz w:val="18"/>
                <w:szCs w:val="18"/>
              </w:rPr>
            </w:pPr>
            <w:r>
              <w:rPr>
                <w:rFonts w:ascii="Times New Roman"/>
                <w:sz w:val="18"/>
              </w:rPr>
              <w:t>17%</w:t>
            </w:r>
          </w:p>
        </w:tc>
      </w:tr>
      <w:tr>
        <w:trPr>
          <w:trHeight w:val="34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4"/>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8"/>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4"/>
              <w:jc w:val="right"/>
              <w:rPr>
                <w:rFonts w:ascii="Times New Roman" w:hAnsi="Times New Roman" w:cs="Times New Roman" w:eastAsia="Times New Roman" w:hint="default"/>
                <w:sz w:val="18"/>
                <w:szCs w:val="18"/>
              </w:rPr>
            </w:pPr>
            <w:r>
              <w:rPr>
                <w:rFonts w:ascii="Times New Roman"/>
                <w:sz w:val="18"/>
              </w:rPr>
              <w:t>1%</w:t>
            </w:r>
          </w:p>
        </w:tc>
      </w:tr>
      <w:tr>
        <w:trPr>
          <w:trHeight w:val="34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24"/>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3%</w:t>
            </w:r>
          </w:p>
        </w:tc>
      </w:tr>
      <w:tr>
        <w:trPr>
          <w:trHeight w:val="349"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4"/>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8"/>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18%</w:t>
            </w:r>
          </w:p>
        </w:tc>
      </w:tr>
    </w:tbl>
    <w:p>
      <w:pPr>
        <w:spacing w:line="256" w:lineRule="exact" w:before="0"/>
        <w:ind w:left="560" w:right="2184" w:firstLine="0"/>
        <w:jc w:val="left"/>
        <w:rPr>
          <w:rFonts w:ascii="宋体" w:hAnsi="宋体" w:cs="宋体" w:eastAsia="宋体" w:hint="default"/>
          <w:sz w:val="21"/>
          <w:szCs w:val="21"/>
        </w:rPr>
      </w:pPr>
      <w:r>
        <w:rPr>
          <w:rFonts w:ascii="宋体" w:hAnsi="宋体" w:cs="宋体" w:eastAsia="宋体" w:hint="default"/>
          <w:sz w:val="21"/>
          <w:szCs w:val="21"/>
        </w:rPr>
        <w:t>无锡实益达电子有限公司适用的主要税种和税率如下：</w:t>
      </w:r>
    </w:p>
    <w:p>
      <w:pPr>
        <w:spacing w:line="240" w:lineRule="auto" w:before="4"/>
        <w:rPr>
          <w:rFonts w:ascii="宋体" w:hAnsi="宋体" w:cs="宋体" w:eastAsia="宋体" w:hint="default"/>
          <w:sz w:val="4"/>
          <w:szCs w:val="4"/>
        </w:rPr>
      </w:pPr>
    </w:p>
    <w:tbl>
      <w:tblPr>
        <w:tblW w:w="0" w:type="auto"/>
        <w:jc w:val="left"/>
        <w:tblInd w:w="1034" w:type="dxa"/>
        <w:tblLayout w:type="fixed"/>
        <w:tblCellMar>
          <w:top w:w="0" w:type="dxa"/>
          <w:left w:w="0" w:type="dxa"/>
          <w:bottom w:w="0" w:type="dxa"/>
          <w:right w:w="0" w:type="dxa"/>
        </w:tblCellMar>
        <w:tblLook w:val="01E0"/>
      </w:tblPr>
      <w:tblGrid>
        <w:gridCol w:w="1685"/>
        <w:gridCol w:w="3210"/>
        <w:gridCol w:w="1415"/>
      </w:tblGrid>
      <w:tr>
        <w:trPr>
          <w:trHeight w:val="704"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345" w:lineRule="auto" w:before="44"/>
              <w:ind w:left="215" w:right="92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项</w:t>
            </w:r>
            <w:r>
              <w:rPr>
                <w:rFonts w:ascii="宋体" w:hAnsi="宋体" w:cs="宋体" w:eastAsia="宋体" w:hint="default"/>
                <w:sz w:val="18"/>
                <w:szCs w:val="18"/>
              </w:rPr>
            </w:r>
            <w:r>
              <w:rPr>
                <w:rFonts w:ascii="宋体" w:hAnsi="宋体" w:cs="宋体" w:eastAsia="宋体" w:hint="default"/>
                <w:sz w:val="18"/>
                <w:szCs w:val="18"/>
              </w:rPr>
              <w:t> 增值税</w:t>
            </w:r>
          </w:p>
        </w:tc>
        <w:tc>
          <w:tcPr>
            <w:tcW w:w="3210" w:type="dxa"/>
            <w:tcBorders>
              <w:top w:val="nil" w:sz="6" w:space="0" w:color="auto"/>
              <w:left w:val="nil" w:sz="6" w:space="0" w:color="auto"/>
              <w:bottom w:val="nil" w:sz="6" w:space="0" w:color="auto"/>
              <w:right w:val="nil" w:sz="6" w:space="0" w:color="auto"/>
            </w:tcBorders>
          </w:tcPr>
          <w:p>
            <w:pPr>
              <w:pStyle w:val="TableParagraph"/>
              <w:spacing w:line="345" w:lineRule="auto" w:before="44"/>
              <w:ind w:left="1019" w:right="1108"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计税基础</w:t>
            </w:r>
            <w:r>
              <w:rPr>
                <w:rFonts w:ascii="宋体" w:hAnsi="宋体" w:cs="宋体" w:eastAsia="宋体" w:hint="default"/>
                <w:sz w:val="18"/>
                <w:szCs w:val="18"/>
              </w:rPr>
            </w:r>
            <w:r>
              <w:rPr>
                <w:rFonts w:ascii="宋体" w:hAnsi="宋体" w:cs="宋体" w:eastAsia="宋体" w:hint="default"/>
                <w:sz w:val="18"/>
                <w:szCs w:val="18"/>
              </w:rPr>
              <w:t> 产品销售收入</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0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率</w:t>
            </w:r>
            <w:r>
              <w:rPr>
                <w:rFonts w:ascii="宋体" w:hAnsi="宋体" w:cs="宋体" w:eastAsia="宋体" w:hint="default"/>
                <w:sz w:val="18"/>
                <w:szCs w:val="18"/>
              </w:rPr>
            </w:r>
          </w:p>
          <w:p>
            <w:pPr>
              <w:pStyle w:val="TableParagraph"/>
              <w:spacing w:line="240" w:lineRule="auto" w:before="146"/>
              <w:ind w:right="138"/>
              <w:jc w:val="right"/>
              <w:rPr>
                <w:rFonts w:ascii="Times New Roman" w:hAnsi="Times New Roman" w:cs="Times New Roman" w:eastAsia="Times New Roman" w:hint="default"/>
                <w:sz w:val="18"/>
                <w:szCs w:val="18"/>
              </w:rPr>
            </w:pPr>
            <w:r>
              <w:rPr>
                <w:rFonts w:ascii="Times New Roman"/>
                <w:sz w:val="18"/>
              </w:rPr>
              <w:t>17%</w:t>
            </w:r>
          </w:p>
        </w:tc>
      </w:tr>
      <w:tr>
        <w:trPr>
          <w:trHeight w:val="340"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8"/>
              <w:jc w:val="center"/>
              <w:rPr>
                <w:rFonts w:ascii="宋体" w:hAnsi="宋体" w:cs="宋体" w:eastAsia="宋体" w:hint="default"/>
                <w:sz w:val="18"/>
                <w:szCs w:val="18"/>
              </w:rPr>
            </w:pPr>
            <w:r>
              <w:rPr>
                <w:rFonts w:ascii="宋体" w:hAnsi="宋体" w:cs="宋体" w:eastAsia="宋体" w:hint="default"/>
                <w:sz w:val="18"/>
                <w:szCs w:val="18"/>
              </w:rPr>
              <w:t>应交增值税、营业税</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4"/>
              <w:jc w:val="right"/>
              <w:rPr>
                <w:rFonts w:ascii="Times New Roman" w:hAnsi="Times New Roman" w:cs="Times New Roman" w:eastAsia="Times New Roman" w:hint="default"/>
                <w:sz w:val="18"/>
                <w:szCs w:val="18"/>
              </w:rPr>
            </w:pPr>
            <w:r>
              <w:rPr>
                <w:rFonts w:ascii="Times New Roman"/>
                <w:sz w:val="18"/>
              </w:rPr>
              <w:t>1%</w:t>
            </w:r>
          </w:p>
        </w:tc>
      </w:tr>
      <w:tr>
        <w:trPr>
          <w:trHeight w:val="349"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z w:val="18"/>
              </w:rPr>
              <w:t>25%</w:t>
            </w:r>
          </w:p>
        </w:tc>
      </w:tr>
    </w:tbl>
    <w:p>
      <w:pPr>
        <w:spacing w:line="250" w:lineRule="exact" w:before="0"/>
        <w:ind w:left="560" w:right="2184" w:firstLine="0"/>
        <w:jc w:val="left"/>
        <w:rPr>
          <w:rFonts w:ascii="宋体" w:hAnsi="宋体" w:cs="宋体" w:eastAsia="宋体" w:hint="default"/>
          <w:sz w:val="21"/>
          <w:szCs w:val="21"/>
        </w:rPr>
      </w:pPr>
      <w:r>
        <w:rPr>
          <w:rFonts w:ascii="宋体" w:hAnsi="宋体" w:cs="宋体" w:eastAsia="宋体" w:hint="default"/>
          <w:sz w:val="21"/>
          <w:szCs w:val="21"/>
        </w:rPr>
        <w:t>实益达科技（香港）有限公司适用的主要税种和税率如下：</w:t>
      </w:r>
    </w:p>
    <w:p>
      <w:pPr>
        <w:spacing w:line="240" w:lineRule="auto" w:before="3"/>
        <w:rPr>
          <w:rFonts w:ascii="宋体" w:hAnsi="宋体" w:cs="宋体" w:eastAsia="宋体" w:hint="default"/>
          <w:sz w:val="4"/>
          <w:szCs w:val="4"/>
        </w:rPr>
      </w:pPr>
    </w:p>
    <w:tbl>
      <w:tblPr>
        <w:tblW w:w="0" w:type="auto"/>
        <w:jc w:val="left"/>
        <w:tblInd w:w="1214" w:type="dxa"/>
        <w:tblLayout w:type="fixed"/>
        <w:tblCellMar>
          <w:top w:w="0" w:type="dxa"/>
          <w:left w:w="0" w:type="dxa"/>
          <w:bottom w:w="0" w:type="dxa"/>
          <w:right w:w="0" w:type="dxa"/>
        </w:tblCellMar>
        <w:tblLook w:val="01E0"/>
      </w:tblPr>
      <w:tblGrid>
        <w:gridCol w:w="1640"/>
        <w:gridCol w:w="2850"/>
        <w:gridCol w:w="1640"/>
      </w:tblGrid>
      <w:tr>
        <w:trPr>
          <w:trHeight w:val="360"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项</w:t>
            </w:r>
            <w:r>
              <w:rPr>
                <w:rFonts w:ascii="宋体" w:hAnsi="宋体" w:cs="宋体" w:eastAsia="宋体" w:hint="default"/>
                <w:sz w:val="18"/>
                <w:szCs w:val="18"/>
              </w:rPr>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计税基础</w:t>
            </w:r>
            <w:r>
              <w:rPr>
                <w:rFonts w:ascii="宋体" w:hAnsi="宋体" w:cs="宋体" w:eastAsia="宋体" w:hint="default"/>
                <w:sz w:val="18"/>
                <w:szCs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率</w:t>
            </w:r>
            <w:r>
              <w:rPr>
                <w:rFonts w:ascii="宋体" w:hAnsi="宋体" w:cs="宋体" w:eastAsia="宋体" w:hint="default"/>
                <w:sz w:val="18"/>
                <w:szCs w:val="18"/>
              </w:rPr>
            </w:r>
          </w:p>
        </w:tc>
      </w:tr>
      <w:tr>
        <w:trPr>
          <w:trHeight w:val="370"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所得额</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0"/>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660" w:right="1600"/>
        </w:sectPr>
      </w:pPr>
    </w:p>
    <w:p>
      <w:pPr>
        <w:spacing w:line="240" w:lineRule="auto" w:before="10"/>
        <w:rPr>
          <w:rFonts w:ascii="宋体" w:hAnsi="宋体" w:cs="宋体" w:eastAsia="宋体" w:hint="default"/>
          <w:sz w:val="20"/>
          <w:szCs w:val="20"/>
        </w:rPr>
      </w:pPr>
    </w:p>
    <w:p>
      <w:pPr>
        <w:spacing w:line="297" w:lineRule="auto" w:before="35"/>
        <w:ind w:left="560" w:right="767" w:firstLine="2"/>
        <w:jc w:val="left"/>
        <w:rPr>
          <w:rFonts w:ascii="宋体" w:hAnsi="宋体" w:cs="宋体" w:eastAsia="宋体" w:hint="default"/>
          <w:sz w:val="21"/>
          <w:szCs w:val="21"/>
        </w:rPr>
      </w:pPr>
      <w:r>
        <w:rPr>
          <w:rFonts w:ascii="宋体" w:hAnsi="宋体" w:cs="宋体" w:eastAsia="宋体" w:hint="default"/>
          <w:b/>
          <w:bCs/>
          <w:sz w:val="21"/>
          <w:szCs w:val="21"/>
        </w:rPr>
        <w:t>（二）税收优惠</w:t>
      </w:r>
      <w:r>
        <w:rPr>
          <w:rFonts w:ascii="宋体" w:hAnsi="宋体" w:cs="宋体" w:eastAsia="宋体" w:hint="default"/>
          <w:b/>
          <w:bCs/>
          <w:spacing w:val="1"/>
          <w:w w:val="99"/>
          <w:sz w:val="21"/>
          <w:szCs w:val="21"/>
        </w:rPr>
        <w:t> </w:t>
      </w:r>
      <w:r>
        <w:rPr>
          <w:rFonts w:ascii="宋体" w:hAnsi="宋体" w:cs="宋体" w:eastAsia="宋体" w:hint="default"/>
          <w:sz w:val="21"/>
          <w:szCs w:val="21"/>
        </w:rPr>
        <w:t>根据《国务院关于实施企业所得税过渡优惠政策的通知》国发〔2007〕39</w:t>
      </w:r>
      <w:r>
        <w:rPr>
          <w:rFonts w:ascii="宋体" w:hAnsi="宋体" w:cs="宋体" w:eastAsia="宋体" w:hint="default"/>
          <w:spacing w:val="2"/>
          <w:sz w:val="21"/>
          <w:szCs w:val="21"/>
        </w:rPr>
        <w:t> </w:t>
      </w:r>
      <w:r>
        <w:rPr>
          <w:rFonts w:ascii="宋体" w:hAnsi="宋体" w:cs="宋体" w:eastAsia="宋体" w:hint="default"/>
          <w:sz w:val="21"/>
          <w:szCs w:val="21"/>
        </w:rPr>
        <w:t>号文规定：</w:t>
      </w:r>
    </w:p>
    <w:p>
      <w:pPr>
        <w:spacing w:line="297" w:lineRule="auto" w:before="15"/>
        <w:ind w:left="140" w:right="775" w:firstLine="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日起，原享受低税率优惠政策的企业，在新税法施行后</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年内逐步过渡到法</w:t>
      </w:r>
      <w:r>
        <w:rPr>
          <w:rFonts w:ascii="宋体" w:hAnsi="宋体" w:cs="宋体" w:eastAsia="宋体" w:hint="default"/>
          <w:sz w:val="21"/>
          <w:szCs w:val="21"/>
        </w:rPr>
        <w:t> </w:t>
      </w:r>
      <w:r>
        <w:rPr>
          <w:rFonts w:ascii="宋体" w:hAnsi="宋体" w:cs="宋体" w:eastAsia="宋体" w:hint="default"/>
          <w:spacing w:val="-3"/>
          <w:sz w:val="21"/>
          <w:szCs w:val="21"/>
        </w:rPr>
        <w:t>定税率。其中：享受企业所得税</w:t>
      </w:r>
      <w:r>
        <w:rPr>
          <w:rFonts w:ascii="宋体" w:hAnsi="宋体" w:cs="宋体" w:eastAsia="宋体" w:hint="default"/>
          <w:spacing w:val="-59"/>
          <w:sz w:val="21"/>
          <w:szCs w:val="21"/>
        </w:rPr>
        <w:t> </w:t>
      </w:r>
      <w:r>
        <w:rPr>
          <w:rFonts w:ascii="宋体" w:hAnsi="宋体" w:cs="宋体" w:eastAsia="宋体" w:hint="default"/>
          <w:sz w:val="21"/>
          <w:szCs w:val="21"/>
        </w:rPr>
        <w:t>15%税率的企业，2008</w:t>
      </w:r>
      <w:r>
        <w:rPr>
          <w:rFonts w:ascii="宋体" w:hAnsi="宋体" w:cs="宋体" w:eastAsia="宋体" w:hint="default"/>
          <w:spacing w:val="-58"/>
          <w:sz w:val="21"/>
          <w:szCs w:val="21"/>
        </w:rPr>
        <w:t> </w:t>
      </w:r>
      <w:r>
        <w:rPr>
          <w:rFonts w:ascii="宋体" w:hAnsi="宋体" w:cs="宋体" w:eastAsia="宋体" w:hint="default"/>
          <w:sz w:val="21"/>
          <w:szCs w:val="21"/>
        </w:rPr>
        <w:t>年按</w:t>
      </w:r>
      <w:r>
        <w:rPr>
          <w:rFonts w:ascii="宋体" w:hAnsi="宋体" w:cs="宋体" w:eastAsia="宋体" w:hint="default"/>
          <w:spacing w:val="-60"/>
          <w:sz w:val="21"/>
          <w:szCs w:val="21"/>
        </w:rPr>
        <w:t> </w:t>
      </w:r>
      <w:r>
        <w:rPr>
          <w:rFonts w:ascii="宋体" w:hAnsi="宋体" w:cs="宋体" w:eastAsia="宋体" w:hint="default"/>
          <w:sz w:val="21"/>
          <w:szCs w:val="21"/>
        </w:rPr>
        <w:t>18%税率执行，2009</w:t>
      </w:r>
      <w:r>
        <w:rPr>
          <w:rFonts w:ascii="宋体" w:hAnsi="宋体" w:cs="宋体" w:eastAsia="宋体" w:hint="default"/>
          <w:spacing w:val="-58"/>
          <w:sz w:val="21"/>
          <w:szCs w:val="21"/>
        </w:rPr>
        <w:t> </w:t>
      </w:r>
      <w:r>
        <w:rPr>
          <w:rFonts w:ascii="宋体" w:hAnsi="宋体" w:cs="宋体" w:eastAsia="宋体" w:hint="default"/>
          <w:sz w:val="21"/>
          <w:szCs w:val="21"/>
        </w:rPr>
        <w:t>年按</w:t>
      </w:r>
      <w:r>
        <w:rPr>
          <w:rFonts w:ascii="宋体" w:hAnsi="宋体" w:cs="宋体" w:eastAsia="宋体" w:hint="default"/>
          <w:spacing w:val="-60"/>
          <w:sz w:val="21"/>
          <w:szCs w:val="21"/>
        </w:rPr>
        <w:t> </w:t>
      </w:r>
      <w:r>
        <w:rPr>
          <w:rFonts w:ascii="宋体" w:hAnsi="宋体" w:cs="宋体" w:eastAsia="宋体" w:hint="default"/>
          <w:sz w:val="21"/>
          <w:szCs w:val="21"/>
        </w:rPr>
        <w:t>20%税</w:t>
      </w:r>
      <w:r>
        <w:rPr>
          <w:rFonts w:ascii="宋体" w:hAnsi="宋体" w:cs="宋体" w:eastAsia="宋体" w:hint="default"/>
          <w:sz w:val="21"/>
          <w:szCs w:val="21"/>
        </w:rPr>
        <w:t> </w:t>
      </w:r>
      <w:r>
        <w:rPr>
          <w:rFonts w:ascii="宋体" w:hAnsi="宋体" w:cs="宋体" w:eastAsia="宋体" w:hint="default"/>
          <w:spacing w:val="-3"/>
          <w:sz w:val="21"/>
          <w:szCs w:val="21"/>
        </w:rPr>
        <w:t>率执行，2010</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50"/>
          <w:sz w:val="21"/>
          <w:szCs w:val="21"/>
        </w:rPr>
        <w:t> </w:t>
      </w:r>
      <w:r>
        <w:rPr>
          <w:rFonts w:ascii="宋体" w:hAnsi="宋体" w:cs="宋体" w:eastAsia="宋体" w:hint="default"/>
          <w:spacing w:val="-3"/>
          <w:sz w:val="21"/>
          <w:szCs w:val="21"/>
        </w:rPr>
        <w:t>22%税率执行，2011</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50"/>
          <w:sz w:val="21"/>
          <w:szCs w:val="21"/>
        </w:rPr>
        <w:t> </w:t>
      </w:r>
      <w:r>
        <w:rPr>
          <w:rFonts w:ascii="宋体" w:hAnsi="宋体" w:cs="宋体" w:eastAsia="宋体" w:hint="default"/>
          <w:spacing w:val="-3"/>
          <w:sz w:val="21"/>
          <w:szCs w:val="21"/>
        </w:rPr>
        <w:t>24%税率执行，2012</w:t>
      </w:r>
      <w:r>
        <w:rPr>
          <w:rFonts w:ascii="宋体" w:hAnsi="宋体" w:cs="宋体" w:eastAsia="宋体" w:hint="default"/>
          <w:spacing w:val="-48"/>
          <w:sz w:val="21"/>
          <w:szCs w:val="21"/>
        </w:rPr>
        <w:t> </w:t>
      </w:r>
      <w:r>
        <w:rPr>
          <w:rFonts w:ascii="宋体" w:hAnsi="宋体" w:cs="宋体" w:eastAsia="宋体" w:hint="default"/>
          <w:sz w:val="21"/>
          <w:szCs w:val="21"/>
        </w:rPr>
        <w:t>年按</w:t>
      </w:r>
      <w:r>
        <w:rPr>
          <w:rFonts w:ascii="宋体" w:hAnsi="宋体" w:cs="宋体" w:eastAsia="宋体" w:hint="default"/>
          <w:spacing w:val="-50"/>
          <w:sz w:val="21"/>
          <w:szCs w:val="21"/>
        </w:rPr>
        <w:t> </w:t>
      </w:r>
      <w:r>
        <w:rPr>
          <w:rFonts w:ascii="宋体" w:hAnsi="宋体" w:cs="宋体" w:eastAsia="宋体" w:hint="default"/>
          <w:spacing w:val="-3"/>
          <w:sz w:val="21"/>
          <w:szCs w:val="21"/>
        </w:rPr>
        <w:t>25%税率执行；原执行</w:t>
      </w:r>
      <w:r>
        <w:rPr>
          <w:rFonts w:ascii="宋体" w:hAnsi="宋体" w:cs="宋体" w:eastAsia="宋体" w:hint="default"/>
          <w:sz w:val="21"/>
          <w:szCs w:val="21"/>
        </w:rPr>
        <w:t> 24%税率的企业，2008</w:t>
      </w:r>
      <w:r>
        <w:rPr>
          <w:rFonts w:ascii="宋体" w:hAnsi="宋体" w:cs="宋体" w:eastAsia="宋体" w:hint="default"/>
          <w:spacing w:val="-50"/>
          <w:sz w:val="21"/>
          <w:szCs w:val="21"/>
        </w:rPr>
        <w:t> </w:t>
      </w:r>
      <w:r>
        <w:rPr>
          <w:rFonts w:ascii="宋体" w:hAnsi="宋体" w:cs="宋体" w:eastAsia="宋体" w:hint="default"/>
          <w:sz w:val="21"/>
          <w:szCs w:val="21"/>
        </w:rPr>
        <w:t>年起按</w:t>
      </w:r>
      <w:r>
        <w:rPr>
          <w:rFonts w:ascii="宋体" w:hAnsi="宋体" w:cs="宋体" w:eastAsia="宋体" w:hint="default"/>
          <w:spacing w:val="-51"/>
          <w:sz w:val="21"/>
          <w:szCs w:val="21"/>
        </w:rPr>
        <w:t> </w:t>
      </w:r>
      <w:r>
        <w:rPr>
          <w:rFonts w:ascii="宋体" w:hAnsi="宋体" w:cs="宋体" w:eastAsia="宋体" w:hint="default"/>
          <w:sz w:val="21"/>
          <w:szCs w:val="21"/>
        </w:rPr>
        <w:t>25%税率执行。深圳经济特区内企业按原《广东省经济特区条</w:t>
      </w:r>
      <w:r>
        <w:rPr>
          <w:rFonts w:ascii="宋体" w:hAnsi="宋体" w:cs="宋体" w:eastAsia="宋体" w:hint="default"/>
          <w:sz w:val="21"/>
          <w:szCs w:val="21"/>
        </w:rPr>
        <w:t> </w:t>
      </w:r>
      <w:r>
        <w:rPr>
          <w:rFonts w:ascii="宋体" w:hAnsi="宋体" w:cs="宋体" w:eastAsia="宋体" w:hint="default"/>
          <w:spacing w:val="-6"/>
          <w:sz w:val="21"/>
          <w:szCs w:val="21"/>
        </w:rPr>
        <w:t>例》规定享受</w:t>
      </w:r>
      <w:r>
        <w:rPr>
          <w:rFonts w:ascii="宋体" w:hAnsi="宋体" w:cs="宋体" w:eastAsia="宋体" w:hint="default"/>
          <w:spacing w:val="-40"/>
          <w:sz w:val="21"/>
          <w:szCs w:val="21"/>
        </w:rPr>
        <w:t> </w:t>
      </w:r>
      <w:r>
        <w:rPr>
          <w:rFonts w:ascii="宋体" w:hAnsi="宋体" w:cs="宋体" w:eastAsia="宋体" w:hint="default"/>
          <w:spacing w:val="-3"/>
          <w:sz w:val="21"/>
          <w:szCs w:val="21"/>
        </w:rPr>
        <w:t>15%的低税率，深圳市实益达科技股份有限公司按上述政策，2008</w:t>
      </w:r>
      <w:r>
        <w:rPr>
          <w:rFonts w:ascii="宋体" w:hAnsi="宋体" w:cs="宋体" w:eastAsia="宋体" w:hint="default"/>
          <w:spacing w:val="-38"/>
          <w:sz w:val="21"/>
          <w:szCs w:val="21"/>
        </w:rPr>
        <w:t> </w:t>
      </w:r>
      <w:r>
        <w:rPr>
          <w:rFonts w:ascii="宋体" w:hAnsi="宋体" w:cs="宋体" w:eastAsia="宋体" w:hint="default"/>
          <w:sz w:val="21"/>
          <w:szCs w:val="21"/>
        </w:rPr>
        <w:t>年企业所得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税按</w:t>
      </w:r>
      <w:r>
        <w:rPr>
          <w:rFonts w:ascii="宋体" w:hAnsi="宋体" w:cs="宋体" w:eastAsia="宋体" w:hint="default"/>
          <w:spacing w:val="-55"/>
          <w:sz w:val="21"/>
          <w:szCs w:val="21"/>
        </w:rPr>
        <w:t> </w:t>
      </w:r>
      <w:r>
        <w:rPr>
          <w:rFonts w:ascii="宋体" w:hAnsi="宋体" w:cs="宋体" w:eastAsia="宋体" w:hint="default"/>
          <w:sz w:val="21"/>
          <w:szCs w:val="21"/>
        </w:rPr>
        <w:t>18%税率执行。</w:t>
      </w:r>
    </w:p>
    <w:p>
      <w:pPr>
        <w:spacing w:line="297" w:lineRule="auto" w:before="15"/>
        <w:ind w:left="139" w:right="776" w:firstLine="420"/>
        <w:jc w:val="both"/>
        <w:rPr>
          <w:rFonts w:ascii="宋体" w:hAnsi="宋体" w:cs="宋体" w:eastAsia="宋体" w:hint="default"/>
          <w:sz w:val="21"/>
          <w:szCs w:val="21"/>
        </w:rPr>
      </w:pPr>
      <w:r>
        <w:rPr>
          <w:rFonts w:ascii="宋体" w:hAnsi="宋体" w:cs="宋体" w:eastAsia="宋体" w:hint="default"/>
          <w:sz w:val="21"/>
          <w:szCs w:val="21"/>
        </w:rPr>
        <w:t>根据《国务院关于实施企业所得税过渡优惠政策的通知》国发〔2007〕39</w:t>
      </w:r>
      <w:r>
        <w:rPr>
          <w:rFonts w:ascii="宋体" w:hAnsi="宋体" w:cs="宋体" w:eastAsia="宋体" w:hint="default"/>
          <w:spacing w:val="1"/>
          <w:sz w:val="21"/>
          <w:szCs w:val="21"/>
        </w:rPr>
        <w:t> </w:t>
      </w:r>
      <w:r>
        <w:rPr>
          <w:rFonts w:ascii="宋体" w:hAnsi="宋体" w:cs="宋体" w:eastAsia="宋体" w:hint="default"/>
          <w:sz w:val="21"/>
          <w:szCs w:val="21"/>
        </w:rPr>
        <w:t>号文规定：</w:t>
      </w:r>
      <w:r>
        <w:rPr>
          <w:rFonts w:ascii="宋体" w:hAnsi="宋体" w:cs="宋体" w:eastAsia="宋体" w:hint="default"/>
          <w:sz w:val="21"/>
          <w:szCs w:val="21"/>
        </w:rPr>
        <w:t> 自</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7"/>
          <w:sz w:val="21"/>
          <w:szCs w:val="21"/>
        </w:rPr>
        <w:t>日起，原享受企业所得税“两免三减半”、“五免五减半”等定期减免税优</w:t>
      </w:r>
      <w:r>
        <w:rPr>
          <w:rFonts w:ascii="宋体" w:hAnsi="宋体" w:cs="宋体" w:eastAsia="宋体" w:hint="default"/>
          <w:sz w:val="21"/>
          <w:szCs w:val="21"/>
        </w:rPr>
        <w:t> </w:t>
      </w:r>
      <w:r>
        <w:rPr>
          <w:rFonts w:ascii="宋体" w:hAnsi="宋体" w:cs="宋体" w:eastAsia="宋体" w:hint="default"/>
          <w:spacing w:val="-3"/>
          <w:sz w:val="21"/>
          <w:szCs w:val="21"/>
        </w:rPr>
        <w:t>惠的企业，新税法施行后继续按原税收法律、行政法规及相关文件规定的优惠办法及年限享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受至期满为止，但因未获利而尚未享受税收优惠的，其优惠期限从</w:t>
      </w:r>
      <w:r>
        <w:rPr>
          <w:rFonts w:ascii="宋体" w:hAnsi="宋体" w:cs="宋体" w:eastAsia="宋体" w:hint="default"/>
          <w:spacing w:val="-72"/>
          <w:sz w:val="21"/>
          <w:szCs w:val="21"/>
        </w:rPr>
        <w:t>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年度起计算。</w:t>
      </w:r>
    </w:p>
    <w:p>
      <w:pPr>
        <w:spacing w:line="297" w:lineRule="auto" w:before="14"/>
        <w:ind w:left="139" w:right="775" w:firstLine="420"/>
        <w:jc w:val="both"/>
        <w:rPr>
          <w:rFonts w:ascii="宋体" w:hAnsi="宋体" w:cs="宋体" w:eastAsia="宋体" w:hint="default"/>
          <w:sz w:val="21"/>
          <w:szCs w:val="21"/>
        </w:rPr>
      </w:pPr>
      <w:r>
        <w:rPr>
          <w:rFonts w:ascii="宋体" w:hAnsi="宋体" w:cs="宋体" w:eastAsia="宋体" w:hint="default"/>
          <w:spacing w:val="-3"/>
          <w:sz w:val="21"/>
          <w:szCs w:val="21"/>
        </w:rPr>
        <w:t>无锡实益达电子有限公司属于生产性外商投资企业，根据原《中华人民共和国外商投资</w:t>
      </w:r>
      <w:r>
        <w:rPr>
          <w:rFonts w:ascii="宋体" w:hAnsi="宋体" w:cs="宋体" w:eastAsia="宋体" w:hint="default"/>
          <w:sz w:val="21"/>
          <w:szCs w:val="21"/>
        </w:rPr>
        <w:t> </w:t>
      </w:r>
      <w:r>
        <w:rPr>
          <w:rFonts w:ascii="宋体" w:hAnsi="宋体" w:cs="宋体" w:eastAsia="宋体" w:hint="default"/>
          <w:spacing w:val="-3"/>
          <w:sz w:val="21"/>
          <w:szCs w:val="21"/>
        </w:rPr>
        <w:t>企业和外国企业所得税法》的规定享受“两免三减半”定期减免税优惠，但由于成立至今尚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未实现盈利，未享受上述税收优惠政策，无锡实益达电子有限公司享受税收优惠期限从</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z w:val="21"/>
          <w:szCs w:val="21"/>
        </w:rPr>
        <w:t> 年度起计算。</w:t>
      </w:r>
    </w:p>
    <w:p>
      <w:pPr>
        <w:spacing w:line="240" w:lineRule="auto" w:before="2"/>
        <w:rPr>
          <w:rFonts w:ascii="宋体" w:hAnsi="宋体" w:cs="宋体" w:eastAsia="宋体" w:hint="default"/>
          <w:sz w:val="27"/>
          <w:szCs w:val="27"/>
        </w:rPr>
      </w:pPr>
    </w:p>
    <w:p>
      <w:pPr>
        <w:spacing w:before="0"/>
        <w:ind w:left="562" w:right="767" w:firstLine="0"/>
        <w:jc w:val="left"/>
        <w:rPr>
          <w:rFonts w:ascii="宋体" w:hAnsi="宋体" w:cs="宋体" w:eastAsia="宋体" w:hint="default"/>
          <w:sz w:val="21"/>
          <w:szCs w:val="21"/>
        </w:rPr>
      </w:pPr>
      <w:r>
        <w:rPr>
          <w:rFonts w:ascii="宋体" w:hAnsi="宋体" w:cs="宋体" w:eastAsia="宋体" w:hint="default"/>
          <w:b/>
          <w:bCs/>
          <w:sz w:val="21"/>
          <w:szCs w:val="21"/>
        </w:rPr>
        <w:t>五、合并财务报表</w:t>
      </w:r>
      <w:r>
        <w:rPr>
          <w:rFonts w:ascii="宋体" w:hAnsi="宋体" w:cs="宋体" w:eastAsia="宋体" w:hint="default"/>
          <w:sz w:val="21"/>
          <w:szCs w:val="21"/>
        </w:rPr>
      </w:r>
    </w:p>
    <w:p>
      <w:pPr>
        <w:spacing w:line="297" w:lineRule="auto" w:before="64"/>
        <w:ind w:left="139" w:right="684" w:firstLine="420"/>
        <w:jc w:val="both"/>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月颁布的《企业会计准则第</w:t>
      </w:r>
      <w:r>
        <w:rPr>
          <w:rFonts w:ascii="宋体" w:hAnsi="宋体" w:cs="宋体" w:eastAsia="宋体" w:hint="default"/>
          <w:spacing w:val="-59"/>
          <w:sz w:val="21"/>
          <w:szCs w:val="21"/>
        </w:rPr>
        <w:t> </w:t>
      </w:r>
      <w:r>
        <w:rPr>
          <w:rFonts w:ascii="宋体" w:hAnsi="宋体" w:cs="宋体" w:eastAsia="宋体" w:hint="default"/>
          <w:sz w:val="21"/>
          <w:szCs w:val="21"/>
        </w:rPr>
        <w:t>33</w:t>
      </w:r>
      <w:r>
        <w:rPr>
          <w:rFonts w:ascii="宋体" w:hAnsi="宋体" w:cs="宋体" w:eastAsia="宋体" w:hint="default"/>
          <w:spacing w:val="-59"/>
          <w:sz w:val="21"/>
          <w:szCs w:val="21"/>
        </w:rPr>
        <w:t> </w:t>
      </w:r>
      <w:r>
        <w:rPr>
          <w:rFonts w:ascii="宋体" w:hAnsi="宋体" w:cs="宋体" w:eastAsia="宋体" w:hint="default"/>
          <w:sz w:val="21"/>
          <w:szCs w:val="21"/>
        </w:rPr>
        <w:t>号—合并财务报表》执行。</w:t>
      </w:r>
      <w:r>
        <w:rPr>
          <w:rFonts w:ascii="宋体" w:hAnsi="宋体" w:cs="宋体" w:eastAsia="宋体" w:hint="default"/>
          <w:spacing w:val="-1"/>
          <w:sz w:val="21"/>
          <w:szCs w:val="21"/>
        </w:rPr>
        <w:t> </w:t>
      </w:r>
      <w:r>
        <w:rPr>
          <w:rFonts w:ascii="宋体" w:hAnsi="宋体" w:cs="宋体" w:eastAsia="宋体" w:hint="default"/>
          <w:sz w:val="21"/>
          <w:szCs w:val="21"/>
        </w:rPr>
        <w:t>公司所控制的全部子公司均纳入合并财务报表的合并范围。</w:t>
      </w:r>
    </w:p>
    <w:p>
      <w:pPr>
        <w:spacing w:line="297" w:lineRule="auto" w:before="15"/>
        <w:ind w:left="139" w:right="776" w:firstLine="420"/>
        <w:jc w:val="both"/>
        <w:rPr>
          <w:rFonts w:ascii="宋体" w:hAnsi="宋体" w:cs="宋体" w:eastAsia="宋体" w:hint="default"/>
          <w:sz w:val="21"/>
          <w:szCs w:val="21"/>
        </w:rPr>
      </w:pPr>
      <w:r>
        <w:rPr>
          <w:rFonts w:ascii="宋体" w:hAnsi="宋体" w:cs="宋体" w:eastAsia="宋体" w:hint="default"/>
          <w:spacing w:val="-3"/>
          <w:sz w:val="21"/>
          <w:szCs w:val="21"/>
        </w:rPr>
        <w:t>合并财务报表以母公司和纳入合并范围的子公司的个别财务报表为基础，根据其他有关</w:t>
      </w:r>
      <w:r>
        <w:rPr>
          <w:rFonts w:ascii="宋体" w:hAnsi="宋体" w:cs="宋体" w:eastAsia="宋体" w:hint="default"/>
          <w:sz w:val="21"/>
          <w:szCs w:val="21"/>
        </w:rPr>
        <w:t> </w:t>
      </w:r>
      <w:r>
        <w:rPr>
          <w:rFonts w:ascii="宋体" w:hAnsi="宋体" w:cs="宋体" w:eastAsia="宋体" w:hint="default"/>
          <w:spacing w:val="-3"/>
          <w:sz w:val="21"/>
          <w:szCs w:val="21"/>
        </w:rPr>
        <w:t>资料为依据，按照权益法调整对子公司的长期股权投资后，由母公司编制。合并时对内部权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益性投资与子公司所有者权益、内部投资收益与子公司利润分配、内部交易事项、内部债权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债务进行抵销。</w:t>
      </w:r>
    </w:p>
    <w:p>
      <w:pPr>
        <w:spacing w:line="297" w:lineRule="auto" w:before="14"/>
        <w:ind w:left="139" w:right="682" w:firstLine="420"/>
        <w:jc w:val="both"/>
        <w:rPr>
          <w:rFonts w:ascii="宋体" w:hAnsi="宋体" w:cs="宋体" w:eastAsia="宋体" w:hint="default"/>
          <w:sz w:val="21"/>
          <w:szCs w:val="21"/>
        </w:rPr>
      </w:pPr>
      <w:r>
        <w:rPr>
          <w:rFonts w:ascii="宋体" w:hAnsi="宋体" w:cs="宋体" w:eastAsia="宋体" w:hint="default"/>
          <w:sz w:val="21"/>
          <w:szCs w:val="21"/>
        </w:rPr>
        <w:t>合并成本大于合并中取得的被购买方可辨认净资产公允价值份额的差额，确认为商誉。 合并成本小于合并中取得的被购买方可辨认净资产公允价值份额的，其差额计入当期损益。</w:t>
      </w:r>
    </w:p>
    <w:p>
      <w:pPr>
        <w:spacing w:line="297" w:lineRule="auto" w:before="15"/>
        <w:ind w:left="559" w:right="3605" w:firstLine="0"/>
        <w:jc w:val="left"/>
        <w:rPr>
          <w:rFonts w:ascii="宋体" w:hAnsi="宋体" w:cs="宋体" w:eastAsia="宋体" w:hint="default"/>
          <w:sz w:val="21"/>
          <w:szCs w:val="21"/>
        </w:rPr>
      </w:pPr>
      <w:r>
        <w:rPr>
          <w:rFonts w:ascii="宋体" w:hAnsi="宋体" w:cs="宋体" w:eastAsia="宋体" w:hint="default"/>
          <w:sz w:val="21"/>
          <w:szCs w:val="21"/>
        </w:rPr>
        <w:t>子公司所采用的会计政策与母公司保持一致。 本节所列数据除非特别注明，金额单位为人民币万元。</w:t>
      </w:r>
    </w:p>
    <w:p>
      <w:pPr>
        <w:spacing w:line="297" w:lineRule="auto" w:before="14"/>
        <w:ind w:left="562" w:right="4531"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b/>
          <w:bCs/>
          <w:spacing w:val="1"/>
          <w:w w:val="99"/>
          <w:sz w:val="21"/>
          <w:szCs w:val="21"/>
        </w:rPr>
        <w:t> </w:t>
      </w:r>
      <w:r>
        <w:rPr>
          <w:rFonts w:ascii="宋体" w:hAnsi="宋体" w:cs="宋体" w:eastAsia="宋体" w:hint="default"/>
          <w:b/>
          <w:bCs/>
          <w:sz w:val="21"/>
          <w:szCs w:val="21"/>
        </w:rPr>
        <w:t>1、通过同一控制下的企业合并取得的子公司</w:t>
      </w:r>
      <w:r>
        <w:rPr>
          <w:rFonts w:ascii="宋体" w:hAnsi="宋体" w:cs="宋体" w:eastAsia="宋体" w:hint="default"/>
          <w:sz w:val="21"/>
          <w:szCs w:val="21"/>
        </w:rPr>
      </w:r>
    </w:p>
    <w:p>
      <w:pPr>
        <w:spacing w:line="2450" w:lineRule="exact"/>
        <w:ind w:left="110" w:right="0" w:firstLine="0"/>
        <w:rPr>
          <w:rFonts w:ascii="宋体" w:hAnsi="宋体" w:cs="宋体" w:eastAsia="宋体" w:hint="default"/>
          <w:sz w:val="20"/>
          <w:szCs w:val="20"/>
        </w:rPr>
      </w:pPr>
      <w:r>
        <w:rPr>
          <w:rFonts w:ascii="宋体" w:hAnsi="宋体" w:cs="宋体" w:eastAsia="宋体" w:hint="default"/>
          <w:position w:val="-48"/>
          <w:sz w:val="20"/>
          <w:szCs w:val="20"/>
        </w:rPr>
        <w:pict>
          <v:group style="width:450pt;height:122.55pt;mso-position-horizontal-relative:char;mso-position-vertical-relative:line" coordorigin="0,0" coordsize="9000,2451">
            <v:group style="position:absolute;left:29;top:15;width:8949;height:2" coordorigin="29,15" coordsize="8949,2">
              <v:shape style="position:absolute;left:29;top:15;width:8949;height:2" coordorigin="29,15" coordsize="8949,0" path="m29,15l8978,15e" filled="false" stroked="true" strokeweight="1.5pt" strokecolor="#000000">
                <v:path arrowok="t"/>
              </v:shape>
            </v:group>
            <v:group style="position:absolute;left:15;top:2435;width:1090;height:2" coordorigin="15,2435" coordsize="1090,2">
              <v:shape style="position:absolute;left:15;top:2435;width:1090;height:2" coordorigin="15,2435" coordsize="1090,0" path="m15,2435l1105,2435e" filled="false" stroked="true" strokeweight="1.5pt" strokecolor="#000000">
                <v:path arrowok="t"/>
              </v:shape>
              <v:shape style="position:absolute;left:10;top:11;width:8972;height:2426" type="#_x0000_t75" stroked="false">
                <v:imagedata r:id="rId27" o:title=""/>
              </v:shape>
            </v:group>
            <v:group style="position:absolute;left:1105;top:2435;width:720;height:2" coordorigin="1105,2435" coordsize="720,2">
              <v:shape style="position:absolute;left:1105;top:2435;width:720;height:2" coordorigin="1105,2435" coordsize="720,0" path="m1105,2435l1825,2435e" filled="false" stroked="true" strokeweight="1.5pt" strokecolor="#000000">
                <v:path arrowok="t"/>
              </v:shape>
              <v:shape style="position:absolute;left:1808;top:1043;width:43;height:1394" type="#_x0000_t75" stroked="false">
                <v:imagedata r:id="rId28" o:title=""/>
              </v:shape>
            </v:group>
            <v:group style="position:absolute;left:1825;top:2435;width:540;height:2" coordorigin="1825,2435" coordsize="540,2">
              <v:shape style="position:absolute;left:1825;top:2435;width:540;height:2" coordorigin="1825,2435" coordsize="540,0" path="m1825,2435l2365,2435e" filled="false" stroked="true" strokeweight="1.5pt" strokecolor="#000000">
                <v:path arrowok="t"/>
              </v:shape>
              <v:shape style="position:absolute;left:2348;top:1043;width:43;height:1394" type="#_x0000_t75" stroked="false">
                <v:imagedata r:id="rId29" o:title=""/>
              </v:shape>
            </v:group>
            <v:group style="position:absolute;left:2365;top:2435;width:540;height:2" coordorigin="2365,2435" coordsize="540,2">
              <v:shape style="position:absolute;left:2365;top:2435;width:540;height:2" coordorigin="2365,2435" coordsize="540,0" path="m2365,2435l2905,2435e" filled="false" stroked="true" strokeweight="1.5pt" strokecolor="#000000">
                <v:path arrowok="t"/>
              </v:shape>
              <v:shape style="position:absolute;left:2885;top:1040;width:48;height:1382" type="#_x0000_t75" stroked="false">
                <v:imagedata r:id="rId30" o:title=""/>
              </v:shape>
            </v:group>
            <v:group style="position:absolute;left:2905;top:2435;width:540;height:2" coordorigin="2905,2435" coordsize="540,2">
              <v:shape style="position:absolute;left:2905;top:2435;width:540;height:2" coordorigin="2905,2435" coordsize="540,0" path="m2905,2435l3445,2435e" filled="false" stroked="true" strokeweight="1.5pt" strokecolor="#000000">
                <v:path arrowok="t"/>
              </v:shape>
              <v:shape style="position:absolute;left:3428;top:1043;width:43;height:1394" type="#_x0000_t75" stroked="false">
                <v:imagedata r:id="rId31" o:title=""/>
              </v:shape>
            </v:group>
            <v:group style="position:absolute;left:3445;top:2435;width:1440;height:2" coordorigin="3445,2435" coordsize="1440,2">
              <v:shape style="position:absolute;left:3445;top:2435;width:1440;height:2" coordorigin="3445,2435" coordsize="1440,0" path="m3445,2435l4885,2435e" filled="false" stroked="true" strokeweight="1.5pt" strokecolor="#000000">
                <v:path arrowok="t"/>
              </v:shape>
              <v:shape style="position:absolute;left:4868;top:1043;width:43;height:1394" type="#_x0000_t75" stroked="false">
                <v:imagedata r:id="rId29" o:title=""/>
              </v:shape>
            </v:group>
            <v:group style="position:absolute;left:4885;top:2435;width:930;height:2" coordorigin="4885,2435" coordsize="930,2">
              <v:shape style="position:absolute;left:4885;top:2435;width:930;height:2" coordorigin="4885,2435" coordsize="930,0" path="m4885,2435l5815,2435e" filled="false" stroked="true" strokeweight="1.5pt" strokecolor="#000000">
                <v:path arrowok="t"/>
              </v:shape>
              <v:shape style="position:absolute;left:5798;top:1043;width:43;height:1394" type="#_x0000_t75" stroked="false">
                <v:imagedata r:id="rId28" o:title=""/>
              </v:shape>
            </v:group>
            <v:group style="position:absolute;left:5815;top:2435;width:1050;height:2" coordorigin="5815,2435" coordsize="1050,2">
              <v:shape style="position:absolute;left:5815;top:2435;width:1050;height:2" coordorigin="5815,2435" coordsize="1050,0" path="m5815,2435l6865,2435e" filled="false" stroked="true" strokeweight="1.5pt" strokecolor="#000000">
                <v:path arrowok="t"/>
              </v:shape>
              <v:shape style="position:absolute;left:6845;top:1040;width:48;height:1382" type="#_x0000_t75" stroked="false">
                <v:imagedata r:id="rId32" o:title=""/>
              </v:shape>
            </v:group>
            <v:group style="position:absolute;left:6865;top:2435;width:1110;height:2" coordorigin="6865,2435" coordsize="1110,2">
              <v:shape style="position:absolute;left:6865;top:2435;width:1110;height:2" coordorigin="6865,2435" coordsize="1110,0" path="m6865,2435l7975,2435e" filled="false" stroked="true" strokeweight="1.5pt" strokecolor="#000000">
                <v:path arrowok="t"/>
              </v:shape>
              <v:shape style="position:absolute;left:7958;top:1043;width:43;height:1394" type="#_x0000_t75" stroked="false">
                <v:imagedata r:id="rId29" o:title=""/>
              </v:shape>
            </v:group>
            <v:group style="position:absolute;left:7975;top:2435;width:1011;height:2" coordorigin="7975,2435" coordsize="1011,2">
              <v:shape style="position:absolute;left:7975;top:2435;width:1011;height:2" coordorigin="7975,2435" coordsize="1011,0" path="m7975,2435l8985,2435e" filled="false" stroked="true" strokeweight="1.5pt" strokecolor="#000000">
                <v:path arrowok="t"/>
              </v:shape>
              <v:shape style="position:absolute;left:169;top:148;width:2632;height:689" type="#_x0000_t202" filled="false" stroked="false">
                <v:textbox inset="0,0,0,0">
                  <w:txbxContent>
                    <w:p>
                      <w:pPr>
                        <w:spacing w:line="147" w:lineRule="exact" w:before="0"/>
                        <w:ind w:left="0" w:right="7" w:firstLine="0"/>
                        <w:jc w:val="center"/>
                        <w:rPr>
                          <w:rFonts w:ascii="宋体" w:hAnsi="宋体" w:cs="宋体" w:eastAsia="宋体" w:hint="default"/>
                          <w:sz w:val="18"/>
                          <w:szCs w:val="18"/>
                        </w:rPr>
                      </w:pPr>
                      <w:r>
                        <w:rPr>
                          <w:rFonts w:ascii="宋体" w:hAnsi="宋体" w:cs="宋体" w:eastAsia="宋体" w:hint="default"/>
                          <w:spacing w:val="-14"/>
                          <w:sz w:val="18"/>
                          <w:szCs w:val="18"/>
                        </w:rPr>
                        <w:t>子公司</w:t>
                      </w:r>
                    </w:p>
                    <w:p>
                      <w:pPr>
                        <w:tabs>
                          <w:tab w:pos="1769" w:val="left" w:leader="none"/>
                        </w:tabs>
                        <w:spacing w:line="172" w:lineRule="auto" w:before="25"/>
                        <w:ind w:left="0" w:right="0" w:firstLine="0"/>
                        <w:jc w:val="center"/>
                        <w:rPr>
                          <w:rFonts w:ascii="宋体" w:hAnsi="宋体" w:cs="宋体" w:eastAsia="宋体" w:hint="default"/>
                          <w:sz w:val="18"/>
                          <w:szCs w:val="18"/>
                        </w:rPr>
                      </w:pPr>
                      <w:r>
                        <w:rPr>
                          <w:rFonts w:ascii="宋体" w:hAnsi="宋体" w:cs="宋体" w:eastAsia="宋体" w:hint="default"/>
                          <w:spacing w:val="-17"/>
                          <w:sz w:val="18"/>
                          <w:szCs w:val="18"/>
                        </w:rPr>
                        <w:t>被投资单位</w:t>
                        <w:tab/>
                      </w:r>
                      <w:r>
                        <w:rPr>
                          <w:rFonts w:ascii="宋体" w:hAnsi="宋体" w:cs="宋体" w:eastAsia="宋体" w:hint="default"/>
                          <w:spacing w:val="-10"/>
                          <w:sz w:val="18"/>
                          <w:szCs w:val="18"/>
                        </w:rPr>
                        <w:t>注册 </w:t>
                      </w:r>
                      <w:r>
                        <w:rPr>
                          <w:rFonts w:ascii="宋体" w:hAnsi="宋体" w:cs="宋体" w:eastAsia="宋体" w:hint="default"/>
                          <w:spacing w:val="29"/>
                          <w:sz w:val="18"/>
                          <w:szCs w:val="18"/>
                        </w:rPr>
                        <w:t> </w:t>
                      </w:r>
                      <w:r>
                        <w:rPr>
                          <w:rFonts w:ascii="宋体" w:hAnsi="宋体" w:cs="宋体" w:eastAsia="宋体" w:hint="default"/>
                          <w:spacing w:val="-20"/>
                          <w:sz w:val="18"/>
                          <w:szCs w:val="18"/>
                        </w:rPr>
                        <w:t>业务</w:t>
                      </w:r>
                      <w:r>
                        <w:rPr>
                          <w:rFonts w:ascii="宋体" w:hAnsi="宋体" w:cs="宋体" w:eastAsia="宋体" w:hint="default"/>
                          <w:spacing w:val="-20"/>
                          <w:sz w:val="18"/>
                          <w:szCs w:val="18"/>
                        </w:rPr>
                        <w:t> 类型</w:t>
                      </w:r>
                      <w:r>
                        <w:rPr>
                          <w:rFonts w:ascii="宋体" w:hAnsi="宋体" w:cs="宋体" w:eastAsia="宋体" w:hint="default"/>
                          <w:sz w:val="18"/>
                          <w:szCs w:val="18"/>
                        </w:rPr>
                      </w:r>
                    </w:p>
                    <w:p>
                      <w:pPr>
                        <w:tabs>
                          <w:tab w:pos="1850" w:val="left" w:leader="none"/>
                          <w:tab w:pos="2309" w:val="left" w:leader="none"/>
                        </w:tabs>
                        <w:spacing w:line="176" w:lineRule="exact" w:before="0"/>
                        <w:ind w:left="239" w:right="0" w:firstLine="0"/>
                        <w:jc w:val="left"/>
                        <w:rPr>
                          <w:rFonts w:ascii="宋体" w:hAnsi="宋体" w:cs="宋体" w:eastAsia="宋体" w:hint="default"/>
                          <w:sz w:val="18"/>
                          <w:szCs w:val="18"/>
                        </w:rPr>
                      </w:pPr>
                      <w:r>
                        <w:rPr>
                          <w:rFonts w:ascii="宋体" w:hAnsi="宋体" w:cs="宋体" w:eastAsia="宋体" w:hint="default"/>
                          <w:spacing w:val="-10"/>
                          <w:sz w:val="18"/>
                          <w:szCs w:val="18"/>
                        </w:rPr>
                        <w:t>全称</w:t>
                        <w:tab/>
                      </w:r>
                      <w:r>
                        <w:rPr>
                          <w:rFonts w:ascii="宋体" w:hAnsi="宋体" w:cs="宋体" w:eastAsia="宋体" w:hint="default"/>
                          <w:sz w:val="18"/>
                          <w:szCs w:val="18"/>
                        </w:rPr>
                        <w:t>地</w:t>
                        <w:tab/>
                      </w:r>
                      <w:r>
                        <w:rPr>
                          <w:rFonts w:ascii="宋体" w:hAnsi="宋体" w:cs="宋体" w:eastAsia="宋体" w:hint="default"/>
                          <w:spacing w:val="-20"/>
                          <w:sz w:val="18"/>
                          <w:szCs w:val="18"/>
                        </w:rPr>
                        <w:t>性质</w:t>
                      </w:r>
                      <w:r>
                        <w:rPr>
                          <w:rFonts w:ascii="宋体" w:hAnsi="宋体" w:cs="宋体" w:eastAsia="宋体" w:hint="default"/>
                          <w:sz w:val="18"/>
                          <w:szCs w:val="18"/>
                        </w:rPr>
                      </w:r>
                    </w:p>
                  </w:txbxContent>
                </v:textbox>
                <w10:wrap type="none"/>
              </v:shape>
              <v:shape style="position:absolute;left:3019;top:317;width:322;height:5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0"/>
                          <w:sz w:val="18"/>
                          <w:szCs w:val="18"/>
                        </w:rPr>
                        <w:t>注册</w:t>
                      </w:r>
                      <w:r>
                        <w:rPr>
                          <w:rFonts w:ascii="宋体" w:hAnsi="宋体" w:cs="宋体" w:eastAsia="宋体" w:hint="default"/>
                          <w:sz w:val="18"/>
                          <w:szCs w:val="18"/>
                        </w:rPr>
                      </w:r>
                    </w:p>
                    <w:p>
                      <w:pPr>
                        <w:spacing w:before="104"/>
                        <w:ind w:left="0" w:right="0" w:firstLine="0"/>
                        <w:jc w:val="left"/>
                        <w:rPr>
                          <w:rFonts w:ascii="宋体" w:hAnsi="宋体" w:cs="宋体" w:eastAsia="宋体" w:hint="default"/>
                          <w:sz w:val="18"/>
                          <w:szCs w:val="18"/>
                        </w:rPr>
                      </w:pPr>
                      <w:r>
                        <w:rPr>
                          <w:rFonts w:ascii="宋体" w:hAnsi="宋体" w:cs="宋体" w:eastAsia="宋体" w:hint="default"/>
                          <w:spacing w:val="-20"/>
                          <w:sz w:val="18"/>
                          <w:szCs w:val="18"/>
                        </w:rPr>
                        <w:t>资本</w:t>
                      </w:r>
                      <w:r>
                        <w:rPr>
                          <w:rFonts w:ascii="宋体" w:hAnsi="宋体" w:cs="宋体" w:eastAsia="宋体" w:hint="default"/>
                          <w:sz w:val="18"/>
                          <w:szCs w:val="18"/>
                        </w:rPr>
                      </w:r>
                    </w:p>
                  </w:txbxContent>
                </v:textbox>
                <w10:wrap type="none"/>
              </v:shape>
              <v:shape style="position:absolute;left:3838;top:487;width:6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6"/>
                          <w:sz w:val="18"/>
                          <w:szCs w:val="18"/>
                        </w:rPr>
                        <w:t>经营范围</w:t>
                      </w:r>
                    </w:p>
                  </w:txbxContent>
                </v:textbox>
                <w10:wrap type="none"/>
              </v:shape>
              <v:shape style="position:absolute;left:5033;top:148;width:1732;height:1210" type="#_x0000_t202" filled="false" stroked="false">
                <v:textbox inset="0,0,0,0">
                  <w:txbxContent>
                    <w:p>
                      <w:pPr>
                        <w:spacing w:line="147" w:lineRule="exact" w:before="0"/>
                        <w:ind w:left="0" w:right="1087" w:firstLine="0"/>
                        <w:jc w:val="center"/>
                        <w:rPr>
                          <w:rFonts w:ascii="宋体" w:hAnsi="宋体" w:cs="宋体" w:eastAsia="宋体" w:hint="default"/>
                          <w:sz w:val="18"/>
                          <w:szCs w:val="18"/>
                        </w:rPr>
                      </w:pPr>
                      <w:r>
                        <w:rPr>
                          <w:rFonts w:ascii="宋体" w:hAnsi="宋体" w:cs="宋体" w:eastAsia="宋体" w:hint="default"/>
                          <w:spacing w:val="-21"/>
                          <w:sz w:val="18"/>
                          <w:szCs w:val="18"/>
                        </w:rPr>
                        <w:t>本公司年</w:t>
                      </w:r>
                      <w:r>
                        <w:rPr>
                          <w:rFonts w:ascii="宋体" w:hAnsi="宋体" w:cs="宋体" w:eastAsia="宋体" w:hint="default"/>
                          <w:sz w:val="18"/>
                          <w:szCs w:val="18"/>
                        </w:rPr>
                      </w:r>
                    </w:p>
                    <w:p>
                      <w:pPr>
                        <w:spacing w:line="170" w:lineRule="exact" w:before="0"/>
                        <w:ind w:left="910" w:right="0" w:firstLine="0"/>
                        <w:jc w:val="left"/>
                        <w:rPr>
                          <w:rFonts w:ascii="宋体" w:hAnsi="宋体" w:cs="宋体" w:eastAsia="宋体" w:hint="default"/>
                          <w:sz w:val="18"/>
                          <w:szCs w:val="18"/>
                        </w:rPr>
                      </w:pPr>
                      <w:r>
                        <w:rPr>
                          <w:rFonts w:ascii="宋体" w:hAnsi="宋体" w:cs="宋体" w:eastAsia="宋体" w:hint="default"/>
                          <w:spacing w:val="-17"/>
                          <w:sz w:val="18"/>
                          <w:szCs w:val="18"/>
                        </w:rPr>
                        <w:t>本公司合计</w:t>
                      </w:r>
                    </w:p>
                    <w:p>
                      <w:pPr>
                        <w:spacing w:line="170" w:lineRule="exact" w:before="0"/>
                        <w:ind w:left="0" w:right="1087" w:firstLine="0"/>
                        <w:jc w:val="center"/>
                        <w:rPr>
                          <w:rFonts w:ascii="宋体" w:hAnsi="宋体" w:cs="宋体" w:eastAsia="宋体" w:hint="default"/>
                          <w:sz w:val="18"/>
                          <w:szCs w:val="18"/>
                        </w:rPr>
                      </w:pPr>
                      <w:r>
                        <w:rPr>
                          <w:rFonts w:ascii="宋体" w:hAnsi="宋体" w:cs="宋体" w:eastAsia="宋体" w:hint="default"/>
                          <w:spacing w:val="-21"/>
                          <w:sz w:val="18"/>
                          <w:szCs w:val="18"/>
                        </w:rPr>
                        <w:t>末实际投</w:t>
                      </w:r>
                      <w:r>
                        <w:rPr>
                          <w:rFonts w:ascii="宋体" w:hAnsi="宋体" w:cs="宋体" w:eastAsia="宋体" w:hint="default"/>
                          <w:sz w:val="18"/>
                          <w:szCs w:val="18"/>
                        </w:rPr>
                      </w:r>
                    </w:p>
                    <w:p>
                      <w:pPr>
                        <w:spacing w:line="170" w:lineRule="exact" w:before="0"/>
                        <w:ind w:left="990" w:right="0" w:firstLine="0"/>
                        <w:jc w:val="left"/>
                        <w:rPr>
                          <w:rFonts w:ascii="宋体" w:hAnsi="宋体" w:cs="宋体" w:eastAsia="宋体" w:hint="default"/>
                          <w:sz w:val="18"/>
                          <w:szCs w:val="18"/>
                        </w:rPr>
                      </w:pPr>
                      <w:r>
                        <w:rPr>
                          <w:rFonts w:ascii="宋体" w:hAnsi="宋体" w:cs="宋体" w:eastAsia="宋体" w:hint="default"/>
                          <w:spacing w:val="-21"/>
                          <w:sz w:val="18"/>
                          <w:szCs w:val="18"/>
                        </w:rPr>
                        <w:t>持股比例</w:t>
                      </w:r>
                      <w:r>
                        <w:rPr>
                          <w:rFonts w:ascii="宋体" w:hAnsi="宋体" w:cs="宋体" w:eastAsia="宋体" w:hint="default"/>
                          <w:sz w:val="18"/>
                          <w:szCs w:val="18"/>
                        </w:rPr>
                      </w:r>
                    </w:p>
                    <w:p>
                      <w:pPr>
                        <w:spacing w:line="204" w:lineRule="exact" w:before="0"/>
                        <w:ind w:left="-10" w:right="1079" w:firstLine="0"/>
                        <w:jc w:val="center"/>
                        <w:rPr>
                          <w:rFonts w:ascii="宋体" w:hAnsi="宋体" w:cs="宋体" w:eastAsia="宋体" w:hint="default"/>
                          <w:sz w:val="18"/>
                          <w:szCs w:val="18"/>
                        </w:rPr>
                      </w:pPr>
                      <w:r>
                        <w:rPr>
                          <w:rFonts w:ascii="宋体" w:hAnsi="宋体" w:cs="宋体" w:eastAsia="宋体" w:hint="default"/>
                          <w:spacing w:val="-20"/>
                          <w:sz w:val="18"/>
                          <w:szCs w:val="18"/>
                        </w:rPr>
                        <w:t>资额</w:t>
                      </w:r>
                      <w:r>
                        <w:rPr>
                          <w:rFonts w:ascii="宋体" w:hAnsi="宋体" w:cs="宋体" w:eastAsia="宋体" w:hint="default"/>
                          <w:sz w:val="18"/>
                          <w:szCs w:val="18"/>
                        </w:rPr>
                      </w:r>
                    </w:p>
                    <w:p>
                      <w:pPr>
                        <w:spacing w:before="113"/>
                        <w:ind w:left="0" w:right="1079" w:firstLine="0"/>
                        <w:jc w:val="center"/>
                        <w:rPr>
                          <w:rFonts w:ascii="宋体" w:hAnsi="宋体" w:cs="宋体" w:eastAsia="宋体" w:hint="default"/>
                          <w:sz w:val="18"/>
                          <w:szCs w:val="18"/>
                        </w:rPr>
                      </w:pPr>
                      <w:r>
                        <w:rPr>
                          <w:rFonts w:ascii="宋体"/>
                          <w:spacing w:val="-9"/>
                          <w:sz w:val="18"/>
                        </w:rPr>
                        <w:t>3,951.85</w:t>
                      </w:r>
                    </w:p>
                  </w:txbxContent>
                </v:textbox>
                <w10:wrap type="none"/>
              </v:shape>
              <v:shape style="position:absolute;left:7024;top:148;width:821;height:121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pacing w:val="-17"/>
                          <w:sz w:val="18"/>
                          <w:szCs w:val="18"/>
                        </w:rPr>
                        <w:t>本公司合计</w:t>
                      </w:r>
                    </w:p>
                    <w:p>
                      <w:pPr>
                        <w:spacing w:line="348" w:lineRule="auto" w:before="104"/>
                        <w:ind w:left="0" w:right="0" w:firstLine="0"/>
                        <w:jc w:val="center"/>
                        <w:rPr>
                          <w:rFonts w:ascii="宋体" w:hAnsi="宋体" w:cs="宋体" w:eastAsia="宋体" w:hint="default"/>
                          <w:sz w:val="18"/>
                          <w:szCs w:val="18"/>
                        </w:rPr>
                      </w:pPr>
                      <w:r>
                        <w:rPr>
                          <w:rFonts w:ascii="宋体" w:hAnsi="宋体" w:cs="宋体" w:eastAsia="宋体" w:hint="default"/>
                          <w:spacing w:val="-17"/>
                          <w:sz w:val="18"/>
                          <w:szCs w:val="18"/>
                        </w:rPr>
                        <w:t>享有的表决</w:t>
                      </w:r>
                      <w:r>
                        <w:rPr>
                          <w:rFonts w:ascii="宋体" w:hAnsi="宋体" w:cs="宋体" w:eastAsia="宋体" w:hint="default"/>
                          <w:sz w:val="18"/>
                          <w:szCs w:val="18"/>
                        </w:rPr>
                        <w:t> </w:t>
                      </w:r>
                      <w:r>
                        <w:rPr>
                          <w:rFonts w:ascii="宋体" w:hAnsi="宋体" w:cs="宋体" w:eastAsia="宋体" w:hint="default"/>
                          <w:spacing w:val="-14"/>
                          <w:sz w:val="18"/>
                          <w:szCs w:val="18"/>
                        </w:rPr>
                        <w:t>权比例</w:t>
                      </w:r>
                    </w:p>
                    <w:p>
                      <w:pPr>
                        <w:spacing w:before="32"/>
                        <w:ind w:left="0" w:right="18" w:firstLine="0"/>
                        <w:jc w:val="center"/>
                        <w:rPr>
                          <w:rFonts w:ascii="宋体" w:hAnsi="宋体" w:cs="宋体" w:eastAsia="宋体" w:hint="default"/>
                          <w:sz w:val="18"/>
                          <w:szCs w:val="18"/>
                        </w:rPr>
                      </w:pPr>
                      <w:r>
                        <w:rPr>
                          <w:rFonts w:ascii="宋体"/>
                          <w:spacing w:val="-10"/>
                          <w:sz w:val="18"/>
                        </w:rPr>
                        <w:t>51%</w:t>
                      </w:r>
                      <w:r>
                        <w:rPr>
                          <w:rFonts w:ascii="宋体"/>
                          <w:sz w:val="18"/>
                        </w:rPr>
                      </w:r>
                    </w:p>
                  </w:txbxContent>
                </v:textbox>
                <w10:wrap type="none"/>
              </v:shape>
              <v:shape style="position:absolute;left:8162;top:317;width:640;height:520"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pacing w:val="-21"/>
                          <w:sz w:val="18"/>
                          <w:szCs w:val="18"/>
                        </w:rPr>
                        <w:t>是否合并</w:t>
                      </w:r>
                      <w:r>
                        <w:rPr>
                          <w:rFonts w:ascii="宋体" w:hAnsi="宋体" w:cs="宋体" w:eastAsia="宋体" w:hint="default"/>
                          <w:sz w:val="18"/>
                          <w:szCs w:val="18"/>
                        </w:rPr>
                      </w:r>
                    </w:p>
                    <w:p>
                      <w:pPr>
                        <w:spacing w:before="104"/>
                        <w:ind w:left="0" w:right="1" w:firstLine="0"/>
                        <w:jc w:val="center"/>
                        <w:rPr>
                          <w:rFonts w:ascii="宋体" w:hAnsi="宋体" w:cs="宋体" w:eastAsia="宋体" w:hint="default"/>
                          <w:sz w:val="18"/>
                          <w:szCs w:val="18"/>
                        </w:rPr>
                      </w:pPr>
                      <w:r>
                        <w:rPr>
                          <w:rFonts w:ascii="宋体" w:hAnsi="宋体" w:cs="宋体" w:eastAsia="宋体" w:hint="default"/>
                          <w:spacing w:val="-20"/>
                          <w:sz w:val="18"/>
                          <w:szCs w:val="18"/>
                        </w:rPr>
                        <w:t>报表</w:t>
                      </w:r>
                      <w:r>
                        <w:rPr>
                          <w:rFonts w:ascii="宋体" w:hAnsi="宋体" w:cs="宋体" w:eastAsia="宋体" w:hint="default"/>
                          <w:sz w:val="18"/>
                          <w:szCs w:val="18"/>
                        </w:rPr>
                      </w:r>
                    </w:p>
                  </w:txbxContent>
                </v:textbox>
                <w10:wrap type="none"/>
              </v:shape>
              <v:shape style="position:absolute;left:169;top:1177;width:821;height:86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7"/>
                          <w:sz w:val="18"/>
                          <w:szCs w:val="18"/>
                        </w:rPr>
                        <w:t>无锡实益达</w:t>
                      </w:r>
                    </w:p>
                    <w:p>
                      <w:pPr>
                        <w:spacing w:line="340" w:lineRule="exact" w:before="42"/>
                        <w:ind w:left="320" w:right="0" w:hanging="321"/>
                        <w:jc w:val="left"/>
                        <w:rPr>
                          <w:rFonts w:ascii="宋体" w:hAnsi="宋体" w:cs="宋体" w:eastAsia="宋体" w:hint="default"/>
                          <w:sz w:val="18"/>
                          <w:szCs w:val="18"/>
                        </w:rPr>
                      </w:pPr>
                      <w:r>
                        <w:rPr>
                          <w:rFonts w:ascii="宋体" w:hAnsi="宋体" w:cs="宋体" w:eastAsia="宋体" w:hint="default"/>
                          <w:spacing w:val="-17"/>
                          <w:sz w:val="18"/>
                          <w:szCs w:val="18"/>
                        </w:rPr>
                        <w:t>电子有限公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xbxContent>
                </v:textbox>
                <w10:wrap type="none"/>
              </v:shape>
              <v:shape style="position:absolute;left:1229;top:1177;width:501;height:520" type="#_x0000_t202" filled="false" stroked="false">
                <v:textbox inset="0,0,0,0">
                  <w:txbxContent>
                    <w:p>
                      <w:pPr>
                        <w:spacing w:line="180" w:lineRule="exact" w:before="0"/>
                        <w:ind w:left="79" w:right="0" w:hanging="80"/>
                        <w:jc w:val="left"/>
                        <w:rPr>
                          <w:rFonts w:ascii="宋体" w:hAnsi="宋体" w:cs="宋体" w:eastAsia="宋体" w:hint="default"/>
                          <w:sz w:val="18"/>
                          <w:szCs w:val="18"/>
                        </w:rPr>
                      </w:pPr>
                      <w:r>
                        <w:rPr>
                          <w:rFonts w:ascii="宋体" w:hAnsi="宋体" w:cs="宋体" w:eastAsia="宋体" w:hint="default"/>
                          <w:spacing w:val="-14"/>
                          <w:sz w:val="18"/>
                          <w:szCs w:val="18"/>
                        </w:rPr>
                        <w:t>控股子</w:t>
                      </w:r>
                    </w:p>
                    <w:p>
                      <w:pPr>
                        <w:spacing w:before="104"/>
                        <w:ind w:left="79" w:right="0" w:firstLine="0"/>
                        <w:jc w:val="left"/>
                        <w:rPr>
                          <w:rFonts w:ascii="宋体" w:hAnsi="宋体" w:cs="宋体" w:eastAsia="宋体" w:hint="default"/>
                          <w:sz w:val="18"/>
                          <w:szCs w:val="18"/>
                        </w:rPr>
                      </w:pPr>
                      <w:r>
                        <w:rPr>
                          <w:rFonts w:ascii="宋体" w:hAnsi="宋体" w:cs="宋体" w:eastAsia="宋体" w:hint="default"/>
                          <w:spacing w:val="-20"/>
                          <w:sz w:val="18"/>
                          <w:szCs w:val="18"/>
                        </w:rPr>
                        <w:t>公司</w:t>
                      </w:r>
                      <w:r>
                        <w:rPr>
                          <w:rFonts w:ascii="宋体" w:hAnsi="宋体" w:cs="宋体" w:eastAsia="宋体" w:hint="default"/>
                          <w:sz w:val="18"/>
                          <w:szCs w:val="18"/>
                        </w:rPr>
                      </w:r>
                    </w:p>
                  </w:txbxContent>
                </v:textbox>
                <w10:wrap type="none"/>
              </v:shape>
              <v:shape style="position:absolute;left:1939;top:1177;width:3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0"/>
                          <w:sz w:val="18"/>
                          <w:szCs w:val="18"/>
                        </w:rPr>
                        <w:t>无锡</w:t>
                      </w:r>
                      <w:r>
                        <w:rPr>
                          <w:rFonts w:ascii="宋体" w:hAnsi="宋体" w:cs="宋体" w:eastAsia="宋体" w:hint="default"/>
                          <w:sz w:val="18"/>
                          <w:szCs w:val="18"/>
                        </w:rPr>
                      </w:r>
                    </w:p>
                  </w:txbxContent>
                </v:textbox>
                <w10:wrap type="none"/>
              </v:shape>
              <v:shape style="position:absolute;left:3058;top:1177;width:243;height:520" type="#_x0000_t202" filled="false" stroked="false">
                <v:textbox inset="0,0,0,0">
                  <w:txbxContent>
                    <w:p>
                      <w:pPr>
                        <w:spacing w:line="180" w:lineRule="exact" w:before="0"/>
                        <w:ind w:left="0" w:right="0" w:firstLine="1"/>
                        <w:jc w:val="left"/>
                        <w:rPr>
                          <w:rFonts w:ascii="宋体" w:hAnsi="宋体" w:cs="宋体" w:eastAsia="宋体" w:hint="default"/>
                          <w:sz w:val="18"/>
                          <w:szCs w:val="18"/>
                        </w:rPr>
                      </w:pPr>
                      <w:r>
                        <w:rPr>
                          <w:rFonts w:ascii="宋体"/>
                          <w:spacing w:val="-10"/>
                          <w:sz w:val="18"/>
                        </w:rPr>
                        <w:t>USD</w:t>
                      </w:r>
                      <w:r>
                        <w:rPr>
                          <w:rFonts w:ascii="宋体"/>
                          <w:sz w:val="18"/>
                        </w:rPr>
                      </w:r>
                    </w:p>
                    <w:p>
                      <w:pPr>
                        <w:spacing w:before="104"/>
                        <w:ind w:left="0" w:right="0" w:firstLine="0"/>
                        <w:jc w:val="left"/>
                        <w:rPr>
                          <w:rFonts w:ascii="宋体" w:hAnsi="宋体" w:cs="宋体" w:eastAsia="宋体" w:hint="default"/>
                          <w:sz w:val="18"/>
                          <w:szCs w:val="18"/>
                        </w:rPr>
                      </w:pPr>
                      <w:r>
                        <w:rPr>
                          <w:rFonts w:ascii="宋体"/>
                          <w:spacing w:val="-10"/>
                          <w:sz w:val="18"/>
                        </w:rPr>
                        <w:t>800</w:t>
                      </w:r>
                      <w:r>
                        <w:rPr>
                          <w:rFonts w:ascii="宋体"/>
                          <w:sz w:val="18"/>
                        </w:rPr>
                      </w:r>
                    </w:p>
                  </w:txbxContent>
                </v:textbox>
                <w10:wrap type="none"/>
              </v:shape>
              <v:shape style="position:absolute;left:3557;top:1177;width:1325;height:120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生产并销售电子</w:t>
                      </w:r>
                    </w:p>
                    <w:p>
                      <w:pPr>
                        <w:spacing w:before="104"/>
                        <w:ind w:left="0" w:right="0" w:firstLine="0"/>
                        <w:jc w:val="left"/>
                        <w:rPr>
                          <w:rFonts w:ascii="宋体" w:hAnsi="宋体" w:cs="宋体" w:eastAsia="宋体" w:hint="default"/>
                          <w:sz w:val="18"/>
                          <w:szCs w:val="18"/>
                        </w:rPr>
                      </w:pPr>
                      <w:r>
                        <w:rPr>
                          <w:rFonts w:ascii="宋体" w:hAnsi="宋体" w:cs="宋体" w:eastAsia="宋体" w:hint="default"/>
                          <w:spacing w:val="-28"/>
                          <w:sz w:val="18"/>
                          <w:szCs w:val="18"/>
                        </w:rPr>
                        <w:t>元器件（混合集成</w:t>
                      </w:r>
                      <w:r>
                        <w:rPr>
                          <w:rFonts w:ascii="宋体" w:hAnsi="宋体" w:cs="宋体" w:eastAsia="宋体" w:hint="default"/>
                          <w:sz w:val="18"/>
                          <w:szCs w:val="18"/>
                        </w:rPr>
                      </w:r>
                    </w:p>
                    <w:p>
                      <w:pPr>
                        <w:spacing w:line="340" w:lineRule="atLeast" w:before="0"/>
                        <w:ind w:left="0" w:right="0" w:firstLine="0"/>
                        <w:jc w:val="left"/>
                        <w:rPr>
                          <w:rFonts w:ascii="宋体" w:hAnsi="宋体" w:cs="宋体" w:eastAsia="宋体" w:hint="default"/>
                          <w:sz w:val="18"/>
                          <w:szCs w:val="18"/>
                        </w:rPr>
                      </w:pPr>
                      <w:r>
                        <w:rPr>
                          <w:rFonts w:ascii="宋体" w:hAnsi="宋体" w:cs="宋体" w:eastAsia="宋体" w:hint="default"/>
                          <w:spacing w:val="-34"/>
                          <w:sz w:val="18"/>
                          <w:szCs w:val="18"/>
                        </w:rPr>
                        <w:t>电路）、电子产品、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数字放声设备</w:t>
                      </w:r>
                      <w:r>
                        <w:rPr>
                          <w:rFonts w:ascii="宋体" w:hAnsi="宋体" w:cs="宋体" w:eastAsia="宋体" w:hint="default"/>
                          <w:sz w:val="18"/>
                          <w:szCs w:val="18"/>
                        </w:rPr>
                      </w:r>
                    </w:p>
                  </w:txbxContent>
                </v:textbox>
                <w10:wrap type="none"/>
              </v:shape>
              <v:shape style="position:absolute;left:6224;top:1177;width:2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0"/>
                          <w:sz w:val="18"/>
                        </w:rPr>
                        <w:t>51%</w:t>
                      </w:r>
                      <w:r>
                        <w:rPr>
                          <w:rFonts w:ascii="宋体"/>
                          <w:sz w:val="18"/>
                        </w:rPr>
                      </w:r>
                    </w:p>
                  </w:txbxContent>
                </v:textbox>
                <w10:wrap type="none"/>
              </v:shape>
              <v:shape style="position:absolute;left:8401;top:11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group>
          </v:group>
        </w:pict>
      </w:r>
      <w:r>
        <w:rPr>
          <w:rFonts w:ascii="宋体" w:hAnsi="宋体" w:cs="宋体" w:eastAsia="宋体" w:hint="default"/>
          <w:position w:val="-48"/>
          <w:sz w:val="20"/>
          <w:szCs w:val="20"/>
        </w:rPr>
      </w:r>
    </w:p>
    <w:p>
      <w:pPr>
        <w:spacing w:before="27"/>
        <w:ind w:left="560" w:right="76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一</w:t>
      </w:r>
      <w:r>
        <w:rPr>
          <w:rFonts w:ascii="宋体" w:hAnsi="宋体" w:cs="宋体" w:eastAsia="宋体" w:hint="default"/>
          <w:sz w:val="21"/>
          <w:szCs w:val="21"/>
        </w:rPr>
        <w:t>控制下企业合并”的判断依据</w:t>
      </w:r>
    </w:p>
    <w:p>
      <w:pPr>
        <w:spacing w:line="297" w:lineRule="auto" w:before="64"/>
        <w:ind w:left="140" w:right="763" w:firstLine="42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33"/>
          <w:sz w:val="21"/>
          <w:szCs w:val="21"/>
        </w:rPr>
        <w:t> </w:t>
      </w:r>
      <w:r>
        <w:rPr>
          <w:rFonts w:ascii="宋体" w:hAnsi="宋体" w:cs="宋体" w:eastAsia="宋体" w:hint="default"/>
          <w:sz w:val="21"/>
          <w:szCs w:val="21"/>
        </w:rPr>
        <w:t>20</w:t>
      </w:r>
      <w:r>
        <w:rPr>
          <w:rFonts w:ascii="宋体" w:hAnsi="宋体" w:cs="宋体" w:eastAsia="宋体" w:hint="default"/>
          <w:spacing w:val="-33"/>
          <w:sz w:val="21"/>
          <w:szCs w:val="21"/>
        </w:rPr>
        <w:t> </w:t>
      </w:r>
      <w:r>
        <w:rPr>
          <w:rFonts w:ascii="宋体" w:hAnsi="宋体" w:cs="宋体" w:eastAsia="宋体" w:hint="default"/>
          <w:sz w:val="21"/>
          <w:szCs w:val="21"/>
        </w:rPr>
        <w:t>号—企业合并》和财政部财会便[2007]5</w:t>
      </w:r>
      <w:r>
        <w:rPr>
          <w:rFonts w:ascii="宋体" w:hAnsi="宋体" w:cs="宋体" w:eastAsia="宋体" w:hint="default"/>
          <w:spacing w:val="-33"/>
          <w:sz w:val="21"/>
          <w:szCs w:val="21"/>
        </w:rPr>
        <w:t> </w:t>
      </w:r>
      <w:r>
        <w:rPr>
          <w:rFonts w:ascii="宋体" w:hAnsi="宋体" w:cs="宋体" w:eastAsia="宋体" w:hint="default"/>
          <w:sz w:val="21"/>
          <w:szCs w:val="21"/>
        </w:rPr>
        <w:t>号文确定“同一控</w:t>
      </w:r>
      <w:r>
        <w:rPr>
          <w:rFonts w:ascii="宋体" w:hAnsi="宋体" w:cs="宋体" w:eastAsia="宋体" w:hint="default"/>
          <w:sz w:val="21"/>
          <w:szCs w:val="21"/>
        </w:rPr>
        <w:t> 制下企业合并”的判断依据为：</w:t>
      </w:r>
    </w:p>
    <w:p>
      <w:pPr>
        <w:spacing w:after="0" w:line="297" w:lineRule="auto"/>
        <w:jc w:val="left"/>
        <w:rPr>
          <w:rFonts w:ascii="宋体" w:hAnsi="宋体" w:cs="宋体" w:eastAsia="宋体" w:hint="default"/>
          <w:sz w:val="21"/>
          <w:szCs w:val="21"/>
        </w:rPr>
        <w:sectPr>
          <w:pgSz w:w="11910" w:h="16840"/>
          <w:pgMar w:header="918" w:footer="950" w:top="1160" w:bottom="1140" w:left="1660" w:right="1020"/>
        </w:sectPr>
      </w:pPr>
    </w:p>
    <w:p>
      <w:pPr>
        <w:spacing w:line="240" w:lineRule="auto" w:before="10"/>
        <w:rPr>
          <w:rFonts w:ascii="宋体" w:hAnsi="宋体" w:cs="宋体" w:eastAsia="宋体" w:hint="default"/>
          <w:sz w:val="20"/>
          <w:szCs w:val="20"/>
        </w:rPr>
      </w:pPr>
    </w:p>
    <w:p>
      <w:pPr>
        <w:spacing w:line="297" w:lineRule="auto" w:before="35"/>
        <w:ind w:left="300" w:right="1204" w:firstLine="420"/>
        <w:jc w:val="left"/>
        <w:rPr>
          <w:rFonts w:ascii="宋体" w:hAnsi="宋体" w:cs="宋体" w:eastAsia="宋体" w:hint="default"/>
          <w:sz w:val="21"/>
          <w:szCs w:val="21"/>
        </w:rPr>
      </w:pPr>
      <w:r>
        <w:rPr>
          <w:rFonts w:ascii="宋体" w:hAnsi="宋体" w:cs="宋体" w:eastAsia="宋体" w:hint="default"/>
          <w:sz w:val="21"/>
          <w:szCs w:val="21"/>
        </w:rPr>
        <w:t>参与合并的企业在合并前后均受同一方或相同的多方最终控制且该控制并非暂时性的， </w:t>
      </w:r>
      <w:r>
        <w:rPr>
          <w:rFonts w:ascii="宋体" w:hAnsi="宋体" w:cs="宋体" w:eastAsia="宋体" w:hint="default"/>
          <w:spacing w:val="-3"/>
          <w:sz w:val="21"/>
          <w:szCs w:val="21"/>
        </w:rPr>
        <w:t>为同一控制下的企业合并。同一方，是指对参与合并的企业在合并前后均实施最终控制的投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资者。</w:t>
      </w:r>
    </w:p>
    <w:p>
      <w:pPr>
        <w:spacing w:line="297" w:lineRule="auto" w:before="14"/>
        <w:ind w:left="300" w:right="1204" w:firstLine="420"/>
        <w:jc w:val="left"/>
        <w:rPr>
          <w:rFonts w:ascii="宋体" w:hAnsi="宋体" w:cs="宋体" w:eastAsia="宋体" w:hint="default"/>
          <w:sz w:val="21"/>
          <w:szCs w:val="21"/>
        </w:rPr>
      </w:pPr>
      <w:r>
        <w:rPr>
          <w:rFonts w:ascii="宋体" w:hAnsi="宋体" w:cs="宋体" w:eastAsia="宋体" w:hint="default"/>
          <w:spacing w:val="-3"/>
          <w:sz w:val="21"/>
          <w:szCs w:val="21"/>
        </w:rPr>
        <w:t>通常情况下，同一控制下的企业合并是指发生在同一企业集团内部企业之间的企业之间</w:t>
      </w:r>
      <w:r>
        <w:rPr>
          <w:rFonts w:ascii="宋体" w:hAnsi="宋体" w:cs="宋体" w:eastAsia="宋体" w:hint="default"/>
          <w:sz w:val="21"/>
          <w:szCs w:val="21"/>
        </w:rPr>
        <w:t> 的合并，除此之外，一般不作为同一控制下的企业合并。</w:t>
      </w:r>
    </w:p>
    <w:p>
      <w:pPr>
        <w:spacing w:line="297" w:lineRule="auto" w:before="15"/>
        <w:ind w:left="720" w:right="1204" w:firstLine="0"/>
        <w:jc w:val="left"/>
        <w:rPr>
          <w:rFonts w:ascii="宋体" w:hAnsi="宋体" w:cs="宋体" w:eastAsia="宋体" w:hint="default"/>
          <w:sz w:val="21"/>
          <w:szCs w:val="21"/>
        </w:rPr>
      </w:pPr>
      <w:r>
        <w:rPr>
          <w:rFonts w:ascii="宋体" w:hAnsi="宋体" w:cs="宋体" w:eastAsia="宋体" w:hint="default"/>
          <w:sz w:val="21"/>
          <w:szCs w:val="21"/>
        </w:rPr>
        <w:t>（2）同一控制的实际控制人 </w:t>
      </w:r>
      <w:r>
        <w:rPr>
          <w:rFonts w:ascii="宋体" w:hAnsi="宋体" w:cs="宋体" w:eastAsia="宋体" w:hint="default"/>
          <w:spacing w:val="-6"/>
          <w:sz w:val="21"/>
          <w:szCs w:val="21"/>
        </w:rPr>
        <w:t>上述通过同一控制下的企业合并取得的子公司，同一控制的实际控制人为陈亚妹、乔昕。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b/>
          <w:bCs/>
          <w:sz w:val="21"/>
          <w:szCs w:val="21"/>
        </w:rPr>
        <w:t>2、非企业合并方式取得的子公司</w:t>
      </w:r>
      <w:r>
        <w:rPr>
          <w:rFonts w:ascii="宋体" w:hAnsi="宋体" w:cs="宋体" w:eastAsia="宋体" w:hint="default"/>
          <w:sz w:val="21"/>
          <w:szCs w:val="21"/>
        </w:rPr>
      </w:r>
    </w:p>
    <w:tbl>
      <w:tblPr>
        <w:tblW w:w="0" w:type="auto"/>
        <w:jc w:val="left"/>
        <w:tblInd w:w="115" w:type="dxa"/>
        <w:tblLayout w:type="fixed"/>
        <w:tblCellMar>
          <w:top w:w="0" w:type="dxa"/>
          <w:left w:w="0" w:type="dxa"/>
          <w:bottom w:w="0" w:type="dxa"/>
          <w:right w:w="0" w:type="dxa"/>
        </w:tblCellMar>
        <w:tblLook w:val="01E0"/>
      </w:tblPr>
      <w:tblGrid>
        <w:gridCol w:w="1440"/>
        <w:gridCol w:w="1080"/>
        <w:gridCol w:w="900"/>
        <w:gridCol w:w="750"/>
        <w:gridCol w:w="798"/>
        <w:gridCol w:w="1133"/>
        <w:gridCol w:w="1120"/>
        <w:gridCol w:w="1682"/>
        <w:gridCol w:w="786"/>
      </w:tblGrid>
      <w:tr>
        <w:trPr>
          <w:trHeight w:val="6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625" w:right="173" w:hanging="450"/>
              <w:jc w:val="left"/>
              <w:rPr>
                <w:rFonts w:ascii="宋体" w:hAnsi="宋体" w:cs="宋体" w:eastAsia="宋体" w:hint="default"/>
                <w:sz w:val="18"/>
                <w:szCs w:val="18"/>
              </w:rPr>
            </w:pPr>
            <w:r>
              <w:rPr>
                <w:rFonts w:ascii="宋体" w:hAnsi="宋体" w:cs="宋体" w:eastAsia="宋体" w:hint="default"/>
                <w:sz w:val="18"/>
                <w:szCs w:val="18"/>
              </w:rPr>
              <w:t>被投资单位全 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445" w:right="173"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189" w:right="18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213" w:right="21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194" w:right="103" w:hanging="90"/>
              <w:jc w:val="left"/>
              <w:rPr>
                <w:rFonts w:ascii="宋体" w:hAnsi="宋体" w:cs="宋体" w:eastAsia="宋体" w:hint="default"/>
                <w:sz w:val="18"/>
                <w:szCs w:val="18"/>
              </w:rPr>
            </w:pPr>
            <w:r>
              <w:rPr>
                <w:rFonts w:ascii="宋体" w:hAnsi="宋体" w:cs="宋体" w:eastAsia="宋体" w:hint="default"/>
                <w:sz w:val="18"/>
                <w:szCs w:val="18"/>
              </w:rPr>
              <w:t>本公司合计 持股比例</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386" w:right="114" w:hanging="270"/>
              <w:jc w:val="left"/>
              <w:rPr>
                <w:rFonts w:ascii="宋体" w:hAnsi="宋体" w:cs="宋体" w:eastAsia="宋体" w:hint="default"/>
                <w:sz w:val="18"/>
                <w:szCs w:val="18"/>
              </w:rPr>
            </w:pPr>
            <w:r>
              <w:rPr>
                <w:rFonts w:ascii="宋体" w:hAnsi="宋体" w:cs="宋体" w:eastAsia="宋体" w:hint="default"/>
                <w:sz w:val="18"/>
                <w:szCs w:val="18"/>
              </w:rPr>
              <w:t>本公司合计享有的 表决权比例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117" w:right="116"/>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6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175" w:right="101" w:hanging="72"/>
              <w:jc w:val="left"/>
              <w:rPr>
                <w:rFonts w:ascii="宋体" w:hAnsi="宋体" w:cs="宋体" w:eastAsia="宋体" w:hint="default"/>
                <w:sz w:val="18"/>
                <w:szCs w:val="18"/>
              </w:rPr>
            </w:pPr>
            <w:r>
              <w:rPr>
                <w:rFonts w:ascii="宋体" w:hAnsi="宋体" w:cs="宋体" w:eastAsia="宋体" w:hint="default"/>
                <w:spacing w:val="-6"/>
                <w:sz w:val="18"/>
                <w:szCs w:val="18"/>
              </w:rPr>
              <w:t>实益达科技（香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0"/>
              <w:ind w:left="445"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HKD50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进出口贸易</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97" w:lineRule="auto" w:before="15"/>
        <w:ind w:left="720" w:right="3808" w:firstLine="2"/>
        <w:jc w:val="left"/>
        <w:rPr>
          <w:rFonts w:ascii="宋体" w:hAnsi="宋体" w:cs="宋体" w:eastAsia="宋体" w:hint="default"/>
          <w:sz w:val="21"/>
          <w:szCs w:val="21"/>
        </w:rPr>
      </w:pPr>
      <w:r>
        <w:rPr>
          <w:rFonts w:ascii="宋体" w:hAnsi="宋体" w:cs="宋体" w:eastAsia="宋体" w:hint="default"/>
          <w:b/>
          <w:bCs/>
          <w:sz w:val="21"/>
          <w:szCs w:val="21"/>
        </w:rPr>
        <w:t>（二）本年发生增减变动子公司情况</w:t>
      </w:r>
      <w:r>
        <w:rPr>
          <w:rFonts w:ascii="宋体" w:hAnsi="宋体" w:cs="宋体" w:eastAsia="宋体" w:hint="default"/>
          <w:b/>
          <w:bCs/>
          <w:w w:val="99"/>
          <w:sz w:val="21"/>
          <w:szCs w:val="21"/>
        </w:rPr>
        <w:t> </w:t>
      </w:r>
      <w:r>
        <w:rPr>
          <w:rFonts w:ascii="宋体" w:hAnsi="宋体" w:cs="宋体" w:eastAsia="宋体" w:hint="default"/>
          <w:b/>
          <w:bCs/>
          <w:sz w:val="21"/>
          <w:szCs w:val="21"/>
        </w:rPr>
        <w:t>1、同一控制下企业合并增加的子公司情况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报告期不存在同一控制下企业合并增加的子公司。 </w:t>
      </w:r>
      <w:r>
        <w:rPr>
          <w:rFonts w:ascii="宋体" w:hAnsi="宋体" w:cs="宋体" w:eastAsia="宋体" w:hint="default"/>
          <w:b/>
          <w:bCs/>
          <w:sz w:val="21"/>
          <w:szCs w:val="21"/>
        </w:rPr>
        <w:t>2、非同一控制下的购买股权而增加的子公司情况</w:t>
      </w:r>
      <w:r>
        <w:rPr>
          <w:rFonts w:ascii="宋体" w:hAnsi="宋体" w:cs="宋体" w:eastAsia="宋体" w:hint="default"/>
          <w:b/>
          <w:bCs/>
          <w:w w:val="99"/>
          <w:sz w:val="21"/>
          <w:szCs w:val="21"/>
        </w:rPr>
        <w:t> </w:t>
      </w:r>
      <w:r>
        <w:rPr>
          <w:rFonts w:ascii="宋体" w:hAnsi="宋体" w:cs="宋体" w:eastAsia="宋体" w:hint="default"/>
          <w:sz w:val="21"/>
          <w:szCs w:val="21"/>
        </w:rPr>
        <w:t>报告期不存在非同一控制下的购买股权而增加的子公司。 </w:t>
      </w:r>
      <w:r>
        <w:rPr>
          <w:rFonts w:ascii="宋体" w:hAnsi="宋体" w:cs="宋体" w:eastAsia="宋体" w:hint="default"/>
          <w:b/>
          <w:bCs/>
          <w:sz w:val="21"/>
          <w:szCs w:val="21"/>
        </w:rPr>
        <w:t>3、本年发生的非同一控制下出售股权而减少的子公司情况</w:t>
      </w:r>
      <w:r>
        <w:rPr>
          <w:rFonts w:ascii="宋体" w:hAnsi="宋体" w:cs="宋体" w:eastAsia="宋体" w:hint="default"/>
          <w:b/>
          <w:bCs/>
          <w:w w:val="99"/>
          <w:sz w:val="21"/>
          <w:szCs w:val="21"/>
        </w:rPr>
        <w:t> </w:t>
      </w:r>
      <w:r>
        <w:rPr>
          <w:rFonts w:ascii="宋体" w:hAnsi="宋体" w:cs="宋体" w:eastAsia="宋体" w:hint="default"/>
          <w:sz w:val="21"/>
          <w:szCs w:val="21"/>
        </w:rPr>
        <w:t>报告期不存在非同一控制下出售股权而减少的子公司。</w:t>
      </w:r>
    </w:p>
    <w:p>
      <w:pPr>
        <w:spacing w:line="297" w:lineRule="auto" w:before="14"/>
        <w:ind w:left="300" w:right="1308" w:firstLine="422"/>
        <w:jc w:val="left"/>
        <w:rPr>
          <w:rFonts w:ascii="宋体" w:hAnsi="宋体" w:cs="宋体" w:eastAsia="宋体" w:hint="default"/>
          <w:sz w:val="21"/>
          <w:szCs w:val="21"/>
        </w:rPr>
      </w:pPr>
      <w:r>
        <w:rPr>
          <w:rFonts w:ascii="宋体" w:hAnsi="宋体" w:cs="宋体" w:eastAsia="宋体" w:hint="default"/>
          <w:b/>
          <w:bCs/>
          <w:spacing w:val="2"/>
          <w:sz w:val="21"/>
          <w:szCs w:val="21"/>
        </w:rPr>
        <w:t>（三）纳入合并范围但母公司拥有其半数或半数以下表决权的子公司及其纳入合并范</w:t>
      </w:r>
      <w:r>
        <w:rPr>
          <w:rFonts w:ascii="宋体" w:hAnsi="宋体" w:cs="宋体" w:eastAsia="宋体" w:hint="default"/>
          <w:b/>
          <w:bCs/>
          <w:spacing w:val="3"/>
          <w:w w:val="99"/>
          <w:sz w:val="21"/>
          <w:szCs w:val="21"/>
        </w:rPr>
        <w:t> </w:t>
      </w:r>
      <w:r>
        <w:rPr>
          <w:rFonts w:ascii="宋体" w:hAnsi="宋体" w:cs="宋体" w:eastAsia="宋体" w:hint="default"/>
          <w:b/>
          <w:bCs/>
          <w:sz w:val="21"/>
          <w:szCs w:val="21"/>
        </w:rPr>
        <w:t>围的原因</w:t>
      </w:r>
      <w:r>
        <w:rPr>
          <w:rFonts w:ascii="宋体" w:hAnsi="宋体" w:cs="宋体" w:eastAsia="宋体" w:hint="default"/>
          <w:sz w:val="21"/>
          <w:szCs w:val="21"/>
        </w:rPr>
      </w:r>
    </w:p>
    <w:p>
      <w:pPr>
        <w:spacing w:before="14"/>
        <w:ind w:left="720" w:right="1204" w:firstLine="0"/>
        <w:jc w:val="left"/>
        <w:rPr>
          <w:rFonts w:ascii="宋体" w:hAnsi="宋体" w:cs="宋体" w:eastAsia="宋体" w:hint="default"/>
          <w:sz w:val="21"/>
          <w:szCs w:val="21"/>
        </w:rPr>
      </w:pPr>
      <w:r>
        <w:rPr>
          <w:rFonts w:ascii="宋体" w:hAnsi="宋体" w:cs="宋体" w:eastAsia="宋体" w:hint="default"/>
          <w:sz w:val="21"/>
          <w:szCs w:val="21"/>
        </w:rPr>
        <w:t>报告期不存在纳入合并范围但母公司拥有其半数或半数以下表决权的子公司。</w:t>
      </w:r>
    </w:p>
    <w:p>
      <w:pPr>
        <w:spacing w:line="297" w:lineRule="auto" w:before="64"/>
        <w:ind w:left="720" w:right="1805" w:firstLine="2"/>
        <w:jc w:val="left"/>
        <w:rPr>
          <w:rFonts w:ascii="宋体" w:hAnsi="宋体" w:cs="宋体" w:eastAsia="宋体" w:hint="default"/>
          <w:sz w:val="21"/>
          <w:szCs w:val="21"/>
        </w:rPr>
      </w:pPr>
      <w:r>
        <w:rPr>
          <w:rFonts w:ascii="宋体" w:hAnsi="宋体" w:cs="宋体" w:eastAsia="宋体" w:hint="default"/>
          <w:b/>
          <w:bCs/>
          <w:sz w:val="21"/>
          <w:szCs w:val="21"/>
        </w:rPr>
        <w:t>（四）母公司拥有半数以上表决权，但未能对其形成控制的被投资单位及其原因</w:t>
      </w:r>
      <w:r>
        <w:rPr>
          <w:rFonts w:ascii="宋体" w:hAnsi="宋体" w:cs="宋体" w:eastAsia="宋体" w:hint="default"/>
          <w:b/>
          <w:bCs/>
          <w:w w:val="99"/>
          <w:sz w:val="21"/>
          <w:szCs w:val="21"/>
        </w:rPr>
        <w:t> </w:t>
      </w:r>
      <w:r>
        <w:rPr>
          <w:rFonts w:ascii="宋体" w:hAnsi="宋体" w:cs="宋体" w:eastAsia="宋体" w:hint="default"/>
          <w:sz w:val="21"/>
          <w:szCs w:val="21"/>
        </w:rPr>
        <w:t>报告期不存在母公司拥有其半数以上表决权但未能对其形成控制的被投资单位。</w:t>
      </w:r>
    </w:p>
    <w:p>
      <w:pPr>
        <w:spacing w:line="297" w:lineRule="auto" w:before="14"/>
        <w:ind w:left="720" w:right="5809" w:firstLine="2"/>
        <w:jc w:val="left"/>
        <w:rPr>
          <w:rFonts w:ascii="宋体" w:hAnsi="宋体" w:cs="宋体" w:eastAsia="宋体" w:hint="default"/>
          <w:sz w:val="21"/>
          <w:szCs w:val="21"/>
        </w:rPr>
      </w:pPr>
      <w:r>
        <w:rPr>
          <w:rFonts w:ascii="宋体" w:hAnsi="宋体" w:cs="宋体" w:eastAsia="宋体" w:hint="default"/>
          <w:b/>
          <w:bCs/>
          <w:sz w:val="21"/>
          <w:szCs w:val="21"/>
        </w:rPr>
        <w:t>（五）本年合并报表范围的变更情况</w:t>
      </w:r>
      <w:r>
        <w:rPr>
          <w:rFonts w:ascii="宋体" w:hAnsi="宋体" w:cs="宋体" w:eastAsia="宋体" w:hint="default"/>
          <w:b/>
          <w:bCs/>
          <w:w w:val="99"/>
          <w:sz w:val="21"/>
          <w:szCs w:val="21"/>
        </w:rPr>
        <w:t> </w:t>
      </w:r>
      <w:r>
        <w:rPr>
          <w:rFonts w:ascii="宋体" w:hAnsi="宋体" w:cs="宋体" w:eastAsia="宋体" w:hint="default"/>
          <w:sz w:val="21"/>
          <w:szCs w:val="21"/>
        </w:rPr>
        <w:t>报告期合并报表范围未发生变更。</w:t>
      </w:r>
    </w:p>
    <w:p>
      <w:pPr>
        <w:spacing w:line="297" w:lineRule="auto" w:before="15"/>
        <w:ind w:left="720" w:right="2884" w:firstLine="2"/>
        <w:jc w:val="left"/>
        <w:rPr>
          <w:rFonts w:ascii="宋体" w:hAnsi="宋体" w:cs="宋体" w:eastAsia="宋体" w:hint="default"/>
          <w:sz w:val="21"/>
          <w:szCs w:val="21"/>
        </w:rPr>
      </w:pPr>
      <w:r>
        <w:rPr>
          <w:rFonts w:ascii="宋体" w:hAnsi="宋体" w:cs="宋体" w:eastAsia="宋体" w:hint="default"/>
          <w:b/>
          <w:bCs/>
          <w:sz w:val="21"/>
          <w:szCs w:val="21"/>
        </w:rPr>
        <w:t>（六）子公司向母公司转移资金的能力受到严格限制的情况</w:t>
      </w:r>
      <w:r>
        <w:rPr>
          <w:rFonts w:ascii="宋体" w:hAnsi="宋体" w:cs="宋体" w:eastAsia="宋体" w:hint="default"/>
          <w:b/>
          <w:bCs/>
          <w:w w:val="99"/>
          <w:sz w:val="21"/>
          <w:szCs w:val="21"/>
        </w:rPr>
        <w:t> </w:t>
      </w:r>
      <w:r>
        <w:rPr>
          <w:rFonts w:ascii="宋体" w:hAnsi="宋体" w:cs="宋体" w:eastAsia="宋体" w:hint="default"/>
          <w:sz w:val="21"/>
          <w:szCs w:val="21"/>
        </w:rPr>
        <w:t>报告期不存在子公司向母公司转移资金的能力受到严格限制的情况。</w:t>
      </w:r>
    </w:p>
    <w:p>
      <w:pPr>
        <w:spacing w:line="297" w:lineRule="auto" w:before="14"/>
        <w:ind w:left="720" w:right="2436" w:firstLine="2"/>
        <w:jc w:val="left"/>
        <w:rPr>
          <w:rFonts w:ascii="宋体" w:hAnsi="宋体" w:cs="宋体" w:eastAsia="宋体" w:hint="default"/>
          <w:sz w:val="21"/>
          <w:szCs w:val="21"/>
        </w:rPr>
      </w:pPr>
      <w:r>
        <w:rPr>
          <w:rFonts w:ascii="宋体" w:hAnsi="宋体" w:cs="宋体" w:eastAsia="宋体" w:hint="default"/>
          <w:b/>
          <w:bCs/>
          <w:sz w:val="21"/>
          <w:szCs w:val="21"/>
        </w:rPr>
        <w:t>（七）作为子公司纳入合并范围的特殊目的主体的业务性质、业务活动等</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报告期无作为子公司纳入合并范围的特殊目的主体</w:t>
      </w:r>
    </w:p>
    <w:p>
      <w:pPr>
        <w:spacing w:line="297" w:lineRule="auto" w:before="14"/>
        <w:ind w:left="720" w:right="2859" w:firstLine="2"/>
        <w:jc w:val="left"/>
        <w:rPr>
          <w:rFonts w:ascii="宋体" w:hAnsi="宋体" w:cs="宋体" w:eastAsia="宋体" w:hint="default"/>
          <w:sz w:val="21"/>
          <w:szCs w:val="21"/>
        </w:rPr>
      </w:pPr>
      <w:r>
        <w:rPr>
          <w:rFonts w:ascii="宋体" w:hAnsi="宋体" w:cs="宋体" w:eastAsia="宋体" w:hint="default"/>
          <w:b/>
          <w:bCs/>
          <w:sz w:val="21"/>
          <w:szCs w:val="21"/>
        </w:rPr>
        <w:t>（八）未纳入合并范围的、不再纳入合并范围的特殊目的主体的情况</w:t>
      </w:r>
      <w:r>
        <w:rPr>
          <w:rFonts w:ascii="宋体" w:hAnsi="宋体" w:cs="宋体" w:eastAsia="宋体" w:hint="default"/>
          <w:b/>
          <w:bCs/>
          <w:w w:val="99"/>
          <w:sz w:val="21"/>
          <w:szCs w:val="21"/>
        </w:rPr>
        <w:t> </w:t>
      </w:r>
      <w:r>
        <w:rPr>
          <w:rFonts w:ascii="宋体" w:hAnsi="宋体" w:cs="宋体" w:eastAsia="宋体" w:hint="default"/>
          <w:sz w:val="21"/>
          <w:szCs w:val="21"/>
        </w:rPr>
        <w:t>报告期无纳入合并范围的、不再纳入合并范围的特殊目的主体。</w:t>
      </w:r>
    </w:p>
    <w:p>
      <w:pPr>
        <w:spacing w:before="15"/>
        <w:ind w:left="722" w:right="1204" w:firstLine="0"/>
        <w:jc w:val="left"/>
        <w:rPr>
          <w:rFonts w:ascii="宋体" w:hAnsi="宋体" w:cs="宋体" w:eastAsia="宋体" w:hint="default"/>
          <w:sz w:val="21"/>
          <w:szCs w:val="21"/>
        </w:rPr>
      </w:pPr>
      <w:r>
        <w:rPr>
          <w:rFonts w:ascii="宋体" w:hAnsi="宋体" w:cs="宋体" w:eastAsia="宋体" w:hint="default"/>
          <w:b/>
          <w:bCs/>
          <w:sz w:val="21"/>
          <w:szCs w:val="21"/>
        </w:rPr>
        <w:t>（九）少数股东权益和少数股东损益</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287" w:type="dxa"/>
        <w:tblLayout w:type="fixed"/>
        <w:tblCellMar>
          <w:top w:w="0" w:type="dxa"/>
          <w:left w:w="0" w:type="dxa"/>
          <w:bottom w:w="0" w:type="dxa"/>
          <w:right w:w="0" w:type="dxa"/>
        </w:tblCellMar>
        <w:tblLook w:val="01E0"/>
      </w:tblPr>
      <w:tblGrid>
        <w:gridCol w:w="3046"/>
        <w:gridCol w:w="2441"/>
        <w:gridCol w:w="1775"/>
      </w:tblGrid>
      <w:tr>
        <w:trPr>
          <w:trHeight w:val="1045" w:hRule="exact"/>
        </w:trPr>
        <w:tc>
          <w:tcPr>
            <w:tcW w:w="3046" w:type="dxa"/>
            <w:tcBorders>
              <w:top w:val="nil" w:sz="6" w:space="0" w:color="auto"/>
              <w:left w:val="nil" w:sz="6" w:space="0" w:color="auto"/>
              <w:bottom w:val="nil" w:sz="6" w:space="0" w:color="auto"/>
              <w:right w:val="nil" w:sz="6" w:space="0" w:color="auto"/>
            </w:tcBorders>
          </w:tcPr>
          <w:p>
            <w:pPr>
              <w:pStyle w:val="TableParagraph"/>
              <w:tabs>
                <w:tab w:pos="1582" w:val="left" w:leader="none"/>
              </w:tabs>
              <w:spacing w:line="304" w:lineRule="auto" w:before="44"/>
              <w:ind w:left="35" w:right="699" w:firstLine="1008"/>
              <w:jc w:val="left"/>
              <w:rPr>
                <w:rFonts w:ascii="宋体" w:hAnsi="宋体" w:cs="宋体" w:eastAsia="宋体" w:hint="default"/>
                <w:sz w:val="21"/>
                <w:szCs w:val="21"/>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21"/>
                <w:szCs w:val="21"/>
              </w:rPr>
              <w:t>少数股东权益</w:t>
            </w:r>
            <w:r>
              <w:rPr>
                <w:rFonts w:ascii="宋体" w:hAnsi="宋体" w:cs="宋体" w:eastAsia="宋体" w:hint="default"/>
                <w:sz w:val="21"/>
                <w:szCs w:val="21"/>
              </w:rPr>
              <w:t> 无锡实益达电子有限公司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5" w:right="0" w:hanging="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年末金额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45" w:right="0"/>
              <w:jc w:val="left"/>
              <w:rPr>
                <w:rFonts w:ascii="Times New Roman" w:hAnsi="Times New Roman" w:cs="Times New Roman" w:eastAsia="Times New Roman" w:hint="default"/>
                <w:sz w:val="18"/>
                <w:szCs w:val="18"/>
              </w:rPr>
            </w:pPr>
            <w:r>
              <w:rPr>
                <w:rFonts w:ascii="Times New Roman"/>
                <w:sz w:val="18"/>
              </w:rPr>
              <w:t>1,728.89</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4" w:right="0" w:hanging="4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年初金额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2,338.51</w:t>
            </w:r>
          </w:p>
        </w:tc>
      </w:tr>
      <w:tr>
        <w:trPr>
          <w:trHeight w:val="365" w:hRule="exact"/>
        </w:trPr>
        <w:tc>
          <w:tcPr>
            <w:tcW w:w="304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9"/>
              <w:ind w:right="22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45" w:right="0"/>
              <w:jc w:val="left"/>
              <w:rPr>
                <w:rFonts w:ascii="Times New Roman" w:hAnsi="Times New Roman" w:cs="Times New Roman" w:eastAsia="Times New Roman" w:hint="default"/>
                <w:sz w:val="18"/>
                <w:szCs w:val="18"/>
              </w:rPr>
            </w:pPr>
            <w:r>
              <w:rPr>
                <w:rFonts w:ascii="Times New Roman"/>
                <w:sz w:val="18"/>
              </w:rPr>
              <w:t>1,728.89</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64" w:right="0"/>
              <w:jc w:val="left"/>
              <w:rPr>
                <w:rFonts w:ascii="Times New Roman" w:hAnsi="Times New Roman" w:cs="Times New Roman" w:eastAsia="Times New Roman" w:hint="default"/>
                <w:sz w:val="18"/>
                <w:szCs w:val="18"/>
              </w:rPr>
            </w:pPr>
            <w:r>
              <w:rPr>
                <w:rFonts w:ascii="Times New Roman"/>
                <w:sz w:val="18"/>
              </w:rPr>
              <w:t>2,338.51</w:t>
            </w:r>
          </w:p>
        </w:tc>
      </w:tr>
    </w:tbl>
    <w:p>
      <w:pPr>
        <w:spacing w:line="240" w:lineRule="auto" w:before="5"/>
        <w:rPr>
          <w:rFonts w:ascii="宋体" w:hAnsi="宋体" w:cs="宋体" w:eastAsia="宋体" w:hint="default"/>
          <w:b/>
          <w:bCs/>
          <w:sz w:val="22"/>
          <w:szCs w:val="22"/>
        </w:rPr>
      </w:pPr>
    </w:p>
    <w:p>
      <w:pPr>
        <w:tabs>
          <w:tab w:pos="1882" w:val="left" w:leader="none"/>
          <w:tab w:pos="4047" w:val="left" w:leader="none"/>
          <w:tab w:pos="6807" w:val="left" w:leader="none"/>
        </w:tabs>
        <w:spacing w:line="348" w:lineRule="auto" w:before="44"/>
        <w:ind w:left="346" w:right="2394" w:firstLine="99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本年金额</w:t>
      </w:r>
      <w:r>
        <w:rPr>
          <w:rFonts w:ascii="宋体" w:hAnsi="宋体" w:cs="宋体" w:eastAsia="宋体" w:hint="default"/>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r>
        <w:rPr>
          <w:rFonts w:ascii="宋体" w:hAnsi="宋体" w:cs="宋体" w:eastAsia="宋体" w:hint="default"/>
          <w:sz w:val="18"/>
          <w:szCs w:val="18"/>
        </w:rPr>
        <w:t> 少数股东损益</w:t>
      </w:r>
    </w:p>
    <w:p>
      <w:pPr>
        <w:spacing w:after="0" w:line="348" w:lineRule="auto"/>
        <w:jc w:val="left"/>
        <w:rPr>
          <w:rFonts w:ascii="宋体" w:hAnsi="宋体" w:cs="宋体" w:eastAsia="宋体" w:hint="default"/>
          <w:sz w:val="18"/>
          <w:szCs w:val="18"/>
        </w:rPr>
        <w:sectPr>
          <w:pgSz w:w="11910" w:h="16840"/>
          <w:pgMar w:header="918" w:footer="950" w:top="1160" w:bottom="1140" w:left="1500" w:right="480"/>
        </w:sectPr>
      </w:pPr>
    </w:p>
    <w:p>
      <w:pPr>
        <w:spacing w:line="240" w:lineRule="auto" w:before="9"/>
        <w:rPr>
          <w:rFonts w:ascii="宋体" w:hAnsi="宋体" w:cs="宋体" w:eastAsia="宋体" w:hint="default"/>
          <w:sz w:val="22"/>
          <w:szCs w:val="22"/>
        </w:rPr>
      </w:pPr>
      <w:r>
        <w:rPr/>
        <w:pict>
          <v:group style="position:absolute;margin-left:270.239990pt;margin-top:447.360016pt;width:79.650pt;height:.1pt;mso-position-horizontal-relative:page;mso-position-vertical-relative:page;z-index:-625552" coordorigin="5405,8947" coordsize="1593,2">
            <v:shape style="position:absolute;left:5405;top:8947;width:1593;height:2" coordorigin="5405,8947" coordsize="1593,0" path="m5405,8947l6997,8947e" filled="false" stroked="true" strokeweight=".71997pt" strokecolor="#000000">
              <v:path arrowok="t"/>
            </v:shape>
            <w10:wrap type="none"/>
          </v:group>
        </w:pict>
      </w:r>
      <w:r>
        <w:rPr/>
        <w:pict>
          <v:group style="position:absolute;margin-left:473.279999pt;margin-top:447.360016pt;width:76.9pt;height:.1pt;mso-position-horizontal-relative:page;mso-position-vertical-relative:page;z-index:-625528" coordorigin="9466,8947" coordsize="1538,2">
            <v:shape style="position:absolute;left:9466;top:8947;width:1538;height:2" coordorigin="9466,8947" coordsize="1538,0" path="m9466,8947l11003,8947e" filled="false" stroked="true" strokeweight=".71997pt" strokecolor="#000000">
              <v:path arrowok="t"/>
            </v:shape>
            <w10:wrap type="none"/>
          </v:group>
        </w:pict>
      </w:r>
    </w:p>
    <w:p>
      <w:pPr>
        <w:tabs>
          <w:tab w:pos="4409" w:val="left" w:leader="none"/>
          <w:tab w:pos="7169" w:val="left" w:leader="none"/>
        </w:tabs>
        <w:spacing w:before="44"/>
        <w:ind w:left="626" w:right="100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tab/>
      </w:r>
      <w:r>
        <w:rPr>
          <w:rFonts w:ascii="Times New Roman" w:hAnsi="Times New Roman" w:cs="Times New Roman" w:eastAsia="Times New Roman" w:hint="default"/>
          <w:sz w:val="18"/>
          <w:szCs w:val="18"/>
        </w:rPr>
        <w:t>-609.62</w:t>
        <w:tab/>
        <w:t>-432.89</w:t>
      </w:r>
    </w:p>
    <w:p>
      <w:pPr>
        <w:tabs>
          <w:tab w:pos="2118" w:val="left" w:leader="none"/>
          <w:tab w:pos="4409" w:val="left" w:leader="none"/>
          <w:tab w:pos="7169" w:val="left" w:leader="none"/>
        </w:tabs>
        <w:spacing w:before="90"/>
        <w:ind w:left="1668" w:right="100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-609.62</w:t>
        <w:tab/>
        <w:t>-432.89</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spacing w:before="0"/>
        <w:ind w:left="1002" w:right="1004" w:firstLine="0"/>
        <w:jc w:val="left"/>
        <w:rPr>
          <w:rFonts w:ascii="宋体" w:hAnsi="宋体" w:cs="宋体" w:eastAsia="宋体" w:hint="default"/>
          <w:sz w:val="21"/>
          <w:szCs w:val="21"/>
        </w:rPr>
      </w:pPr>
      <w:r>
        <w:rPr>
          <w:rFonts w:ascii="宋体" w:hAnsi="宋体" w:cs="宋体" w:eastAsia="宋体" w:hint="default"/>
          <w:b/>
          <w:bCs/>
          <w:sz w:val="21"/>
          <w:szCs w:val="21"/>
        </w:rPr>
        <w:t>六、合并财务报表主要项目注释</w:t>
      </w:r>
      <w:r>
        <w:rPr>
          <w:rFonts w:ascii="宋体" w:hAnsi="宋体" w:cs="宋体" w:eastAsia="宋体" w:hint="default"/>
          <w:sz w:val="21"/>
          <w:szCs w:val="21"/>
        </w:rPr>
      </w:r>
    </w:p>
    <w:p>
      <w:pPr>
        <w:spacing w:before="64"/>
        <w:ind w:left="999" w:right="1004"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before="66"/>
        <w:ind w:left="997" w:right="1004" w:firstLine="0"/>
        <w:jc w:val="left"/>
        <w:rPr>
          <w:rFonts w:ascii="宋体" w:hAnsi="宋体" w:cs="宋体" w:eastAsia="宋体" w:hint="default"/>
          <w:sz w:val="21"/>
          <w:szCs w:val="21"/>
        </w:rPr>
      </w:pPr>
      <w:r>
        <w:rPr>
          <w:rFonts w:ascii="宋体" w:hAnsi="宋体" w:cs="宋体" w:eastAsia="宋体" w:hint="default"/>
          <w:b/>
          <w:bCs/>
          <w:sz w:val="21"/>
          <w:szCs w:val="21"/>
        </w:rPr>
        <w:t>（一）货币资金</w:t>
      </w:r>
      <w:r>
        <w:rPr>
          <w:rFonts w:ascii="宋体" w:hAnsi="宋体" w:cs="宋体" w:eastAsia="宋体" w:hint="default"/>
          <w:sz w:val="21"/>
          <w:szCs w:val="21"/>
        </w:rPr>
      </w:r>
    </w:p>
    <w:p>
      <w:pPr>
        <w:tabs>
          <w:tab w:pos="7637" w:val="left" w:leader="none"/>
        </w:tabs>
        <w:spacing w:before="64"/>
        <w:ind w:left="2095" w:right="1004" w:firstLine="0"/>
        <w:jc w:val="left"/>
        <w:rPr>
          <w:rFonts w:ascii="宋体" w:hAnsi="宋体" w:cs="宋体" w:eastAsia="宋体" w:hint="default"/>
          <w:sz w:val="18"/>
          <w:szCs w:val="18"/>
        </w:rPr>
      </w:pPr>
      <w:r>
        <w:rPr/>
        <w:pict>
          <v:group style="position:absolute;margin-left:160.020004pt;margin-top:19.064877pt;width:189.85pt;height:.1pt;mso-position-horizontal-relative:page;mso-position-vertical-relative:paragraph;z-index:-625600" coordorigin="3200,381" coordsize="3797,2">
            <v:shape style="position:absolute;left:3200;top:381;width:3797;height:2" coordorigin="3200,381" coordsize="3797,0" path="m3200,381l6997,381e" filled="false" stroked="true" strokeweight=".48004pt" strokecolor="#000000">
              <v:path arrowok="t"/>
            </v:shape>
            <w10:wrap type="none"/>
          </v:group>
        </w:pict>
      </w:r>
      <w:r>
        <w:rPr/>
        <w:pict>
          <v:group style="position:absolute;margin-left:361.920013pt;margin-top:19.064877pt;width:188.25pt;height:.1pt;mso-position-horizontal-relative:page;mso-position-vertical-relative:paragraph;z-index:-625576" coordorigin="7238,381" coordsize="3765,2">
            <v:shape style="position:absolute;left:7238;top:381;width:3765;height:2" coordorigin="7238,381" coordsize="3765,0" path="m7238,381l11003,381e" filled="false" stroked="true" strokeweight=".48004pt" strokecolor="#000000">
              <v:path arrowok="t"/>
            </v:shape>
            <w10:wrap type="none"/>
          </v:group>
        </w:pict>
      </w:r>
      <w:r>
        <w:rPr>
          <w:rFonts w:ascii="宋体" w:hAnsi="宋体" w:cs="宋体" w:eastAsia="宋体" w:hint="default"/>
          <w:sz w:val="21"/>
          <w:szCs w:val="21"/>
        </w:rPr>
        <w:t>年末数</w:t>
        <w:tab/>
      </w:r>
      <w:r>
        <w:rPr>
          <w:rFonts w:ascii="宋体" w:hAnsi="宋体" w:cs="宋体" w:eastAsia="宋体" w:hint="default"/>
          <w:sz w:val="18"/>
          <w:szCs w:val="18"/>
        </w:rPr>
        <w:t>年初数</w:t>
      </w:r>
    </w:p>
    <w:tbl>
      <w:tblPr>
        <w:tblW w:w="0" w:type="auto"/>
        <w:jc w:val="left"/>
        <w:tblInd w:w="112" w:type="dxa"/>
        <w:tblLayout w:type="fixed"/>
        <w:tblCellMar>
          <w:top w:w="0" w:type="dxa"/>
          <w:left w:w="0" w:type="dxa"/>
          <w:bottom w:w="0" w:type="dxa"/>
          <w:right w:w="0" w:type="dxa"/>
        </w:tblCellMar>
        <w:tblLook w:val="01E0"/>
      </w:tblPr>
      <w:tblGrid>
        <w:gridCol w:w="2143"/>
        <w:gridCol w:w="1224"/>
        <w:gridCol w:w="604"/>
        <w:gridCol w:w="100"/>
        <w:gridCol w:w="353"/>
        <w:gridCol w:w="1240"/>
        <w:gridCol w:w="516"/>
        <w:gridCol w:w="1237"/>
        <w:gridCol w:w="615"/>
        <w:gridCol w:w="100"/>
        <w:gridCol w:w="312"/>
        <w:gridCol w:w="1225"/>
      </w:tblGrid>
      <w:tr>
        <w:trPr>
          <w:trHeight w:val="180" w:hRule="exact"/>
        </w:trPr>
        <w:tc>
          <w:tcPr>
            <w:tcW w:w="2143" w:type="dxa"/>
            <w:tcBorders>
              <w:top w:val="nil" w:sz="6" w:space="0" w:color="auto"/>
              <w:left w:val="nil" w:sz="6" w:space="0" w:color="auto"/>
              <w:bottom w:val="single" w:sz="4" w:space="0" w:color="000000"/>
              <w:right w:val="nil" w:sz="6" w:space="0" w:color="auto"/>
            </w:tcBorders>
          </w:tcPr>
          <w:p>
            <w:pPr>
              <w:pStyle w:val="TableParagraph"/>
              <w:spacing w:line="171" w:lineRule="exact"/>
              <w:ind w:left="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526" w:type="dxa"/>
            <w:gridSpan w:val="11"/>
            <w:tcBorders>
              <w:top w:val="nil" w:sz="6" w:space="0" w:color="auto"/>
              <w:left w:val="nil" w:sz="6" w:space="0" w:color="auto"/>
              <w:bottom w:val="nil" w:sz="6" w:space="0" w:color="auto"/>
              <w:right w:val="nil" w:sz="6" w:space="0" w:color="auto"/>
            </w:tcBorders>
          </w:tcPr>
          <w:p>
            <w:pPr/>
          </w:p>
        </w:tc>
      </w:tr>
      <w:tr>
        <w:trPr>
          <w:trHeight w:val="181" w:hRule="exact"/>
        </w:trPr>
        <w:tc>
          <w:tcPr>
            <w:tcW w:w="2143" w:type="dxa"/>
            <w:tcBorders>
              <w:top w:val="single" w:sz="4" w:space="0" w:color="000000"/>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spacing w:line="165" w:lineRule="exact"/>
              <w:ind w:left="3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604" w:type="dxa"/>
            <w:tcBorders>
              <w:top w:val="nil" w:sz="6" w:space="0" w:color="auto"/>
              <w:left w:val="nil" w:sz="6" w:space="0" w:color="auto"/>
              <w:bottom w:val="single" w:sz="4" w:space="0" w:color="000000"/>
              <w:right w:val="nil" w:sz="6" w:space="0" w:color="auto"/>
            </w:tcBorders>
          </w:tcPr>
          <w:p>
            <w:pPr>
              <w:pStyle w:val="TableParagraph"/>
              <w:spacing w:line="165" w:lineRule="exact"/>
              <w:ind w:right="61"/>
              <w:jc w:val="right"/>
              <w:rPr>
                <w:rFonts w:ascii="宋体" w:hAnsi="宋体" w:cs="宋体" w:eastAsia="宋体" w:hint="default"/>
                <w:sz w:val="18"/>
                <w:szCs w:val="18"/>
              </w:rPr>
            </w:pPr>
            <w:r>
              <w:rPr>
                <w:rFonts w:ascii="宋体" w:hAnsi="宋体" w:cs="宋体" w:eastAsia="宋体" w:hint="default"/>
                <w:sz w:val="18"/>
                <w:szCs w:val="18"/>
              </w:rPr>
              <w:t>折算率</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165" w:lineRule="exact"/>
              <w:ind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single" w:sz="4" w:space="0" w:color="000000"/>
              <w:right w:val="nil" w:sz="6" w:space="0" w:color="auto"/>
            </w:tcBorders>
          </w:tcPr>
          <w:p>
            <w:pPr>
              <w:pStyle w:val="TableParagraph"/>
              <w:spacing w:line="165" w:lineRule="exact"/>
              <w:ind w:left="3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615" w:type="dxa"/>
            <w:tcBorders>
              <w:top w:val="nil" w:sz="6" w:space="0" w:color="auto"/>
              <w:left w:val="nil" w:sz="6" w:space="0" w:color="auto"/>
              <w:bottom w:val="single" w:sz="4" w:space="0" w:color="000000"/>
              <w:right w:val="nil" w:sz="6" w:space="0" w:color="auto"/>
            </w:tcBorders>
          </w:tcPr>
          <w:p>
            <w:pPr>
              <w:pStyle w:val="TableParagraph"/>
              <w:spacing w:line="165" w:lineRule="exact"/>
              <w:ind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Style w:val="TableParagraph"/>
              <w:spacing w:line="165" w:lineRule="exact"/>
              <w:ind w:left="1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18"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现  金</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62,605.33</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26,213.64</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48,675.27</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2,092.30</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6"/>
              <w:jc w:val="right"/>
              <w:rPr>
                <w:rFonts w:ascii="Times New Roman" w:hAnsi="Times New Roman" w:cs="Times New Roman" w:eastAsia="Times New Roman" w:hint="default"/>
                <w:sz w:val="18"/>
                <w:szCs w:val="18"/>
              </w:rPr>
            </w:pPr>
            <w:r>
              <w:rPr>
                <w:rFonts w:ascii="Times New Roman"/>
                <w:sz w:val="18"/>
              </w:rPr>
              <w:t>400.00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6.8346</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2,733.84</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9"/>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港  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12,257.49</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0.8819</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10,809.86</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25,760.20</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0.93638</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24,121.34</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欧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40.00</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9.6590</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386.36</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Times New Roman" w:hAnsi="Times New Roman" w:cs="Times New Roman" w:eastAsia="Times New Roman" w:hint="default"/>
                <w:sz w:val="18"/>
                <w:szCs w:val="18"/>
              </w:rPr>
            </w:pPr>
            <w:r>
              <w:rPr>
                <w:rFonts w:ascii="Times New Roman"/>
                <w:sz w:val="18"/>
              </w:rPr>
              <w:t>215,363,340.60</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Times New Roman" w:hAnsi="Times New Roman" w:cs="Times New Roman" w:eastAsia="Times New Roman" w:hint="default"/>
                <w:sz w:val="18"/>
                <w:szCs w:val="18"/>
              </w:rPr>
            </w:pPr>
            <w:r>
              <w:rPr>
                <w:rFonts w:ascii="Times New Roman"/>
                <w:sz w:val="18"/>
              </w:rPr>
              <w:t>210,253,825.67</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Times New Roman" w:hAnsi="Times New Roman" w:cs="Times New Roman" w:eastAsia="Times New Roman" w:hint="default"/>
                <w:sz w:val="18"/>
                <w:szCs w:val="18"/>
              </w:rPr>
            </w:pPr>
            <w:r>
              <w:rPr>
                <w:rFonts w:ascii="Times New Roman"/>
                <w:sz w:val="18"/>
              </w:rPr>
              <w:t>3,632,062.34</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6.8346</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24,823,895.40</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697,540.41</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7.3046</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5,095,251.91</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港  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Times New Roman" w:hAnsi="Times New Roman" w:cs="Times New Roman" w:eastAsia="Times New Roman" w:hint="default"/>
                <w:sz w:val="18"/>
                <w:szCs w:val="18"/>
              </w:rPr>
            </w:pPr>
            <w:r>
              <w:rPr>
                <w:rFonts w:ascii="Times New Roman"/>
                <w:sz w:val="18"/>
              </w:rPr>
              <w:t>1,497,114.15</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0.8819</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1,320,304.97</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Times New Roman" w:hAnsi="Times New Roman" w:cs="Times New Roman" w:eastAsia="Times New Roman" w:hint="default"/>
                <w:sz w:val="18"/>
                <w:szCs w:val="18"/>
              </w:rPr>
            </w:pPr>
            <w:r>
              <w:rPr>
                <w:rFonts w:ascii="Times New Roman"/>
                <w:sz w:val="18"/>
              </w:rPr>
              <w:t>15,232.08</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sz w:val="18"/>
              </w:rPr>
              <w:t>0.93638</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14,263.02</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欧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1,747.09</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9.6590</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16,875.14</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left"/>
              <w:rPr>
                <w:rFonts w:ascii="Times New Roman" w:hAnsi="Times New Roman" w:cs="Times New Roman" w:eastAsia="Times New Roman" w:hint="default"/>
                <w:sz w:val="18"/>
                <w:szCs w:val="18"/>
              </w:rPr>
            </w:pPr>
            <w:r>
              <w:rPr>
                <w:rFonts w:ascii="Times New Roman"/>
                <w:sz w:val="18"/>
              </w:rPr>
              <w:t>557,740,259.18</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4,503,243.51</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Times New Roman" w:hAnsi="Times New Roman" w:cs="Times New Roman" w:eastAsia="Times New Roman" w:hint="default"/>
                <w:sz w:val="18"/>
                <w:szCs w:val="18"/>
              </w:rPr>
            </w:pPr>
            <w:r>
              <w:rPr>
                <w:rFonts w:ascii="Times New Roman"/>
                <w:sz w:val="18"/>
              </w:rPr>
              <w:t>527,762,535.00</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1,581,403.51</w:t>
            </w:r>
          </w:p>
        </w:tc>
      </w:tr>
      <w:tr>
        <w:trPr>
          <w:trHeight w:val="30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Times New Roman" w:hAnsi="Times New Roman" w:cs="Times New Roman" w:eastAsia="Times New Roman" w:hint="default"/>
                <w:sz w:val="18"/>
                <w:szCs w:val="18"/>
              </w:rPr>
            </w:pPr>
            <w:r>
              <w:rPr>
                <w:rFonts w:ascii="Times New Roman"/>
                <w:sz w:val="18"/>
              </w:rPr>
              <w:t>4,386,170.98</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6.8346</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single" w:sz="4" w:space="0" w:color="000000"/>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29,977,724.18</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400,000.00</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7.3046</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single" w:sz="4" w:space="0" w:color="000000"/>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2,921,840.00</w:t>
            </w:r>
          </w:p>
        </w:tc>
      </w:tr>
      <w:tr>
        <w:trPr>
          <w:trHeight w:val="43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single" w:sz="4" w:space="0" w:color="000000"/>
              <w:left w:val="nil" w:sz="6" w:space="0" w:color="auto"/>
              <w:bottom w:val="single" w:sz="12" w:space="0" w:color="000000"/>
              <w:right w:val="nil" w:sz="6" w:space="0" w:color="auto"/>
            </w:tcBorders>
          </w:tcPr>
          <w:p>
            <w:pP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5"/>
              <w:ind w:left="14" w:right="0"/>
              <w:jc w:val="left"/>
              <w:rPr>
                <w:rFonts w:ascii="Times New Roman" w:hAnsi="Times New Roman" w:cs="Times New Roman" w:eastAsia="Times New Roman" w:hint="default"/>
                <w:sz w:val="18"/>
                <w:szCs w:val="18"/>
              </w:rPr>
            </w:pPr>
            <w:r>
              <w:rPr>
                <w:rFonts w:ascii="Times New Roman"/>
                <w:sz w:val="18"/>
              </w:rPr>
              <w:t>617,482,661.13</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single" w:sz="4" w:space="0" w:color="000000"/>
              <w:left w:val="nil" w:sz="6" w:space="0" w:color="auto"/>
              <w:bottom w:val="single" w:sz="12" w:space="0" w:color="000000"/>
              <w:right w:val="nil" w:sz="6" w:space="0" w:color="auto"/>
            </w:tcBorders>
          </w:tcPr>
          <w:p>
            <w:pPr/>
          </w:p>
        </w:tc>
        <w:tc>
          <w:tcPr>
            <w:tcW w:w="12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5"/>
              <w:ind w:right="0"/>
              <w:jc w:val="left"/>
              <w:rPr>
                <w:rFonts w:ascii="Times New Roman" w:hAnsi="Times New Roman" w:cs="Times New Roman" w:eastAsia="Times New Roman" w:hint="default"/>
                <w:sz w:val="18"/>
                <w:szCs w:val="18"/>
              </w:rPr>
            </w:pPr>
            <w:r>
              <w:rPr>
                <w:rFonts w:ascii="Times New Roman"/>
                <w:sz w:val="18"/>
              </w:rPr>
              <w:t>219,892,797.75</w:t>
            </w:r>
          </w:p>
        </w:tc>
      </w:tr>
      <w:tr>
        <w:trPr>
          <w:trHeight w:val="399"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其中：美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left"/>
              <w:rPr>
                <w:rFonts w:ascii="Times New Roman" w:hAnsi="Times New Roman" w:cs="Times New Roman" w:eastAsia="Times New Roman" w:hint="default"/>
                <w:sz w:val="18"/>
                <w:szCs w:val="18"/>
              </w:rPr>
            </w:pPr>
            <w:r>
              <w:rPr>
                <w:rFonts w:ascii="Times New Roman"/>
                <w:sz w:val="18"/>
              </w:rPr>
              <w:t>8,018,633.32</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right"/>
              <w:rPr>
                <w:rFonts w:ascii="Times New Roman" w:hAnsi="Times New Roman" w:cs="Times New Roman" w:eastAsia="Times New Roman" w:hint="default"/>
                <w:sz w:val="18"/>
                <w:szCs w:val="18"/>
              </w:rPr>
            </w:pPr>
            <w:r>
              <w:rPr>
                <w:rFonts w:ascii="Times New Roman"/>
                <w:sz w:val="18"/>
              </w:rPr>
              <w:t>6.8346</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single" w:sz="12" w:space="0" w:color="000000"/>
              <w:left w:val="nil" w:sz="6" w:space="0" w:color="auto"/>
              <w:bottom w:val="nil" w:sz="6" w:space="0" w:color="auto"/>
              <w:right w:val="nil" w:sz="6" w:space="0" w:color="auto"/>
            </w:tcBorders>
          </w:tcPr>
          <w:p>
            <w:pPr/>
          </w:p>
        </w:tc>
        <w:tc>
          <w:tcPr>
            <w:tcW w:w="1240" w:type="dxa"/>
            <w:tcBorders>
              <w:top w:val="single" w:sz="12" w:space="0" w:color="000000"/>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54,804,353.42</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left"/>
              <w:rPr>
                <w:rFonts w:ascii="Times New Roman" w:hAnsi="Times New Roman" w:cs="Times New Roman" w:eastAsia="Times New Roman" w:hint="default"/>
                <w:sz w:val="18"/>
                <w:szCs w:val="18"/>
              </w:rPr>
            </w:pPr>
            <w:r>
              <w:rPr>
                <w:rFonts w:ascii="Times New Roman"/>
                <w:sz w:val="18"/>
              </w:rPr>
              <w:t>1,097,540.41</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right"/>
              <w:rPr>
                <w:rFonts w:ascii="Times New Roman" w:hAnsi="Times New Roman" w:cs="Times New Roman" w:eastAsia="Times New Roman" w:hint="default"/>
                <w:sz w:val="18"/>
                <w:szCs w:val="18"/>
              </w:rPr>
            </w:pPr>
            <w:r>
              <w:rPr>
                <w:rFonts w:ascii="Times New Roman"/>
                <w:sz w:val="18"/>
              </w:rPr>
              <w:t>7.3046</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single" w:sz="12" w:space="0" w:color="000000"/>
              <w:left w:val="nil" w:sz="6" w:space="0" w:color="auto"/>
              <w:bottom w:val="nil" w:sz="6" w:space="0" w:color="auto"/>
              <w:right w:val="nil" w:sz="6" w:space="0" w:color="auto"/>
            </w:tcBorders>
          </w:tcPr>
          <w:p>
            <w:pPr/>
          </w:p>
        </w:tc>
        <w:tc>
          <w:tcPr>
            <w:tcW w:w="1225" w:type="dxa"/>
            <w:tcBorders>
              <w:top w:val="single" w:sz="12" w:space="0" w:color="000000"/>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8,017,091.91</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6"/>
              <w:jc w:val="right"/>
              <w:rPr>
                <w:rFonts w:ascii="宋体" w:hAnsi="宋体" w:cs="宋体" w:eastAsia="宋体" w:hint="default"/>
                <w:sz w:val="18"/>
                <w:szCs w:val="18"/>
              </w:rPr>
            </w:pPr>
            <w:r>
              <w:rPr>
                <w:rFonts w:ascii="宋体" w:hAnsi="宋体" w:cs="宋体" w:eastAsia="宋体" w:hint="default"/>
                <w:sz w:val="18"/>
                <w:szCs w:val="18"/>
              </w:rPr>
              <w:t>欧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1,787.09</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9.6590</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17,261.50</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6"/>
              <w:jc w:val="right"/>
              <w:rPr>
                <w:rFonts w:ascii="宋体" w:hAnsi="宋体" w:cs="宋体" w:eastAsia="宋体" w:hint="default"/>
                <w:sz w:val="18"/>
                <w:szCs w:val="18"/>
              </w:rPr>
            </w:pPr>
            <w:r>
              <w:rPr>
                <w:rFonts w:ascii="宋体" w:hAnsi="宋体" w:cs="宋体" w:eastAsia="宋体" w:hint="default"/>
                <w:sz w:val="18"/>
                <w:szCs w:val="18"/>
              </w:rPr>
              <w:t>日  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6"/>
              <w:jc w:val="right"/>
              <w:rPr>
                <w:rFonts w:ascii="Times New Roman" w:hAnsi="Times New Roman" w:cs="Times New Roman" w:eastAsia="Times New Roman" w:hint="default"/>
                <w:sz w:val="18"/>
                <w:szCs w:val="18"/>
              </w:rPr>
            </w:pPr>
            <w:r>
              <w:rPr>
                <w:rFonts w:ascii="Times New Roman"/>
                <w:sz w:val="18"/>
              </w:rPr>
              <w:t>---</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8"/>
              <w:jc w:val="right"/>
              <w:rPr>
                <w:rFonts w:ascii="Times New Roman" w:hAnsi="Times New Roman" w:cs="Times New Roman" w:eastAsia="Times New Roman" w:hint="default"/>
                <w:sz w:val="18"/>
                <w:szCs w:val="18"/>
              </w:rPr>
            </w:pPr>
            <w:r>
              <w:rPr>
                <w:rFonts w:ascii="Times New Roman"/>
                <w:sz w:val="18"/>
              </w:rPr>
              <w:t>---</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6"/>
              <w:jc w:val="right"/>
              <w:rPr>
                <w:rFonts w:ascii="宋体" w:hAnsi="宋体" w:cs="宋体" w:eastAsia="宋体" w:hint="default"/>
                <w:sz w:val="18"/>
                <w:szCs w:val="18"/>
              </w:rPr>
            </w:pPr>
            <w:r>
              <w:rPr>
                <w:rFonts w:ascii="宋体" w:hAnsi="宋体" w:cs="宋体" w:eastAsia="宋体" w:hint="default"/>
                <w:sz w:val="18"/>
                <w:szCs w:val="18"/>
              </w:rPr>
              <w:t>港  币</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Times New Roman" w:hAnsi="Times New Roman" w:cs="Times New Roman" w:eastAsia="Times New Roman" w:hint="default"/>
                <w:sz w:val="18"/>
                <w:szCs w:val="18"/>
              </w:rPr>
            </w:pPr>
            <w:r>
              <w:rPr>
                <w:rFonts w:ascii="Times New Roman"/>
                <w:sz w:val="18"/>
              </w:rPr>
              <w:t>1,509,371.64</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0.8819</w:t>
            </w:r>
          </w:p>
        </w:tc>
        <w:tc>
          <w:tcPr>
            <w:tcW w:w="100"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1,331,114.83</w:t>
            </w:r>
          </w:p>
        </w:tc>
        <w:tc>
          <w:tcPr>
            <w:tcW w:w="516"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Times New Roman" w:hAnsi="Times New Roman" w:cs="Times New Roman" w:eastAsia="Times New Roman" w:hint="default"/>
                <w:sz w:val="18"/>
                <w:szCs w:val="18"/>
              </w:rPr>
            </w:pPr>
            <w:r>
              <w:rPr>
                <w:rFonts w:ascii="Times New Roman"/>
                <w:sz w:val="18"/>
              </w:rPr>
              <w:t>40,992.28</w:t>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sz w:val="18"/>
              </w:rPr>
              <w:t>0.93638</w:t>
            </w:r>
          </w:p>
        </w:tc>
        <w:tc>
          <w:tcPr>
            <w:tcW w:w="100"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38,384.36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line="20" w:lineRule="exact"/>
        <w:ind w:left="3913" w:right="0" w:firstLine="0"/>
        <w:rPr>
          <w:rFonts w:ascii="宋体" w:hAnsi="宋体" w:cs="宋体" w:eastAsia="宋体" w:hint="default"/>
          <w:sz w:val="2"/>
          <w:szCs w:val="2"/>
        </w:rPr>
      </w:pPr>
      <w:r>
        <w:rPr>
          <w:rFonts w:ascii="宋体" w:hAnsi="宋体" w:cs="宋体" w:eastAsia="宋体" w:hint="default"/>
          <w:sz w:val="2"/>
          <w:szCs w:val="2"/>
        </w:rPr>
        <w:pict>
          <v:group style="width:247.7pt;height:.75pt;mso-position-horizontal-relative:char;mso-position-vertical-relative:line" coordorigin="0,0" coordsize="4954,15">
            <v:group style="position:absolute;left:7;top:7;width:2477;height:2" coordorigin="7,7" coordsize="2477,2">
              <v:shape style="position:absolute;left:7;top:7;width:2477;height:2" coordorigin="7,7" coordsize="2477,0" path="m7,7l2484,7e" filled="false" stroked="true" strokeweight=".72pt" strokecolor="#000000">
                <v:path arrowok="t"/>
              </v:shape>
            </v:group>
            <v:group style="position:absolute;left:2470;top:7;width:105;height:2" coordorigin="2470,7" coordsize="105,2">
              <v:shape style="position:absolute;left:2470;top:7;width:105;height:2" coordorigin="2470,7" coordsize="105,0" path="m2470,7l2574,7e" filled="false" stroked="true" strokeweight=".72pt" strokecolor="#000000">
                <v:path arrowok="t"/>
              </v:shape>
            </v:group>
            <v:group style="position:absolute;left:2574;top:7;width:2373;height:2" coordorigin="2574,7" coordsize="2373,2">
              <v:shape style="position:absolute;left:2574;top:7;width:2373;height:2" coordorigin="2574,7" coordsize="2373,0" path="m2574,7l494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5"/>
          <w:szCs w:val="5"/>
        </w:rPr>
      </w:pPr>
    </w:p>
    <w:p>
      <w:pPr>
        <w:spacing w:before="35"/>
        <w:ind w:left="1000" w:right="1004" w:firstLine="0"/>
        <w:jc w:val="left"/>
        <w:rPr>
          <w:rFonts w:ascii="宋体" w:hAnsi="宋体" w:cs="宋体" w:eastAsia="宋体" w:hint="default"/>
          <w:sz w:val="21"/>
          <w:szCs w:val="21"/>
        </w:rPr>
      </w:pPr>
      <w:r>
        <w:rPr/>
        <w:pict>
          <v:shape style="position:absolute;margin-left:93.650002pt;margin-top:-124.74987pt;width:410pt;height:125.9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5"/>
                    <w:gridCol w:w="2392"/>
                    <w:gridCol w:w="1803"/>
                  </w:tblGrid>
                  <w:tr>
                    <w:trPr>
                      <w:trHeight w:val="1071"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6" w:right="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35"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7"/>
                          <w:ind w:left="1452" w:right="0"/>
                          <w:jc w:val="left"/>
                          <w:rPr>
                            <w:rFonts w:ascii="Times New Roman" w:hAnsi="Times New Roman" w:cs="Times New Roman" w:eastAsia="Times New Roman" w:hint="default"/>
                            <w:sz w:val="18"/>
                            <w:szCs w:val="18"/>
                          </w:rPr>
                        </w:pPr>
                        <w:r>
                          <w:rPr>
                            <w:rFonts w:ascii="Times New Roman"/>
                            <w:sz w:val="18"/>
                          </w:rPr>
                          <w:t>---</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1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7"/>
                          <w:ind w:left="758" w:right="0"/>
                          <w:jc w:val="left"/>
                          <w:rPr>
                            <w:rFonts w:ascii="Times New Roman" w:hAnsi="Times New Roman" w:cs="Times New Roman" w:eastAsia="Times New Roman" w:hint="default"/>
                            <w:sz w:val="18"/>
                            <w:szCs w:val="18"/>
                          </w:rPr>
                        </w:pPr>
                        <w:r>
                          <w:rPr>
                            <w:rFonts w:ascii="Times New Roman"/>
                            <w:sz w:val="18"/>
                          </w:rPr>
                          <w:t>1,581,403.51</w:t>
                        </w:r>
                      </w:p>
                    </w:tc>
                  </w:tr>
                  <w:tr>
                    <w:trPr>
                      <w:trHeight w:val="340"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7"/>
                          <w:jc w:val="right"/>
                          <w:rPr>
                            <w:rFonts w:ascii="Times New Roman" w:hAnsi="Times New Roman" w:cs="Times New Roman" w:eastAsia="Times New Roman" w:hint="default"/>
                            <w:sz w:val="18"/>
                            <w:szCs w:val="18"/>
                          </w:rPr>
                        </w:pPr>
                        <w:r>
                          <w:rPr>
                            <w:rFonts w:ascii="Times New Roman"/>
                            <w:sz w:val="18"/>
                          </w:rPr>
                          <w:t>170,865.00</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2,921,840.00</w:t>
                        </w:r>
                      </w:p>
                    </w:tc>
                  </w:tr>
                  <w:tr>
                    <w:trPr>
                      <w:trHeight w:val="340"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8"/>
                          <w:jc w:val="right"/>
                          <w:rPr>
                            <w:rFonts w:ascii="Times New Roman" w:hAnsi="Times New Roman" w:cs="Times New Roman" w:eastAsia="Times New Roman" w:hint="default"/>
                            <w:sz w:val="18"/>
                            <w:szCs w:val="18"/>
                          </w:rPr>
                        </w:pPr>
                        <w:r>
                          <w:rPr>
                            <w:rFonts w:ascii="Times New Roman"/>
                            <w:spacing w:val="-1"/>
                            <w:sz w:val="18"/>
                          </w:rPr>
                          <w:t>34,106,859.18</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2" w:hRule="exact"/>
                    </w:trPr>
                    <w:tc>
                      <w:tcPr>
                        <w:tcW w:w="400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56"/>
                          <w:jc w:val="right"/>
                          <w:rPr>
                            <w:rFonts w:ascii="Times New Roman" w:hAnsi="Times New Roman" w:cs="Times New Roman" w:eastAsia="Times New Roman" w:hint="default"/>
                            <w:sz w:val="18"/>
                            <w:szCs w:val="18"/>
                          </w:rPr>
                        </w:pPr>
                        <w:r>
                          <w:rPr>
                            <w:rFonts w:ascii="Times New Roman"/>
                            <w:spacing w:val="-1"/>
                            <w:sz w:val="18"/>
                          </w:rPr>
                          <w:t>523,462,535.00</w:t>
                        </w:r>
                      </w:p>
                    </w:tc>
                    <w:tc>
                      <w:tcPr>
                        <w:tcW w:w="180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4005" w:type="dxa"/>
                        <w:tcBorders>
                          <w:top w:val="single" w:sz="4" w:space="0" w:color="000000"/>
                          <w:left w:val="nil" w:sz="6" w:space="0" w:color="auto"/>
                          <w:bottom w:val="single" w:sz="12" w:space="0" w:color="000000"/>
                          <w:right w:val="nil" w:sz="6" w:space="0" w:color="auto"/>
                        </w:tcBorders>
                      </w:tcPr>
                      <w:p>
                        <w:pPr>
                          <w:pStyle w:val="TableParagraph"/>
                          <w:tabs>
                            <w:tab w:pos="1784" w:val="left" w:leader="none"/>
                          </w:tabs>
                          <w:spacing w:line="240" w:lineRule="auto" w:before="62"/>
                          <w:ind w:left="124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756"/>
                          <w:jc w:val="right"/>
                          <w:rPr>
                            <w:rFonts w:ascii="Times New Roman" w:hAnsi="Times New Roman" w:cs="Times New Roman" w:eastAsia="Times New Roman" w:hint="default"/>
                            <w:sz w:val="18"/>
                            <w:szCs w:val="18"/>
                          </w:rPr>
                        </w:pPr>
                        <w:r>
                          <w:rPr>
                            <w:rFonts w:ascii="Times New Roman"/>
                            <w:spacing w:val="-1"/>
                            <w:sz w:val="18"/>
                          </w:rPr>
                          <w:t>557,740,259.18</w:t>
                        </w:r>
                      </w:p>
                    </w:tc>
                    <w:tc>
                      <w:tcPr>
                        <w:tcW w:w="18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4,503,243.51</w:t>
                        </w:r>
                      </w:p>
                    </w:tc>
                  </w:tr>
                </w:tbl>
                <w:p>
                  <w:pPr/>
                </w:p>
              </w:txbxContent>
            </v:textbox>
            <w10:wrap type="none"/>
          </v:shape>
        </w:pict>
      </w:r>
      <w:r>
        <w:rPr>
          <w:rFonts w:ascii="宋体" w:hAnsi="宋体" w:cs="宋体" w:eastAsia="宋体" w:hint="default"/>
          <w:sz w:val="21"/>
          <w:szCs w:val="21"/>
        </w:rPr>
        <w:t>本公司受限货币资金详细情况参见附注十。</w:t>
      </w:r>
    </w:p>
    <w:p>
      <w:pPr>
        <w:spacing w:line="297" w:lineRule="auto" w:before="64"/>
        <w:ind w:left="579" w:right="1004" w:firstLine="420"/>
        <w:jc w:val="left"/>
        <w:rPr>
          <w:rFonts w:ascii="宋体" w:hAnsi="宋体" w:cs="宋体" w:eastAsia="宋体" w:hint="default"/>
          <w:sz w:val="21"/>
          <w:szCs w:val="21"/>
        </w:rPr>
      </w:pPr>
      <w:r>
        <w:rPr>
          <w:rFonts w:ascii="宋体" w:hAnsi="宋体" w:cs="宋体" w:eastAsia="宋体" w:hint="default"/>
          <w:sz w:val="21"/>
          <w:szCs w:val="21"/>
        </w:rPr>
        <w:t>货币资金年末数比年初数增加</w:t>
      </w:r>
      <w:r>
        <w:rPr>
          <w:rFonts w:ascii="宋体" w:hAnsi="宋体" w:cs="宋体" w:eastAsia="宋体" w:hint="default"/>
          <w:spacing w:val="-49"/>
          <w:sz w:val="21"/>
          <w:szCs w:val="21"/>
        </w:rPr>
        <w:t> </w:t>
      </w:r>
      <w:r>
        <w:rPr>
          <w:rFonts w:ascii="宋体" w:hAnsi="宋体" w:cs="宋体" w:eastAsia="宋体" w:hint="default"/>
          <w:sz w:val="21"/>
          <w:szCs w:val="21"/>
        </w:rPr>
        <w:t>397,589,863.38</w:t>
      </w:r>
      <w:r>
        <w:rPr>
          <w:rFonts w:ascii="宋体" w:hAnsi="宋体" w:cs="宋体" w:eastAsia="宋体" w:hint="default"/>
          <w:spacing w:val="-1"/>
          <w:sz w:val="21"/>
          <w:szCs w:val="21"/>
        </w:rPr>
        <w:t> </w:t>
      </w:r>
      <w:r>
        <w:rPr>
          <w:rFonts w:ascii="宋体" w:hAnsi="宋体" w:cs="宋体" w:eastAsia="宋体" w:hint="default"/>
          <w:sz w:val="21"/>
          <w:szCs w:val="21"/>
        </w:rPr>
        <w:t>元，增加比例为</w:t>
      </w:r>
      <w:r>
        <w:rPr>
          <w:rFonts w:ascii="宋体" w:hAnsi="宋体" w:cs="宋体" w:eastAsia="宋体" w:hint="default"/>
          <w:spacing w:val="-49"/>
          <w:sz w:val="21"/>
          <w:szCs w:val="21"/>
        </w:rPr>
        <w:t> </w:t>
      </w:r>
      <w:r>
        <w:rPr>
          <w:rFonts w:ascii="宋体" w:hAnsi="宋体" w:cs="宋体" w:eastAsia="宋体" w:hint="default"/>
          <w:sz w:val="21"/>
          <w:szCs w:val="21"/>
        </w:rPr>
        <w:t>180.81%，增加原因主</w:t>
      </w:r>
      <w:r>
        <w:rPr>
          <w:rFonts w:ascii="宋体" w:hAnsi="宋体" w:cs="宋体" w:eastAsia="宋体" w:hint="default"/>
          <w:sz w:val="21"/>
          <w:szCs w:val="21"/>
        </w:rPr>
        <w:t> 要为：本年为了规避外汇风险，以等值人民币质押取得外币短期借款金额增加所致。</w:t>
      </w:r>
    </w:p>
    <w:p>
      <w:pPr>
        <w:spacing w:before="14"/>
        <w:ind w:left="1002" w:right="1004" w:firstLine="0"/>
        <w:jc w:val="left"/>
        <w:rPr>
          <w:rFonts w:ascii="宋体" w:hAnsi="宋体" w:cs="宋体" w:eastAsia="宋体" w:hint="default"/>
          <w:sz w:val="21"/>
          <w:szCs w:val="21"/>
        </w:rPr>
      </w:pPr>
      <w:r>
        <w:rPr>
          <w:rFonts w:ascii="宋体" w:hAnsi="宋体" w:cs="宋体" w:eastAsia="宋体" w:hint="default"/>
          <w:b/>
          <w:bCs/>
          <w:sz w:val="21"/>
          <w:szCs w:val="21"/>
        </w:rPr>
        <w:t>（二）交易性金融资产</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653" w:type="dxa"/>
        <w:tblLayout w:type="fixed"/>
        <w:tblCellMar>
          <w:top w:w="0" w:type="dxa"/>
          <w:left w:w="0" w:type="dxa"/>
          <w:bottom w:w="0" w:type="dxa"/>
          <w:right w:w="0" w:type="dxa"/>
        </w:tblCellMar>
        <w:tblLook w:val="01E0"/>
      </w:tblPr>
      <w:tblGrid>
        <w:gridCol w:w="3009"/>
        <w:gridCol w:w="2752"/>
        <w:gridCol w:w="1775"/>
      </w:tblGrid>
      <w:tr>
        <w:trPr>
          <w:trHeight w:val="698" w:hRule="exact"/>
        </w:trPr>
        <w:tc>
          <w:tcPr>
            <w:tcW w:w="3009" w:type="dxa"/>
            <w:tcBorders>
              <w:top w:val="nil" w:sz="6" w:space="0" w:color="auto"/>
              <w:left w:val="nil" w:sz="6" w:space="0" w:color="auto"/>
              <w:bottom w:val="nil" w:sz="6" w:space="0" w:color="auto"/>
              <w:right w:val="nil" w:sz="6" w:space="0" w:color="auto"/>
            </w:tcBorders>
          </w:tcPr>
          <w:p>
            <w:pPr>
              <w:pStyle w:val="TableParagraph"/>
              <w:tabs>
                <w:tab w:pos="804" w:val="left" w:leader="none"/>
              </w:tabs>
              <w:spacing w:line="240" w:lineRule="auto" w:before="44"/>
              <w:ind w:left="26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年末公允价值</w:t>
            </w:r>
            <w:r>
              <w:rPr>
                <w:rFonts w:ascii="宋体" w:hAnsi="宋体" w:cs="宋体" w:eastAsia="宋体" w:hint="default"/>
                <w:sz w:val="18"/>
                <w:szCs w:val="18"/>
              </w:rPr>
            </w:r>
          </w:p>
          <w:p>
            <w:pPr>
              <w:pStyle w:val="TableParagraph"/>
              <w:spacing w:line="240" w:lineRule="auto" w:before="147"/>
              <w:ind w:left="352" w:right="0"/>
              <w:jc w:val="center"/>
              <w:rPr>
                <w:rFonts w:ascii="Times New Roman" w:hAnsi="Times New Roman" w:cs="Times New Roman" w:eastAsia="Times New Roman" w:hint="default"/>
                <w:sz w:val="18"/>
                <w:szCs w:val="18"/>
              </w:rPr>
            </w:pPr>
            <w:r>
              <w:rPr>
                <w:rFonts w:ascii="Times New Roman"/>
                <w:sz w:val="18"/>
              </w:rPr>
              <w:t>---</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年初公允价值</w:t>
            </w:r>
            <w:r>
              <w:rPr>
                <w:rFonts w:ascii="宋体" w:hAnsi="宋体" w:cs="宋体" w:eastAsia="宋体" w:hint="default"/>
                <w:sz w:val="18"/>
                <w:szCs w:val="18"/>
              </w:rPr>
            </w:r>
          </w:p>
          <w:p>
            <w:pPr>
              <w:pStyle w:val="TableParagraph"/>
              <w:spacing w:line="240" w:lineRule="auto" w:before="147"/>
              <w:ind w:left="684" w:right="0"/>
              <w:jc w:val="center"/>
              <w:rPr>
                <w:rFonts w:ascii="Times New Roman" w:hAnsi="Times New Roman" w:cs="Times New Roman" w:eastAsia="Times New Roman" w:hint="default"/>
                <w:sz w:val="18"/>
                <w:szCs w:val="18"/>
              </w:rPr>
            </w:pPr>
            <w:r>
              <w:rPr>
                <w:rFonts w:ascii="Times New Roman"/>
                <w:sz w:val="18"/>
              </w:rPr>
              <w:t>---</w:t>
            </w:r>
          </w:p>
        </w:tc>
      </w:tr>
      <w:tr>
        <w:trPr>
          <w:trHeight w:val="37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2" w:right="0"/>
              <w:jc w:val="center"/>
              <w:rPr>
                <w:rFonts w:ascii="Times New Roman" w:hAnsi="Times New Roman" w:cs="Times New Roman" w:eastAsia="Times New Roman" w:hint="default"/>
                <w:sz w:val="21"/>
                <w:szCs w:val="21"/>
              </w:rPr>
            </w:pPr>
            <w:r>
              <w:rPr>
                <w:rFonts w:ascii="Times New Roman"/>
                <w:sz w:val="21"/>
              </w:rPr>
              <w:t>---</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139"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950" w:top="1160" w:bottom="1140" w:left="1220" w:right="780"/>
        </w:sectPr>
      </w:pP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8" w:footer="950" w:top="1160" w:bottom="1140" w:left="1080" w:right="380"/>
        </w:sectPr>
      </w:pPr>
    </w:p>
    <w:p>
      <w:pPr>
        <w:spacing w:line="326" w:lineRule="auto" w:before="44"/>
        <w:ind w:left="828"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、指定为以公允价值计量且其变动计入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本年损益的金融资产</w:t>
      </w:r>
    </w:p>
    <w:p>
      <w:pPr>
        <w:spacing w:line="240" w:lineRule="auto" w:before="8"/>
        <w:rPr>
          <w:rFonts w:ascii="宋体" w:hAnsi="宋体" w:cs="宋体" w:eastAsia="宋体" w:hint="default"/>
          <w:sz w:val="19"/>
          <w:szCs w:val="19"/>
        </w:rPr>
      </w:pPr>
      <w:r>
        <w:rPr/>
        <w:br w:type="column"/>
      </w:r>
      <w:r>
        <w:rPr>
          <w:rFonts w:ascii="宋体"/>
          <w:sz w:val="19"/>
        </w:rPr>
      </w:r>
    </w:p>
    <w:p>
      <w:pPr>
        <w:tabs>
          <w:tab w:pos="3257" w:val="left" w:leader="none"/>
        </w:tabs>
        <w:spacing w:before="0"/>
        <w:ind w:left="828" w:right="0" w:firstLine="0"/>
        <w:jc w:val="left"/>
        <w:rPr>
          <w:rFonts w:ascii="Times New Roman" w:hAnsi="Times New Roman" w:cs="Times New Roman" w:eastAsia="Times New Roman" w:hint="default"/>
          <w:sz w:val="18"/>
          <w:szCs w:val="18"/>
        </w:rPr>
      </w:pPr>
      <w:r>
        <w:rPr>
          <w:rFonts w:ascii="Times New Roman"/>
          <w:sz w:val="18"/>
        </w:rPr>
        <w:t>---</w:t>
        <w:tab/>
        <w:t>---</w:t>
      </w:r>
    </w:p>
    <w:p>
      <w:pPr>
        <w:spacing w:after="0"/>
        <w:jc w:val="left"/>
        <w:rPr>
          <w:rFonts w:ascii="Times New Roman" w:hAnsi="Times New Roman" w:cs="Times New Roman" w:eastAsia="Times New Roman" w:hint="default"/>
          <w:sz w:val="18"/>
          <w:szCs w:val="18"/>
        </w:rPr>
        <w:sectPr>
          <w:type w:val="continuous"/>
          <w:pgSz w:w="11910" w:h="16840"/>
          <w:pgMar w:top="1020" w:bottom="1520" w:left="1080" w:right="380"/>
          <w:cols w:num="2" w:equalWidth="0">
            <w:col w:w="4038" w:space="398"/>
            <w:col w:w="6014"/>
          </w:cols>
        </w:sectPr>
      </w:pPr>
    </w:p>
    <w:p>
      <w:pPr>
        <w:tabs>
          <w:tab w:pos="4837" w:val="left" w:leader="none"/>
          <w:tab w:pos="7693" w:val="left" w:leader="none"/>
        </w:tabs>
        <w:spacing w:before="40"/>
        <w:ind w:left="828" w:right="140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、衍生金融资产</w:t>
        <w:tab/>
      </w:r>
      <w:r>
        <w:rPr>
          <w:rFonts w:ascii="Times New Roman" w:hAnsi="Times New Roman" w:cs="Times New Roman" w:eastAsia="Times New Roman" w:hint="default"/>
          <w:spacing w:val="-1"/>
          <w:sz w:val="18"/>
          <w:szCs w:val="18"/>
        </w:rPr>
        <w:t>25,762,657.36</w:t>
        <w:tab/>
      </w:r>
      <w:r>
        <w:rPr>
          <w:rFonts w:ascii="Times New Roman" w:hAnsi="Times New Roman" w:cs="Times New Roman" w:eastAsia="Times New Roman" w:hint="default"/>
          <w:sz w:val="18"/>
          <w:szCs w:val="18"/>
        </w:rPr>
        <w:t>---</w:t>
      </w:r>
    </w:p>
    <w:p>
      <w:pPr>
        <w:tabs>
          <w:tab w:pos="1637" w:val="left" w:leader="none"/>
          <w:tab w:pos="5264" w:val="left" w:leader="none"/>
          <w:tab w:pos="7694" w:val="left" w:leader="none"/>
        </w:tabs>
        <w:spacing w:before="90"/>
        <w:ind w:left="828" w:right="140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w:t>
        <w:tab/>
        <w:t>他</w:t>
        <w:tab/>
      </w:r>
      <w:r>
        <w:rPr>
          <w:rFonts w:ascii="Times New Roman" w:hAnsi="Times New Roman" w:cs="Times New Roman" w:eastAsia="Times New Roman" w:hint="default"/>
          <w:sz w:val="18"/>
          <w:szCs w:val="18"/>
        </w:rPr>
        <w:t>---</w:t>
        <w:tab/>
        <w:t>---</w:t>
      </w:r>
    </w:p>
    <w:p>
      <w:pPr>
        <w:tabs>
          <w:tab w:pos="2639" w:val="left" w:leader="none"/>
          <w:tab w:pos="4837" w:val="left" w:leader="none"/>
          <w:tab w:pos="7693" w:val="left" w:leader="none"/>
        </w:tabs>
        <w:spacing w:before="55"/>
        <w:ind w:left="2010" w:right="1402" w:firstLine="0"/>
        <w:jc w:val="left"/>
        <w:rPr>
          <w:rFonts w:ascii="Times New Roman" w:hAnsi="Times New Roman" w:cs="Times New Roman" w:eastAsia="Times New Roman" w:hint="default"/>
          <w:sz w:val="18"/>
          <w:szCs w:val="18"/>
        </w:rPr>
      </w:pPr>
      <w:r>
        <w:rPr>
          <w:rFonts w:ascii="宋体" w:hAnsi="宋体" w:cs="宋体" w:eastAsia="宋体" w:hint="default"/>
          <w:sz w:val="21"/>
          <w:szCs w:val="21"/>
        </w:rPr>
        <w:t>合</w:t>
        <w:tab/>
        <w:t>计</w:t>
        <w:tab/>
      </w:r>
      <w:r>
        <w:rPr>
          <w:rFonts w:ascii="Times New Roman" w:hAnsi="Times New Roman" w:cs="Times New Roman" w:eastAsia="Times New Roman" w:hint="default"/>
          <w:spacing w:val="-1"/>
          <w:sz w:val="18"/>
          <w:szCs w:val="18"/>
        </w:rPr>
        <w:t>25,762,657.36</w:t>
        <w:tab/>
      </w:r>
      <w:r>
        <w:rPr>
          <w:rFonts w:ascii="Times New Roman" w:hAnsi="Times New Roman" w:cs="Times New Roman" w:eastAsia="Times New Roman" w:hint="default"/>
          <w:sz w:val="18"/>
          <w:szCs w:val="18"/>
        </w:rPr>
        <w:t>---</w:t>
      </w:r>
    </w:p>
    <w:p>
      <w:pPr>
        <w:spacing w:line="297" w:lineRule="auto" w:before="56"/>
        <w:ind w:left="720" w:right="1402" w:firstLine="630"/>
        <w:jc w:val="left"/>
        <w:rPr>
          <w:rFonts w:ascii="宋体" w:hAnsi="宋体" w:cs="宋体" w:eastAsia="宋体" w:hint="default"/>
          <w:sz w:val="21"/>
          <w:szCs w:val="21"/>
        </w:rPr>
      </w:pPr>
      <w:r>
        <w:rPr>
          <w:rFonts w:ascii="宋体" w:hAnsi="宋体" w:cs="宋体" w:eastAsia="宋体" w:hint="default"/>
          <w:sz w:val="21"/>
          <w:szCs w:val="21"/>
        </w:rPr>
        <w:t>交易性金融资产年末数比年初数增加</w:t>
      </w:r>
      <w:r>
        <w:rPr>
          <w:rFonts w:ascii="宋体" w:hAnsi="宋体" w:cs="宋体" w:eastAsia="宋体" w:hint="default"/>
          <w:spacing w:val="-53"/>
          <w:sz w:val="21"/>
          <w:szCs w:val="21"/>
        </w:rPr>
        <w:t> </w:t>
      </w:r>
      <w:r>
        <w:rPr>
          <w:rFonts w:ascii="宋体" w:hAnsi="宋体" w:cs="宋体" w:eastAsia="宋体" w:hint="default"/>
          <w:sz w:val="21"/>
          <w:szCs w:val="21"/>
        </w:rPr>
        <w:t>25,762,657.36</w:t>
      </w:r>
      <w:r>
        <w:rPr>
          <w:rFonts w:ascii="宋体" w:hAnsi="宋体" w:cs="宋体" w:eastAsia="宋体" w:hint="default"/>
          <w:spacing w:val="-52"/>
          <w:sz w:val="21"/>
          <w:szCs w:val="21"/>
        </w:rPr>
        <w:t> </w:t>
      </w:r>
      <w:r>
        <w:rPr>
          <w:rFonts w:ascii="宋体" w:hAnsi="宋体" w:cs="宋体" w:eastAsia="宋体" w:hint="default"/>
          <w:spacing w:val="-7"/>
          <w:sz w:val="21"/>
          <w:szCs w:val="21"/>
        </w:rPr>
        <w:t>元，增加主要原因为：公司本年</w:t>
      </w:r>
      <w:r>
        <w:rPr>
          <w:rFonts w:ascii="宋体" w:hAnsi="宋体" w:cs="宋体" w:eastAsia="宋体" w:hint="default"/>
          <w:sz w:val="21"/>
          <w:szCs w:val="21"/>
        </w:rPr>
        <w:t> 与银行发生了外汇远期结售汇交易及不交割远期外汇交易所致。</w:t>
      </w:r>
    </w:p>
    <w:p>
      <w:pPr>
        <w:spacing w:before="14"/>
        <w:ind w:left="1350" w:right="1402" w:firstLine="0"/>
        <w:jc w:val="left"/>
        <w:rPr>
          <w:rFonts w:ascii="宋体" w:hAnsi="宋体" w:cs="宋体" w:eastAsia="宋体" w:hint="default"/>
          <w:sz w:val="21"/>
          <w:szCs w:val="21"/>
        </w:rPr>
      </w:pPr>
      <w:r>
        <w:rPr>
          <w:rFonts w:ascii="宋体" w:hAnsi="宋体" w:cs="宋体" w:eastAsia="宋体" w:hint="default"/>
          <w:sz w:val="21"/>
          <w:szCs w:val="21"/>
        </w:rPr>
        <w:t>本项目核算的交易性金融资产投资变现不存在重大限制。</w:t>
      </w:r>
    </w:p>
    <w:p>
      <w:pPr>
        <w:spacing w:before="66"/>
        <w:ind w:left="1259" w:right="1402" w:firstLine="0"/>
        <w:jc w:val="left"/>
        <w:rPr>
          <w:rFonts w:ascii="宋体" w:hAnsi="宋体" w:cs="宋体" w:eastAsia="宋体" w:hint="default"/>
          <w:sz w:val="21"/>
          <w:szCs w:val="21"/>
        </w:rPr>
      </w:pPr>
      <w:r>
        <w:rPr>
          <w:rFonts w:ascii="宋体" w:hAnsi="宋体" w:cs="宋体" w:eastAsia="宋体" w:hint="default"/>
          <w:b/>
          <w:bCs/>
          <w:sz w:val="21"/>
          <w:szCs w:val="21"/>
        </w:rPr>
        <w:t>（三）应收票据</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238" w:type="dxa"/>
        <w:tblLayout w:type="fixed"/>
        <w:tblCellMar>
          <w:top w:w="0" w:type="dxa"/>
          <w:left w:w="0" w:type="dxa"/>
          <w:bottom w:w="0" w:type="dxa"/>
          <w:right w:w="0" w:type="dxa"/>
        </w:tblCellMar>
        <w:tblLook w:val="01E0"/>
      </w:tblPr>
      <w:tblGrid>
        <w:gridCol w:w="1653"/>
        <w:gridCol w:w="3077"/>
        <w:gridCol w:w="3025"/>
      </w:tblGrid>
      <w:tr>
        <w:trPr>
          <w:trHeight w:val="705" w:hRule="exact"/>
        </w:trPr>
        <w:tc>
          <w:tcPr>
            <w:tcW w:w="165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45" w:lineRule="auto" w:before="44"/>
              <w:ind w:left="35" w:right="535"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r>
              <w:rPr>
                <w:rFonts w:ascii="宋体" w:hAnsi="宋体" w:cs="宋体" w:eastAsia="宋体" w:hint="default"/>
                <w:sz w:val="18"/>
                <w:szCs w:val="18"/>
              </w:rPr>
              <w:t> 银行承兑汇票</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25" w:right="0"/>
              <w:jc w:val="center"/>
              <w:rPr>
                <w:rFonts w:ascii="Times New Roman" w:hAnsi="Times New Roman" w:cs="Times New Roman" w:eastAsia="Times New Roman" w:hint="default"/>
                <w:sz w:val="18"/>
                <w:szCs w:val="18"/>
              </w:rPr>
            </w:pPr>
            <w:r>
              <w:rPr>
                <w:rFonts w:ascii="Times New Roman"/>
                <w:sz w:val="18"/>
              </w:rPr>
              <w:t>100,000.00</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left="26" w:right="0"/>
              <w:jc w:val="center"/>
              <w:rPr>
                <w:rFonts w:ascii="Times New Roman" w:hAnsi="Times New Roman" w:cs="Times New Roman" w:eastAsia="Times New Roman" w:hint="default"/>
                <w:sz w:val="18"/>
                <w:szCs w:val="18"/>
              </w:rPr>
            </w:pPr>
            <w:r>
              <w:rPr>
                <w:rFonts w:ascii="Times New Roman"/>
                <w:sz w:val="18"/>
              </w:rPr>
              <w:t>100,000.00</w:t>
            </w:r>
          </w:p>
        </w:tc>
      </w:tr>
      <w:tr>
        <w:trPr>
          <w:trHeight w:val="302"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307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5" w:right="0"/>
              <w:jc w:val="center"/>
              <w:rPr>
                <w:rFonts w:ascii="Times New Roman" w:hAnsi="Times New Roman" w:cs="Times New Roman" w:eastAsia="Times New Roman" w:hint="default"/>
                <w:sz w:val="18"/>
                <w:szCs w:val="18"/>
              </w:rPr>
            </w:pPr>
            <w:r>
              <w:rPr>
                <w:rFonts w:ascii="Times New Roman"/>
                <w:sz w:val="18"/>
              </w:rPr>
              <w:t>---</w:t>
            </w:r>
          </w:p>
        </w:tc>
        <w:tc>
          <w:tcPr>
            <w:tcW w:w="302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7" w:right="0"/>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65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50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100,000.00</w:t>
            </w:r>
          </w:p>
        </w:tc>
        <w:tc>
          <w:tcPr>
            <w:tcW w:w="3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6" w:right="0"/>
              <w:jc w:val="center"/>
              <w:rPr>
                <w:rFonts w:ascii="Times New Roman" w:hAnsi="Times New Roman" w:cs="Times New Roman" w:eastAsia="Times New Roman" w:hint="default"/>
                <w:sz w:val="18"/>
                <w:szCs w:val="18"/>
              </w:rPr>
            </w:pPr>
            <w:r>
              <w:rPr>
                <w:rFonts w:ascii="Times New Roman"/>
                <w:sz w:val="18"/>
              </w:rPr>
              <w:t>100,000.00</w:t>
            </w:r>
          </w:p>
        </w:tc>
      </w:tr>
    </w:tbl>
    <w:p>
      <w:pPr>
        <w:spacing w:line="297" w:lineRule="auto" w:before="12"/>
        <w:ind w:left="1140" w:right="2254" w:firstLine="0"/>
        <w:jc w:val="left"/>
        <w:rPr>
          <w:rFonts w:ascii="宋体" w:hAnsi="宋体" w:cs="宋体" w:eastAsia="宋体" w:hint="default"/>
          <w:sz w:val="21"/>
          <w:szCs w:val="21"/>
        </w:rPr>
      </w:pPr>
      <w:r>
        <w:rPr/>
        <w:pict>
          <v:group style="position:absolute;margin-left:197.819992pt;margin-top:-5.976038pt;width:306.55pt;height:.75pt;mso-position-horizontal-relative:page;mso-position-vertical-relative:paragraph;z-index:-625408" coordorigin="3956,-120" coordsize="6131,15">
            <v:group style="position:absolute;left:3964;top:-112;width:3066;height:2" coordorigin="3964,-112" coordsize="3066,2">
              <v:shape style="position:absolute;left:3964;top:-112;width:3066;height:2" coordorigin="3964,-112" coordsize="3066,0" path="m3964,-112l7030,-112e" filled="false" stroked="true" strokeweight=".72003pt" strokecolor="#000000">
                <v:path arrowok="t"/>
              </v:shape>
            </v:group>
            <v:group style="position:absolute;left:7015;top:-112;width:105;height:2" coordorigin="7015,-112" coordsize="105,2">
              <v:shape style="position:absolute;left:7015;top:-112;width:105;height:2" coordorigin="7015,-112" coordsize="105,0" path="m7015,-112l7120,-112e" filled="false" stroked="true" strokeweight=".72003pt" strokecolor="#000000">
                <v:path arrowok="t"/>
              </v:shape>
            </v:group>
            <v:group style="position:absolute;left:7120;top:-112;width:2961;height:2" coordorigin="7120,-112" coordsize="2961,2">
              <v:shape style="position:absolute;left:7120;top:-112;width:2961;height:2" coordorigin="7120,-112" coordsize="2961,0" path="m7120,-112l10080,-112e" filled="false" stroked="true" strokeweight=".72003pt" strokecolor="#000000">
                <v:path arrowok="t"/>
              </v:shape>
            </v:group>
            <w10:wrap type="none"/>
          </v:group>
        </w:pict>
      </w:r>
      <w:r>
        <w:rPr>
          <w:rFonts w:ascii="宋体" w:hAnsi="宋体" w:cs="宋体" w:eastAsia="宋体" w:hint="default"/>
          <w:sz w:val="21"/>
          <w:szCs w:val="21"/>
        </w:rPr>
        <w:t>年末应收票据中无持本公司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5％）表决权股份的股东单位票据。</w:t>
      </w:r>
      <w:r>
        <w:rPr>
          <w:rFonts w:ascii="宋体" w:hAnsi="宋体" w:cs="宋体" w:eastAsia="宋体" w:hint="default"/>
          <w:sz w:val="21"/>
          <w:szCs w:val="21"/>
        </w:rPr>
        <w:t> 年末应收票据中无应收关联方票据</w:t>
      </w:r>
    </w:p>
    <w:p>
      <w:pPr>
        <w:spacing w:line="297" w:lineRule="auto" w:before="14"/>
        <w:ind w:left="1140" w:right="7709" w:firstLine="2"/>
        <w:jc w:val="left"/>
        <w:rPr>
          <w:rFonts w:ascii="宋体" w:hAnsi="宋体" w:cs="宋体" w:eastAsia="宋体" w:hint="default"/>
          <w:sz w:val="21"/>
          <w:szCs w:val="21"/>
        </w:rPr>
      </w:pPr>
      <w:r>
        <w:rPr>
          <w:rFonts w:ascii="宋体" w:hAnsi="宋体" w:cs="宋体" w:eastAsia="宋体" w:hint="default"/>
          <w:b/>
          <w:bCs/>
          <w:sz w:val="21"/>
          <w:szCs w:val="21"/>
        </w:rPr>
        <w:t>（四）应收账款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1、应收账款构成</w:t>
      </w:r>
    </w:p>
    <w:p>
      <w:pPr>
        <w:tabs>
          <w:tab w:pos="7874" w:val="left" w:leader="none"/>
        </w:tabs>
        <w:spacing w:before="50"/>
        <w:ind w:left="3648" w:right="1402" w:firstLine="0"/>
        <w:jc w:val="left"/>
        <w:rPr>
          <w:rFonts w:ascii="宋体" w:hAnsi="宋体" w:cs="宋体" w:eastAsia="宋体" w:hint="default"/>
          <w:sz w:val="18"/>
          <w:szCs w:val="18"/>
        </w:rPr>
      </w:pPr>
      <w:r>
        <w:rPr/>
        <w:pict>
          <v:group style="position:absolute;margin-left:145.320007pt;margin-top:16.612024pt;width:422.65pt;height:.1pt;mso-position-horizontal-relative:page;mso-position-vertical-relative:paragraph;z-index:2488" coordorigin="2906,332" coordsize="8453,2">
            <v:shape style="position:absolute;left:2906;top:332;width:8453;height:2" coordorigin="2906,332" coordsize="8453,0" path="m2906,332l11359,332e" filled="false" stroked="true" strokeweight=".48001pt" strokecolor="#000000">
              <v:path arrowok="t"/>
            </v:shape>
            <w10:wrap type="none"/>
          </v:group>
        </w:pict>
      </w: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type w:val="continuous"/>
          <w:pgSz w:w="11910" w:h="16840"/>
          <w:pgMar w:top="1020" w:bottom="1520" w:left="1080" w:right="380"/>
        </w:sectPr>
      </w:pPr>
    </w:p>
    <w:p>
      <w:pPr>
        <w:tabs>
          <w:tab w:pos="3289" w:val="left" w:leader="none"/>
        </w:tabs>
        <w:spacing w:before="103"/>
        <w:ind w:left="799" w:right="-20" w:firstLine="0"/>
        <w:jc w:val="left"/>
        <w:rPr>
          <w:rFonts w:ascii="宋体" w:hAnsi="宋体" w:cs="宋体" w:eastAsia="宋体" w:hint="default"/>
          <w:sz w:val="18"/>
          <w:szCs w:val="18"/>
        </w:rPr>
      </w:pPr>
      <w:r>
        <w:rPr>
          <w:rFonts w:ascii="宋体" w:hAnsi="宋体" w:cs="宋体" w:eastAsia="宋体" w:hint="default"/>
          <w:position w:val="1"/>
          <w:sz w:val="18"/>
          <w:szCs w:val="18"/>
        </w:rPr>
      </w:r>
      <w:r>
        <w:rPr>
          <w:rFonts w:ascii="宋体" w:hAnsi="宋体" w:cs="宋体" w:eastAsia="宋体" w:hint="default"/>
          <w:position w:val="1"/>
          <w:sz w:val="18"/>
          <w:szCs w:val="18"/>
          <w:u w:val="single" w:color="000000"/>
        </w:rPr>
        <w:t>账  龄</w:t>
      </w:r>
      <w:r>
        <w:rPr>
          <w:rFonts w:ascii="宋体" w:hAnsi="宋体" w:cs="宋体" w:eastAsia="宋体" w:hint="default"/>
          <w:position w:val="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13"/>
        <w:ind w:left="7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p>
    <w:p>
      <w:pPr>
        <w:spacing w:before="113"/>
        <w:ind w:left="7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13"/>
        <w:ind w:left="79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1080" w:right="380"/>
          <w:cols w:num="4" w:equalWidth="0">
            <w:col w:w="3830" w:space="672"/>
            <w:col w:w="1340" w:space="847"/>
            <w:col w:w="1340" w:space="760"/>
            <w:col w:w="1661"/>
          </w:cols>
        </w:sectPr>
      </w:pPr>
    </w:p>
    <w:tbl>
      <w:tblPr>
        <w:tblW w:w="0" w:type="auto"/>
        <w:jc w:val="left"/>
        <w:tblInd w:w="388" w:type="dxa"/>
        <w:tblLayout w:type="fixed"/>
        <w:tblCellMar>
          <w:top w:w="0" w:type="dxa"/>
          <w:left w:w="0" w:type="dxa"/>
          <w:bottom w:w="0" w:type="dxa"/>
          <w:right w:w="0" w:type="dxa"/>
        </w:tblCellMar>
        <w:tblLook w:val="01E0"/>
      </w:tblPr>
      <w:tblGrid>
        <w:gridCol w:w="1438"/>
        <w:gridCol w:w="1340"/>
        <w:gridCol w:w="772"/>
        <w:gridCol w:w="1194"/>
        <w:gridCol w:w="864"/>
        <w:gridCol w:w="1340"/>
        <w:gridCol w:w="827"/>
        <w:gridCol w:w="1256"/>
        <w:gridCol w:w="742"/>
      </w:tblGrid>
      <w:tr>
        <w:trPr>
          <w:trHeight w:val="422" w:hRule="exact"/>
        </w:trPr>
        <w:tc>
          <w:tcPr>
            <w:tcW w:w="1438"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170" w:lineRule="exact"/>
              <w:ind w:left="3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170" w:lineRule="exact"/>
              <w:ind w:left="2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备比例</w:t>
            </w:r>
            <w:r>
              <w:rPr>
                <w:rFonts w:ascii="宋体" w:hAnsi="宋体" w:cs="宋体" w:eastAsia="宋体"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170" w:lineRule="exact"/>
              <w:ind w:left="3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170" w:lineRule="exact"/>
              <w:ind w:left="2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备比例</w:t>
            </w:r>
            <w:r>
              <w:rPr>
                <w:rFonts w:ascii="宋体" w:hAnsi="宋体" w:cs="宋体" w:eastAsia="宋体" w:hint="default"/>
                <w:sz w:val="18"/>
                <w:szCs w:val="18"/>
              </w:rPr>
            </w:r>
          </w:p>
        </w:tc>
      </w:tr>
      <w:tr>
        <w:trPr>
          <w:trHeight w:val="355"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182,269,086.05</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z w:val="18"/>
              </w:rPr>
              <w:t>99.98%</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9,113,454.29</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5" w:right="0"/>
              <w:jc w:val="left"/>
              <w:rPr>
                <w:rFonts w:ascii="Times New Roman" w:hAnsi="Times New Roman" w:cs="Times New Roman" w:eastAsia="Times New Roman" w:hint="default"/>
                <w:sz w:val="21"/>
                <w:szCs w:val="21"/>
              </w:rPr>
            </w:pPr>
            <w:r>
              <w:rPr>
                <w:rFonts w:ascii="Times New Roman"/>
                <w:sz w:val="21"/>
              </w:rPr>
              <w:t>5%</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327,610,586.83</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Times New Roman" w:hAnsi="Times New Roman" w:cs="Times New Roman" w:eastAsia="Times New Roman" w:hint="default"/>
                <w:sz w:val="18"/>
                <w:szCs w:val="18"/>
              </w:rPr>
            </w:pPr>
            <w:r>
              <w:rPr>
                <w:rFonts w:ascii="Times New Roman"/>
                <w:spacing w:val="-1"/>
                <w:sz w:val="18"/>
              </w:rPr>
              <w:t>16,409,831.28</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5" w:right="0"/>
              <w:jc w:val="left"/>
              <w:rPr>
                <w:rFonts w:ascii="Times New Roman" w:hAnsi="Times New Roman" w:cs="Times New Roman" w:eastAsia="Times New Roman" w:hint="default"/>
                <w:sz w:val="21"/>
                <w:szCs w:val="21"/>
              </w:rPr>
            </w:pPr>
            <w:r>
              <w:rPr>
                <w:rFonts w:ascii="Times New Roman"/>
                <w:sz w:val="21"/>
              </w:rPr>
              <w:t>5%</w:t>
            </w:r>
          </w:p>
        </w:tc>
      </w:tr>
      <w:tr>
        <w:trPr>
          <w:trHeight w:val="337"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7"/>
              <w:jc w:val="right"/>
              <w:rPr>
                <w:rFonts w:ascii="Times New Roman" w:hAnsi="Times New Roman" w:cs="Times New Roman" w:eastAsia="Times New Roman" w:hint="default"/>
                <w:sz w:val="18"/>
                <w:szCs w:val="18"/>
              </w:rPr>
            </w:pPr>
            <w:r>
              <w:rPr>
                <w:rFonts w:ascii="Times New Roman"/>
                <w:sz w:val="18"/>
              </w:rPr>
              <w:t>33,191.24</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6,638.25</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2" w:right="0"/>
              <w:jc w:val="left"/>
              <w:rPr>
                <w:rFonts w:ascii="Times New Roman" w:hAnsi="Times New Roman" w:cs="Times New Roman" w:eastAsia="Times New Roman" w:hint="default"/>
                <w:sz w:val="18"/>
                <w:szCs w:val="18"/>
              </w:rPr>
            </w:pPr>
            <w:r>
              <w:rPr>
                <w:rFonts w:ascii="Times New Roman"/>
                <w:sz w:val="18"/>
              </w:rPr>
              <w:t>20%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46"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6" w:right="0"/>
              <w:jc w:val="left"/>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6" w:right="0"/>
              <w:jc w:val="lef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center"/>
              <w:rPr>
                <w:rFonts w:ascii="宋体" w:hAnsi="宋体" w:cs="宋体" w:eastAsia="宋体" w:hint="default"/>
                <w:sz w:val="18"/>
                <w:szCs w:val="18"/>
              </w:rPr>
            </w:pPr>
            <w:r>
              <w:rPr>
                <w:rFonts w:ascii="宋体" w:hAnsi="宋体" w:cs="宋体" w:eastAsia="宋体" w:hint="default"/>
                <w:sz w:val="18"/>
                <w:szCs w:val="18"/>
              </w:rPr>
              <w:t>合  计</w:t>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182,302,277.29</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9,120,092.54</w:t>
            </w:r>
          </w:p>
        </w:tc>
        <w:tc>
          <w:tcPr>
            <w:tcW w:w="864"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96"/>
              <w:jc w:val="right"/>
              <w:rPr>
                <w:rFonts w:ascii="Times New Roman" w:hAnsi="Times New Roman" w:cs="Times New Roman" w:eastAsia="Times New Roman" w:hint="default"/>
                <w:sz w:val="18"/>
                <w:szCs w:val="18"/>
              </w:rPr>
            </w:pPr>
            <w:r>
              <w:rPr>
                <w:rFonts w:ascii="Times New Roman"/>
                <w:spacing w:val="-1"/>
                <w:sz w:val="18"/>
              </w:rPr>
              <w:t>327,610,586.83</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56"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16,409,831.28</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16"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7"/>
        <w:rPr>
          <w:rFonts w:ascii="宋体" w:hAnsi="宋体" w:cs="宋体" w:eastAsia="宋体" w:hint="default"/>
          <w:sz w:val="25"/>
          <w:szCs w:val="25"/>
        </w:rPr>
      </w:pPr>
    </w:p>
    <w:p>
      <w:pPr>
        <w:tabs>
          <w:tab w:pos="7947" w:val="left" w:leader="none"/>
        </w:tabs>
        <w:spacing w:before="44"/>
        <w:ind w:left="3715" w:right="1402" w:firstLine="0"/>
        <w:jc w:val="left"/>
        <w:rPr>
          <w:rFonts w:ascii="宋体" w:hAnsi="宋体" w:cs="宋体" w:eastAsia="宋体" w:hint="default"/>
          <w:sz w:val="18"/>
          <w:szCs w:val="18"/>
        </w:rPr>
      </w:pPr>
      <w:r>
        <w:rPr/>
        <w:pict>
          <v:group style="position:absolute;margin-left:144.960007pt;margin-top:-22.807686pt;width:67.75pt;height:.1pt;mso-position-horizontal-relative:page;mso-position-vertical-relative:paragraph;z-index:-625360" coordorigin="2899,-456" coordsize="1355,2">
            <v:shape style="position:absolute;left:2899;top:-456;width:1355;height:2" coordorigin="2899,-456" coordsize="1355,0" path="m2899,-456l4254,-456e" filled="false" stroked="true" strokeweight=".72pt" strokecolor="#000000">
              <v:path arrowok="t"/>
            </v:shape>
            <w10:wrap type="none"/>
          </v:group>
        </w:pict>
      </w:r>
      <w:r>
        <w:rPr/>
        <w:pict>
          <v:group style="position:absolute;margin-left:250.559998pt;margin-top:-22.807686pt;width:60.45pt;height:.1pt;mso-position-horizontal-relative:page;mso-position-vertical-relative:paragraph;z-index:-625336" coordorigin="5011,-456" coordsize="1209,2">
            <v:shape style="position:absolute;left:5011;top:-456;width:1209;height:2" coordorigin="5011,-456" coordsize="1209,0" path="m5011,-456l6220,-456e" filled="false" stroked="true" strokeweight=".72pt" strokecolor="#000000">
              <v:path arrowok="t"/>
            </v:shape>
            <w10:wrap type="none"/>
          </v:group>
        </w:pict>
      </w:r>
      <w:r>
        <w:rPr/>
        <w:pict>
          <v:group style="position:absolute;margin-left:353.459991pt;margin-top:-22.807686pt;width:67.75pt;height:.1pt;mso-position-horizontal-relative:page;mso-position-vertical-relative:paragraph;z-index:-625312" coordorigin="7069,-456" coordsize="1355,2">
            <v:shape style="position:absolute;left:7069;top:-456;width:1355;height:2" coordorigin="7069,-456" coordsize="1355,0" path="m7069,-456l8424,-456e" filled="false" stroked="true" strokeweight=".72pt" strokecolor="#000000">
              <v:path arrowok="t"/>
            </v:shape>
            <w10:wrap type="none"/>
          </v:group>
        </w:pict>
      </w:r>
      <w:r>
        <w:rPr/>
        <w:pict>
          <v:group style="position:absolute;margin-left:461.820007pt;margin-top:-22.807686pt;width:63.55pt;height:.1pt;mso-position-horizontal-relative:page;mso-position-vertical-relative:paragraph;z-index:-625288" coordorigin="9236,-456" coordsize="1271,2">
            <v:shape style="position:absolute;left:9236;top:-456;width:1271;height:2" coordorigin="9236,-456" coordsize="1271,0" path="m9236,-456l10507,-456e" filled="false" stroked="true" strokeweight=".72pt" strokecolor="#000000">
              <v:path arrowok="t"/>
            </v:shape>
            <w10:wrap type="none"/>
          </v:group>
        </w:pict>
      </w:r>
      <w:r>
        <w:rPr>
          <w:rFonts w:ascii="宋体" w:hAnsi="宋体" w:cs="宋体" w:eastAsia="宋体" w:hint="default"/>
          <w:sz w:val="18"/>
          <w:szCs w:val="18"/>
        </w:rPr>
        <w:t>年末数</w:t>
        <w:tab/>
        <w:t>年初数</w:t>
      </w:r>
    </w:p>
    <w:p>
      <w:pPr>
        <w:spacing w:line="240" w:lineRule="auto" w:before="3"/>
        <w:rPr>
          <w:rFonts w:ascii="宋体" w:hAnsi="宋体" w:cs="宋体" w:eastAsia="宋体" w:hint="default"/>
          <w:sz w:val="3"/>
          <w:szCs w:val="3"/>
        </w:rPr>
      </w:pPr>
    </w:p>
    <w:p>
      <w:pPr>
        <w:spacing w:line="20" w:lineRule="exact"/>
        <w:ind w:left="1858" w:right="0" w:firstLine="0"/>
        <w:rPr>
          <w:rFonts w:ascii="宋体" w:hAnsi="宋体" w:cs="宋体" w:eastAsia="宋体" w:hint="default"/>
          <w:sz w:val="2"/>
          <w:szCs w:val="2"/>
        </w:rPr>
      </w:pPr>
      <w:r>
        <w:rPr>
          <w:rFonts w:ascii="宋体" w:hAnsi="宋体" w:cs="宋体" w:eastAsia="宋体" w:hint="default"/>
          <w:sz w:val="2"/>
          <w:szCs w:val="2"/>
        </w:rPr>
        <w:pict>
          <v:group style="width:423.7pt;height:.5pt;mso-position-horizontal-relative:char;mso-position-vertical-relative:line" coordorigin="0,0" coordsize="8474,10">
            <v:group style="position:absolute;left:5;top:5;width:8464;height:2" coordorigin="5,5" coordsize="8464,2">
              <v:shape style="position:absolute;left:5;top:5;width:8464;height:2" coordorigin="5,5" coordsize="8464,0" path="m5,5l8468,5e" filled="false" stroked="true" strokeweight=".47998pt" strokecolor="#000000">
                <v:path arrowok="t"/>
              </v:shape>
            </v:group>
          </v:group>
        </w:pict>
      </w:r>
      <w:r>
        <w:rPr>
          <w:rFonts w:ascii="宋体" w:hAnsi="宋体" w:cs="宋体" w:eastAsia="宋体" w:hint="default"/>
          <w:sz w:val="2"/>
          <w:szCs w:val="2"/>
        </w:rPr>
      </w:r>
    </w:p>
    <w:p>
      <w:pPr>
        <w:tabs>
          <w:tab w:pos="9845" w:val="left" w:leader="none"/>
        </w:tabs>
        <w:spacing w:line="221" w:lineRule="exact" w:before="51"/>
        <w:ind w:left="5569" w:right="0" w:firstLine="0"/>
        <w:jc w:val="left"/>
        <w:rPr>
          <w:rFonts w:ascii="宋体" w:hAnsi="宋体" w:cs="宋体" w:eastAsia="宋体" w:hint="default"/>
          <w:sz w:val="18"/>
          <w:szCs w:val="18"/>
        </w:rPr>
      </w:pPr>
      <w:r>
        <w:rPr>
          <w:rFonts w:ascii="宋体" w:hAnsi="宋体" w:cs="宋体" w:eastAsia="宋体" w:hint="default"/>
          <w:sz w:val="18"/>
          <w:szCs w:val="18"/>
        </w:rPr>
        <w:t>坏账</w:t>
        <w:tab/>
        <w:t>坏账</w:t>
      </w:r>
    </w:p>
    <w:p>
      <w:pPr>
        <w:spacing w:after="0" w:line="221" w:lineRule="exact"/>
        <w:jc w:val="left"/>
        <w:rPr>
          <w:rFonts w:ascii="宋体" w:hAnsi="宋体" w:cs="宋体" w:eastAsia="宋体" w:hint="default"/>
          <w:sz w:val="18"/>
          <w:szCs w:val="18"/>
        </w:rPr>
        <w:sectPr>
          <w:type w:val="continuous"/>
          <w:pgSz w:w="11910" w:h="16840"/>
          <w:pgMar w:top="1020" w:bottom="1520" w:left="1080" w:right="380"/>
        </w:sectPr>
      </w:pPr>
    </w:p>
    <w:p>
      <w:pPr>
        <w:tabs>
          <w:tab w:pos="1126" w:val="left" w:leader="none"/>
        </w:tabs>
        <w:spacing w:line="149" w:lineRule="exact" w:before="0"/>
        <w:ind w:left="58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536"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536" w:right="-20" w:firstLine="0"/>
        <w:jc w:val="left"/>
        <w:rPr>
          <w:rFonts w:ascii="宋体" w:hAnsi="宋体" w:cs="宋体" w:eastAsia="宋体" w:hint="default"/>
          <w:sz w:val="18"/>
          <w:szCs w:val="18"/>
        </w:rPr>
      </w:pPr>
      <w:r>
        <w:rPr/>
        <w:pict>
          <v:shape style="position:absolute;margin-left:151.189697pt;margin-top:16.557341pt;width:414.9pt;height:158.550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3"/>
                    <w:gridCol w:w="756"/>
                    <w:gridCol w:w="1305"/>
                    <w:gridCol w:w="684"/>
                    <w:gridCol w:w="1485"/>
                    <w:gridCol w:w="756"/>
                    <w:gridCol w:w="1396"/>
                    <w:gridCol w:w="513"/>
                  </w:tblGrid>
                  <w:tr>
                    <w:trPr>
                      <w:trHeight w:val="940"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5"/>
                          <w:jc w:val="right"/>
                          <w:rPr>
                            <w:rFonts w:ascii="宋体" w:hAnsi="宋体" w:cs="宋体" w:eastAsia="宋体" w:hint="default"/>
                            <w:sz w:val="18"/>
                            <w:szCs w:val="18"/>
                          </w:rPr>
                        </w:pPr>
                        <w:r>
                          <w:rPr>
                            <w:rFonts w:ascii="宋体"/>
                            <w:sz w:val="18"/>
                          </w:rPr>
                          <w:t>---</w:t>
                        </w:r>
                      </w:p>
                    </w:tc>
                    <w:tc>
                      <w:tcPr>
                        <w:tcW w:w="684" w:type="dxa"/>
                        <w:tcBorders>
                          <w:top w:val="nil" w:sz="6" w:space="0" w:color="auto"/>
                          <w:left w:val="nil" w:sz="6" w:space="0" w:color="auto"/>
                          <w:bottom w:val="nil" w:sz="6" w:space="0" w:color="auto"/>
                          <w:right w:val="nil" w:sz="6" w:space="0" w:color="auto"/>
                        </w:tcBorders>
                      </w:tcPr>
                      <w:p>
                        <w:pPr>
                          <w:pStyle w:val="TableParagraph"/>
                          <w:spacing w:line="180" w:lineRule="exact"/>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sz w:val="18"/>
                          </w:rPr>
                          <w:t>---</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5"/>
                          <w:jc w:val="right"/>
                          <w:rPr>
                            <w:rFonts w:ascii="宋体" w:hAnsi="宋体" w:cs="宋体" w:eastAsia="宋体" w:hint="default"/>
                            <w:sz w:val="18"/>
                            <w:szCs w:val="18"/>
                          </w:rPr>
                        </w:pPr>
                        <w:r>
                          <w:rPr>
                            <w:rFonts w:ascii="宋体"/>
                            <w:sz w:val="18"/>
                          </w:rPr>
                          <w:t>---</w:t>
                        </w:r>
                      </w:p>
                    </w:tc>
                    <w:tc>
                      <w:tcPr>
                        <w:tcW w:w="513" w:type="dxa"/>
                        <w:tcBorders>
                          <w:top w:val="nil" w:sz="6" w:space="0" w:color="auto"/>
                          <w:left w:val="nil" w:sz="6" w:space="0" w:color="auto"/>
                          <w:bottom w:val="nil" w:sz="6" w:space="0" w:color="auto"/>
                          <w:right w:val="nil" w:sz="6" w:space="0" w:color="auto"/>
                        </w:tcBorders>
                      </w:tcPr>
                      <w:p>
                        <w:pPr>
                          <w:pStyle w:val="TableParagraph"/>
                          <w:spacing w:line="180" w:lineRule="exact"/>
                          <w:ind w:left="1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8"/>
                            <w:szCs w:val="18"/>
                          </w:rPr>
                        </w:pPr>
                        <w:r>
                          <w:rPr>
                            <w:rFonts w:ascii="宋体"/>
                            <w:sz w:val="18"/>
                          </w:rPr>
                          <w:t>---</w:t>
                        </w:r>
                      </w:p>
                    </w:tc>
                  </w:tr>
                  <w:tr>
                    <w:trPr>
                      <w:trHeight w:val="680"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8"/>
                            <w:szCs w:val="18"/>
                          </w:rPr>
                        </w:pPr>
                        <w:r>
                          <w:rPr>
                            <w:rFonts w:ascii="宋体"/>
                            <w:sz w:val="18"/>
                          </w:rPr>
                          <w:t>---</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8"/>
                            <w:szCs w:val="18"/>
                          </w:rPr>
                        </w:pPr>
                        <w:r>
                          <w:rPr>
                            <w:rFonts w:ascii="宋体"/>
                            <w:sz w:val="18"/>
                          </w:rPr>
                          <w:t>---</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18"/>
                            <w:szCs w:val="18"/>
                          </w:rPr>
                        </w:pPr>
                        <w:r>
                          <w:rPr>
                            <w:rFonts w:ascii="宋体"/>
                            <w:sz w:val="18"/>
                          </w:rPr>
                          <w:t>---</w:t>
                        </w:r>
                      </w:p>
                    </w:tc>
                  </w:tr>
                  <w:tr>
                    <w:trPr>
                      <w:trHeight w:val="595"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182,302,277.29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100%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8"/>
                            <w:szCs w:val="18"/>
                          </w:rPr>
                        </w:pPr>
                        <w:r>
                          <w:rPr>
                            <w:rFonts w:ascii="宋体"/>
                            <w:sz w:val="18"/>
                          </w:rPr>
                          <w:t>9,120,092.54</w:t>
                        </w:r>
                      </w:p>
                    </w:tc>
                    <w:tc>
                      <w:tcPr>
                        <w:tcW w:w="684"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327,610,586.83</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8"/>
                            <w:szCs w:val="18"/>
                          </w:rPr>
                        </w:pPr>
                        <w:r>
                          <w:rPr>
                            <w:rFonts w:ascii="宋体"/>
                            <w:sz w:val="18"/>
                          </w:rPr>
                          <w:t>16,409,831.28</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7" w:right="0"/>
                          <w:jc w:val="left"/>
                          <w:rPr>
                            <w:rFonts w:ascii="宋体" w:hAnsi="宋体" w:cs="宋体" w:eastAsia="宋体" w:hint="default"/>
                            <w:sz w:val="18"/>
                            <w:szCs w:val="18"/>
                          </w:rPr>
                        </w:pPr>
                        <w:r>
                          <w:rPr>
                            <w:rFonts w:ascii="宋体"/>
                            <w:sz w:val="18"/>
                          </w:rPr>
                          <w:t>5%</w:t>
                        </w:r>
                      </w:p>
                    </w:tc>
                  </w:tr>
                  <w:tr>
                    <w:trPr>
                      <w:trHeight w:val="510"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166,662,485.00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91.42%</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6"/>
                          <w:jc w:val="right"/>
                          <w:rPr>
                            <w:rFonts w:ascii="宋体" w:hAnsi="宋体" w:cs="宋体" w:eastAsia="宋体" w:hint="default"/>
                            <w:sz w:val="18"/>
                            <w:szCs w:val="18"/>
                          </w:rPr>
                        </w:pPr>
                        <w:r>
                          <w:rPr>
                            <w:rFonts w:ascii="宋体"/>
                            <w:sz w:val="18"/>
                          </w:rPr>
                          <w:t>8,333,124.25</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322,688,368.11</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98.49%</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5"/>
                          <w:jc w:val="right"/>
                          <w:rPr>
                            <w:rFonts w:ascii="宋体" w:hAnsi="宋体" w:cs="宋体" w:eastAsia="宋体" w:hint="default"/>
                            <w:sz w:val="18"/>
                            <w:szCs w:val="18"/>
                          </w:rPr>
                        </w:pPr>
                        <w:r>
                          <w:rPr>
                            <w:rFonts w:ascii="宋体"/>
                            <w:sz w:val="18"/>
                          </w:rPr>
                          <w:t>16,134,418.41</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7" w:right="0"/>
                          <w:jc w:val="left"/>
                          <w:rPr>
                            <w:rFonts w:ascii="宋体" w:hAnsi="宋体" w:cs="宋体" w:eastAsia="宋体" w:hint="default"/>
                            <w:sz w:val="18"/>
                            <w:szCs w:val="18"/>
                          </w:rPr>
                        </w:pPr>
                        <w:r>
                          <w:rPr>
                            <w:rFonts w:ascii="宋体"/>
                            <w:sz w:val="18"/>
                          </w:rPr>
                          <w:t>5%</w:t>
                        </w:r>
                      </w:p>
                    </w:tc>
                  </w:tr>
                  <w:tr>
                    <w:trPr>
                      <w:trHeight w:val="446"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宋体" w:hAnsi="宋体" w:cs="宋体" w:eastAsia="宋体" w:hint="default"/>
                            <w:sz w:val="18"/>
                            <w:szCs w:val="18"/>
                          </w:rPr>
                        </w:pPr>
                        <w:r>
                          <w:rPr>
                            <w:rFonts w:ascii="宋体"/>
                            <w:sz w:val="18"/>
                          </w:rPr>
                          <w:t>15,639,792.29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宋体" w:hAnsi="宋体" w:cs="宋体" w:eastAsia="宋体" w:hint="default"/>
                            <w:sz w:val="18"/>
                            <w:szCs w:val="18"/>
                          </w:rPr>
                        </w:pPr>
                        <w:r>
                          <w:rPr>
                            <w:rFonts w:ascii="宋体"/>
                            <w:sz w:val="18"/>
                          </w:rPr>
                          <w:t>8.58%</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5"/>
                          <w:jc w:val="right"/>
                          <w:rPr>
                            <w:rFonts w:ascii="宋体" w:hAnsi="宋体" w:cs="宋体" w:eastAsia="宋体" w:hint="default"/>
                            <w:sz w:val="18"/>
                            <w:szCs w:val="18"/>
                          </w:rPr>
                        </w:pPr>
                        <w:r>
                          <w:rPr>
                            <w:rFonts w:ascii="宋体"/>
                            <w:sz w:val="18"/>
                          </w:rPr>
                          <w:t>786,968.29</w:t>
                        </w:r>
                      </w:p>
                    </w:tc>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5.03%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宋体" w:hAnsi="宋体" w:cs="宋体" w:eastAsia="宋体" w:hint="default"/>
                            <w:sz w:val="18"/>
                            <w:szCs w:val="18"/>
                          </w:rPr>
                        </w:pPr>
                        <w:r>
                          <w:rPr>
                            <w:rFonts w:ascii="宋体"/>
                            <w:sz w:val="18"/>
                          </w:rPr>
                          <w:t>4,922,218.72</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1.51%</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5"/>
                          <w:jc w:val="right"/>
                          <w:rPr>
                            <w:rFonts w:ascii="宋体" w:hAnsi="宋体" w:cs="宋体" w:eastAsia="宋体" w:hint="default"/>
                            <w:sz w:val="18"/>
                            <w:szCs w:val="18"/>
                          </w:rPr>
                        </w:pPr>
                        <w:r>
                          <w:rPr>
                            <w:rFonts w:ascii="宋体"/>
                            <w:sz w:val="18"/>
                          </w:rPr>
                          <w:t>275,412.87</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7" w:right="0"/>
                          <w:jc w:val="left"/>
                          <w:rPr>
                            <w:rFonts w:ascii="宋体" w:hAnsi="宋体" w:cs="宋体" w:eastAsia="宋体" w:hint="default"/>
                            <w:sz w:val="18"/>
                            <w:szCs w:val="18"/>
                          </w:rPr>
                        </w:pPr>
                        <w:r>
                          <w:rPr>
                            <w:rFonts w:ascii="宋体"/>
                            <w:sz w:val="18"/>
                          </w:rPr>
                          <w:t>5%</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529" w:right="-56"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hAnsi="宋体" w:cs="宋体" w:eastAsia="宋体" w:hint="default"/>
          <w:sz w:val="2"/>
          <w:szCs w:val="2"/>
        </w:rPr>
      </w:r>
    </w:p>
    <w:p>
      <w:pPr>
        <w:tabs>
          <w:tab w:pos="1534" w:val="left" w:leader="none"/>
        </w:tabs>
        <w:spacing w:before="98"/>
        <w:ind w:left="35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before="118"/>
        <w:ind w:left="50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535"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535"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576"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hAnsi="宋体" w:cs="宋体" w:eastAsia="宋体" w:hint="default"/>
          <w:sz w:val="2"/>
          <w:szCs w:val="2"/>
        </w:rPr>
      </w:r>
    </w:p>
    <w:p>
      <w:pPr>
        <w:tabs>
          <w:tab w:pos="1581" w:val="left" w:leader="none"/>
        </w:tabs>
        <w:spacing w:before="98"/>
        <w:ind w:left="4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1080" w:right="380"/>
          <w:cols w:num="6" w:equalWidth="0">
            <w:col w:w="2969" w:space="40"/>
            <w:col w:w="987" w:space="40"/>
            <w:col w:w="1895" w:space="40"/>
            <w:col w:w="1230" w:space="40"/>
            <w:col w:w="986" w:space="40"/>
            <w:col w:w="2183"/>
          </w:cols>
        </w:sectPr>
      </w:pPr>
    </w:p>
    <w:p>
      <w:pPr>
        <w:spacing w:line="240" w:lineRule="auto" w:before="9"/>
        <w:rPr>
          <w:rFonts w:ascii="宋体" w:hAnsi="宋体" w:cs="宋体" w:eastAsia="宋体" w:hint="default"/>
          <w:sz w:val="17"/>
          <w:szCs w:val="17"/>
        </w:rPr>
      </w:pPr>
    </w:p>
    <w:p>
      <w:pPr>
        <w:spacing w:line="345" w:lineRule="auto" w:before="44"/>
        <w:ind w:left="107" w:right="8647" w:firstLine="0"/>
        <w:jc w:val="left"/>
        <w:rPr>
          <w:rFonts w:ascii="宋体" w:hAnsi="宋体" w:cs="宋体" w:eastAsia="宋体" w:hint="default"/>
          <w:sz w:val="18"/>
          <w:szCs w:val="18"/>
        </w:rPr>
      </w:pPr>
      <w:r>
        <w:rPr>
          <w:rFonts w:ascii="宋体" w:hAnsi="宋体" w:cs="宋体" w:eastAsia="宋体" w:hint="default"/>
          <w:spacing w:val="-4"/>
          <w:sz w:val="18"/>
          <w:szCs w:val="18"/>
        </w:rPr>
        <w:t>1、单项金额重大且单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独计提减值准备 </w:t>
      </w:r>
      <w:r>
        <w:rPr>
          <w:rFonts w:ascii="宋体" w:hAnsi="宋体" w:cs="宋体" w:eastAsia="宋体" w:hint="default"/>
          <w:spacing w:val="-4"/>
          <w:sz w:val="18"/>
          <w:szCs w:val="18"/>
        </w:rPr>
        <w:t>2、单项金额非重大且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单独计提减值准备 </w:t>
      </w:r>
      <w:r>
        <w:rPr>
          <w:rFonts w:ascii="宋体" w:hAnsi="宋体" w:cs="宋体" w:eastAsia="宋体" w:hint="default"/>
          <w:spacing w:val="-4"/>
          <w:sz w:val="18"/>
          <w:szCs w:val="18"/>
        </w:rPr>
        <w:t>3、其他划分为类似信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用风险特征的组合： 其中：单项金额重大</w:t>
      </w:r>
    </w:p>
    <w:p>
      <w:pPr>
        <w:spacing w:before="26"/>
        <w:ind w:left="648" w:right="1402" w:firstLine="0"/>
        <w:jc w:val="left"/>
        <w:rPr>
          <w:rFonts w:ascii="宋体" w:hAnsi="宋体" w:cs="宋体" w:eastAsia="宋体" w:hint="default"/>
          <w:sz w:val="18"/>
          <w:szCs w:val="18"/>
        </w:rPr>
      </w:pPr>
      <w:r>
        <w:rPr>
          <w:rFonts w:ascii="宋体" w:hAnsi="宋体" w:cs="宋体" w:eastAsia="宋体" w:hint="default"/>
          <w:spacing w:val="11"/>
          <w:sz w:val="18"/>
          <w:szCs w:val="18"/>
        </w:rPr>
        <w:t>单项金额非重</w:t>
      </w:r>
      <w:r>
        <w:rPr>
          <w:rFonts w:ascii="宋体" w:hAnsi="宋体" w:cs="宋体" w:eastAsia="宋体" w:hint="default"/>
          <w:sz w:val="18"/>
          <w:szCs w:val="18"/>
        </w:rPr>
      </w:r>
    </w:p>
    <w:p>
      <w:pPr>
        <w:spacing w:before="104"/>
        <w:ind w:left="108" w:right="1402" w:firstLine="0"/>
        <w:jc w:val="left"/>
        <w:rPr>
          <w:rFonts w:ascii="宋体" w:hAnsi="宋体" w:cs="宋体" w:eastAsia="宋体" w:hint="default"/>
          <w:sz w:val="18"/>
          <w:szCs w:val="18"/>
        </w:rPr>
      </w:pPr>
      <w:r>
        <w:rPr>
          <w:rFonts w:ascii="宋体" w:hAnsi="宋体" w:cs="宋体" w:eastAsia="宋体" w:hint="default"/>
          <w:sz w:val="18"/>
          <w:szCs w:val="18"/>
        </w:rPr>
        <w:t>大</w:t>
      </w:r>
    </w:p>
    <w:p>
      <w:pPr>
        <w:spacing w:after="0"/>
        <w:jc w:val="left"/>
        <w:rPr>
          <w:rFonts w:ascii="宋体" w:hAnsi="宋体" w:cs="宋体" w:eastAsia="宋体" w:hint="default"/>
          <w:sz w:val="18"/>
          <w:szCs w:val="18"/>
        </w:rPr>
        <w:sectPr>
          <w:type w:val="continuous"/>
          <w:pgSz w:w="11910" w:h="16840"/>
          <w:pgMar w:top="1020" w:bottom="1520" w:left="1080" w:right="38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8" w:footer="950" w:top="1160" w:bottom="1140" w:left="1080" w:right="560"/>
        </w:sectPr>
      </w:pPr>
    </w:p>
    <w:p>
      <w:pPr>
        <w:spacing w:line="345" w:lineRule="auto" w:before="44"/>
        <w:ind w:left="108" w:right="0" w:firstLine="540"/>
        <w:jc w:val="both"/>
        <w:rPr>
          <w:rFonts w:ascii="宋体" w:hAnsi="宋体" w:cs="宋体" w:eastAsia="宋体" w:hint="default"/>
          <w:sz w:val="18"/>
          <w:szCs w:val="18"/>
        </w:rPr>
      </w:pPr>
      <w:r>
        <w:rPr>
          <w:rFonts w:ascii="宋体" w:hAnsi="宋体" w:cs="宋体" w:eastAsia="宋体" w:hint="default"/>
          <w:spacing w:val="11"/>
          <w:sz w:val="18"/>
          <w:szCs w:val="18"/>
        </w:rPr>
        <w:t>其中：单项金</w:t>
      </w:r>
      <w:r>
        <w:rPr>
          <w:rFonts w:ascii="宋体" w:hAnsi="宋体" w:cs="宋体" w:eastAsia="宋体" w:hint="default"/>
          <w:spacing w:val="12"/>
          <w:sz w:val="18"/>
          <w:szCs w:val="18"/>
        </w:rPr>
        <w:t> </w:t>
      </w:r>
      <w:r>
        <w:rPr>
          <w:rFonts w:ascii="宋体" w:hAnsi="宋体" w:cs="宋体" w:eastAsia="宋体" w:hint="default"/>
          <w:spacing w:val="7"/>
          <w:sz w:val="18"/>
          <w:szCs w:val="18"/>
        </w:rPr>
        <w:t>额非重大但按信用风</w:t>
      </w:r>
      <w:r>
        <w:rPr>
          <w:rFonts w:ascii="宋体" w:hAnsi="宋体" w:cs="宋体" w:eastAsia="宋体" w:hint="default"/>
          <w:spacing w:val="7"/>
          <w:sz w:val="18"/>
          <w:szCs w:val="18"/>
        </w:rPr>
        <w:t> 险特征组合后该组合 </w:t>
      </w:r>
      <w:r>
        <w:rPr>
          <w:rFonts w:ascii="宋体" w:hAnsi="宋体" w:cs="宋体" w:eastAsia="宋体" w:hint="default"/>
          <w:sz w:val="18"/>
          <w:szCs w:val="18"/>
        </w:rPr>
        <w:t>的风险较大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4"/>
          <w:szCs w:val="24"/>
        </w:rPr>
      </w:pPr>
    </w:p>
    <w:p>
      <w:pPr>
        <w:tabs>
          <w:tab w:pos="863" w:val="left" w:leader="none"/>
          <w:tab w:pos="2159" w:val="left" w:leader="none"/>
          <w:tab w:pos="2753" w:val="left" w:leader="none"/>
          <w:tab w:pos="4337" w:val="left" w:leader="none"/>
          <w:tab w:pos="5093" w:val="left" w:leader="none"/>
          <w:tab w:pos="6479" w:val="left" w:leader="none"/>
          <w:tab w:pos="7029" w:val="left" w:leader="none"/>
        </w:tabs>
        <w:spacing w:before="0"/>
        <w:ind w:left="108" w:right="0" w:firstLine="0"/>
        <w:jc w:val="left"/>
        <w:rPr>
          <w:rFonts w:ascii="宋体" w:hAnsi="宋体" w:cs="宋体" w:eastAsia="宋体" w:hint="default"/>
          <w:sz w:val="18"/>
          <w:szCs w:val="18"/>
        </w:rPr>
      </w:pPr>
      <w:r>
        <w:rPr>
          <w:rFonts w:ascii="宋体"/>
          <w:sz w:val="18"/>
        </w:rPr>
        <w:t>---</w:t>
        <w:tab/>
        <w:t>---</w:t>
        <w:tab/>
        <w:t>---</w:t>
        <w:tab/>
        <w:t>---</w:t>
        <w:tab/>
        <w:t>---</w:t>
        <w:tab/>
        <w:t>---</w:t>
        <w:tab/>
        <w:t>---</w:t>
        <w:tab/>
        <w:t>---</w:t>
      </w:r>
    </w:p>
    <w:p>
      <w:pPr>
        <w:spacing w:after="0"/>
        <w:jc w:val="left"/>
        <w:rPr>
          <w:rFonts w:ascii="宋体" w:hAnsi="宋体" w:cs="宋体" w:eastAsia="宋体" w:hint="default"/>
          <w:sz w:val="18"/>
          <w:szCs w:val="18"/>
        </w:rPr>
        <w:sectPr>
          <w:type w:val="continuous"/>
          <w:pgSz w:w="11910" w:h="16840"/>
          <w:pgMar w:top="1020" w:bottom="1520" w:left="1080" w:right="560"/>
          <w:cols w:num="2" w:equalWidth="0">
            <w:col w:w="1799" w:space="1061"/>
            <w:col w:w="7410"/>
          </w:cols>
        </w:sectPr>
      </w:pPr>
    </w:p>
    <w:p>
      <w:pPr>
        <w:tabs>
          <w:tab w:pos="1114" w:val="left" w:leader="none"/>
          <w:tab w:pos="1978" w:val="left" w:leader="none"/>
          <w:tab w:pos="3634" w:val="left" w:leader="none"/>
          <w:tab w:pos="4210" w:val="left" w:leader="none"/>
          <w:tab w:pos="6208" w:val="left" w:leader="none"/>
          <w:tab w:pos="7864" w:val="left" w:leader="none"/>
          <w:tab w:pos="8440" w:val="left" w:leader="none"/>
          <w:tab w:pos="9935" w:val="left" w:leader="none"/>
        </w:tabs>
        <w:spacing w:before="25"/>
        <w:ind w:left="574"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t>182,302,277.29</w:t>
        <w:tab/>
        <w:t>100%</w:t>
        <w:tab/>
        <w:t>9,120,092.54</w:t>
        <w:tab/>
        <w:t>327,610,586.83</w:t>
        <w:tab/>
        <w:t>100%</w:t>
        <w:tab/>
        <w:t>16,409,831.28</w:t>
        <w:tab/>
        <w:t>5%</w:t>
      </w:r>
    </w:p>
    <w:p>
      <w:pPr>
        <w:spacing w:before="70"/>
        <w:ind w:left="1140" w:right="0" w:firstLine="0"/>
        <w:jc w:val="left"/>
        <w:rPr>
          <w:rFonts w:ascii="宋体" w:hAnsi="宋体" w:cs="宋体" w:eastAsia="宋体" w:hint="default"/>
          <w:sz w:val="21"/>
          <w:szCs w:val="21"/>
        </w:rPr>
      </w:pPr>
      <w:r>
        <w:rPr>
          <w:rFonts w:ascii="宋体" w:hAnsi="宋体" w:cs="宋体" w:eastAsia="宋体" w:hint="default"/>
          <w:sz w:val="21"/>
          <w:szCs w:val="21"/>
        </w:rPr>
        <w:t>2、应收账款坏账准备的变动如下：</w:t>
      </w:r>
    </w:p>
    <w:p>
      <w:pPr>
        <w:spacing w:after="0"/>
        <w:jc w:val="left"/>
        <w:rPr>
          <w:rFonts w:ascii="宋体" w:hAnsi="宋体" w:cs="宋体" w:eastAsia="宋体" w:hint="default"/>
          <w:sz w:val="21"/>
          <w:szCs w:val="21"/>
        </w:rPr>
        <w:sectPr>
          <w:type w:val="continuous"/>
          <w:pgSz w:w="11910" w:h="16840"/>
          <w:pgMar w:top="1020" w:bottom="1520" w:left="1080" w:right="560"/>
        </w:sectPr>
      </w:pPr>
    </w:p>
    <w:p>
      <w:pPr>
        <w:spacing w:line="240" w:lineRule="auto" w:before="0"/>
        <w:rPr>
          <w:rFonts w:ascii="宋体" w:hAnsi="宋体" w:cs="宋体" w:eastAsia="宋体" w:hint="default"/>
          <w:sz w:val="21"/>
          <w:szCs w:val="21"/>
        </w:rPr>
      </w:pPr>
    </w:p>
    <w:p>
      <w:pPr>
        <w:tabs>
          <w:tab w:pos="3650" w:val="left" w:leader="none"/>
        </w:tabs>
        <w:spacing w:before="0"/>
        <w:ind w:left="207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p>
      <w:pPr>
        <w:spacing w:before="100"/>
        <w:ind w:left="99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本年减少额</w:t>
      </w:r>
    </w:p>
    <w:p>
      <w:pPr>
        <w:tabs>
          <w:tab w:pos="2005" w:val="left" w:leader="none"/>
        </w:tabs>
        <w:spacing w:before="113"/>
        <w:ind w:left="795" w:right="-19" w:firstLine="0"/>
        <w:jc w:val="left"/>
        <w:rPr>
          <w:rFonts w:ascii="宋体" w:hAnsi="宋体" w:cs="宋体" w:eastAsia="宋体" w:hint="default"/>
          <w:sz w:val="18"/>
          <w:szCs w:val="18"/>
        </w:rPr>
      </w:pPr>
      <w:r>
        <w:rPr/>
        <w:pict>
          <v:group style="position:absolute;margin-left:295.019989pt;margin-top:2.301682pt;width:121.15pt;height:.1pt;mso-position-horizontal-relative:page;mso-position-vertical-relative:paragraph;z-index:2632" coordorigin="5900,46" coordsize="2423,2">
            <v:shape style="position:absolute;left:5900;top:46;width:2423;height:2" coordorigin="5900,46" coordsize="2423,0" path="m5900,46l8323,46e" filled="false" stroked="true" strokeweight=".48004pt" strokecolor="#000000">
              <v:path arrowok="t"/>
            </v:shape>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p>
      <w:pPr>
        <w:spacing w:line="240" w:lineRule="auto" w:before="0"/>
        <w:rPr>
          <w:rFonts w:ascii="宋体" w:hAnsi="宋体" w:cs="宋体" w:eastAsia="宋体" w:hint="default"/>
          <w:sz w:val="21"/>
          <w:szCs w:val="21"/>
        </w:rPr>
      </w:pPr>
      <w:r>
        <w:rPr/>
        <w:br w:type="column"/>
      </w:r>
      <w:r>
        <w:rPr>
          <w:rFonts w:ascii="宋体"/>
          <w:sz w:val="21"/>
        </w:rPr>
      </w:r>
    </w:p>
    <w:p>
      <w:pPr>
        <w:spacing w:before="0"/>
        <w:ind w:left="58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1080" w:right="560"/>
          <w:cols w:num="3" w:equalWidth="0">
            <w:col w:w="4551" w:space="40"/>
            <w:col w:w="2367" w:space="40"/>
            <w:col w:w="3272"/>
          </w:cols>
        </w:sectPr>
      </w:pPr>
    </w:p>
    <w:p>
      <w:pPr>
        <w:tabs>
          <w:tab w:pos="1190" w:val="left" w:leader="none"/>
          <w:tab w:pos="2551" w:val="left" w:leader="none"/>
          <w:tab w:pos="4432" w:val="left" w:leader="none"/>
          <w:tab w:pos="5644" w:val="left" w:leader="none"/>
          <w:tab w:pos="6724" w:val="left" w:leader="none"/>
        </w:tabs>
        <w:spacing w:before="105"/>
        <w:ind w:left="0" w:right="373" w:firstLine="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tab/>
        <w:t>5,506,189.38</w:t>
        <w:tab/>
        <w:t>10,903,641.90</w:t>
        <w:tab/>
        <w:t>---</w:t>
        <w:tab/>
        <w:t>---</w:t>
        <w:tab/>
        <w:t>16,409,831.28</w:t>
      </w:r>
    </w:p>
    <w:p>
      <w:pPr>
        <w:tabs>
          <w:tab w:pos="1100" w:val="left" w:leader="none"/>
          <w:tab w:pos="2821" w:val="left" w:leader="none"/>
          <w:tab w:pos="4028" w:val="left" w:leader="none"/>
          <w:tab w:pos="5509" w:val="left" w:leader="none"/>
          <w:tab w:pos="6814" w:val="left" w:leader="none"/>
        </w:tabs>
        <w:spacing w:before="104"/>
        <w:ind w:left="0" w:right="373" w:firstLine="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tab/>
        <w:t>16,409,831.28</w:t>
        <w:tab/>
        <w:t>360,290.33</w:t>
        <w:tab/>
        <w:t>7,649,660.77</w:t>
        <w:tab/>
        <w:t>368.30</w:t>
        <w:tab/>
        <w:t>9,120,092.54</w:t>
      </w:r>
    </w:p>
    <w:p>
      <w:pPr>
        <w:spacing w:before="70"/>
        <w:ind w:left="1140" w:right="0" w:firstLine="0"/>
        <w:jc w:val="left"/>
        <w:rPr>
          <w:rFonts w:ascii="宋体" w:hAnsi="宋体" w:cs="宋体" w:eastAsia="宋体" w:hint="default"/>
          <w:sz w:val="21"/>
          <w:szCs w:val="21"/>
        </w:rPr>
      </w:pPr>
      <w:r>
        <w:rPr>
          <w:rFonts w:ascii="宋体" w:hAnsi="宋体" w:cs="宋体" w:eastAsia="宋体" w:hint="default"/>
          <w:sz w:val="21"/>
          <w:szCs w:val="21"/>
        </w:rPr>
        <w:t>3、年末无单项金额重大或虽不重大但单独计提减值准备的应收款项。</w:t>
      </w:r>
    </w:p>
    <w:p>
      <w:pPr>
        <w:spacing w:before="64"/>
        <w:ind w:left="1140" w:right="0" w:firstLine="0"/>
        <w:jc w:val="left"/>
        <w:rPr>
          <w:rFonts w:ascii="宋体" w:hAnsi="宋体" w:cs="宋体" w:eastAsia="宋体" w:hint="default"/>
          <w:sz w:val="21"/>
          <w:szCs w:val="21"/>
        </w:rPr>
      </w:pPr>
      <w:r>
        <w:rPr>
          <w:rFonts w:ascii="宋体" w:hAnsi="宋体" w:cs="宋体" w:eastAsia="宋体" w:hint="default"/>
          <w:sz w:val="21"/>
          <w:szCs w:val="21"/>
        </w:rPr>
        <w:t>4、年末无单项金额不重大但按信用风险特征组合后该组合的风险较大的应收账款。</w:t>
      </w:r>
    </w:p>
    <w:p>
      <w:pPr>
        <w:spacing w:before="64"/>
        <w:ind w:left="1140" w:right="0" w:firstLine="0"/>
        <w:jc w:val="left"/>
        <w:rPr>
          <w:rFonts w:ascii="宋体" w:hAnsi="宋体" w:cs="宋体" w:eastAsia="宋体" w:hint="default"/>
          <w:sz w:val="21"/>
          <w:szCs w:val="21"/>
        </w:rPr>
      </w:pPr>
      <w:r>
        <w:rPr>
          <w:rFonts w:ascii="宋体" w:hAnsi="宋体" w:cs="宋体" w:eastAsia="宋体" w:hint="default"/>
          <w:spacing w:val="-3"/>
          <w:sz w:val="21"/>
          <w:szCs w:val="21"/>
        </w:rPr>
        <w:t>5、本年无以前年度已全额或大比例计提坏账准备，本年又全额或部分收回的应收账款。</w:t>
      </w:r>
    </w:p>
    <w:p>
      <w:pPr>
        <w:spacing w:before="66"/>
        <w:ind w:left="1140" w:right="0" w:firstLine="0"/>
        <w:jc w:val="left"/>
        <w:rPr>
          <w:rFonts w:ascii="宋体" w:hAnsi="宋体" w:cs="宋体" w:eastAsia="宋体" w:hint="default"/>
          <w:sz w:val="21"/>
          <w:szCs w:val="21"/>
        </w:rPr>
      </w:pPr>
      <w:r>
        <w:rPr>
          <w:rFonts w:ascii="宋体" w:hAnsi="宋体" w:cs="宋体" w:eastAsia="宋体" w:hint="default"/>
          <w:sz w:val="21"/>
          <w:szCs w:val="21"/>
        </w:rPr>
        <w:t>6、本年实际核销的应收账款为</w:t>
      </w:r>
      <w:r>
        <w:rPr>
          <w:rFonts w:ascii="宋体" w:hAnsi="宋体" w:cs="宋体" w:eastAsia="宋体" w:hint="default"/>
          <w:spacing w:val="-64"/>
          <w:sz w:val="21"/>
          <w:szCs w:val="21"/>
        </w:rPr>
        <w:t> </w:t>
      </w:r>
      <w:r>
        <w:rPr>
          <w:rFonts w:ascii="宋体" w:hAnsi="宋体" w:cs="宋体" w:eastAsia="宋体" w:hint="default"/>
          <w:sz w:val="21"/>
          <w:szCs w:val="21"/>
        </w:rPr>
        <w:t>368.30</w:t>
      </w:r>
      <w:r>
        <w:rPr>
          <w:rFonts w:ascii="宋体" w:hAnsi="宋体" w:cs="宋体" w:eastAsia="宋体" w:hint="default"/>
          <w:spacing w:val="-63"/>
          <w:sz w:val="21"/>
          <w:szCs w:val="21"/>
        </w:rPr>
        <w:t> </w:t>
      </w:r>
      <w:r>
        <w:rPr>
          <w:rFonts w:ascii="宋体" w:hAnsi="宋体" w:cs="宋体" w:eastAsia="宋体" w:hint="default"/>
          <w:sz w:val="21"/>
          <w:szCs w:val="21"/>
        </w:rPr>
        <w:t>元。</w:t>
      </w:r>
    </w:p>
    <w:p>
      <w:pPr>
        <w:tabs>
          <w:tab w:pos="3553" w:val="left" w:leader="none"/>
          <w:tab w:pos="3823" w:val="left" w:leader="none"/>
          <w:tab w:pos="5024" w:val="left" w:leader="none"/>
          <w:tab w:pos="6125" w:val="left" w:leader="none"/>
          <w:tab w:pos="7220" w:val="left" w:leader="none"/>
          <w:tab w:pos="7940" w:val="left" w:leader="none"/>
        </w:tabs>
        <w:spacing w:line="328" w:lineRule="auto" w:before="100"/>
        <w:ind w:left="1105" w:right="1423" w:firstLine="630"/>
        <w:jc w:val="left"/>
        <w:rPr>
          <w:rFonts w:ascii="宋体" w:hAnsi="宋体" w:cs="宋体" w:eastAsia="宋体" w:hint="default"/>
          <w:sz w:val="21"/>
          <w:szCs w:val="21"/>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应收账款性质</w:t>
      </w:r>
      <w:r>
        <w:rPr>
          <w:rFonts w:ascii="宋体" w:hAnsi="宋体" w:cs="宋体" w:eastAsia="宋体" w:hint="default"/>
          <w:sz w:val="18"/>
          <w:szCs w:val="18"/>
        </w:rPr>
        <w:tab/>
      </w:r>
      <w:r>
        <w:rPr>
          <w:rFonts w:ascii="宋体" w:hAnsi="宋体" w:cs="宋体" w:eastAsia="宋体" w:hint="default"/>
          <w:sz w:val="18"/>
          <w:szCs w:val="18"/>
          <w:u w:val="single" w:color="000000"/>
        </w:rPr>
        <w:t>核销金额</w:t>
      </w:r>
      <w:r>
        <w:rPr>
          <w:rFonts w:ascii="宋体" w:hAnsi="宋体" w:cs="宋体" w:eastAsia="宋体" w:hint="default"/>
          <w:sz w:val="18"/>
          <w:szCs w:val="18"/>
        </w:rPr>
        <w:tab/>
      </w:r>
      <w:r>
        <w:rPr>
          <w:rFonts w:ascii="宋体" w:hAnsi="宋体" w:cs="宋体" w:eastAsia="宋体" w:hint="default"/>
          <w:sz w:val="18"/>
          <w:szCs w:val="18"/>
          <w:u w:val="single" w:color="000000"/>
        </w:rPr>
        <w:t>核销原因</w:t>
      </w:r>
      <w:r>
        <w:rPr>
          <w:rFonts w:ascii="宋体" w:hAnsi="宋体" w:cs="宋体" w:eastAsia="宋体" w:hint="default"/>
          <w:sz w:val="18"/>
          <w:szCs w:val="18"/>
        </w:rPr>
        <w:tab/>
      </w:r>
      <w:r>
        <w:rPr>
          <w:rFonts w:ascii="宋体" w:hAnsi="宋体" w:cs="宋体" w:eastAsia="宋体" w:hint="default"/>
          <w:sz w:val="18"/>
          <w:szCs w:val="18"/>
          <w:u w:val="single" w:color="000000"/>
        </w:rPr>
        <w:t>是否因关联交易产生</w:t>
      </w:r>
      <w:r>
        <w:rPr>
          <w:rFonts w:ascii="宋体" w:hAnsi="宋体" w:cs="宋体" w:eastAsia="宋体" w:hint="default"/>
          <w:sz w:val="18"/>
          <w:szCs w:val="18"/>
        </w:rPr>
      </w:r>
      <w:r>
        <w:rPr>
          <w:rFonts w:ascii="宋体" w:hAnsi="宋体" w:cs="宋体" w:eastAsia="宋体" w:hint="default"/>
          <w:sz w:val="18"/>
          <w:szCs w:val="18"/>
        </w:rPr>
        <w:t> 深圳市弘成科技有限公司</w:t>
        <w:tab/>
        <w:tab/>
        <w:t>销售款</w:t>
        <w:tab/>
        <w:t>368.30</w:t>
        <w:tab/>
        <w:t>尾款清理</w:t>
        <w:tab/>
        <w:tab/>
        <w:t>否 </w:t>
      </w:r>
      <w:r>
        <w:rPr>
          <w:rFonts w:ascii="宋体" w:hAnsi="宋体" w:cs="宋体" w:eastAsia="宋体" w:hint="default"/>
          <w:sz w:val="21"/>
          <w:szCs w:val="21"/>
        </w:rPr>
        <w:t>7、年末应收账款中无持本公司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5％）表决权股份的股东单位欠款。</w:t>
      </w:r>
    </w:p>
    <w:p>
      <w:pPr>
        <w:spacing w:line="262" w:lineRule="exact" w:before="0"/>
        <w:ind w:left="1140" w:right="0" w:firstLine="0"/>
        <w:jc w:val="left"/>
        <w:rPr>
          <w:rFonts w:ascii="宋体" w:hAnsi="宋体" w:cs="宋体" w:eastAsia="宋体" w:hint="default"/>
          <w:sz w:val="21"/>
          <w:szCs w:val="21"/>
        </w:rPr>
      </w:pPr>
      <w:r>
        <w:rPr>
          <w:rFonts w:ascii="宋体" w:hAnsi="宋体" w:cs="宋体" w:eastAsia="宋体" w:hint="default"/>
          <w:sz w:val="21"/>
          <w:szCs w:val="21"/>
        </w:rPr>
        <w:t>8、年末应收账款中欠款金额前五名</w:t>
      </w:r>
    </w:p>
    <w:p>
      <w:pPr>
        <w:spacing w:line="240" w:lineRule="auto" w:before="5"/>
        <w:rPr>
          <w:rFonts w:ascii="宋体" w:hAnsi="宋体" w:cs="宋体" w:eastAsia="宋体" w:hint="default"/>
          <w:sz w:val="4"/>
          <w:szCs w:val="4"/>
        </w:rPr>
      </w:pPr>
    </w:p>
    <w:tbl>
      <w:tblPr>
        <w:tblW w:w="0" w:type="auto"/>
        <w:jc w:val="left"/>
        <w:tblInd w:w="252" w:type="dxa"/>
        <w:tblLayout w:type="fixed"/>
        <w:tblCellMar>
          <w:top w:w="0" w:type="dxa"/>
          <w:left w:w="0" w:type="dxa"/>
          <w:bottom w:w="0" w:type="dxa"/>
          <w:right w:w="0" w:type="dxa"/>
        </w:tblCellMar>
        <w:tblLook w:val="01E0"/>
      </w:tblPr>
      <w:tblGrid>
        <w:gridCol w:w="3101"/>
        <w:gridCol w:w="1748"/>
        <w:gridCol w:w="1606"/>
        <w:gridCol w:w="991"/>
        <w:gridCol w:w="2296"/>
      </w:tblGrid>
      <w:tr>
        <w:trPr>
          <w:trHeight w:val="746"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7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Perception Digital (HK)</w:t>
            </w:r>
            <w:r>
              <w:rPr>
                <w:rFonts w:ascii="Times New Roman"/>
                <w:spacing w:val="-2"/>
                <w:sz w:val="18"/>
              </w:rPr>
              <w:t> </w:t>
            </w:r>
            <w:r>
              <w:rPr>
                <w:rFonts w:ascii="Times New Roman"/>
                <w:sz w:val="18"/>
              </w:rPr>
              <w:t>Ltd</w:t>
            </w:r>
          </w:p>
        </w:tc>
        <w:tc>
          <w:tcPr>
            <w:tcW w:w="1748" w:type="dxa"/>
            <w:tcBorders>
              <w:top w:val="nil" w:sz="6" w:space="0" w:color="auto"/>
              <w:left w:val="nil" w:sz="6" w:space="0" w:color="auto"/>
              <w:bottom w:val="nil" w:sz="6" w:space="0" w:color="auto"/>
              <w:right w:val="nil" w:sz="6" w:space="0" w:color="auto"/>
            </w:tcBorders>
          </w:tcPr>
          <w:p>
            <w:pPr>
              <w:pStyle w:val="TableParagraph"/>
              <w:spacing w:line="374" w:lineRule="auto" w:before="70"/>
              <w:ind w:left="695" w:right="329"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r>
              <w:rPr>
                <w:rFonts w:ascii="宋体" w:hAnsi="宋体" w:cs="宋体" w:eastAsia="宋体" w:hint="default"/>
                <w:sz w:val="18"/>
                <w:szCs w:val="18"/>
              </w:rPr>
              <w:t> 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7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112,435,362.90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33"/>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占应收账款总额的比例</w:t>
            </w:r>
            <w:r>
              <w:rPr>
                <w:rFonts w:ascii="宋体" w:hAnsi="宋体" w:cs="宋体" w:eastAsia="宋体" w:hint="default"/>
                <w:sz w:val="21"/>
                <w:szCs w:val="21"/>
              </w:rPr>
            </w:r>
          </w:p>
          <w:p>
            <w:pPr>
              <w:pStyle w:val="TableParagraph"/>
              <w:spacing w:line="240" w:lineRule="auto" w:before="171"/>
              <w:ind w:left="125" w:right="0"/>
              <w:jc w:val="center"/>
              <w:rPr>
                <w:rFonts w:ascii="Times New Roman" w:hAnsi="Times New Roman" w:cs="Times New Roman" w:eastAsia="Times New Roman" w:hint="default"/>
                <w:sz w:val="18"/>
                <w:szCs w:val="18"/>
              </w:rPr>
            </w:pPr>
            <w:r>
              <w:rPr>
                <w:rFonts w:ascii="Times New Roman"/>
                <w:sz w:val="18"/>
              </w:rPr>
              <w:t>61.68%</w:t>
            </w:r>
          </w:p>
        </w:tc>
      </w:tr>
      <w:tr>
        <w:trPr>
          <w:trHeight w:val="352"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飞利浦电子（香港）有限公司</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89"/>
              <w:jc w:val="righ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4"/>
              <w:jc w:val="right"/>
              <w:rPr>
                <w:rFonts w:ascii="Times New Roman" w:hAnsi="Times New Roman" w:cs="Times New Roman" w:eastAsia="Times New Roman" w:hint="default"/>
                <w:sz w:val="18"/>
                <w:szCs w:val="18"/>
              </w:rPr>
            </w:pPr>
            <w:r>
              <w:rPr>
                <w:rFonts w:ascii="Times New Roman"/>
                <w:spacing w:val="-1"/>
                <w:sz w:val="18"/>
              </w:rPr>
              <w:t>39,913,346.71</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5"/>
              <w:jc w:val="right"/>
              <w:rPr>
                <w:rFonts w:ascii="Times New Roman" w:hAnsi="Times New Roman" w:cs="Times New Roman" w:eastAsia="Times New Roman" w:hint="default"/>
                <w:sz w:val="18"/>
                <w:szCs w:val="18"/>
              </w:rPr>
            </w:pPr>
            <w:r>
              <w:rPr>
                <w:rFonts w:ascii="Times New Roman"/>
                <w:w w:val="95"/>
                <w:sz w:val="18"/>
              </w:rPr>
              <w:t>21.89%</w:t>
            </w:r>
            <w:r>
              <w:rPr>
                <w:rFonts w:ascii="Times New Roman"/>
                <w:sz w:val="18"/>
              </w:rPr>
            </w:r>
          </w:p>
        </w:tc>
      </w:tr>
      <w:tr>
        <w:trPr>
          <w:trHeight w:val="34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飞利浦电子（匈牙利）有限公司</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9"/>
              <w:jc w:val="righ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pacing w:val="-1"/>
                <w:sz w:val="18"/>
              </w:rPr>
              <w:t>5,973,067.58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50"/>
              <w:jc w:val="right"/>
              <w:rPr>
                <w:rFonts w:ascii="Times New Roman" w:hAnsi="Times New Roman" w:cs="Times New Roman" w:eastAsia="Times New Roman" w:hint="default"/>
                <w:sz w:val="18"/>
                <w:szCs w:val="18"/>
              </w:rPr>
            </w:pPr>
            <w:r>
              <w:rPr>
                <w:rFonts w:ascii="Times New Roman"/>
                <w:w w:val="95"/>
                <w:sz w:val="18"/>
              </w:rPr>
              <w:t>3.28%</w:t>
            </w:r>
            <w:r>
              <w:rPr>
                <w:rFonts w:ascii="Times New Roman"/>
                <w:sz w:val="18"/>
              </w:rPr>
            </w:r>
          </w:p>
        </w:tc>
      </w:tr>
      <w:tr>
        <w:trPr>
          <w:trHeight w:val="340"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Times New Roman" w:hAnsi="Times New Roman" w:cs="Times New Roman" w:eastAsia="Times New Roman" w:hint="default"/>
                <w:sz w:val="18"/>
                <w:szCs w:val="18"/>
              </w:rPr>
            </w:pPr>
            <w:r>
              <w:rPr>
                <w:rFonts w:ascii="Times New Roman"/>
                <w:sz w:val="18"/>
              </w:rPr>
              <w:t>GE</w:t>
            </w:r>
            <w:r>
              <w:rPr>
                <w:rFonts w:ascii="Times New Roman"/>
                <w:spacing w:val="-1"/>
                <w:sz w:val="18"/>
              </w:rPr>
              <w:t> </w:t>
            </w:r>
            <w:r>
              <w:rPr>
                <w:rFonts w:ascii="Times New Roman"/>
                <w:sz w:val="18"/>
              </w:rPr>
              <w:t>Lumination</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3"/>
              <w:jc w:val="right"/>
              <w:rPr>
                <w:rFonts w:ascii="Times New Roman" w:hAnsi="Times New Roman" w:cs="Times New Roman" w:eastAsia="Times New Roman" w:hint="default"/>
                <w:sz w:val="18"/>
                <w:szCs w:val="18"/>
              </w:rPr>
            </w:pPr>
            <w:r>
              <w:rPr>
                <w:rFonts w:ascii="Times New Roman"/>
                <w:spacing w:val="-1"/>
                <w:sz w:val="18"/>
              </w:rPr>
              <w:t>5,306,254.60</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0"/>
              <w:jc w:val="right"/>
              <w:rPr>
                <w:rFonts w:ascii="Times New Roman" w:hAnsi="Times New Roman" w:cs="Times New Roman" w:eastAsia="Times New Roman" w:hint="default"/>
                <w:sz w:val="18"/>
                <w:szCs w:val="18"/>
              </w:rPr>
            </w:pPr>
            <w:r>
              <w:rPr>
                <w:rFonts w:ascii="Times New Roman"/>
                <w:w w:val="95"/>
                <w:sz w:val="18"/>
              </w:rPr>
              <w:t>2.91%</w:t>
            </w:r>
            <w:r>
              <w:rPr>
                <w:rFonts w:ascii="Times New Roman"/>
                <w:sz w:val="18"/>
              </w:rPr>
            </w:r>
          </w:p>
        </w:tc>
      </w:tr>
      <w:tr>
        <w:trPr>
          <w:trHeight w:val="349"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东莞市发利达电子有限公司</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89"/>
              <w:jc w:val="righ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pacing w:val="-1"/>
                <w:sz w:val="18"/>
              </w:rPr>
              <w:t>3,034,452.21</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50"/>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r>
    </w:tbl>
    <w:p>
      <w:pPr>
        <w:spacing w:line="250" w:lineRule="exact" w:before="0"/>
        <w:ind w:left="1140" w:right="0" w:firstLine="0"/>
        <w:jc w:val="left"/>
        <w:rPr>
          <w:rFonts w:ascii="宋体" w:hAnsi="宋体" w:cs="宋体" w:eastAsia="宋体" w:hint="default"/>
          <w:sz w:val="21"/>
          <w:szCs w:val="21"/>
        </w:rPr>
      </w:pPr>
      <w:r>
        <w:rPr>
          <w:rFonts w:ascii="宋体" w:hAnsi="宋体" w:cs="宋体" w:eastAsia="宋体" w:hint="default"/>
          <w:sz w:val="21"/>
          <w:szCs w:val="21"/>
        </w:rPr>
        <w:t>9、年末无以应收账款为标的资产进行资产证券化的交易安排。</w:t>
      </w:r>
    </w:p>
    <w:p>
      <w:pPr>
        <w:spacing w:before="66"/>
        <w:ind w:left="1140" w:right="0" w:firstLine="0"/>
        <w:jc w:val="left"/>
        <w:rPr>
          <w:rFonts w:ascii="宋体" w:hAnsi="宋体" w:cs="宋体" w:eastAsia="宋体" w:hint="default"/>
          <w:sz w:val="21"/>
          <w:szCs w:val="21"/>
        </w:rPr>
      </w:pPr>
      <w:r>
        <w:rPr>
          <w:rFonts w:ascii="宋体" w:hAnsi="宋体" w:cs="宋体" w:eastAsia="宋体" w:hint="default"/>
          <w:sz w:val="21"/>
          <w:szCs w:val="21"/>
        </w:rPr>
        <w:t>10、无属于证券化标的且不符合终止确认条件的金融工具。</w:t>
      </w:r>
    </w:p>
    <w:p>
      <w:pPr>
        <w:spacing w:line="297" w:lineRule="auto" w:before="64"/>
        <w:ind w:left="720" w:right="1226" w:firstLine="420"/>
        <w:jc w:val="left"/>
        <w:rPr>
          <w:rFonts w:ascii="宋体" w:hAnsi="宋体" w:cs="宋体" w:eastAsia="宋体" w:hint="default"/>
          <w:sz w:val="21"/>
          <w:szCs w:val="21"/>
        </w:rPr>
      </w:pPr>
      <w:r>
        <w:rPr>
          <w:rFonts w:ascii="宋体" w:hAnsi="宋体" w:cs="宋体" w:eastAsia="宋体" w:hint="default"/>
          <w:sz w:val="21"/>
          <w:szCs w:val="21"/>
        </w:rPr>
        <w:t>11、应收账款年末数比年初数减少</w:t>
      </w:r>
      <w:r>
        <w:rPr>
          <w:rFonts w:ascii="宋体" w:hAnsi="宋体" w:cs="宋体" w:eastAsia="宋体" w:hint="default"/>
          <w:spacing w:val="-34"/>
          <w:sz w:val="21"/>
          <w:szCs w:val="21"/>
        </w:rPr>
        <w:t> </w:t>
      </w:r>
      <w:r>
        <w:rPr>
          <w:rFonts w:ascii="宋体" w:hAnsi="宋体" w:cs="宋体" w:eastAsia="宋体" w:hint="default"/>
          <w:sz w:val="21"/>
          <w:szCs w:val="21"/>
        </w:rPr>
        <w:t>145,308,309.54</w:t>
      </w:r>
      <w:r>
        <w:rPr>
          <w:rFonts w:ascii="宋体" w:hAnsi="宋体" w:cs="宋体" w:eastAsia="宋体" w:hint="default"/>
          <w:spacing w:val="-34"/>
          <w:sz w:val="21"/>
          <w:szCs w:val="21"/>
        </w:rPr>
        <w:t> </w:t>
      </w:r>
      <w:r>
        <w:rPr>
          <w:rFonts w:ascii="宋体" w:hAnsi="宋体" w:cs="宋体" w:eastAsia="宋体" w:hint="default"/>
          <w:sz w:val="21"/>
          <w:szCs w:val="21"/>
        </w:rPr>
        <w:t>元，减少比例为</w:t>
      </w:r>
      <w:r>
        <w:rPr>
          <w:rFonts w:ascii="宋体" w:hAnsi="宋体" w:cs="宋体" w:eastAsia="宋体" w:hint="default"/>
          <w:spacing w:val="-34"/>
          <w:sz w:val="21"/>
          <w:szCs w:val="21"/>
        </w:rPr>
        <w:t> </w:t>
      </w:r>
      <w:r>
        <w:rPr>
          <w:rFonts w:ascii="宋体" w:hAnsi="宋体" w:cs="宋体" w:eastAsia="宋体" w:hint="default"/>
          <w:sz w:val="21"/>
          <w:szCs w:val="21"/>
        </w:rPr>
        <w:t>44.35％，减少原</w:t>
      </w:r>
      <w:r>
        <w:rPr>
          <w:rFonts w:ascii="宋体" w:hAnsi="宋体" w:cs="宋体" w:eastAsia="宋体" w:hint="default"/>
          <w:sz w:val="21"/>
          <w:szCs w:val="21"/>
        </w:rPr>
        <w:t> 因为：主要系销售收入下降和应收账款的收回所致。</w:t>
      </w:r>
    </w:p>
    <w:p>
      <w:pPr>
        <w:spacing w:line="297" w:lineRule="auto" w:before="15"/>
        <w:ind w:left="1140" w:right="7626" w:firstLine="2"/>
        <w:jc w:val="left"/>
        <w:rPr>
          <w:rFonts w:ascii="宋体" w:hAnsi="宋体" w:cs="宋体" w:eastAsia="宋体" w:hint="default"/>
          <w:sz w:val="21"/>
          <w:szCs w:val="21"/>
        </w:rPr>
      </w:pPr>
      <w:r>
        <w:rPr>
          <w:rFonts w:ascii="宋体" w:hAnsi="宋体" w:cs="宋体" w:eastAsia="宋体" w:hint="default"/>
          <w:b/>
          <w:bCs/>
          <w:sz w:val="21"/>
          <w:szCs w:val="21"/>
        </w:rPr>
        <w:t>（五）预付款项</w:t>
      </w:r>
      <w:r>
        <w:rPr>
          <w:rFonts w:ascii="宋体" w:hAnsi="宋体" w:cs="宋体" w:eastAsia="宋体" w:hint="default"/>
          <w:b/>
          <w:bCs/>
          <w:spacing w:val="1"/>
          <w:w w:val="99"/>
          <w:sz w:val="21"/>
          <w:szCs w:val="21"/>
        </w:rPr>
        <w:t> </w:t>
      </w:r>
      <w:r>
        <w:rPr>
          <w:rFonts w:ascii="宋体" w:hAnsi="宋体" w:cs="宋体" w:eastAsia="宋体" w:hint="default"/>
          <w:sz w:val="21"/>
          <w:szCs w:val="21"/>
        </w:rPr>
        <w:t>1、账龄分析</w:t>
      </w:r>
    </w:p>
    <w:p>
      <w:pPr>
        <w:tabs>
          <w:tab w:pos="7469" w:val="left" w:leader="none"/>
        </w:tabs>
        <w:spacing w:line="205" w:lineRule="exact" w:before="49"/>
        <w:ind w:left="4233" w:right="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05" w:lineRule="exact" w:before="0"/>
        <w:ind w:left="1263" w:right="0" w:firstLine="0"/>
        <w:jc w:val="left"/>
        <w:rPr>
          <w:rFonts w:ascii="宋体" w:hAnsi="宋体" w:cs="宋体" w:eastAsia="宋体" w:hint="default"/>
          <w:sz w:val="18"/>
          <w:szCs w:val="18"/>
        </w:rPr>
      </w:pPr>
      <w:r>
        <w:rPr/>
        <w:pict>
          <v:group style="position:absolute;margin-left:198.059998pt;margin-top:3.903598pt;width:323.6pt;height:.1pt;mso-position-horizontal-relative:page;mso-position-vertical-relative:paragraph;z-index:2656" coordorigin="3961,78" coordsize="6472,2">
            <v:shape style="position:absolute;left:3961;top:78;width:6472;height:2" coordorigin="3961,78" coordsize="6472,0" path="m3961,78l10433,78e" filled="false" stroked="true" strokeweight=".48pt" strokecolor="#000000">
              <v:path arrowok="t"/>
            </v:shape>
            <w10:wrap type="none"/>
          </v:group>
        </w:pict>
      </w:r>
      <w:r>
        <w:rPr>
          <w:rFonts w:ascii="宋体" w:hAnsi="宋体" w:cs="宋体" w:eastAsia="宋体" w:hint="default"/>
          <w:sz w:val="18"/>
          <w:szCs w:val="18"/>
        </w:rPr>
        <w:t>账  龄</w:t>
      </w:r>
    </w:p>
    <w:tbl>
      <w:tblPr>
        <w:tblW w:w="0" w:type="auto"/>
        <w:jc w:val="left"/>
        <w:tblInd w:w="924" w:type="dxa"/>
        <w:tblLayout w:type="fixed"/>
        <w:tblCellMar>
          <w:top w:w="0" w:type="dxa"/>
          <w:left w:w="0" w:type="dxa"/>
          <w:bottom w:w="0" w:type="dxa"/>
          <w:right w:w="0" w:type="dxa"/>
        </w:tblCellMar>
        <w:tblLook w:val="01E0"/>
      </w:tblPr>
      <w:tblGrid>
        <w:gridCol w:w="1956"/>
        <w:gridCol w:w="1580"/>
        <w:gridCol w:w="1651"/>
        <w:gridCol w:w="1582"/>
        <w:gridCol w:w="1575"/>
      </w:tblGrid>
      <w:tr>
        <w:trPr>
          <w:trHeight w:val="600" w:hRule="exact"/>
        </w:trPr>
        <w:tc>
          <w:tcPr>
            <w:tcW w:w="195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174" w:lineRule="exact"/>
              <w:ind w:left="5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p>
            <w:pPr>
              <w:pStyle w:val="TableParagraph"/>
              <w:spacing w:line="240" w:lineRule="auto" w:before="147"/>
              <w:ind w:left="445" w:right="0"/>
              <w:jc w:val="left"/>
              <w:rPr>
                <w:rFonts w:ascii="Times New Roman" w:hAnsi="Times New Roman" w:cs="Times New Roman" w:eastAsia="Times New Roman" w:hint="default"/>
                <w:sz w:val="18"/>
                <w:szCs w:val="18"/>
              </w:rPr>
            </w:pPr>
            <w:r>
              <w:rPr>
                <w:rFonts w:ascii="Times New Roman"/>
                <w:sz w:val="18"/>
              </w:rPr>
              <w:t>17,675,171.13</w:t>
            </w:r>
          </w:p>
        </w:tc>
        <w:tc>
          <w:tcPr>
            <w:tcW w:w="1651" w:type="dxa"/>
            <w:tcBorders>
              <w:top w:val="nil" w:sz="6" w:space="0" w:color="auto"/>
              <w:left w:val="nil" w:sz="6" w:space="0" w:color="auto"/>
              <w:bottom w:val="nil" w:sz="6" w:space="0" w:color="auto"/>
              <w:right w:val="nil" w:sz="6" w:space="0" w:color="auto"/>
            </w:tcBorders>
          </w:tcPr>
          <w:p>
            <w:pPr>
              <w:pStyle w:val="TableParagraph"/>
              <w:spacing w:line="188" w:lineRule="exact"/>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4"/>
              <w:ind w:left="35" w:right="0"/>
              <w:jc w:val="center"/>
              <w:rPr>
                <w:rFonts w:ascii="Times New Roman" w:hAnsi="Times New Roman" w:cs="Times New Roman" w:eastAsia="Times New Roman" w:hint="default"/>
                <w:sz w:val="18"/>
                <w:szCs w:val="18"/>
              </w:rPr>
            </w:pPr>
            <w:r>
              <w:rPr>
                <w:rFonts w:ascii="Times New Roman"/>
                <w:sz w:val="18"/>
              </w:rPr>
              <w:t>87.74</w:t>
            </w:r>
          </w:p>
        </w:tc>
        <w:tc>
          <w:tcPr>
            <w:tcW w:w="1582" w:type="dxa"/>
            <w:tcBorders>
              <w:top w:val="nil" w:sz="6" w:space="0" w:color="auto"/>
              <w:left w:val="nil" w:sz="6" w:space="0" w:color="auto"/>
              <w:bottom w:val="nil" w:sz="6" w:space="0" w:color="auto"/>
              <w:right w:val="nil" w:sz="6" w:space="0" w:color="auto"/>
            </w:tcBorders>
          </w:tcPr>
          <w:p>
            <w:pPr>
              <w:pStyle w:val="TableParagraph"/>
              <w:spacing w:line="174" w:lineRule="exact"/>
              <w:ind w:left="5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p>
            <w:pPr>
              <w:pStyle w:val="TableParagraph"/>
              <w:spacing w:line="240" w:lineRule="auto" w:before="147"/>
              <w:ind w:left="444" w:right="0"/>
              <w:jc w:val="left"/>
              <w:rPr>
                <w:rFonts w:ascii="Times New Roman" w:hAnsi="Times New Roman" w:cs="Times New Roman" w:eastAsia="Times New Roman" w:hint="default"/>
                <w:sz w:val="18"/>
                <w:szCs w:val="18"/>
              </w:rPr>
            </w:pPr>
            <w:r>
              <w:rPr>
                <w:rFonts w:ascii="Times New Roman"/>
                <w:sz w:val="18"/>
              </w:rPr>
              <w:t>14,316,442.92</w:t>
            </w:r>
          </w:p>
        </w:tc>
        <w:tc>
          <w:tcPr>
            <w:tcW w:w="1575" w:type="dxa"/>
            <w:tcBorders>
              <w:top w:val="nil" w:sz="6" w:space="0" w:color="auto"/>
              <w:left w:val="nil" w:sz="6" w:space="0" w:color="auto"/>
              <w:bottom w:val="nil" w:sz="6" w:space="0" w:color="auto"/>
              <w:right w:val="nil" w:sz="6" w:space="0" w:color="auto"/>
            </w:tcBorders>
          </w:tcPr>
          <w:p>
            <w:pPr>
              <w:pStyle w:val="TableParagraph"/>
              <w:spacing w:line="188" w:lineRule="exact"/>
              <w:ind w:left="2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p>
            <w:pPr>
              <w:pStyle w:val="TableParagraph"/>
              <w:spacing w:line="240" w:lineRule="auto" w:before="134"/>
              <w:ind w:left="720" w:right="0"/>
              <w:jc w:val="left"/>
              <w:rPr>
                <w:rFonts w:ascii="Times New Roman" w:hAnsi="Times New Roman" w:cs="Times New Roman" w:eastAsia="Times New Roman" w:hint="default"/>
                <w:sz w:val="18"/>
                <w:szCs w:val="18"/>
              </w:rPr>
            </w:pPr>
            <w:r>
              <w:rPr>
                <w:rFonts w:ascii="Times New Roman"/>
                <w:sz w:val="18"/>
              </w:rPr>
              <w:t>98.89</w:t>
            </w:r>
          </w:p>
        </w:tc>
      </w:tr>
      <w:tr>
        <w:trPr>
          <w:trHeight w:val="340"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2,468,839.18</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03"/>
              <w:jc w:val="right"/>
              <w:rPr>
                <w:rFonts w:ascii="Times New Roman" w:hAnsi="Times New Roman" w:cs="Times New Roman" w:eastAsia="Times New Roman" w:hint="default"/>
                <w:sz w:val="18"/>
                <w:szCs w:val="18"/>
              </w:rPr>
            </w:pPr>
            <w:r>
              <w:rPr>
                <w:rFonts w:ascii="Times New Roman"/>
                <w:sz w:val="18"/>
              </w:rPr>
              <w:t>12.26</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161,573.00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46"/>
              <w:jc w:val="right"/>
              <w:rPr>
                <w:rFonts w:ascii="Times New Roman" w:hAnsi="Times New Roman" w:cs="Times New Roman" w:eastAsia="Times New Roman" w:hint="default"/>
                <w:sz w:val="18"/>
                <w:szCs w:val="18"/>
              </w:rPr>
            </w:pPr>
            <w:r>
              <w:rPr>
                <w:rFonts w:ascii="Times New Roman"/>
                <w:sz w:val="18"/>
              </w:rPr>
              <w:t>1.11</w:t>
            </w:r>
          </w:p>
        </w:tc>
      </w:tr>
      <w:tr>
        <w:trPr>
          <w:trHeight w:val="340"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5"/>
              <w:jc w:val="right"/>
              <w:rPr>
                <w:rFonts w:ascii="Times New Roman" w:hAnsi="Times New Roman" w:cs="Times New Roman" w:eastAsia="Times New Roman" w:hint="default"/>
                <w:sz w:val="18"/>
                <w:szCs w:val="18"/>
              </w:rPr>
            </w:pPr>
            <w:r>
              <w:rPr>
                <w:rFonts w:ascii="Times New Roman"/>
                <w:sz w:val="18"/>
              </w:rPr>
              <w:t>---</w:t>
            </w:r>
          </w:p>
        </w:tc>
      </w:tr>
      <w:tr>
        <w:trPr>
          <w:trHeight w:val="303"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2"/>
              <w:jc w:val="right"/>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45"/>
              <w:jc w:val="righ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3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20,144,010.31</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03"/>
              <w:jc w:val="right"/>
              <w:rPr>
                <w:rFonts w:ascii="Times New Roman" w:hAnsi="Times New Roman" w:cs="Times New Roman" w:eastAsia="Times New Roman" w:hint="default"/>
                <w:sz w:val="18"/>
                <w:szCs w:val="18"/>
              </w:rPr>
            </w:pPr>
            <w:r>
              <w:rPr>
                <w:rFonts w:ascii="Times New Roman"/>
                <w:sz w:val="18"/>
              </w:rPr>
              <w:t>100.00</w:t>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14,478,015.92</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46"/>
              <w:jc w:val="right"/>
              <w:rPr>
                <w:rFonts w:ascii="Times New Roman" w:hAnsi="Times New Roman" w:cs="Times New Roman" w:eastAsia="Times New Roman" w:hint="default"/>
                <w:sz w:val="18"/>
                <w:szCs w:val="18"/>
              </w:rPr>
            </w:pPr>
            <w:r>
              <w:rPr>
                <w:rFonts w:ascii="Times New Roman"/>
                <w:sz w:val="18"/>
              </w:rPr>
              <w:t>100.00</w:t>
            </w:r>
          </w:p>
        </w:tc>
      </w:tr>
    </w:tbl>
    <w:p>
      <w:pPr>
        <w:spacing w:before="12"/>
        <w:ind w:left="1140" w:right="0" w:firstLine="0"/>
        <w:jc w:val="left"/>
        <w:rPr>
          <w:rFonts w:ascii="宋体" w:hAnsi="宋体" w:cs="宋体" w:eastAsia="宋体" w:hint="default"/>
          <w:sz w:val="21"/>
          <w:szCs w:val="21"/>
        </w:rPr>
      </w:pPr>
      <w:r>
        <w:rPr/>
        <w:pict>
          <v:group style="position:absolute;margin-left:197.699997pt;margin-top:-5.615931pt;width:79.75pt;height:.1pt;mso-position-horizontal-relative:page;mso-position-vertical-relative:paragraph;z-index:-625192" coordorigin="3954,-112" coordsize="1595,2">
            <v:shape style="position:absolute;left:3954;top:-112;width:1595;height:2" coordorigin="3954,-112" coordsize="1595,0" path="m3954,-112l5549,-112e" filled="false" stroked="true" strokeweight=".72pt" strokecolor="#000000">
              <v:path arrowok="t"/>
            </v:shape>
            <w10:wrap type="none"/>
          </v:group>
        </w:pict>
      </w:r>
      <w:r>
        <w:rPr/>
        <w:pict>
          <v:group style="position:absolute;margin-left:359.279999pt;margin-top:-5.615931pt;width:79.8pt;height:.1pt;mso-position-horizontal-relative:page;mso-position-vertical-relative:paragraph;z-index:-625168" coordorigin="7186,-112" coordsize="1596,2">
            <v:shape style="position:absolute;left:7186;top:-112;width:1596;height:2" coordorigin="7186,-112" coordsize="1596,0" path="m7186,-112l8782,-112e" filled="false" stroked="true" strokeweight=".72pt" strokecolor="#000000">
              <v:path arrowok="t"/>
            </v:shape>
            <w10:wrap type="none"/>
          </v:group>
        </w:pict>
      </w:r>
      <w:r>
        <w:rPr>
          <w:rFonts w:ascii="宋体" w:hAnsi="宋体" w:cs="宋体" w:eastAsia="宋体" w:hint="default"/>
          <w:sz w:val="21"/>
          <w:szCs w:val="21"/>
        </w:rPr>
        <w:t>2、账龄超过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年的重要预付款项</w:t>
      </w:r>
    </w:p>
    <w:p>
      <w:pPr>
        <w:spacing w:line="240" w:lineRule="auto" w:before="3"/>
        <w:rPr>
          <w:rFonts w:ascii="宋体" w:hAnsi="宋体" w:cs="宋体" w:eastAsia="宋体" w:hint="default"/>
          <w:sz w:val="4"/>
          <w:szCs w:val="4"/>
        </w:rPr>
      </w:pPr>
    </w:p>
    <w:tbl>
      <w:tblPr>
        <w:tblW w:w="0" w:type="auto"/>
        <w:jc w:val="left"/>
        <w:tblInd w:w="1119" w:type="dxa"/>
        <w:tblLayout w:type="fixed"/>
        <w:tblCellMar>
          <w:top w:w="0" w:type="dxa"/>
          <w:left w:w="0" w:type="dxa"/>
          <w:bottom w:w="0" w:type="dxa"/>
          <w:right w:w="0" w:type="dxa"/>
        </w:tblCellMar>
        <w:tblLook w:val="01E0"/>
      </w:tblPr>
      <w:tblGrid>
        <w:gridCol w:w="3670"/>
        <w:gridCol w:w="2210"/>
        <w:gridCol w:w="1218"/>
      </w:tblGrid>
      <w:tr>
        <w:trPr>
          <w:trHeight w:val="360" w:hRule="exact"/>
        </w:trPr>
        <w:tc>
          <w:tcPr>
            <w:tcW w:w="367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89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21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w:t>
              <w:tab/>
            </w:r>
            <w:r>
              <w:rPr>
                <w:rFonts w:ascii="宋体" w:hAnsi="宋体" w:cs="宋体" w:eastAsia="宋体" w:hint="default"/>
                <w:w w:val="95"/>
                <w:sz w:val="18"/>
                <w:szCs w:val="18"/>
                <w:u w:val="single" w:color="000000"/>
              </w:rPr>
              <w:t>因</w:t>
            </w:r>
            <w:r>
              <w:rPr>
                <w:rFonts w:ascii="宋体" w:hAnsi="宋体" w:cs="宋体" w:eastAsia="宋体" w:hint="default"/>
                <w:w w:val="95"/>
                <w:sz w:val="18"/>
                <w:szCs w:val="18"/>
              </w:rPr>
            </w:r>
          </w:p>
        </w:tc>
      </w:tr>
      <w:tr>
        <w:trPr>
          <w:trHeight w:val="37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98"/>
              <w:jc w:val="center"/>
              <w:rPr>
                <w:rFonts w:ascii="宋体" w:hAnsi="宋体" w:cs="宋体" w:eastAsia="宋体" w:hint="default"/>
                <w:sz w:val="18"/>
                <w:szCs w:val="18"/>
              </w:rPr>
            </w:pPr>
            <w:r>
              <w:rPr>
                <w:rFonts w:ascii="宋体" w:hAnsi="宋体" w:cs="宋体" w:eastAsia="宋体" w:hint="default"/>
                <w:sz w:val="18"/>
                <w:szCs w:val="18"/>
              </w:rPr>
              <w:t>无锡市精工建筑装饰工程有限公司</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61"/>
              <w:jc w:val="right"/>
              <w:rPr>
                <w:rFonts w:ascii="Times New Roman" w:hAnsi="Times New Roman" w:cs="Times New Roman" w:eastAsia="Times New Roman" w:hint="default"/>
                <w:sz w:val="18"/>
                <w:szCs w:val="18"/>
              </w:rPr>
            </w:pPr>
            <w:r>
              <w:rPr>
                <w:rFonts w:ascii="Times New Roman"/>
                <w:sz w:val="18"/>
              </w:rPr>
              <w:t>838,856.53</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right"/>
        <w:rPr>
          <w:rFonts w:ascii="宋体" w:hAnsi="宋体" w:cs="宋体" w:eastAsia="宋体" w:hint="default"/>
          <w:sz w:val="18"/>
          <w:szCs w:val="18"/>
        </w:rPr>
        <w:sectPr>
          <w:type w:val="continuous"/>
          <w:pgSz w:w="11910" w:h="16840"/>
          <w:pgMar w:top="1020" w:bottom="1520" w:left="1080" w:right="560"/>
        </w:sectPr>
      </w:pPr>
    </w:p>
    <w:p>
      <w:pPr>
        <w:spacing w:line="240" w:lineRule="auto" w:before="8"/>
        <w:rPr>
          <w:rFonts w:ascii="宋体" w:hAnsi="宋体" w:cs="宋体" w:eastAsia="宋体" w:hint="default"/>
          <w:sz w:val="21"/>
          <w:szCs w:val="21"/>
        </w:rPr>
      </w:pPr>
    </w:p>
    <w:tbl>
      <w:tblPr>
        <w:tblW w:w="0" w:type="auto"/>
        <w:jc w:val="left"/>
        <w:tblInd w:w="653" w:type="dxa"/>
        <w:tblLayout w:type="fixed"/>
        <w:tblCellMar>
          <w:top w:w="0" w:type="dxa"/>
          <w:left w:w="0" w:type="dxa"/>
          <w:bottom w:w="0" w:type="dxa"/>
          <w:right w:w="0" w:type="dxa"/>
        </w:tblCellMar>
        <w:tblLook w:val="01E0"/>
      </w:tblPr>
      <w:tblGrid>
        <w:gridCol w:w="3299"/>
        <w:gridCol w:w="1173"/>
        <w:gridCol w:w="1604"/>
        <w:gridCol w:w="1754"/>
      </w:tblGrid>
      <w:tr>
        <w:trPr>
          <w:trHeight w:val="365"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94" w:right="0"/>
              <w:jc w:val="left"/>
              <w:rPr>
                <w:rFonts w:ascii="Times New Roman" w:hAnsi="Times New Roman" w:cs="Times New Roman" w:eastAsia="Times New Roman" w:hint="default"/>
                <w:sz w:val="18"/>
                <w:szCs w:val="18"/>
              </w:rPr>
            </w:pPr>
            <w:r>
              <w:rPr>
                <w:rFonts w:ascii="Times New Roman"/>
                <w:sz w:val="18"/>
              </w:rPr>
              <w:t>FE Global (China)</w:t>
            </w:r>
            <w:r>
              <w:rPr>
                <w:rFonts w:ascii="Times New Roman"/>
                <w:spacing w:val="-3"/>
                <w:sz w:val="18"/>
              </w:rPr>
              <w:t> </w:t>
            </w:r>
            <w:r>
              <w:rPr>
                <w:rFonts w:ascii="Times New Roman"/>
                <w:sz w:val="18"/>
              </w:rPr>
              <w:t>Ltd</w:t>
            </w:r>
          </w:p>
        </w:tc>
        <w:tc>
          <w:tcPr>
            <w:tcW w:w="1173"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0"/>
              <w:jc w:val="right"/>
              <w:rPr>
                <w:rFonts w:ascii="Times New Roman" w:hAnsi="Times New Roman" w:cs="Times New Roman" w:eastAsia="Times New Roman" w:hint="default"/>
                <w:sz w:val="18"/>
                <w:szCs w:val="18"/>
              </w:rPr>
            </w:pPr>
            <w:r>
              <w:rPr>
                <w:rFonts w:ascii="Times New Roman"/>
                <w:sz w:val="18"/>
              </w:rPr>
              <w:t>342,115.02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9"/>
              <w:jc w:val="righ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0"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9" w:right="0"/>
              <w:jc w:val="left"/>
              <w:rPr>
                <w:rFonts w:ascii="Times New Roman" w:hAnsi="Times New Roman" w:cs="Times New Roman" w:eastAsia="Times New Roman" w:hint="default"/>
                <w:sz w:val="18"/>
                <w:szCs w:val="18"/>
              </w:rPr>
            </w:pPr>
            <w:r>
              <w:rPr>
                <w:rFonts w:ascii="Times New Roman"/>
                <w:sz w:val="18"/>
              </w:rPr>
              <w:t>ROHM ELECTRONICS (HK)</w:t>
            </w:r>
            <w:r>
              <w:rPr>
                <w:rFonts w:ascii="Times New Roman"/>
                <w:spacing w:val="-3"/>
                <w:sz w:val="18"/>
              </w:rPr>
              <w:t> </w:t>
            </w:r>
            <w:r>
              <w:rPr>
                <w:rFonts w:ascii="Times New Roman"/>
                <w:sz w:val="18"/>
              </w:rPr>
              <w:t>Co.,Ltd</w:t>
            </w:r>
          </w:p>
        </w:tc>
        <w:tc>
          <w:tcPr>
            <w:tcW w:w="1173"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29"/>
              <w:jc w:val="right"/>
              <w:rPr>
                <w:rFonts w:ascii="Times New Roman" w:hAnsi="Times New Roman" w:cs="Times New Roman" w:eastAsia="Times New Roman" w:hint="default"/>
                <w:sz w:val="18"/>
                <w:szCs w:val="18"/>
              </w:rPr>
            </w:pPr>
            <w:r>
              <w:rPr>
                <w:rFonts w:ascii="Times New Roman"/>
                <w:sz w:val="18"/>
              </w:rPr>
              <w:t>177,258.75</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9"/>
              <w:jc w:val="righ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40"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91" w:right="0"/>
              <w:jc w:val="left"/>
              <w:rPr>
                <w:rFonts w:ascii="宋体" w:hAnsi="宋体" w:cs="宋体" w:eastAsia="宋体" w:hint="default"/>
                <w:sz w:val="18"/>
                <w:szCs w:val="18"/>
              </w:rPr>
            </w:pPr>
            <w:r>
              <w:rPr>
                <w:rFonts w:ascii="宋体" w:hAnsi="宋体" w:cs="宋体" w:eastAsia="宋体" w:hint="default"/>
                <w:sz w:val="18"/>
                <w:szCs w:val="18"/>
              </w:rPr>
              <w:t>超伟企业有限公司</w:t>
            </w:r>
          </w:p>
        </w:tc>
        <w:tc>
          <w:tcPr>
            <w:tcW w:w="1173"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0"/>
              <w:jc w:val="right"/>
              <w:rPr>
                <w:rFonts w:ascii="Times New Roman" w:hAnsi="Times New Roman" w:cs="Times New Roman" w:eastAsia="Times New Roman" w:hint="default"/>
                <w:sz w:val="18"/>
                <w:szCs w:val="18"/>
              </w:rPr>
            </w:pPr>
            <w:r>
              <w:rPr>
                <w:rFonts w:ascii="Times New Roman"/>
                <w:sz w:val="18"/>
              </w:rPr>
              <w:t>176,028.60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9"/>
              <w:jc w:val="righ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27"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21" w:right="0"/>
              <w:jc w:val="left"/>
              <w:rPr>
                <w:rFonts w:ascii="Times New Roman" w:hAnsi="Times New Roman" w:cs="Times New Roman" w:eastAsia="Times New Roman" w:hint="default"/>
                <w:sz w:val="18"/>
                <w:szCs w:val="18"/>
              </w:rPr>
            </w:pPr>
            <w:r>
              <w:rPr>
                <w:rFonts w:ascii="Times New Roman"/>
                <w:spacing w:val="-10"/>
                <w:sz w:val="18"/>
              </w:rPr>
              <w:t>Ya </w:t>
            </w:r>
            <w:r>
              <w:rPr>
                <w:rFonts w:ascii="Times New Roman"/>
                <w:sz w:val="18"/>
              </w:rPr>
              <w:t>Hsin industrial</w:t>
            </w:r>
            <w:r>
              <w:rPr>
                <w:rFonts w:ascii="Times New Roman"/>
                <w:spacing w:val="12"/>
                <w:sz w:val="18"/>
              </w:rPr>
              <w:t> </w:t>
            </w:r>
            <w:r>
              <w:rPr>
                <w:rFonts w:ascii="Times New Roman"/>
                <w:spacing w:val="-3"/>
                <w:sz w:val="18"/>
              </w:rPr>
              <w:t>Co.,LTD</w:t>
            </w:r>
          </w:p>
        </w:tc>
        <w:tc>
          <w:tcPr>
            <w:tcW w:w="1173"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29"/>
              <w:jc w:val="right"/>
              <w:rPr>
                <w:rFonts w:ascii="Times New Roman" w:hAnsi="Times New Roman" w:cs="Times New Roman" w:eastAsia="Times New Roman" w:hint="default"/>
                <w:sz w:val="18"/>
                <w:szCs w:val="18"/>
              </w:rPr>
            </w:pPr>
            <w:r>
              <w:rPr>
                <w:rFonts w:ascii="Times New Roman"/>
                <w:sz w:val="18"/>
              </w:rPr>
              <w:t>168,304.76</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9"/>
              <w:jc w:val="righ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50"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46" w:right="0"/>
              <w:jc w:val="left"/>
              <w:rPr>
                <w:rFonts w:ascii="宋体" w:hAnsi="宋体" w:cs="宋体" w:eastAsia="宋体" w:hint="default"/>
                <w:sz w:val="21"/>
                <w:szCs w:val="21"/>
              </w:rPr>
            </w:pPr>
            <w:r>
              <w:rPr>
                <w:rFonts w:ascii="宋体" w:hAnsi="宋体" w:cs="宋体" w:eastAsia="宋体" w:hint="default"/>
                <w:sz w:val="21"/>
                <w:szCs w:val="21"/>
              </w:rPr>
              <w:t>3、年末金额较大的预付款项</w:t>
            </w:r>
          </w:p>
        </w:tc>
        <w:tc>
          <w:tcPr>
            <w:tcW w:w="1173"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442" w:hRule="exact"/>
        </w:trPr>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）前五名欠款单位合计及</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604"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31" w:right="0"/>
              <w:jc w:val="left"/>
              <w:rPr>
                <w:rFonts w:ascii="宋体" w:hAnsi="宋体" w:cs="宋体" w:eastAsia="宋体" w:hint="default"/>
                <w:sz w:val="18"/>
                <w:szCs w:val="18"/>
              </w:rPr>
            </w:pPr>
            <w:r>
              <w:rPr>
                <w:rFonts w:ascii="宋体" w:hAnsi="宋体" w:cs="宋体" w:eastAsia="宋体" w:hint="default"/>
                <w:sz w:val="18"/>
                <w:szCs w:val="18"/>
              </w:rPr>
              <w:t>年初数</w:t>
            </w:r>
          </w:p>
        </w:tc>
      </w:tr>
    </w:tbl>
    <w:p>
      <w:pPr>
        <w:spacing w:line="144" w:lineRule="exact" w:before="0"/>
        <w:ind w:left="2861" w:right="5433" w:firstLine="0"/>
        <w:jc w:val="center"/>
        <w:rPr>
          <w:rFonts w:ascii="宋体" w:hAnsi="宋体" w:cs="宋体" w:eastAsia="宋体" w:hint="default"/>
          <w:sz w:val="18"/>
          <w:szCs w:val="18"/>
        </w:rPr>
      </w:pPr>
      <w:r>
        <w:rPr/>
        <w:pict>
          <v:group style="position:absolute;margin-left:210.119995pt;margin-top:-6.125315pt;width:293.55pt;height:.1pt;mso-position-horizontal-relative:page;mso-position-vertical-relative:paragraph;z-index:-624928" coordorigin="4202,-123" coordsize="5871,2">
            <v:shape style="position:absolute;left:4202;top:-123;width:5871;height:2" coordorigin="4202,-123" coordsize="5871,0" path="m4202,-123l10073,-123e" filled="false" stroked="true" strokeweight=".47998pt" strokecolor="#000000">
              <v:path arrowok="t"/>
            </v:shape>
            <w10:wrap type="none"/>
          </v:group>
        </w:pict>
      </w:r>
      <w:r>
        <w:rPr/>
        <w:pict>
          <v:shape style="position:absolute;margin-left:304.970306pt;margin-top:-5pt;width:177.5pt;height:36.550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0"/>
                    <w:gridCol w:w="1745"/>
                    <w:gridCol w:w="925"/>
                  </w:tblGrid>
                  <w:tr>
                    <w:trPr>
                      <w:trHeight w:val="370"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p>
                    </w:tc>
                  </w:tr>
                  <w:tr>
                    <w:trPr>
                      <w:trHeight w:val="360"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7" w:right="0"/>
                          <w:jc w:val="left"/>
                          <w:rPr>
                            <w:rFonts w:ascii="Times New Roman" w:hAnsi="Times New Roman" w:cs="Times New Roman" w:eastAsia="Times New Roman" w:hint="default"/>
                            <w:sz w:val="18"/>
                            <w:szCs w:val="18"/>
                          </w:rPr>
                        </w:pPr>
                        <w:r>
                          <w:rPr>
                            <w:rFonts w:ascii="Times New Roman"/>
                            <w:sz w:val="18"/>
                          </w:rPr>
                          <w:t>57.50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2"/>
                          <w:jc w:val="center"/>
                          <w:rPr>
                            <w:rFonts w:ascii="Times New Roman" w:hAnsi="Times New Roman" w:cs="Times New Roman" w:eastAsia="Times New Roman" w:hint="default"/>
                            <w:sz w:val="18"/>
                            <w:szCs w:val="18"/>
                          </w:rPr>
                        </w:pPr>
                        <w:r>
                          <w:rPr>
                            <w:rFonts w:ascii="Times New Roman"/>
                            <w:sz w:val="18"/>
                          </w:rPr>
                          <w:t>11,526,362.03</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Times New Roman" w:hAnsi="Times New Roman" w:cs="Times New Roman" w:eastAsia="Times New Roman" w:hint="default"/>
                            <w:sz w:val="18"/>
                            <w:szCs w:val="18"/>
                          </w:rPr>
                        </w:pPr>
                        <w:r>
                          <w:rPr>
                            <w:rFonts w:ascii="Times New Roman"/>
                            <w:sz w:val="18"/>
                          </w:rPr>
                          <w:t>79.61</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p>
      <w:pPr>
        <w:spacing w:line="191" w:lineRule="exact" w:before="0"/>
        <w:ind w:left="1604" w:right="333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199" w:lineRule="exact" w:before="0"/>
        <w:ind w:left="2860" w:right="5433" w:firstLine="0"/>
        <w:jc w:val="center"/>
        <w:rPr>
          <w:rFonts w:ascii="Times New Roman" w:hAnsi="Times New Roman" w:cs="Times New Roman" w:eastAsia="Times New Roman" w:hint="default"/>
          <w:sz w:val="18"/>
          <w:szCs w:val="18"/>
        </w:rPr>
      </w:pPr>
      <w:r>
        <w:rPr>
          <w:rFonts w:ascii="Times New Roman"/>
          <w:sz w:val="18"/>
        </w:rPr>
        <w:t>11,582,761.89</w:t>
      </w:r>
    </w:p>
    <w:p>
      <w:pPr>
        <w:spacing w:before="55"/>
        <w:ind w:left="1000" w:right="3330" w:firstLine="0"/>
        <w:jc w:val="left"/>
        <w:rPr>
          <w:rFonts w:ascii="宋体" w:hAnsi="宋体" w:cs="宋体" w:eastAsia="宋体" w:hint="default"/>
          <w:sz w:val="21"/>
          <w:szCs w:val="21"/>
        </w:rPr>
      </w:pPr>
      <w:r>
        <w:rPr>
          <w:rFonts w:ascii="宋体" w:hAnsi="宋体" w:cs="宋体" w:eastAsia="宋体" w:hint="default"/>
          <w:sz w:val="21"/>
          <w:szCs w:val="21"/>
        </w:rPr>
        <w:t>（2）预付账款主要单位：</w:t>
      </w:r>
    </w:p>
    <w:p>
      <w:pPr>
        <w:spacing w:line="240" w:lineRule="auto" w:before="1"/>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176"/>
        <w:gridCol w:w="1784"/>
        <w:gridCol w:w="1620"/>
        <w:gridCol w:w="2071"/>
        <w:gridCol w:w="1065"/>
      </w:tblGrid>
      <w:tr>
        <w:trPr>
          <w:trHeight w:val="721"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p>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联发科技股份有限公司</w:t>
            </w:r>
          </w:p>
        </w:tc>
        <w:tc>
          <w:tcPr>
            <w:tcW w:w="1784" w:type="dxa"/>
            <w:tcBorders>
              <w:top w:val="nil" w:sz="6" w:space="0" w:color="auto"/>
              <w:left w:val="nil" w:sz="6" w:space="0" w:color="auto"/>
              <w:bottom w:val="nil" w:sz="6" w:space="0" w:color="auto"/>
              <w:right w:val="nil" w:sz="6" w:space="0" w:color="auto"/>
            </w:tcBorders>
          </w:tcPr>
          <w:p>
            <w:pPr>
              <w:pStyle w:val="TableParagraph"/>
              <w:spacing w:line="348" w:lineRule="auto" w:before="60"/>
              <w:ind w:left="711" w:right="260"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r>
              <w:rPr>
                <w:rFonts w:ascii="宋体" w:hAnsi="宋体" w:cs="宋体" w:eastAsia="宋体" w:hint="default"/>
                <w:sz w:val="18"/>
                <w:szCs w:val="18"/>
              </w:rPr>
              <w:t> 供应商</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p>
            <w:pPr>
              <w:pStyle w:val="TableParagraph"/>
              <w:spacing w:line="240" w:lineRule="auto" w:before="147"/>
              <w:ind w:left="573" w:right="0"/>
              <w:jc w:val="left"/>
              <w:rPr>
                <w:rFonts w:ascii="Times New Roman" w:hAnsi="Times New Roman" w:cs="Times New Roman" w:eastAsia="Times New Roman" w:hint="default"/>
                <w:sz w:val="18"/>
                <w:szCs w:val="18"/>
              </w:rPr>
            </w:pPr>
            <w:r>
              <w:rPr>
                <w:rFonts w:ascii="Times New Roman"/>
                <w:sz w:val="18"/>
              </w:rPr>
              <w:t>5,909,240.29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欠款时间</w:t>
            </w:r>
            <w:r>
              <w:rPr>
                <w:rFonts w:ascii="宋体" w:hAnsi="宋体" w:cs="宋体" w:eastAsia="宋体" w:hint="default"/>
                <w:sz w:val="18"/>
                <w:szCs w:val="18"/>
              </w:rPr>
            </w:r>
          </w:p>
          <w:p>
            <w:pPr>
              <w:pStyle w:val="TableParagraph"/>
              <w:spacing w:line="240" w:lineRule="auto" w:before="105"/>
              <w:ind w:left="6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5" w:type="dxa"/>
            <w:tcBorders>
              <w:top w:val="nil" w:sz="6" w:space="0" w:color="auto"/>
              <w:left w:val="nil" w:sz="6" w:space="0" w:color="auto"/>
              <w:bottom w:val="nil" w:sz="6" w:space="0" w:color="auto"/>
              <w:right w:val="nil" w:sz="6" w:space="0" w:color="auto"/>
            </w:tcBorders>
          </w:tcPr>
          <w:p>
            <w:pPr>
              <w:pStyle w:val="TableParagraph"/>
              <w:spacing w:line="348" w:lineRule="auto" w:before="60"/>
              <w:ind w:left="309" w:right="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欠款原因</w:t>
            </w:r>
            <w:r>
              <w:rPr>
                <w:rFonts w:ascii="宋体" w:hAnsi="宋体" w:cs="宋体" w:eastAsia="宋体" w:hint="default"/>
                <w:sz w:val="18"/>
                <w:szCs w:val="18"/>
              </w:rPr>
            </w:r>
            <w:r>
              <w:rPr>
                <w:rFonts w:ascii="宋体" w:hAnsi="宋体" w:cs="宋体" w:eastAsia="宋体" w:hint="default"/>
                <w:sz w:val="18"/>
                <w:szCs w:val="18"/>
              </w:rPr>
              <w:t> 预付货款</w:t>
            </w:r>
          </w:p>
        </w:tc>
      </w:tr>
      <w:tr>
        <w:trPr>
          <w:trHeight w:val="34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Times New Roman" w:hAnsi="Times New Roman" w:cs="Times New Roman" w:eastAsia="Times New Roman" w:hint="default"/>
                <w:sz w:val="18"/>
                <w:szCs w:val="18"/>
              </w:rPr>
            </w:pPr>
            <w:r>
              <w:rPr>
                <w:rFonts w:ascii="Times New Roman"/>
                <w:sz w:val="18"/>
              </w:rPr>
              <w:t>suminoe Textile</w:t>
            </w:r>
            <w:r>
              <w:rPr>
                <w:rFonts w:ascii="Times New Roman"/>
                <w:spacing w:val="-2"/>
                <w:sz w:val="18"/>
              </w:rPr>
              <w:t> </w:t>
            </w:r>
            <w:r>
              <w:rPr>
                <w:rFonts w:ascii="Times New Roman"/>
                <w:sz w:val="18"/>
              </w:rPr>
              <w:t>co,ltd</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0"/>
              <w:jc w:val="right"/>
              <w:rPr>
                <w:rFonts w:ascii="宋体" w:hAnsi="宋体" w:cs="宋体" w:eastAsia="宋体" w:hint="default"/>
                <w:sz w:val="18"/>
                <w:szCs w:val="18"/>
              </w:rPr>
            </w:pPr>
            <w:r>
              <w:rPr>
                <w:rFonts w:ascii="宋体" w:hAnsi="宋体" w:cs="宋体" w:eastAsia="宋体" w:hint="default"/>
                <w:sz w:val="18"/>
                <w:szCs w:val="18"/>
              </w:rPr>
              <w:t>供应商</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3,522,661.19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无锡市精工建筑装饰工程有限公司</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0"/>
              <w:jc w:val="right"/>
              <w:rPr>
                <w:rFonts w:ascii="宋体" w:hAnsi="宋体" w:cs="宋体" w:eastAsia="宋体" w:hint="default"/>
                <w:sz w:val="18"/>
                <w:szCs w:val="18"/>
              </w:rPr>
            </w:pPr>
            <w:r>
              <w:rPr>
                <w:rFonts w:ascii="宋体" w:hAnsi="宋体" w:cs="宋体" w:eastAsia="宋体" w:hint="default"/>
                <w:sz w:val="18"/>
                <w:szCs w:val="18"/>
              </w:rPr>
              <w:t>供应商</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848,856.53</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0"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Times New Roman" w:hAnsi="Times New Roman" w:cs="Times New Roman" w:eastAsia="Times New Roman" w:hint="default"/>
                <w:sz w:val="18"/>
                <w:szCs w:val="18"/>
              </w:rPr>
            </w:pPr>
            <w:r>
              <w:rPr>
                <w:rFonts w:ascii="Times New Roman"/>
                <w:sz w:val="18"/>
              </w:rPr>
              <w:t>Futaba (HongKong) Corp.,</w:t>
            </w:r>
            <w:r>
              <w:rPr>
                <w:rFonts w:ascii="Times New Roman"/>
                <w:spacing w:val="-3"/>
                <w:sz w:val="18"/>
              </w:rPr>
              <w:t> </w:t>
            </w:r>
            <w:r>
              <w:rPr>
                <w:rFonts w:ascii="Times New Roman"/>
                <w:sz w:val="18"/>
              </w:rPr>
              <w:t>LTD</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0"/>
              <w:jc w:val="right"/>
              <w:rPr>
                <w:rFonts w:ascii="宋体" w:hAnsi="宋体" w:cs="宋体" w:eastAsia="宋体" w:hint="default"/>
                <w:sz w:val="18"/>
                <w:szCs w:val="18"/>
              </w:rPr>
            </w:pPr>
            <w:r>
              <w:rPr>
                <w:rFonts w:ascii="宋体" w:hAnsi="宋体" w:cs="宋体" w:eastAsia="宋体" w:hint="default"/>
                <w:sz w:val="18"/>
                <w:szCs w:val="18"/>
              </w:rPr>
              <w:t>供应商</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824,466.51</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02"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Times New Roman" w:hAnsi="Times New Roman" w:cs="Times New Roman" w:eastAsia="Times New Roman" w:hint="default"/>
                <w:sz w:val="18"/>
                <w:szCs w:val="18"/>
              </w:rPr>
            </w:pPr>
            <w:r>
              <w:rPr>
                <w:rFonts w:ascii="Times New Roman"/>
                <w:sz w:val="18"/>
              </w:rPr>
              <w:t>Samsung</w:t>
            </w:r>
            <w:r>
              <w:rPr>
                <w:rFonts w:ascii="Times New Roman"/>
                <w:spacing w:val="-3"/>
                <w:sz w:val="18"/>
              </w:rPr>
              <w:t> </w:t>
            </w:r>
            <w:r>
              <w:rPr>
                <w:rFonts w:ascii="Times New Roman"/>
                <w:sz w:val="18"/>
              </w:rPr>
              <w:t>Electro-mecha</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0"/>
              <w:jc w:val="right"/>
              <w:rPr>
                <w:rFonts w:ascii="宋体" w:hAnsi="宋体" w:cs="宋体" w:eastAsia="宋体" w:hint="default"/>
                <w:sz w:val="18"/>
                <w:szCs w:val="18"/>
              </w:rPr>
            </w:pPr>
            <w:r>
              <w:rPr>
                <w:rFonts w:ascii="宋体" w:hAnsi="宋体" w:cs="宋体" w:eastAsia="宋体" w:hint="default"/>
                <w:sz w:val="18"/>
                <w:szCs w:val="18"/>
              </w:rPr>
              <w:t>供应商</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477,537.37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36" w:hRule="exact"/>
        </w:trPr>
        <w:tc>
          <w:tcPr>
            <w:tcW w:w="3176"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67"/>
              <w:ind w:left="9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84"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11,582,761.89</w:t>
            </w:r>
          </w:p>
        </w:tc>
        <w:tc>
          <w:tcPr>
            <w:tcW w:w="2071"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r>
    </w:tbl>
    <w:p>
      <w:pPr>
        <w:spacing w:before="12"/>
        <w:ind w:left="1000" w:right="1650" w:firstLine="0"/>
        <w:jc w:val="left"/>
        <w:rPr>
          <w:rFonts w:ascii="宋体" w:hAnsi="宋体" w:cs="宋体" w:eastAsia="宋体" w:hint="default"/>
          <w:sz w:val="21"/>
          <w:szCs w:val="21"/>
        </w:rPr>
      </w:pPr>
      <w:r>
        <w:rPr/>
        <w:pict>
          <v:group style="position:absolute;margin-left:314.279999pt;margin-top:-5.616002pt;width:81.75pt;height:.1pt;mso-position-horizontal-relative:page;mso-position-vertical-relative:paragraph;z-index:-624904" coordorigin="6286,-112" coordsize="1635,2">
            <v:shape style="position:absolute;left:6286;top:-112;width:1635;height:2" coordorigin="6286,-112" coordsize="1635,0" path="m6286,-112l7920,-112e" filled="false" stroked="true" strokeweight=".71997pt" strokecolor="#000000">
              <v:path arrowok="t"/>
            </v:shape>
            <w10:wrap type="none"/>
          </v:group>
        </w:pict>
      </w:r>
      <w:r>
        <w:rPr>
          <w:rFonts w:ascii="宋体" w:hAnsi="宋体" w:cs="宋体" w:eastAsia="宋体" w:hint="default"/>
          <w:sz w:val="21"/>
          <w:szCs w:val="21"/>
        </w:rPr>
        <w:t>4、年末预付款项中无持本公司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5％）表决权股份的股东单位欠款</w:t>
      </w:r>
    </w:p>
    <w:p>
      <w:pPr>
        <w:spacing w:line="297" w:lineRule="auto" w:before="64"/>
        <w:ind w:left="579" w:right="173" w:firstLine="420"/>
        <w:jc w:val="left"/>
        <w:rPr>
          <w:rFonts w:ascii="宋体" w:hAnsi="宋体" w:cs="宋体" w:eastAsia="宋体" w:hint="default"/>
          <w:sz w:val="21"/>
          <w:szCs w:val="21"/>
        </w:rPr>
      </w:pPr>
      <w:r>
        <w:rPr>
          <w:rFonts w:ascii="宋体" w:hAnsi="宋体" w:cs="宋体" w:eastAsia="宋体" w:hint="default"/>
          <w:spacing w:val="-6"/>
          <w:sz w:val="21"/>
          <w:szCs w:val="21"/>
        </w:rPr>
        <w:t>5、预付款项年末数比年初数增加</w:t>
      </w:r>
      <w:r>
        <w:rPr>
          <w:rFonts w:ascii="宋体" w:hAnsi="宋体" w:cs="宋体" w:eastAsia="宋体" w:hint="default"/>
          <w:spacing w:val="-53"/>
          <w:sz w:val="21"/>
          <w:szCs w:val="21"/>
        </w:rPr>
        <w:t> </w:t>
      </w:r>
      <w:r>
        <w:rPr>
          <w:rFonts w:ascii="宋体" w:hAnsi="宋体" w:cs="宋体" w:eastAsia="宋体" w:hint="default"/>
          <w:sz w:val="21"/>
          <w:szCs w:val="21"/>
        </w:rPr>
        <w:t>5,665,994.39</w:t>
      </w:r>
      <w:r>
        <w:rPr>
          <w:rFonts w:ascii="宋体" w:hAnsi="宋体" w:cs="宋体" w:eastAsia="宋体" w:hint="default"/>
          <w:spacing w:val="-52"/>
          <w:sz w:val="21"/>
          <w:szCs w:val="21"/>
        </w:rPr>
        <w:t> </w:t>
      </w:r>
      <w:r>
        <w:rPr>
          <w:rFonts w:ascii="宋体" w:hAnsi="宋体" w:cs="宋体" w:eastAsia="宋体" w:hint="default"/>
          <w:spacing w:val="-11"/>
          <w:sz w:val="21"/>
          <w:szCs w:val="21"/>
        </w:rPr>
        <w:t>元，增加比例</w:t>
      </w:r>
      <w:r>
        <w:rPr>
          <w:rFonts w:ascii="宋体" w:hAnsi="宋体" w:cs="宋体" w:eastAsia="宋体" w:hint="default"/>
          <w:spacing w:val="-53"/>
          <w:sz w:val="21"/>
          <w:szCs w:val="21"/>
        </w:rPr>
        <w:t> </w:t>
      </w:r>
      <w:r>
        <w:rPr>
          <w:rFonts w:ascii="宋体" w:hAnsi="宋体" w:cs="宋体" w:eastAsia="宋体" w:hint="default"/>
          <w:spacing w:val="-5"/>
          <w:sz w:val="21"/>
          <w:szCs w:val="21"/>
        </w:rPr>
        <w:t>39.14%，增加原因为：</w:t>
      </w:r>
      <w:r>
        <w:rPr>
          <w:rFonts w:ascii="宋体" w:hAnsi="宋体" w:cs="宋体" w:eastAsia="宋体" w:hint="default"/>
          <w:spacing w:val="-62"/>
          <w:sz w:val="21"/>
          <w:szCs w:val="21"/>
        </w:rPr>
        <w:t> </w:t>
      </w:r>
      <w:r>
        <w:rPr>
          <w:rFonts w:ascii="宋体" w:hAnsi="宋体" w:cs="宋体" w:eastAsia="宋体" w:hint="default"/>
          <w:sz w:val="21"/>
          <w:szCs w:val="21"/>
        </w:rPr>
        <w:t>供</w:t>
      </w:r>
      <w:r>
        <w:rPr>
          <w:rFonts w:ascii="宋体" w:hAnsi="宋体" w:cs="宋体" w:eastAsia="宋体" w:hint="default"/>
          <w:sz w:val="21"/>
          <w:szCs w:val="21"/>
        </w:rPr>
        <w:t> 应商要求相应增加预付账款。</w:t>
      </w:r>
    </w:p>
    <w:p>
      <w:pPr>
        <w:spacing w:before="15"/>
        <w:ind w:left="1002" w:right="3330" w:firstLine="0"/>
        <w:jc w:val="left"/>
        <w:rPr>
          <w:rFonts w:ascii="宋体" w:hAnsi="宋体" w:cs="宋体" w:eastAsia="宋体" w:hint="default"/>
          <w:sz w:val="21"/>
          <w:szCs w:val="21"/>
        </w:rPr>
      </w:pPr>
      <w:r>
        <w:rPr/>
        <w:pict>
          <v:group style="position:absolute;margin-left:483.480011pt;margin-top:31.614405pt;width:63pt;height:.1pt;mso-position-horizontal-relative:page;mso-position-vertical-relative:paragraph;z-index:-624880" coordorigin="9670,632" coordsize="1260,2">
            <v:shape style="position:absolute;left:9670;top:632;width:1260;height:2" coordorigin="9670,632" coordsize="1260,0" path="m9670,632l10930,632e" filled="false" stroked="true" strokeweight=".48001pt" strokecolor="#000000">
              <v:path arrowok="t"/>
            </v:shape>
            <w10:wrap type="none"/>
          </v:group>
        </w:pict>
      </w:r>
      <w:r>
        <w:rPr>
          <w:rFonts w:ascii="宋体" w:hAnsi="宋体" w:cs="宋体" w:eastAsia="宋体" w:hint="default"/>
          <w:b/>
          <w:bCs/>
          <w:sz w:val="21"/>
          <w:szCs w:val="21"/>
        </w:rPr>
        <w:t>（六）应收利息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8" w:footer="950" w:top="1160" w:bottom="1140" w:left="1220" w:right="580"/>
        </w:sectPr>
      </w:pPr>
    </w:p>
    <w:p>
      <w:pPr>
        <w:spacing w:line="240" w:lineRule="auto" w:before="9"/>
        <w:rPr>
          <w:rFonts w:ascii="宋体" w:hAnsi="宋体" w:cs="宋体" w:eastAsia="宋体" w:hint="default"/>
          <w:b/>
          <w:bCs/>
          <w:sz w:val="20"/>
          <w:szCs w:val="20"/>
        </w:rPr>
      </w:pPr>
    </w:p>
    <w:p>
      <w:pPr>
        <w:tabs>
          <w:tab w:pos="2747" w:val="left" w:leader="none"/>
          <w:tab w:pos="3738" w:val="left" w:leader="none"/>
          <w:tab w:pos="4885" w:val="left" w:leader="none"/>
          <w:tab w:pos="6089" w:val="left" w:leader="none"/>
          <w:tab w:pos="7205" w:val="left" w:leader="none"/>
        </w:tabs>
        <w:spacing w:before="0"/>
        <w:ind w:left="1052" w:right="-20" w:firstLine="0"/>
        <w:jc w:val="left"/>
        <w:rPr>
          <w:rFonts w:ascii="宋体" w:hAnsi="宋体" w:cs="宋体" w:eastAsia="宋体" w:hint="default"/>
          <w:sz w:val="18"/>
          <w:szCs w:val="18"/>
        </w:rPr>
      </w:pPr>
      <w:r>
        <w:rPr>
          <w:rFonts w:ascii="宋体" w:hAnsi="宋体" w:cs="宋体" w:eastAsia="宋体" w:hint="default"/>
          <w:sz w:val="18"/>
          <w:szCs w:val="18"/>
        </w:rPr>
        <w:t>项  目</w:t>
        <w:tab/>
        <w:t>年初数</w:t>
        <w:tab/>
        <w:t>本年增加</w:t>
        <w:tab/>
        <w:t>本年减少</w:t>
        <w:tab/>
        <w:t>年末数</w:t>
        <w:tab/>
        <w:t>未收回原因</w:t>
      </w:r>
    </w:p>
    <w:p>
      <w:pPr>
        <w:tabs>
          <w:tab w:pos="2742" w:val="left" w:leader="none"/>
          <w:tab w:pos="3733" w:val="left" w:leader="none"/>
          <w:tab w:pos="4880" w:val="left" w:leader="none"/>
          <w:tab w:pos="6084" w:val="left" w:leader="none"/>
          <w:tab w:pos="7200" w:val="left" w:leader="none"/>
        </w:tabs>
        <w:spacing w:line="20" w:lineRule="exact"/>
        <w:ind w:left="1048" w:right="-56" w:firstLine="0"/>
        <w:rPr>
          <w:rFonts w:ascii="宋体" w:hAnsi="宋体" w:cs="宋体" w:eastAsia="宋体" w:hint="default"/>
          <w:sz w:val="2"/>
          <w:szCs w:val="2"/>
        </w:rPr>
      </w:pP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001pt" strokecolor="#000000">
                <v:path arrowok="t"/>
              </v:shape>
            </v:group>
          </v:group>
        </w:pict>
      </w:r>
      <w:r>
        <w:rPr>
          <w:rFonts w:ascii="宋体"/>
          <w:sz w:val="2"/>
        </w:rPr>
      </w:r>
    </w:p>
    <w:p>
      <w:pPr>
        <w:spacing w:line="240" w:lineRule="auto" w:before="6"/>
        <w:rPr>
          <w:rFonts w:ascii="宋体" w:hAnsi="宋体" w:cs="宋体" w:eastAsia="宋体" w:hint="default"/>
          <w:sz w:val="19"/>
          <w:szCs w:val="19"/>
        </w:rPr>
      </w:pPr>
    </w:p>
    <w:p>
      <w:pPr>
        <w:tabs>
          <w:tab w:pos="2912" w:val="left" w:leader="none"/>
          <w:tab w:pos="3579" w:val="left" w:leader="none"/>
          <w:tab w:pos="4874" w:val="left" w:leader="none"/>
          <w:tab w:pos="5841" w:val="left" w:leader="none"/>
        </w:tabs>
        <w:spacing w:before="0"/>
        <w:ind w:left="148"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、账龄一年以内的应收利息</w:t>
        <w:tab/>
      </w:r>
      <w:r>
        <w:rPr>
          <w:rFonts w:ascii="Times New Roman" w:hAnsi="Times New Roman" w:cs="Times New Roman" w:eastAsia="Times New Roman" w:hint="default"/>
          <w:spacing w:val="-1"/>
          <w:sz w:val="21"/>
          <w:szCs w:val="21"/>
        </w:rPr>
        <w:t>---</w:t>
        <w:tab/>
      </w:r>
      <w:r>
        <w:rPr>
          <w:rFonts w:ascii="Times New Roman" w:hAnsi="Times New Roman" w:cs="Times New Roman" w:eastAsia="Times New Roman" w:hint="default"/>
          <w:spacing w:val="-1"/>
          <w:sz w:val="18"/>
          <w:szCs w:val="18"/>
        </w:rPr>
        <w:t>12,572,041.59</w:t>
        <w:tab/>
      </w:r>
      <w:r>
        <w:rPr>
          <w:rFonts w:ascii="Times New Roman" w:hAnsi="Times New Roman" w:cs="Times New Roman" w:eastAsia="Times New Roman" w:hint="default"/>
          <w:spacing w:val="-1"/>
          <w:sz w:val="21"/>
          <w:szCs w:val="21"/>
        </w:rPr>
        <w:t>---</w:t>
        <w:tab/>
      </w:r>
      <w:r>
        <w:rPr>
          <w:rFonts w:ascii="Times New Roman" w:hAnsi="Times New Roman" w:cs="Times New Roman" w:eastAsia="Times New Roman" w:hint="default"/>
          <w:spacing w:val="-1"/>
          <w:sz w:val="18"/>
          <w:szCs w:val="18"/>
        </w:rPr>
        <w:t>12,572,041.59</w:t>
      </w:r>
    </w:p>
    <w:p>
      <w:pPr>
        <w:spacing w:line="345" w:lineRule="auto" w:before="100"/>
        <w:ind w:left="238" w:right="374" w:hanging="90"/>
        <w:jc w:val="left"/>
        <w:rPr>
          <w:rFonts w:ascii="宋体" w:hAnsi="宋体" w:cs="宋体" w:eastAsia="宋体" w:hint="default"/>
          <w:sz w:val="18"/>
          <w:szCs w:val="18"/>
        </w:rPr>
      </w:pPr>
      <w:r>
        <w:rPr/>
        <w:br w:type="column"/>
      </w:r>
      <w:r>
        <w:rPr>
          <w:rFonts w:ascii="宋体" w:hAnsi="宋体" w:cs="宋体" w:eastAsia="宋体" w:hint="default"/>
          <w:sz w:val="18"/>
          <w:szCs w:val="18"/>
        </w:rPr>
        <w:t>相关款项是否发 </w:t>
      </w:r>
      <w:r>
        <w:rPr>
          <w:rFonts w:ascii="宋体" w:hAnsi="宋体" w:cs="宋体" w:eastAsia="宋体" w:hint="default"/>
          <w:sz w:val="18"/>
          <w:szCs w:val="18"/>
          <w:u w:val="single" w:color="000000"/>
        </w:rPr>
        <w:t>生减值的迹象</w:t>
      </w:r>
      <w:r>
        <w:rPr>
          <w:rFonts w:ascii="宋体" w:hAnsi="宋体" w:cs="宋体" w:eastAsia="宋体" w:hint="default"/>
          <w:sz w:val="18"/>
          <w:szCs w:val="18"/>
        </w:rPr>
      </w:r>
    </w:p>
    <w:p>
      <w:pPr>
        <w:spacing w:after="0" w:line="345" w:lineRule="auto"/>
        <w:jc w:val="left"/>
        <w:rPr>
          <w:rFonts w:ascii="宋体" w:hAnsi="宋体" w:cs="宋体" w:eastAsia="宋体" w:hint="default"/>
          <w:sz w:val="18"/>
          <w:szCs w:val="18"/>
        </w:rPr>
        <w:sectPr>
          <w:type w:val="continuous"/>
          <w:pgSz w:w="11910" w:h="16840"/>
          <w:pgMar w:top="1020" w:bottom="1520" w:left="1220" w:right="580"/>
          <w:cols w:num="2" w:equalWidth="0">
            <w:col w:w="8106" w:space="196"/>
            <w:col w:w="1808"/>
          </w:cols>
        </w:sectPr>
      </w:pPr>
    </w:p>
    <w:p>
      <w:pPr>
        <w:tabs>
          <w:tab w:pos="2927" w:val="left" w:leader="none"/>
          <w:tab w:pos="3580" w:val="left" w:leader="none"/>
          <w:tab w:pos="5155" w:val="left" w:leader="none"/>
          <w:tab w:pos="5841" w:val="left" w:leader="none"/>
          <w:tab w:pos="7115" w:val="left" w:leader="none"/>
          <w:tab w:pos="8989" w:val="left" w:leader="none"/>
        </w:tabs>
        <w:spacing w:before="84"/>
        <w:ind w:left="148" w:right="173" w:firstLine="0"/>
        <w:jc w:val="left"/>
        <w:rPr>
          <w:rFonts w:ascii="宋体" w:hAnsi="宋体" w:cs="宋体" w:eastAsia="宋体" w:hint="default"/>
          <w:sz w:val="18"/>
          <w:szCs w:val="18"/>
        </w:rPr>
      </w:pPr>
      <w:r>
        <w:rPr>
          <w:rFonts w:ascii="宋体" w:hAnsi="宋体" w:cs="宋体" w:eastAsia="宋体" w:hint="default"/>
          <w:sz w:val="18"/>
          <w:szCs w:val="18"/>
        </w:rPr>
        <w:t>其中：保证金存款利息</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12,572,041.59</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12,572,041.59</w:t>
        <w:tab/>
      </w:r>
      <w:r>
        <w:rPr>
          <w:rFonts w:ascii="宋体" w:hAnsi="宋体" w:cs="宋体" w:eastAsia="宋体" w:hint="default"/>
          <w:sz w:val="18"/>
          <w:szCs w:val="18"/>
        </w:rPr>
        <w:t>到期一次付息</w:t>
        <w:tab/>
        <w:t>否</w:t>
      </w:r>
    </w:p>
    <w:p>
      <w:pPr>
        <w:tabs>
          <w:tab w:pos="2713" w:val="left" w:leader="none"/>
          <w:tab w:pos="4008" w:val="left" w:leader="none"/>
          <w:tab w:pos="5155" w:val="left" w:leader="none"/>
          <w:tab w:pos="6269" w:val="left" w:leader="none"/>
        </w:tabs>
        <w:spacing w:before="90"/>
        <w:ind w:left="148" w:right="333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、账龄一年以上的应收利息</w:t>
        <w:tab/>
      </w:r>
      <w:r>
        <w:rPr>
          <w:rFonts w:ascii="Times New Roman" w:hAnsi="Times New Roman" w:cs="Times New Roman" w:eastAsia="Times New Roman" w:hint="default"/>
          <w:spacing w:val="-1"/>
          <w:sz w:val="21"/>
          <w:szCs w:val="21"/>
        </w:rPr>
        <w:t>---</w:t>
        <w:tab/>
      </w:r>
      <w:r>
        <w:rPr>
          <w:rFonts w:ascii="Times New Roman" w:hAnsi="Times New Roman" w:cs="Times New Roman" w:eastAsia="Times New Roman" w:hint="default"/>
          <w:sz w:val="18"/>
          <w:szCs w:val="18"/>
        </w:rPr>
        <w:t>---</w:t>
        <w:tab/>
        <w:t>---</w:t>
        <w:tab/>
        <w:t>---</w:t>
      </w:r>
    </w:p>
    <w:p>
      <w:pPr>
        <w:spacing w:line="20" w:lineRule="exact"/>
        <w:ind w:left="259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20pt;height:.5pt;mso-position-horizontal-relative:char;mso-position-vertical-relative:line" coordorigin="0,0" coordsize="4400,10">
            <v:group style="position:absolute;left:5;top:5;width:4390;height:2" coordorigin="5,5" coordsize="4390,2">
              <v:shape style="position:absolute;left:5;top:5;width:4390;height:2" coordorigin="5,5" coordsize="4390,0" path="m5,5l4394,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13" w:lineRule="exact" w:before="87"/>
        <w:ind w:left="3228" w:right="5133" w:firstLine="0"/>
        <w:jc w:val="center"/>
        <w:rPr>
          <w:rFonts w:ascii="Times New Roman" w:hAnsi="Times New Roman" w:cs="Times New Roman" w:eastAsia="Times New Roman" w:hint="default"/>
          <w:sz w:val="21"/>
          <w:szCs w:val="21"/>
        </w:rPr>
      </w:pPr>
      <w:r>
        <w:rPr>
          <w:rFonts w:ascii="Times New Roman"/>
          <w:sz w:val="21"/>
        </w:rPr>
        <w:t>12,572,041.5</w:t>
      </w:r>
    </w:p>
    <w:p>
      <w:pPr>
        <w:spacing w:after="0" w:line="213" w:lineRule="exact"/>
        <w:jc w:val="center"/>
        <w:rPr>
          <w:rFonts w:ascii="Times New Roman" w:hAnsi="Times New Roman" w:cs="Times New Roman" w:eastAsia="Times New Roman" w:hint="default"/>
          <w:sz w:val="21"/>
          <w:szCs w:val="21"/>
        </w:rPr>
        <w:sectPr>
          <w:type w:val="continuous"/>
          <w:pgSz w:w="11910" w:h="16840"/>
          <w:pgMar w:top="1020" w:bottom="1520" w:left="1220" w:right="580"/>
        </w:sectPr>
      </w:pPr>
    </w:p>
    <w:p>
      <w:pPr>
        <w:tabs>
          <w:tab w:pos="1502" w:val="left" w:leader="none"/>
          <w:tab w:pos="2927" w:val="left" w:leader="none"/>
        </w:tabs>
        <w:spacing w:line="161" w:lineRule="exact" w:before="0"/>
        <w:ind w:left="96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w:t>
      </w:r>
    </w:p>
    <w:p>
      <w:pPr>
        <w:spacing w:line="209" w:lineRule="exact" w:before="0"/>
        <w:ind w:left="0" w:right="0" w:firstLine="0"/>
        <w:jc w:val="right"/>
        <w:rPr>
          <w:rFonts w:ascii="Times New Roman" w:hAnsi="Times New Roman" w:cs="Times New Roman" w:eastAsia="Times New Roman" w:hint="default"/>
          <w:sz w:val="21"/>
          <w:szCs w:val="21"/>
        </w:rPr>
      </w:pPr>
      <w:r>
        <w:rPr>
          <w:rFonts w:ascii="Times New Roman"/>
          <w:sz w:val="21"/>
        </w:rPr>
        <w:t>9</w:t>
      </w:r>
    </w:p>
    <w:p>
      <w:pPr>
        <w:tabs>
          <w:tab w:pos="1649" w:val="left" w:leader="none"/>
        </w:tabs>
        <w:spacing w:line="194" w:lineRule="exact" w:before="0"/>
        <w:ind w:left="962" w:right="0" w:firstLine="0"/>
        <w:jc w:val="left"/>
        <w:rPr>
          <w:rFonts w:ascii="Times New Roman" w:hAnsi="Times New Roman" w:cs="Times New Roman" w:eastAsia="Times New Roman" w:hint="default"/>
          <w:sz w:val="18"/>
          <w:szCs w:val="18"/>
        </w:rPr>
      </w:pPr>
      <w:r>
        <w:rPr/>
        <w:br w:type="column"/>
      </w:r>
      <w:r>
        <w:rPr>
          <w:rFonts w:ascii="Times New Roman"/>
          <w:sz w:val="18"/>
        </w:rPr>
        <w:t>---</w:t>
        <w:tab/>
        <w:t>12,572,041.59</w:t>
      </w:r>
    </w:p>
    <w:p>
      <w:pPr>
        <w:spacing w:after="0" w:line="194" w:lineRule="exact"/>
        <w:jc w:val="left"/>
        <w:rPr>
          <w:rFonts w:ascii="Times New Roman" w:hAnsi="Times New Roman" w:cs="Times New Roman" w:eastAsia="Times New Roman" w:hint="default"/>
          <w:sz w:val="18"/>
          <w:szCs w:val="18"/>
        </w:rPr>
        <w:sectPr>
          <w:type w:val="continuous"/>
          <w:pgSz w:w="11910" w:h="16840"/>
          <w:pgMar w:top="1020" w:bottom="1520" w:left="1220" w:right="580"/>
          <w:cols w:num="2" w:equalWidth="0">
            <w:col w:w="4151" w:space="42"/>
            <w:col w:w="5917"/>
          </w:cols>
        </w:sectPr>
      </w:pPr>
    </w:p>
    <w:p>
      <w:pPr>
        <w:spacing w:line="104" w:lineRule="exact"/>
        <w:ind w:left="2576" w:right="0" w:firstLine="0"/>
        <w:rPr>
          <w:rFonts w:ascii="Times New Roman" w:hAnsi="Times New Roman" w:cs="Times New Roman" w:eastAsia="Times New Roman" w:hint="default"/>
          <w:sz w:val="10"/>
          <w:szCs w:val="10"/>
        </w:rPr>
      </w:pPr>
      <w:r>
        <w:rPr/>
        <w:pict>
          <v:group style="position:absolute;margin-left:140.759995pt;margin-top:748.380005pt;width:67.05pt;height:.1pt;mso-position-horizontal-relative:page;mso-position-vertical-relative:page;z-index:-624856" coordorigin="2815,14968" coordsize="1341,2">
            <v:shape style="position:absolute;left:2815;top:14968;width:1341;height:2" coordorigin="2815,14968" coordsize="1341,0" path="m2815,14968l4156,14968e" filled="false" stroked="true" strokeweight=".72pt" strokecolor="#000000">
              <v:path arrowok="t"/>
            </v:shape>
            <w10:wrap type="none"/>
          </v:group>
        </w:pict>
      </w:r>
      <w:r>
        <w:rPr/>
        <w:pict>
          <v:group style="position:absolute;margin-left:245.639999pt;margin-top:748.380005pt;width:59.9pt;height:.1pt;mso-position-horizontal-relative:page;mso-position-vertical-relative:page;z-index:-624832" coordorigin="4913,14968" coordsize="1198,2">
            <v:shape style="position:absolute;left:4913;top:14968;width:1198;height:2" coordorigin="4913,14968" coordsize="1198,0" path="m4913,14968l6110,14968e" filled="false" stroked="true" strokeweight=".72pt" strokecolor="#000000">
              <v:path arrowok="t"/>
            </v:shape>
            <w10:wrap type="none"/>
          </v:group>
        </w:pict>
      </w:r>
      <w:r>
        <w:rPr/>
        <w:pict>
          <v:group style="position:absolute;margin-left:348pt;margin-top:748.380005pt;width:67.4pt;height:.1pt;mso-position-horizontal-relative:page;mso-position-vertical-relative:page;z-index:-624808" coordorigin="6960,14968" coordsize="1348,2">
            <v:shape style="position:absolute;left:6960;top:14968;width:1348;height:2" coordorigin="6960,14968" coordsize="1348,0" path="m6960,14968l8308,14968e" filled="false" stroked="true" strokeweight=".72pt" strokecolor="#000000">
              <v:path arrowok="t"/>
            </v:shape>
            <w10:wrap type="none"/>
          </v:group>
        </w:pict>
      </w:r>
      <w:r>
        <w:rPr/>
        <w:pict>
          <v:group style="position:absolute;margin-left:455.579987pt;margin-top:748.380005pt;width:62.85pt;height:.1pt;mso-position-horizontal-relative:page;mso-position-vertical-relative:page;z-index:-624784" coordorigin="9112,14968" coordsize="1257,2">
            <v:shape style="position:absolute;left:9112;top:14968;width:1257;height:2" coordorigin="9112,14968" coordsize="1257,0" path="m9112,14968l10368,14968e" filled="false" stroked="true" strokeweight=".72pt" strokecolor="#000000">
              <v:path arrowok="t"/>
            </v:shape>
            <w10:wrap type="none"/>
          </v:group>
        </w:pict>
      </w:r>
      <w:r>
        <w:rPr>
          <w:rFonts w:ascii="Times New Roman" w:hAnsi="Times New Roman" w:cs="Times New Roman" w:eastAsia="Times New Roman" w:hint="default"/>
          <w:position w:val="-1"/>
          <w:sz w:val="10"/>
          <w:szCs w:val="10"/>
        </w:rPr>
        <w:pict>
          <v:group style="width:221.7pt;height:5.25pt;mso-position-horizontal-relative:char;mso-position-vertical-relative:line" coordorigin="0,0" coordsize="4434,105">
            <v:group style="position:absolute;left:15;top:89;width:839;height:2" coordorigin="15,89" coordsize="839,2">
              <v:shape style="position:absolute;left:15;top:89;width:839;height:2" coordorigin="15,89" coordsize="839,0" path="m15,89l854,89e" filled="false" stroked="true" strokeweight="1.5pt" strokecolor="#000000">
                <v:path arrowok="t"/>
              </v:shape>
            </v:group>
            <v:group style="position:absolute;left:15;top:7;width:839;height:2" coordorigin="15,7" coordsize="839,2">
              <v:shape style="position:absolute;left:15;top:7;width:839;height:2" coordorigin="15,7" coordsize="839,0" path="m15,7l854,7e" filled="false" stroked="true" strokeweight=".72pt" strokecolor="#000000">
                <v:path arrowok="t"/>
              </v:shape>
            </v:group>
            <v:group style="position:absolute;left:839;top:7;width:105;height:2" coordorigin="839,7" coordsize="105,2">
              <v:shape style="position:absolute;left:839;top:7;width:105;height:2" coordorigin="839,7" coordsize="105,0" path="m839,7l944,7e" filled="false" stroked="true" strokeweight=".72pt" strokecolor="#000000">
                <v:path arrowok="t"/>
              </v:shape>
            </v:group>
            <v:group style="position:absolute;left:839;top:89;width:1352;height:2" coordorigin="839,89" coordsize="1352,2">
              <v:shape style="position:absolute;left:839;top:89;width:1352;height:2" coordorigin="839,89" coordsize="1352,0" path="m839,89l2191,89e" filled="false" stroked="true" strokeweight="1.5pt" strokecolor="#000000">
                <v:path arrowok="t"/>
              </v:shape>
            </v:group>
            <v:group style="position:absolute;left:944;top:7;width:1247;height:2" coordorigin="944,7" coordsize="1247,2">
              <v:shape style="position:absolute;left:944;top:7;width:1247;height:2" coordorigin="944,7" coordsize="1247,0" path="m944,7l2191,7e" filled="false" stroked="true" strokeweight=".72pt" strokecolor="#000000">
                <v:path arrowok="t"/>
              </v:shape>
            </v:group>
            <v:group style="position:absolute;left:2176;top:7;width:105;height:2" coordorigin="2176,7" coordsize="105,2">
              <v:shape style="position:absolute;left:2176;top:7;width:105;height:2" coordorigin="2176,7" coordsize="105,0" path="m2176,7l2281,7e" filled="false" stroked="true" strokeweight=".72pt" strokecolor="#000000">
                <v:path arrowok="t"/>
              </v:shape>
            </v:group>
            <v:group style="position:absolute;left:2176;top:89;width:972;height:2" coordorigin="2176,89" coordsize="972,2">
              <v:shape style="position:absolute;left:2176;top:89;width:972;height:2" coordorigin="2176,89" coordsize="972,0" path="m2176,89l3148,89e" filled="false" stroked="true" strokeweight="1.5pt" strokecolor="#000000">
                <v:path arrowok="t"/>
              </v:shape>
            </v:group>
            <v:group style="position:absolute;left:2281;top:7;width:868;height:2" coordorigin="2281,7" coordsize="868,2">
              <v:shape style="position:absolute;left:2281;top:7;width:868;height:2" coordorigin="2281,7" coordsize="868,0" path="m2281,7l3148,7e" filled="false" stroked="true" strokeweight=".72pt" strokecolor="#000000">
                <v:path arrowok="t"/>
              </v:shape>
            </v:group>
            <v:group style="position:absolute;left:3134;top:7;width:105;height:2" coordorigin="3134,7" coordsize="105,2">
              <v:shape style="position:absolute;left:3134;top:7;width:105;height:2" coordorigin="3134,7" coordsize="105,0" path="m3134,7l3238,7e" filled="false" stroked="true" strokeweight=".72pt" strokecolor="#000000">
                <v:path arrowok="t"/>
              </v:shape>
            </v:group>
            <v:group style="position:absolute;left:3134;top:89;width:1286;height:2" coordorigin="3134,89" coordsize="1286,2">
              <v:shape style="position:absolute;left:3134;top:89;width:1286;height:2" coordorigin="3134,89" coordsize="1286,0" path="m3134,89l4419,89e" filled="false" stroked="true" strokeweight="1.5pt" strokecolor="#000000">
                <v:path arrowok="t"/>
              </v:shape>
            </v:group>
            <v:group style="position:absolute;left:3238;top:7;width:1181;height:2" coordorigin="3238,7" coordsize="1181,2">
              <v:shape style="position:absolute;left:3238;top:7;width:1181;height:2" coordorigin="3238,7" coordsize="1181,0" path="m3238,7l4419,7e" filled="false" stroked="true" strokeweight=".72pt" strokecolor="#000000">
                <v:path arrowok="t"/>
              </v:shape>
            </v:group>
          </v:group>
        </w:pict>
      </w:r>
      <w:r>
        <w:rPr>
          <w:rFonts w:ascii="Times New Roman" w:hAnsi="Times New Roman" w:cs="Times New Roman" w:eastAsia="Times New Roman" w:hint="default"/>
          <w:position w:val="-1"/>
          <w:sz w:val="10"/>
          <w:szCs w:val="10"/>
        </w:rPr>
      </w:r>
    </w:p>
    <w:p>
      <w:pPr>
        <w:spacing w:line="297" w:lineRule="auto" w:before="50"/>
        <w:ind w:left="580" w:right="1203" w:firstLine="420"/>
        <w:jc w:val="left"/>
        <w:rPr>
          <w:rFonts w:ascii="宋体" w:hAnsi="宋体" w:cs="宋体" w:eastAsia="宋体" w:hint="default"/>
          <w:sz w:val="21"/>
          <w:szCs w:val="21"/>
        </w:rPr>
      </w:pPr>
      <w:r>
        <w:rPr>
          <w:rFonts w:ascii="宋体" w:hAnsi="宋体" w:cs="宋体" w:eastAsia="宋体" w:hint="default"/>
          <w:sz w:val="21"/>
          <w:szCs w:val="21"/>
        </w:rPr>
        <w:t>应收利息年末数比年初数增加</w:t>
      </w:r>
      <w:r>
        <w:rPr>
          <w:rFonts w:ascii="宋体" w:hAnsi="宋体" w:cs="宋体" w:eastAsia="宋体" w:hint="default"/>
          <w:spacing w:val="-2"/>
          <w:sz w:val="21"/>
          <w:szCs w:val="21"/>
        </w:rPr>
        <w:t> </w:t>
      </w:r>
      <w:r>
        <w:rPr>
          <w:rFonts w:ascii="宋体" w:hAnsi="宋体" w:cs="宋体" w:eastAsia="宋体" w:hint="default"/>
          <w:sz w:val="21"/>
          <w:szCs w:val="21"/>
        </w:rPr>
        <w:t>12,572,041.59</w:t>
      </w:r>
      <w:r>
        <w:rPr>
          <w:rFonts w:ascii="宋体" w:hAnsi="宋体" w:cs="宋体" w:eastAsia="宋体" w:hint="default"/>
          <w:spacing w:val="-48"/>
          <w:sz w:val="21"/>
          <w:szCs w:val="21"/>
        </w:rPr>
        <w:t> </w:t>
      </w:r>
      <w:r>
        <w:rPr>
          <w:rFonts w:ascii="宋体" w:hAnsi="宋体" w:cs="宋体" w:eastAsia="宋体" w:hint="default"/>
          <w:sz w:val="21"/>
          <w:szCs w:val="21"/>
        </w:rPr>
        <w:t>元，增加比例为</w:t>
      </w:r>
      <w:r>
        <w:rPr>
          <w:rFonts w:ascii="宋体" w:hAnsi="宋体" w:cs="宋体" w:eastAsia="宋体" w:hint="default"/>
          <w:spacing w:val="-49"/>
          <w:sz w:val="21"/>
          <w:szCs w:val="21"/>
        </w:rPr>
        <w:t> </w:t>
      </w:r>
      <w:r>
        <w:rPr>
          <w:rFonts w:ascii="宋体" w:hAnsi="宋体" w:cs="宋体" w:eastAsia="宋体" w:hint="default"/>
          <w:sz w:val="21"/>
          <w:szCs w:val="21"/>
        </w:rPr>
        <w:t>100%，增加原因为：质</w:t>
      </w:r>
      <w:r>
        <w:rPr>
          <w:rFonts w:ascii="宋体" w:hAnsi="宋体" w:cs="宋体" w:eastAsia="宋体" w:hint="default"/>
          <w:sz w:val="21"/>
          <w:szCs w:val="21"/>
        </w:rPr>
        <w:t> 押借款保证金的定期存款应计的利息。</w:t>
      </w:r>
    </w:p>
    <w:p>
      <w:pPr>
        <w:spacing w:line="297" w:lineRule="auto" w:before="15"/>
        <w:ind w:left="1000" w:right="7299" w:firstLine="2"/>
        <w:jc w:val="left"/>
        <w:rPr>
          <w:rFonts w:ascii="宋体" w:hAnsi="宋体" w:cs="宋体" w:eastAsia="宋体" w:hint="default"/>
          <w:sz w:val="21"/>
          <w:szCs w:val="21"/>
        </w:rPr>
      </w:pPr>
      <w:r>
        <w:rPr>
          <w:rFonts w:ascii="宋体" w:hAnsi="宋体" w:cs="宋体" w:eastAsia="宋体" w:hint="default"/>
          <w:b/>
          <w:bCs/>
          <w:sz w:val="21"/>
          <w:szCs w:val="21"/>
        </w:rPr>
        <w:t>（七）其他应收款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1、其他应收款构成</w:t>
      </w:r>
    </w:p>
    <w:p>
      <w:pPr>
        <w:tabs>
          <w:tab w:pos="7601" w:val="left" w:leader="none"/>
        </w:tabs>
        <w:spacing w:before="49"/>
        <w:ind w:left="3412" w:right="165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4"/>
        <w:rPr>
          <w:rFonts w:ascii="宋体" w:hAnsi="宋体" w:cs="宋体" w:eastAsia="宋体" w:hint="default"/>
          <w:sz w:val="3"/>
          <w:szCs w:val="3"/>
        </w:rPr>
      </w:pPr>
    </w:p>
    <w:p>
      <w:pPr>
        <w:spacing w:line="20" w:lineRule="exact"/>
        <w:ind w:left="1597" w:right="0" w:firstLine="0"/>
        <w:rPr>
          <w:rFonts w:ascii="宋体" w:hAnsi="宋体" w:cs="宋体" w:eastAsia="宋体" w:hint="default"/>
          <w:sz w:val="2"/>
          <w:szCs w:val="2"/>
        </w:rPr>
      </w:pPr>
      <w:r>
        <w:rPr>
          <w:rFonts w:ascii="宋体" w:hAnsi="宋体" w:cs="宋体" w:eastAsia="宋体" w:hint="default"/>
          <w:sz w:val="2"/>
          <w:szCs w:val="2"/>
        </w:rPr>
        <w:pict>
          <v:group style="width:419.35pt;height:.5pt;mso-position-horizontal-relative:char;mso-position-vertical-relative:line" coordorigin="0,0" coordsize="8387,10">
            <v:group style="position:absolute;left:5;top:5;width:8378;height:2" coordorigin="5,5" coordsize="8378,2">
              <v:shape style="position:absolute;left:5;top:5;width:8378;height:2" coordorigin="5,5" coordsize="8378,0" path="m5,5l8382,5e" filled="false" stroked="true" strokeweight=".48001pt" strokecolor="#000000">
                <v:path arrowok="t"/>
              </v:shape>
            </v:group>
          </v:group>
        </w:pict>
      </w:r>
      <w:r>
        <w:rPr>
          <w:rFonts w:ascii="宋体" w:hAnsi="宋体" w:cs="宋体" w:eastAsia="宋体" w:hint="default"/>
          <w:sz w:val="2"/>
          <w:szCs w:val="2"/>
        </w:rPr>
      </w:r>
    </w:p>
    <w:tbl>
      <w:tblPr>
        <w:tblW w:w="0" w:type="auto"/>
        <w:jc w:val="left"/>
        <w:tblInd w:w="153" w:type="dxa"/>
        <w:tblLayout w:type="fixed"/>
        <w:tblCellMar>
          <w:top w:w="0" w:type="dxa"/>
          <w:left w:w="0" w:type="dxa"/>
          <w:bottom w:w="0" w:type="dxa"/>
          <w:right w:w="0" w:type="dxa"/>
        </w:tblCellMar>
        <w:tblLook w:val="01E0"/>
      </w:tblPr>
      <w:tblGrid>
        <w:gridCol w:w="1449"/>
        <w:gridCol w:w="1326"/>
        <w:gridCol w:w="772"/>
        <w:gridCol w:w="1183"/>
        <w:gridCol w:w="864"/>
        <w:gridCol w:w="1333"/>
        <w:gridCol w:w="818"/>
        <w:gridCol w:w="1242"/>
        <w:gridCol w:w="773"/>
      </w:tblGrid>
      <w:tr>
        <w:trPr>
          <w:trHeight w:val="706"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345" w:lineRule="auto" w:before="50"/>
              <w:ind w:left="212" w:right="107"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345" w:lineRule="auto" w:before="50"/>
              <w:ind w:left="169" w:right="1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备比例</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345" w:lineRule="auto" w:before="50"/>
              <w:ind w:left="236" w:right="131"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773" w:type="dxa"/>
            <w:tcBorders>
              <w:top w:val="nil" w:sz="6" w:space="0" w:color="auto"/>
              <w:left w:val="nil" w:sz="6" w:space="0" w:color="auto"/>
              <w:bottom w:val="nil" w:sz="6" w:space="0" w:color="auto"/>
              <w:right w:val="nil" w:sz="6" w:space="0" w:color="auto"/>
            </w:tcBorders>
          </w:tcPr>
          <w:p>
            <w:pPr>
              <w:pStyle w:val="TableParagraph"/>
              <w:spacing w:line="345" w:lineRule="auto" w:before="50"/>
              <w:ind w:left="156" w:right="7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备比例</w:t>
            </w:r>
            <w:r>
              <w:rPr>
                <w:rFonts w:ascii="宋体" w:hAnsi="宋体" w:cs="宋体" w:eastAsia="宋体" w:hint="default"/>
                <w:sz w:val="18"/>
                <w:szCs w:val="18"/>
              </w:rPr>
            </w:r>
          </w:p>
        </w:tc>
      </w:tr>
      <w:tr>
        <w:trPr>
          <w:trHeight w:val="34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5,509,355.22</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79.55%</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275,330.18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z w:val="18"/>
              </w:rPr>
              <w:t>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2,524,496.87</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z w:val="18"/>
              </w:rPr>
              <w:t>66.64%</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z w:val="18"/>
              </w:rPr>
              <w:t>26,618.02</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r>
      <w:tr>
        <w:trPr>
          <w:trHeight w:val="332"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201,574.51</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5"/>
                <w:sz w:val="18"/>
              </w:rPr>
              <w:t>2.91%</w:t>
            </w:r>
            <w:r>
              <w:rPr>
                <w:rFonts w:ascii="Times New Roman"/>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40,314.90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1,264,028.13</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33.36%</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49,269.16</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3.90%</w:t>
            </w:r>
            <w:r>
              <w:rPr>
                <w:rFonts w:ascii="Times New Roman"/>
                <w:sz w:val="18"/>
              </w:rPr>
            </w:r>
          </w:p>
        </w:tc>
      </w:tr>
      <w:tr>
        <w:trPr>
          <w:trHeight w:val="350"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pacing w:val="-1"/>
                <w:sz w:val="18"/>
              </w:rPr>
              <w:t>1,215,078.97</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z w:val="18"/>
              </w:rPr>
              <w:t>17.54%</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z w:val="18"/>
              </w:rPr>
              <w:t>144,901.99</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Times New Roman" w:hAnsi="Times New Roman" w:cs="Times New Roman" w:eastAsia="Times New Roman" w:hint="default"/>
                <w:sz w:val="21"/>
                <w:szCs w:val="21"/>
              </w:rPr>
            </w:pPr>
            <w:r>
              <w:rPr>
                <w:rFonts w:ascii="Times New Roman"/>
                <w:spacing w:val="-1"/>
                <w:sz w:val="21"/>
              </w:rPr>
              <w:t>11.93%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w:t>
            </w:r>
          </w:p>
        </w:tc>
      </w:tr>
      <w:tr>
        <w:trPr>
          <w:trHeight w:val="299"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z w:val="18"/>
              </w:rPr>
              <w:t>---</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center"/>
              <w:rPr>
                <w:rFonts w:ascii="宋体" w:hAnsi="宋体" w:cs="宋体" w:eastAsia="宋体" w:hint="default"/>
                <w:sz w:val="18"/>
                <w:szCs w:val="18"/>
              </w:rPr>
            </w:pPr>
            <w:r>
              <w:rPr>
                <w:rFonts w:ascii="宋体" w:hAnsi="宋体" w:cs="宋体" w:eastAsia="宋体" w:hint="default"/>
                <w:sz w:val="18"/>
                <w:szCs w:val="18"/>
              </w:rPr>
              <w:t>合  计</w:t>
            </w: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6,926,008.70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460,547.07</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w w:val="95"/>
                <w:sz w:val="18"/>
              </w:rPr>
              <w:t>6.65%</w:t>
            </w:r>
            <w:r>
              <w:rPr>
                <w:rFonts w:ascii="Times New Roman"/>
                <w:sz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3,788,525.00</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75,887.18</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20" w:bottom="1520" w:left="1220" w:right="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tabs>
          <w:tab w:pos="8147" w:val="left" w:leader="none"/>
        </w:tabs>
        <w:spacing w:before="44"/>
        <w:ind w:left="4246" w:right="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4"/>
        <w:rPr>
          <w:rFonts w:ascii="宋体" w:hAnsi="宋体" w:cs="宋体" w:eastAsia="宋体" w:hint="default"/>
          <w:sz w:val="3"/>
          <w:szCs w:val="3"/>
        </w:rPr>
      </w:pPr>
    </w:p>
    <w:p>
      <w:pPr>
        <w:spacing w:line="20" w:lineRule="exact"/>
        <w:ind w:left="2542" w:right="0" w:firstLine="0"/>
        <w:rPr>
          <w:rFonts w:ascii="宋体" w:hAnsi="宋体" w:cs="宋体" w:eastAsia="宋体" w:hint="default"/>
          <w:sz w:val="2"/>
          <w:szCs w:val="2"/>
        </w:rPr>
      </w:pPr>
      <w:r>
        <w:rPr>
          <w:rFonts w:ascii="宋体" w:hAnsi="宋体" w:cs="宋体" w:eastAsia="宋体" w:hint="default"/>
          <w:sz w:val="2"/>
          <w:szCs w:val="2"/>
        </w:rPr>
        <w:pict>
          <v:group style="width:390.7pt;height:.5pt;mso-position-horizontal-relative:char;mso-position-vertical-relative:line" coordorigin="0,0" coordsize="7814,10">
            <v:group style="position:absolute;left:5;top:5;width:7804;height:2" coordorigin="5,5" coordsize="7804,2">
              <v:shape style="position:absolute;left:5;top:5;width:7804;height:2" coordorigin="5,5" coordsize="7804,0" path="m5,5l7808,5e" filled="false" stroked="true" strokeweight=".48004pt" strokecolor="#000000">
                <v:path arrowok="t"/>
              </v:shape>
            </v:group>
          </v:group>
        </w:pict>
      </w:r>
      <w:r>
        <w:rPr>
          <w:rFonts w:ascii="宋体" w:hAnsi="宋体" w:cs="宋体" w:eastAsia="宋体" w:hint="default"/>
          <w:sz w:val="2"/>
          <w:szCs w:val="2"/>
        </w:rPr>
      </w:r>
    </w:p>
    <w:p>
      <w:pPr>
        <w:spacing w:line="220" w:lineRule="exact" w:before="51"/>
        <w:ind w:left="0" w:right="294" w:firstLine="0"/>
        <w:jc w:val="right"/>
        <w:rPr>
          <w:rFonts w:ascii="宋体" w:hAnsi="宋体" w:cs="宋体" w:eastAsia="宋体" w:hint="default"/>
          <w:sz w:val="18"/>
          <w:szCs w:val="18"/>
        </w:rPr>
      </w:pPr>
      <w:r>
        <w:rPr>
          <w:rFonts w:ascii="宋体" w:hAnsi="宋体" w:cs="宋体" w:eastAsia="宋体" w:hint="default"/>
          <w:sz w:val="18"/>
          <w:szCs w:val="18"/>
        </w:rPr>
        <w:t>坏账</w:t>
      </w:r>
    </w:p>
    <w:p>
      <w:pPr>
        <w:spacing w:after="0" w:line="220" w:lineRule="exact"/>
        <w:jc w:val="right"/>
        <w:rPr>
          <w:rFonts w:ascii="宋体" w:hAnsi="宋体" w:cs="宋体" w:eastAsia="宋体" w:hint="default"/>
          <w:sz w:val="18"/>
          <w:szCs w:val="18"/>
        </w:rPr>
        <w:sectPr>
          <w:pgSz w:w="11910" w:h="16840"/>
          <w:pgMar w:header="918" w:footer="950" w:top="1160" w:bottom="1140" w:left="860" w:right="580"/>
        </w:sectPr>
      </w:pPr>
    </w:p>
    <w:p>
      <w:pPr>
        <w:tabs>
          <w:tab w:pos="1578" w:val="left" w:leader="none"/>
        </w:tabs>
        <w:spacing w:line="180" w:lineRule="exact" w:before="0"/>
        <w:ind w:left="328" w:right="-7" w:firstLine="71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45" w:lineRule="auto" w:before="149"/>
        <w:ind w:left="328" w:right="-7" w:firstLine="0"/>
        <w:jc w:val="left"/>
        <w:rPr>
          <w:rFonts w:ascii="宋体" w:hAnsi="宋体" w:cs="宋体" w:eastAsia="宋体" w:hint="default"/>
          <w:sz w:val="18"/>
          <w:szCs w:val="18"/>
        </w:rPr>
      </w:pPr>
      <w:r>
        <w:rPr>
          <w:rFonts w:ascii="宋体" w:hAnsi="宋体" w:cs="宋体" w:eastAsia="宋体" w:hint="default"/>
          <w:spacing w:val="6"/>
          <w:sz w:val="18"/>
          <w:szCs w:val="18"/>
        </w:rPr>
        <w:t>1、单项金额重大且单独计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提减值准备</w:t>
      </w:r>
      <w:r>
        <w:rPr>
          <w:rFonts w:ascii="宋体" w:hAnsi="宋体" w:cs="宋体" w:eastAsia="宋体" w:hint="default"/>
          <w:sz w:val="18"/>
          <w:szCs w:val="18"/>
        </w:rPr>
        <w:t> </w:t>
      </w:r>
      <w:r>
        <w:rPr>
          <w:rFonts w:ascii="宋体" w:hAnsi="宋体" w:cs="宋体" w:eastAsia="宋体" w:hint="default"/>
          <w:spacing w:val="6"/>
          <w:sz w:val="18"/>
          <w:szCs w:val="18"/>
        </w:rPr>
        <w:t>2、单项金额非重大且单独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计提减值准备</w:t>
      </w:r>
      <w:r>
        <w:rPr>
          <w:rFonts w:ascii="宋体" w:hAnsi="宋体" w:cs="宋体" w:eastAsia="宋体" w:hint="default"/>
          <w:sz w:val="18"/>
          <w:szCs w:val="18"/>
        </w:rPr>
        <w:t> </w:t>
      </w:r>
      <w:r>
        <w:rPr>
          <w:rFonts w:ascii="宋体" w:hAnsi="宋体" w:cs="宋体" w:eastAsia="宋体" w:hint="default"/>
          <w:spacing w:val="6"/>
          <w:sz w:val="18"/>
          <w:szCs w:val="18"/>
        </w:rPr>
        <w:t>3、其他划分为类似信用风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险特征的组合：</w:t>
      </w:r>
      <w:r>
        <w:rPr>
          <w:rFonts w:ascii="宋体" w:hAnsi="宋体" w:cs="宋体" w:eastAsia="宋体" w:hint="default"/>
          <w:sz w:val="18"/>
          <w:szCs w:val="18"/>
        </w:rPr>
        <w:t> 其中：单项金额重大</w:t>
      </w:r>
    </w:p>
    <w:p>
      <w:pPr>
        <w:spacing w:line="348" w:lineRule="auto" w:before="25"/>
        <w:ind w:left="868" w:right="2" w:firstLine="0"/>
        <w:jc w:val="left"/>
        <w:rPr>
          <w:rFonts w:ascii="宋体" w:hAnsi="宋体" w:cs="宋体" w:eastAsia="宋体" w:hint="default"/>
          <w:sz w:val="18"/>
          <w:szCs w:val="18"/>
        </w:rPr>
      </w:pPr>
      <w:r>
        <w:rPr>
          <w:rFonts w:ascii="宋体" w:hAnsi="宋体" w:cs="宋体" w:eastAsia="宋体" w:hint="default"/>
          <w:sz w:val="18"/>
          <w:szCs w:val="18"/>
        </w:rPr>
        <w:t>单项金额非重大 </w:t>
      </w:r>
      <w:r>
        <w:rPr>
          <w:rFonts w:ascii="宋体" w:hAnsi="宋体" w:cs="宋体" w:eastAsia="宋体" w:hint="default"/>
          <w:spacing w:val="-3"/>
          <w:sz w:val="18"/>
          <w:szCs w:val="18"/>
        </w:rPr>
        <w:t>其中：单项金额非重</w:t>
      </w:r>
    </w:p>
    <w:p>
      <w:pPr>
        <w:spacing w:line="345" w:lineRule="auto" w:before="23"/>
        <w:ind w:left="328" w:right="-10" w:firstLine="0"/>
        <w:jc w:val="left"/>
        <w:rPr>
          <w:rFonts w:ascii="宋体" w:hAnsi="宋体" w:cs="宋体" w:eastAsia="宋体" w:hint="default"/>
          <w:sz w:val="18"/>
          <w:szCs w:val="18"/>
        </w:rPr>
      </w:pPr>
      <w:r>
        <w:rPr>
          <w:rFonts w:ascii="宋体" w:hAnsi="宋体" w:cs="宋体" w:eastAsia="宋体" w:hint="default"/>
          <w:spacing w:val="15"/>
          <w:sz w:val="18"/>
          <w:szCs w:val="18"/>
        </w:rPr>
        <w:t>大但按信用风险特征组合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后该组合的风险较大</w:t>
      </w:r>
    </w:p>
    <w:p>
      <w:pPr>
        <w:tabs>
          <w:tab w:pos="1566" w:val="left" w:leader="none"/>
        </w:tabs>
        <w:spacing w:before="26"/>
        <w:ind w:left="1026" w:right="-7"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before="119"/>
        <w:ind w:left="3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5" w:lineRule="exact" w:before="0"/>
        <w:ind w:left="418"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41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before="119"/>
        <w:ind w:left="26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185" w:lineRule="exact" w:before="0"/>
        <w:ind w:left="26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p>
    <w:p>
      <w:pPr>
        <w:spacing w:before="104"/>
        <w:ind w:left="265"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before="119"/>
        <w:ind w:left="32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5" w:lineRule="exact" w:before="0"/>
        <w:ind w:left="418"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41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310"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4pt" strokecolor="#000000">
                <v:path arrowok="t"/>
              </v:shape>
            </v:group>
          </v:group>
        </w:pict>
      </w:r>
      <w:r>
        <w:rPr>
          <w:rFonts w:ascii="宋体" w:hAnsi="宋体" w:cs="宋体" w:eastAsia="宋体" w:hint="default"/>
          <w:sz w:val="2"/>
          <w:szCs w:val="2"/>
        </w:rPr>
      </w:r>
    </w:p>
    <w:p>
      <w:pPr>
        <w:tabs>
          <w:tab w:pos="1314" w:val="left" w:leader="none"/>
        </w:tabs>
        <w:spacing w:line="345" w:lineRule="auto" w:before="99"/>
        <w:ind w:left="1314" w:right="294" w:hanging="1062"/>
        <w:jc w:val="right"/>
        <w:rPr>
          <w:rFonts w:ascii="宋体" w:hAnsi="宋体" w:cs="宋体" w:eastAsia="宋体" w:hint="default"/>
          <w:sz w:val="18"/>
          <w:szCs w:val="18"/>
        </w:rPr>
      </w:pPr>
      <w:r>
        <w:rPr/>
        <w:pict>
          <v:shape style="position:absolute;margin-left:174.350296pt;margin-top:45.267673pt;width:382.85pt;height:197.2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3"/>
                    <w:gridCol w:w="756"/>
                    <w:gridCol w:w="1116"/>
                    <w:gridCol w:w="756"/>
                    <w:gridCol w:w="1328"/>
                    <w:gridCol w:w="788"/>
                    <w:gridCol w:w="1061"/>
                    <w:gridCol w:w="628"/>
                  </w:tblGrid>
                  <w:tr>
                    <w:trPr>
                      <w:trHeight w:val="53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580,000.00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8.37%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7"/>
                          <w:jc w:val="right"/>
                          <w:rPr>
                            <w:rFonts w:ascii="宋体" w:hAnsi="宋体" w:cs="宋体" w:eastAsia="宋体" w:hint="default"/>
                            <w:sz w:val="18"/>
                            <w:szCs w:val="18"/>
                          </w:rPr>
                        </w:pPr>
                        <w:r>
                          <w:rPr>
                            <w:rFonts w:ascii="宋体"/>
                            <w:sz w:val="18"/>
                          </w:rPr>
                          <w:t>2,917,411.43</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77.01%</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1"/>
                          <w:jc w:val="right"/>
                          <w:rPr>
                            <w:rFonts w:ascii="宋体" w:hAnsi="宋体" w:cs="宋体" w:eastAsia="宋体" w:hint="default"/>
                            <w:sz w:val="18"/>
                            <w:szCs w:val="18"/>
                          </w:rPr>
                        </w:pPr>
                        <w:r>
                          <w:rPr>
                            <w:rFonts w:ascii="宋体"/>
                            <w:sz w:val="18"/>
                          </w:rPr>
                          <w:t>---</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68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345,275.00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4.99%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595"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6,000,733.70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86.64%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460,547.07</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7.67%</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871,113.57</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22.99%</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75,887.18</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8.71%</w:t>
                        </w:r>
                      </w:p>
                    </w:tc>
                  </w:tr>
                  <w:tr>
                    <w:trPr>
                      <w:trHeight w:val="425"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4,353,328.18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62.85%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217,666.41</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7"/>
                          <w:jc w:val="right"/>
                          <w:rPr>
                            <w:rFonts w:ascii="宋体" w:hAnsi="宋体" w:cs="宋体" w:eastAsia="宋体" w:hint="default"/>
                            <w:sz w:val="18"/>
                            <w:szCs w:val="18"/>
                          </w:rPr>
                        </w:pPr>
                        <w:r>
                          <w:rPr>
                            <w:rFonts w:ascii="宋体"/>
                            <w:sz w:val="18"/>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1"/>
                          <w:jc w:val="right"/>
                          <w:rPr>
                            <w:rFonts w:ascii="宋体" w:hAnsi="宋体" w:cs="宋体" w:eastAsia="宋体" w:hint="default"/>
                            <w:sz w:val="18"/>
                            <w:szCs w:val="18"/>
                          </w:rPr>
                        </w:pPr>
                        <w:r>
                          <w:rPr>
                            <w:rFonts w:ascii="宋体"/>
                            <w:sz w:val="18"/>
                          </w:rPr>
                          <w:t>---</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w:t>
                        </w:r>
                      </w:p>
                    </w:tc>
                  </w:tr>
                  <w:tr>
                    <w:trPr>
                      <w:trHeight w:val="51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1,647,405.52</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23.79%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8"/>
                            <w:szCs w:val="18"/>
                          </w:rPr>
                        </w:pPr>
                        <w:r>
                          <w:rPr>
                            <w:rFonts w:ascii="宋体"/>
                            <w:sz w:val="18"/>
                          </w:rPr>
                          <w:t>242,880.66</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14.74%</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7"/>
                          <w:jc w:val="right"/>
                          <w:rPr>
                            <w:rFonts w:ascii="宋体" w:hAnsi="宋体" w:cs="宋体" w:eastAsia="宋体" w:hint="default"/>
                            <w:sz w:val="18"/>
                            <w:szCs w:val="18"/>
                          </w:rPr>
                        </w:pPr>
                        <w:r>
                          <w:rPr>
                            <w:rFonts w:ascii="宋体"/>
                            <w:sz w:val="18"/>
                          </w:rPr>
                          <w:t>871,113.57</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22.99%</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1"/>
                          <w:jc w:val="right"/>
                          <w:rPr>
                            <w:rFonts w:ascii="宋体" w:hAnsi="宋体" w:cs="宋体" w:eastAsia="宋体" w:hint="default"/>
                            <w:sz w:val="18"/>
                            <w:szCs w:val="18"/>
                          </w:rPr>
                        </w:pPr>
                        <w:r>
                          <w:rPr>
                            <w:rFonts w:ascii="宋体"/>
                            <w:sz w:val="18"/>
                          </w:rPr>
                          <w:t>75,887.18</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z w:val="18"/>
                          </w:rPr>
                          <w:t>8.71%</w:t>
                        </w:r>
                      </w:p>
                    </w:tc>
                  </w:tr>
                  <w:tr>
                    <w:trPr>
                      <w:trHeight w:val="680"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524" w:hRule="exact"/>
                    </w:trPr>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6,926,008.70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z w:val="18"/>
                          </w:rPr>
                          <w:t>460,547.07</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6.65%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z w:val="18"/>
                          </w:rPr>
                          <w:t>3,788,525.00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100%</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1"/>
                          <w:jc w:val="right"/>
                          <w:rPr>
                            <w:rFonts w:ascii="宋体" w:hAnsi="宋体" w:cs="宋体" w:eastAsia="宋体" w:hint="default"/>
                            <w:sz w:val="18"/>
                            <w:szCs w:val="18"/>
                          </w:rPr>
                        </w:pPr>
                        <w:r>
                          <w:rPr>
                            <w:rFonts w:ascii="宋体"/>
                            <w:sz w:val="18"/>
                          </w:rPr>
                          <w:t>75,887.18</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2.00%</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after="0" w:line="345" w:lineRule="auto"/>
        <w:jc w:val="right"/>
        <w:rPr>
          <w:rFonts w:ascii="宋体" w:hAnsi="宋体" w:cs="宋体" w:eastAsia="宋体" w:hint="default"/>
          <w:sz w:val="18"/>
          <w:szCs w:val="18"/>
        </w:rPr>
        <w:sectPr>
          <w:type w:val="continuous"/>
          <w:pgSz w:w="11910" w:h="16840"/>
          <w:pgMar w:top="1020" w:bottom="1520" w:left="860" w:right="580"/>
          <w:cols w:num="8" w:equalWidth="0">
            <w:col w:w="2484" w:space="40"/>
            <w:col w:w="1039" w:space="67"/>
            <w:col w:w="869" w:space="40"/>
            <w:col w:w="987" w:space="40"/>
            <w:col w:w="806" w:space="67"/>
            <w:col w:w="1049" w:space="99"/>
            <w:col w:w="869" w:space="40"/>
            <w:col w:w="1974"/>
          </w:cols>
        </w:sectPr>
      </w:pPr>
    </w:p>
    <w:p>
      <w:pPr>
        <w:spacing w:before="69"/>
        <w:ind w:left="1360" w:right="0" w:firstLine="0"/>
        <w:jc w:val="left"/>
        <w:rPr>
          <w:rFonts w:ascii="宋体" w:hAnsi="宋体" w:cs="宋体" w:eastAsia="宋体" w:hint="default"/>
          <w:sz w:val="21"/>
          <w:szCs w:val="21"/>
        </w:rPr>
      </w:pPr>
      <w:r>
        <w:rPr/>
        <w:pict>
          <v:group style="position:absolute;margin-left:294.239990pt;margin-top:36.353992pt;width:119.4pt;height:.1pt;mso-position-horizontal-relative:page;mso-position-vertical-relative:paragraph;z-index:-624688" coordorigin="5885,727" coordsize="2388,2">
            <v:shape style="position:absolute;left:5885;top:727;width:2388;height:2" coordorigin="5885,727" coordsize="2388,0" path="m5885,727l8273,727e" filled="false" stroked="true" strokeweight=".47998pt" strokecolor="#000000">
              <v:path arrowok="t"/>
            </v:shape>
            <w10:wrap type="none"/>
          </v:group>
        </w:pict>
      </w:r>
      <w:r>
        <w:rPr>
          <w:rFonts w:ascii="宋体" w:hAnsi="宋体" w:cs="宋体" w:eastAsia="宋体" w:hint="default"/>
          <w:sz w:val="21"/>
          <w:szCs w:val="21"/>
        </w:rPr>
        <w:t>2、其他应收款坏账准备的变动如下：</w:t>
      </w:r>
    </w:p>
    <w:p>
      <w:pPr>
        <w:spacing w:line="240" w:lineRule="auto" w:before="3"/>
        <w:rPr>
          <w:rFonts w:ascii="宋体" w:hAnsi="宋体" w:cs="宋体" w:eastAsia="宋体" w:hint="default"/>
          <w:sz w:val="4"/>
          <w:szCs w:val="4"/>
        </w:rPr>
      </w:pPr>
    </w:p>
    <w:tbl>
      <w:tblPr>
        <w:tblW w:w="0" w:type="auto"/>
        <w:jc w:val="left"/>
        <w:tblInd w:w="1100" w:type="dxa"/>
        <w:tblLayout w:type="fixed"/>
        <w:tblCellMar>
          <w:top w:w="0" w:type="dxa"/>
          <w:left w:w="0" w:type="dxa"/>
          <w:bottom w:w="0" w:type="dxa"/>
          <w:right w:w="0" w:type="dxa"/>
        </w:tblCellMar>
        <w:tblLook w:val="01E0"/>
      </w:tblPr>
      <w:tblGrid>
        <w:gridCol w:w="1014"/>
        <w:gridCol w:w="1371"/>
        <w:gridCol w:w="1700"/>
        <w:gridCol w:w="1243"/>
        <w:gridCol w:w="1335"/>
        <w:gridCol w:w="1383"/>
      </w:tblGrid>
      <w:tr>
        <w:trPr>
          <w:trHeight w:val="703" w:hRule="exact"/>
        </w:trPr>
        <w:tc>
          <w:tcPr>
            <w:tcW w:w="1014" w:type="dxa"/>
            <w:tcBorders>
              <w:top w:val="nil" w:sz="6" w:space="0" w:color="auto"/>
              <w:left w:val="nil" w:sz="6" w:space="0" w:color="auto"/>
              <w:bottom w:val="nil" w:sz="6" w:space="0" w:color="auto"/>
              <w:right w:val="nil" w:sz="6" w:space="0" w:color="auto"/>
            </w:tcBorders>
          </w:tcPr>
          <w:p>
            <w:pPr/>
          </w:p>
        </w:tc>
        <w:tc>
          <w:tcPr>
            <w:tcW w:w="3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1829" w:val="left" w:leader="none"/>
              </w:tabs>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2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right="495"/>
              <w:jc w:val="center"/>
              <w:rPr>
                <w:rFonts w:ascii="宋体" w:hAnsi="宋体" w:cs="宋体" w:eastAsia="宋体" w:hint="default"/>
                <w:sz w:val="18"/>
                <w:szCs w:val="18"/>
              </w:rPr>
            </w:pPr>
            <w:r>
              <w:rPr>
                <w:rFonts w:ascii="宋体" w:hAnsi="宋体" w:cs="宋体" w:eastAsia="宋体" w:hint="default"/>
                <w:sz w:val="18"/>
                <w:szCs w:val="18"/>
              </w:rPr>
              <w:t>本年减少额</w:t>
            </w:r>
          </w:p>
          <w:p>
            <w:pPr>
              <w:pStyle w:val="TableParagraph"/>
              <w:tabs>
                <w:tab w:pos="1193" w:val="left" w:leader="none"/>
              </w:tabs>
              <w:spacing w:line="240" w:lineRule="auto" w:before="115"/>
              <w:ind w:right="56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55"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4"/>
              <w:jc w:val="right"/>
              <w:rPr>
                <w:rFonts w:ascii="Times New Roman" w:hAnsi="Times New Roman" w:cs="Times New Roman" w:eastAsia="Times New Roman" w:hint="default"/>
                <w:sz w:val="18"/>
                <w:szCs w:val="18"/>
              </w:rPr>
            </w:pPr>
            <w:r>
              <w:rPr>
                <w:rFonts w:ascii="Times New Roman"/>
                <w:sz w:val="18"/>
              </w:rPr>
              <w:t>69,851.01</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2"/>
              <w:jc w:val="right"/>
              <w:rPr>
                <w:rFonts w:ascii="Times New Roman" w:hAnsi="Times New Roman" w:cs="Times New Roman" w:eastAsia="Times New Roman" w:hint="default"/>
                <w:sz w:val="21"/>
                <w:szCs w:val="21"/>
              </w:rPr>
            </w:pPr>
            <w:r>
              <w:rPr>
                <w:rFonts w:ascii="Times New Roman"/>
                <w:spacing w:val="-1"/>
                <w:sz w:val="21"/>
              </w:rPr>
              <w:t>6,036.17</w:t>
            </w:r>
            <w:r>
              <w:rPr>
                <w:rFonts w:ascii="Times New Roman"/>
                <w:sz w:val="21"/>
              </w:rPr>
            </w:r>
          </w:p>
        </w:tc>
        <w:tc>
          <w:tcPr>
            <w:tcW w:w="2578" w:type="dxa"/>
            <w:gridSpan w:val="2"/>
            <w:tcBorders>
              <w:top w:val="nil" w:sz="6" w:space="0" w:color="auto"/>
              <w:left w:val="nil" w:sz="6" w:space="0" w:color="auto"/>
              <w:bottom w:val="nil" w:sz="6" w:space="0" w:color="auto"/>
              <w:right w:val="nil" w:sz="6" w:space="0" w:color="auto"/>
            </w:tcBorders>
          </w:tcPr>
          <w:p>
            <w:pPr>
              <w:pStyle w:val="TableParagraph"/>
              <w:tabs>
                <w:tab w:pos="1514" w:val="left" w:leader="none"/>
              </w:tabs>
              <w:spacing w:line="240" w:lineRule="auto" w:before="73"/>
              <w:ind w:left="320" w:right="0"/>
              <w:jc w:val="left"/>
              <w:rPr>
                <w:rFonts w:ascii="Times New Roman" w:hAnsi="Times New Roman" w:cs="Times New Roman" w:eastAsia="Times New Roman" w:hint="default"/>
                <w:sz w:val="18"/>
                <w:szCs w:val="18"/>
              </w:rPr>
            </w:pPr>
            <w:r>
              <w:rPr>
                <w:rFonts w:ascii="Times New Roman"/>
                <w:sz w:val="18"/>
              </w:rPr>
              <w:t>---</w:t>
              <w:tab/>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75,887.18</w:t>
            </w:r>
          </w:p>
        </w:tc>
      </w:tr>
      <w:tr>
        <w:trPr>
          <w:trHeight w:val="262"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4"/>
              <w:jc w:val="right"/>
              <w:rPr>
                <w:rFonts w:ascii="Times New Roman" w:hAnsi="Times New Roman" w:cs="Times New Roman" w:eastAsia="Times New Roman" w:hint="default"/>
                <w:sz w:val="18"/>
                <w:szCs w:val="18"/>
              </w:rPr>
            </w:pPr>
            <w:r>
              <w:rPr>
                <w:rFonts w:ascii="Times New Roman"/>
                <w:sz w:val="18"/>
              </w:rPr>
              <w:t>75,887.18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9"/>
              <w:jc w:val="right"/>
              <w:rPr>
                <w:rFonts w:ascii="Times New Roman" w:hAnsi="Times New Roman" w:cs="Times New Roman" w:eastAsia="Times New Roman" w:hint="default"/>
                <w:sz w:val="18"/>
                <w:szCs w:val="18"/>
              </w:rPr>
            </w:pPr>
            <w:r>
              <w:rPr>
                <w:rFonts w:ascii="Times New Roman"/>
                <w:sz w:val="18"/>
              </w:rPr>
              <w:t>384,659.89</w:t>
            </w:r>
          </w:p>
        </w:tc>
        <w:tc>
          <w:tcPr>
            <w:tcW w:w="2578" w:type="dxa"/>
            <w:gridSpan w:val="2"/>
            <w:tcBorders>
              <w:top w:val="nil" w:sz="6" w:space="0" w:color="auto"/>
              <w:left w:val="nil" w:sz="6" w:space="0" w:color="auto"/>
              <w:bottom w:val="nil" w:sz="6" w:space="0" w:color="auto"/>
              <w:right w:val="nil" w:sz="6" w:space="0" w:color="auto"/>
            </w:tcBorders>
          </w:tcPr>
          <w:p>
            <w:pPr>
              <w:pStyle w:val="TableParagraph"/>
              <w:tabs>
                <w:tab w:pos="1513" w:val="left" w:leader="none"/>
              </w:tabs>
              <w:spacing w:line="240" w:lineRule="auto" w:before="59"/>
              <w:ind w:left="319" w:right="0"/>
              <w:jc w:val="left"/>
              <w:rPr>
                <w:rFonts w:ascii="Times New Roman" w:hAnsi="Times New Roman" w:cs="Times New Roman" w:eastAsia="Times New Roman" w:hint="default"/>
                <w:sz w:val="18"/>
                <w:szCs w:val="18"/>
              </w:rPr>
            </w:pPr>
            <w:r>
              <w:rPr>
                <w:rFonts w:ascii="Times New Roman"/>
                <w:sz w:val="18"/>
              </w:rPr>
              <w:t>---</w:t>
              <w:tab/>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z w:val="18"/>
              </w:rPr>
              <w:t>460,547.07</w:t>
            </w:r>
          </w:p>
        </w:tc>
      </w:tr>
      <w:tr>
        <w:trPr>
          <w:trHeight w:val="412" w:hRule="exact"/>
        </w:trPr>
        <w:tc>
          <w:tcPr>
            <w:tcW w:w="804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9"/>
              <w:ind w:left="259" w:right="0"/>
              <w:jc w:val="left"/>
              <w:rPr>
                <w:rFonts w:ascii="宋体" w:hAnsi="宋体" w:cs="宋体" w:eastAsia="宋体" w:hint="default"/>
                <w:sz w:val="21"/>
                <w:szCs w:val="21"/>
              </w:rPr>
            </w:pPr>
            <w:r>
              <w:rPr>
                <w:rFonts w:ascii="宋体" w:hAnsi="宋体" w:cs="宋体" w:eastAsia="宋体" w:hint="default"/>
                <w:sz w:val="21"/>
                <w:szCs w:val="21"/>
              </w:rPr>
              <w:t>3、年末单项金额重大或虽不重大但单独计提减值准备的其他应收款。</w:t>
            </w:r>
          </w:p>
        </w:tc>
      </w:tr>
      <w:tr>
        <w:trPr>
          <w:trHeight w:val="338" w:hRule="exact"/>
        </w:trPr>
        <w:tc>
          <w:tcPr>
            <w:tcW w:w="2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其他应收款内容</w:t>
            </w:r>
            <w:r>
              <w:rPr>
                <w:rFonts w:ascii="宋体" w:hAnsi="宋体" w:cs="宋体" w:eastAsia="宋体" w:hint="default"/>
                <w:sz w:val="18"/>
                <w:szCs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坏账准备金额</w:t>
            </w:r>
            <w:r>
              <w:rPr>
                <w:rFonts w:ascii="宋体" w:hAnsi="宋体" w:cs="宋体" w:eastAsia="宋体" w:hint="default"/>
                <w:sz w:val="18"/>
                <w:szCs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理  由</w:t>
            </w:r>
            <w:r>
              <w:rPr>
                <w:rFonts w:ascii="宋体" w:hAnsi="宋体" w:cs="宋体" w:eastAsia="宋体" w:hint="default"/>
                <w:sz w:val="18"/>
                <w:szCs w:val="18"/>
              </w:rPr>
            </w:r>
          </w:p>
        </w:tc>
      </w:tr>
      <w:tr>
        <w:trPr>
          <w:trHeight w:val="345" w:hRule="exact"/>
        </w:trPr>
        <w:tc>
          <w:tcPr>
            <w:tcW w:w="2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深圳裕宝森科技有限公司</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52" w:right="0"/>
              <w:jc w:val="left"/>
              <w:rPr>
                <w:rFonts w:ascii="Times New Roman" w:hAnsi="Times New Roman" w:cs="Times New Roman" w:eastAsia="Times New Roman" w:hint="default"/>
                <w:sz w:val="18"/>
                <w:szCs w:val="18"/>
              </w:rPr>
            </w:pPr>
            <w:r>
              <w:rPr>
                <w:rFonts w:ascii="Times New Roman"/>
                <w:sz w:val="18"/>
              </w:rPr>
              <w:t>580,000.00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45" w:right="0"/>
              <w:jc w:val="center"/>
              <w:rPr>
                <w:rFonts w:ascii="Times New Roman" w:hAnsi="Times New Roman" w:cs="Times New Roman" w:eastAsia="Times New Roman" w:hint="default"/>
                <w:sz w:val="18"/>
                <w:szCs w:val="18"/>
              </w:rPr>
            </w:pPr>
            <w:r>
              <w:rPr>
                <w:rFonts w:ascii="Times New Roman"/>
                <w:sz w:val="18"/>
              </w:rPr>
              <w:t>---</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2" w:right="0"/>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9" w:right="0"/>
              <w:jc w:val="left"/>
              <w:rPr>
                <w:rFonts w:ascii="宋体" w:hAnsi="宋体" w:cs="宋体" w:eastAsia="宋体" w:hint="default"/>
                <w:sz w:val="18"/>
                <w:szCs w:val="18"/>
              </w:rPr>
            </w:pPr>
            <w:r>
              <w:rPr>
                <w:rFonts w:ascii="宋体" w:hAnsi="宋体" w:cs="宋体" w:eastAsia="宋体" w:hint="default"/>
                <w:sz w:val="18"/>
                <w:szCs w:val="18"/>
              </w:rPr>
              <w:t>厂房租赁保</w:t>
            </w:r>
          </w:p>
        </w:tc>
      </w:tr>
      <w:tr>
        <w:trPr>
          <w:trHeight w:val="335" w:hRule="exact"/>
        </w:trPr>
        <w:tc>
          <w:tcPr>
            <w:tcW w:w="2385" w:type="dxa"/>
            <w:gridSpan w:val="2"/>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39" w:right="0"/>
              <w:jc w:val="left"/>
              <w:rPr>
                <w:rFonts w:ascii="宋体" w:hAnsi="宋体" w:cs="宋体" w:eastAsia="宋体" w:hint="default"/>
                <w:sz w:val="18"/>
                <w:szCs w:val="18"/>
              </w:rPr>
            </w:pPr>
            <w:r>
              <w:rPr>
                <w:rFonts w:ascii="宋体" w:hAnsi="宋体" w:cs="宋体" w:eastAsia="宋体" w:hint="default"/>
                <w:sz w:val="18"/>
                <w:szCs w:val="18"/>
              </w:rPr>
              <w:t>证金</w:t>
            </w:r>
          </w:p>
        </w:tc>
      </w:tr>
      <w:tr>
        <w:trPr>
          <w:trHeight w:val="308" w:hRule="exact"/>
        </w:trPr>
        <w:tc>
          <w:tcPr>
            <w:tcW w:w="2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15" w:right="0"/>
              <w:jc w:val="left"/>
              <w:rPr>
                <w:rFonts w:ascii="宋体" w:hAnsi="宋体" w:cs="宋体" w:eastAsia="宋体" w:hint="default"/>
                <w:sz w:val="18"/>
                <w:szCs w:val="18"/>
              </w:rPr>
            </w:pPr>
            <w:r>
              <w:rPr>
                <w:rFonts w:ascii="宋体" w:hAnsi="宋体" w:cs="宋体" w:eastAsia="宋体" w:hint="default"/>
                <w:sz w:val="18"/>
                <w:szCs w:val="18"/>
              </w:rPr>
              <w:t>深圳市龙岗区财政局</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445" w:right="0"/>
              <w:jc w:val="left"/>
              <w:rPr>
                <w:rFonts w:ascii="Times New Roman" w:hAnsi="Times New Roman" w:cs="Times New Roman" w:eastAsia="Times New Roman" w:hint="default"/>
                <w:sz w:val="18"/>
                <w:szCs w:val="18"/>
              </w:rPr>
            </w:pPr>
            <w:r>
              <w:rPr>
                <w:rFonts w:ascii="Times New Roman"/>
                <w:sz w:val="18"/>
              </w:rPr>
              <w:t>345,275.00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5" w:right="0"/>
              <w:jc w:val="center"/>
              <w:rPr>
                <w:rFonts w:ascii="Times New Roman" w:hAnsi="Times New Roman" w:cs="Times New Roman" w:eastAsia="Times New Roman" w:hint="default"/>
                <w:sz w:val="18"/>
                <w:szCs w:val="18"/>
              </w:rPr>
            </w:pPr>
            <w:r>
              <w:rPr>
                <w:rFonts w:ascii="Times New Roman"/>
                <w:sz w:val="18"/>
              </w:rPr>
              <w:t>---</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22" w:right="0"/>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9" w:right="0"/>
              <w:jc w:val="left"/>
              <w:rPr>
                <w:rFonts w:ascii="宋体" w:hAnsi="宋体" w:cs="宋体" w:eastAsia="宋体" w:hint="default"/>
                <w:sz w:val="18"/>
                <w:szCs w:val="18"/>
              </w:rPr>
            </w:pPr>
            <w:r>
              <w:rPr>
                <w:rFonts w:ascii="宋体" w:hAnsi="宋体" w:cs="宋体" w:eastAsia="宋体" w:hint="default"/>
                <w:sz w:val="18"/>
                <w:szCs w:val="18"/>
              </w:rPr>
              <w:t>墙体保证金</w:t>
            </w:r>
          </w:p>
        </w:tc>
      </w:tr>
      <w:tr>
        <w:trPr>
          <w:trHeight w:val="435" w:hRule="exact"/>
        </w:trPr>
        <w:tc>
          <w:tcPr>
            <w:tcW w:w="2385" w:type="dxa"/>
            <w:gridSpan w:val="2"/>
            <w:tcBorders>
              <w:top w:val="nil" w:sz="6" w:space="0" w:color="auto"/>
              <w:left w:val="nil" w:sz="6" w:space="0" w:color="auto"/>
              <w:bottom w:val="nil" w:sz="6" w:space="0" w:color="auto"/>
              <w:right w:val="nil" w:sz="6" w:space="0" w:color="auto"/>
            </w:tcBorders>
          </w:tcPr>
          <w:p>
            <w:pPr>
              <w:pStyle w:val="TableParagraph"/>
              <w:tabs>
                <w:tab w:pos="1204" w:val="left" w:leader="none"/>
              </w:tabs>
              <w:spacing w:line="240" w:lineRule="auto" w:before="67"/>
              <w:ind w:left="66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445" w:right="0"/>
              <w:jc w:val="left"/>
              <w:rPr>
                <w:rFonts w:ascii="Times New Roman" w:hAnsi="Times New Roman" w:cs="Times New Roman" w:eastAsia="Times New Roman" w:hint="default"/>
                <w:sz w:val="18"/>
                <w:szCs w:val="18"/>
              </w:rPr>
            </w:pPr>
            <w:r>
              <w:rPr>
                <w:rFonts w:ascii="Times New Roman"/>
                <w:sz w:val="18"/>
              </w:rPr>
              <w:t>925,275.00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5" w:right="0"/>
              <w:jc w:val="center"/>
              <w:rPr>
                <w:rFonts w:ascii="Times New Roman" w:hAnsi="Times New Roman" w:cs="Times New Roman" w:eastAsia="Times New Roman" w:hint="default"/>
                <w:sz w:val="18"/>
                <w:szCs w:val="18"/>
              </w:rPr>
            </w:pPr>
            <w:r>
              <w:rPr>
                <w:rFonts w:ascii="Times New Roman"/>
                <w:sz w:val="18"/>
              </w:rPr>
              <w:t>---</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22" w:right="0"/>
              <w:jc w:val="center"/>
              <w:rPr>
                <w:rFonts w:ascii="Times New Roman" w:hAnsi="Times New Roman" w:cs="Times New Roman" w:eastAsia="Times New Roman" w:hint="default"/>
                <w:sz w:val="18"/>
                <w:szCs w:val="18"/>
              </w:rPr>
            </w:pPr>
            <w:r>
              <w:rPr>
                <w:rFonts w:ascii="Times New Roman"/>
                <w:sz w:val="18"/>
              </w:rPr>
              <w:t>---</w:t>
            </w:r>
          </w:p>
        </w:tc>
        <w:tc>
          <w:tcPr>
            <w:tcW w:w="1383" w:type="dxa"/>
            <w:tcBorders>
              <w:top w:val="nil" w:sz="6" w:space="0" w:color="auto"/>
              <w:left w:val="nil" w:sz="6" w:space="0" w:color="auto"/>
              <w:bottom w:val="nil" w:sz="6" w:space="0" w:color="auto"/>
              <w:right w:val="nil" w:sz="6" w:space="0" w:color="auto"/>
            </w:tcBorders>
          </w:tcPr>
          <w:p>
            <w:pPr/>
          </w:p>
        </w:tc>
      </w:tr>
    </w:tbl>
    <w:p>
      <w:pPr>
        <w:spacing w:before="12"/>
        <w:ind w:left="1360" w:right="0" w:firstLine="0"/>
        <w:jc w:val="left"/>
        <w:rPr>
          <w:rFonts w:ascii="宋体" w:hAnsi="宋体" w:cs="宋体" w:eastAsia="宋体" w:hint="default"/>
          <w:sz w:val="21"/>
          <w:szCs w:val="21"/>
        </w:rPr>
      </w:pPr>
      <w:r>
        <w:rPr/>
        <w:pict>
          <v:group style="position:absolute;margin-left:216.899994pt;margin-top:-5.615921pt;width:85.75pt;height:.1pt;mso-position-horizontal-relative:page;mso-position-vertical-relative:paragraph;z-index:-624664" coordorigin="4338,-112" coordsize="1715,2">
            <v:shape style="position:absolute;left:4338;top:-112;width:1715;height:2" coordorigin="4338,-112" coordsize="1715,0" path="m4338,-112l6053,-112e" filled="false" stroked="true" strokeweight=".71997pt" strokecolor="#000000">
              <v:path arrowok="t"/>
            </v:shape>
            <w10:wrap type="none"/>
          </v:group>
        </w:pict>
      </w:r>
      <w:r>
        <w:rPr>
          <w:rFonts w:ascii="宋体" w:hAnsi="宋体" w:cs="宋体" w:eastAsia="宋体" w:hint="default"/>
          <w:sz w:val="21"/>
          <w:szCs w:val="21"/>
        </w:rPr>
        <w:t>4、年末无单项金额不重大但按信用风险特征组合后该组合的风险较大的其他应收款。</w:t>
      </w:r>
    </w:p>
    <w:p>
      <w:pPr>
        <w:spacing w:before="64"/>
        <w:ind w:left="1360" w:right="0" w:firstLine="0"/>
        <w:jc w:val="left"/>
        <w:rPr>
          <w:rFonts w:ascii="宋体" w:hAnsi="宋体" w:cs="宋体" w:eastAsia="宋体" w:hint="default"/>
          <w:sz w:val="21"/>
          <w:szCs w:val="21"/>
        </w:rPr>
      </w:pPr>
      <w:r>
        <w:rPr>
          <w:rFonts w:ascii="宋体" w:hAnsi="宋体" w:cs="宋体" w:eastAsia="宋体" w:hint="default"/>
          <w:sz w:val="21"/>
          <w:szCs w:val="21"/>
        </w:rPr>
        <w:t>5、无以前年度已全额或大比例计提坏账准备，本年又全额或部分收回的其他应收款</w:t>
      </w:r>
    </w:p>
    <w:p>
      <w:pPr>
        <w:spacing w:before="66"/>
        <w:ind w:left="1360" w:right="0" w:firstLine="0"/>
        <w:jc w:val="left"/>
        <w:rPr>
          <w:rFonts w:ascii="宋体" w:hAnsi="宋体" w:cs="宋体" w:eastAsia="宋体" w:hint="default"/>
          <w:sz w:val="21"/>
          <w:szCs w:val="21"/>
        </w:rPr>
      </w:pPr>
      <w:r>
        <w:rPr>
          <w:rFonts w:ascii="宋体" w:hAnsi="宋体" w:cs="宋体" w:eastAsia="宋体" w:hint="default"/>
          <w:sz w:val="21"/>
          <w:szCs w:val="21"/>
        </w:rPr>
        <w:t>6、年末其他应收款中无持本公司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5％）表决权股份的股东单位欠款。</w:t>
      </w:r>
    </w:p>
    <w:p>
      <w:pPr>
        <w:spacing w:before="64"/>
        <w:ind w:left="1360" w:right="0" w:firstLine="0"/>
        <w:jc w:val="left"/>
        <w:rPr>
          <w:rFonts w:ascii="宋体" w:hAnsi="宋体" w:cs="宋体" w:eastAsia="宋体" w:hint="default"/>
          <w:sz w:val="21"/>
          <w:szCs w:val="21"/>
        </w:rPr>
      </w:pPr>
      <w:r>
        <w:rPr>
          <w:rFonts w:ascii="宋体" w:hAnsi="宋体" w:cs="宋体" w:eastAsia="宋体" w:hint="default"/>
          <w:sz w:val="21"/>
          <w:szCs w:val="21"/>
        </w:rPr>
        <w:t>7、年末无其他应收关联方款项。</w:t>
      </w:r>
    </w:p>
    <w:p>
      <w:pPr>
        <w:spacing w:before="64"/>
        <w:ind w:left="1360" w:right="0" w:firstLine="0"/>
        <w:jc w:val="left"/>
        <w:rPr>
          <w:rFonts w:ascii="宋体" w:hAnsi="宋体" w:cs="宋体" w:eastAsia="宋体" w:hint="default"/>
          <w:sz w:val="21"/>
          <w:szCs w:val="21"/>
        </w:rPr>
      </w:pPr>
      <w:r>
        <w:rPr>
          <w:rFonts w:ascii="宋体" w:hAnsi="宋体" w:cs="宋体" w:eastAsia="宋体" w:hint="default"/>
          <w:sz w:val="21"/>
          <w:szCs w:val="21"/>
        </w:rPr>
        <w:t>8、年末其他应收款中欠款金额前五名</w:t>
      </w:r>
    </w:p>
    <w:p>
      <w:pPr>
        <w:spacing w:after="0"/>
        <w:jc w:val="left"/>
        <w:rPr>
          <w:rFonts w:ascii="宋体" w:hAnsi="宋体" w:cs="宋体" w:eastAsia="宋体" w:hint="default"/>
          <w:sz w:val="21"/>
          <w:szCs w:val="21"/>
        </w:rPr>
        <w:sectPr>
          <w:type w:val="continuous"/>
          <w:pgSz w:w="11910" w:h="16840"/>
          <w:pgMar w:top="1020" w:bottom="1520" w:left="860" w:right="580"/>
        </w:sectPr>
      </w:pPr>
    </w:p>
    <w:p>
      <w:pPr>
        <w:spacing w:line="240" w:lineRule="auto" w:before="1"/>
        <w:rPr>
          <w:rFonts w:ascii="宋体" w:hAnsi="宋体" w:cs="宋体" w:eastAsia="宋体" w:hint="default"/>
          <w:sz w:val="18"/>
          <w:szCs w:val="18"/>
        </w:rPr>
      </w:pPr>
    </w:p>
    <w:p>
      <w:pPr>
        <w:tabs>
          <w:tab w:pos="3459" w:val="left" w:leader="none"/>
          <w:tab w:pos="5169" w:val="left" w:leader="none"/>
          <w:tab w:pos="6627" w:val="left" w:leader="none"/>
          <w:tab w:pos="8049" w:val="left" w:leader="none"/>
        </w:tabs>
        <w:spacing w:before="0"/>
        <w:ind w:left="1210"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性质或内容</w:t>
      </w:r>
      <w:r>
        <w:rPr>
          <w:rFonts w:ascii="宋体" w:hAnsi="宋体" w:cs="宋体" w:eastAsia="宋体" w:hint="default"/>
          <w:sz w:val="18"/>
          <w:szCs w:val="18"/>
        </w:rPr>
        <w:tab/>
      </w:r>
      <w:r>
        <w:rPr>
          <w:rFonts w:ascii="宋体" w:hAnsi="宋体" w:cs="宋体" w:eastAsia="宋体" w:hint="default"/>
          <w:sz w:val="21"/>
          <w:szCs w:val="21"/>
        </w:rPr>
      </w:r>
      <w:r>
        <w:rPr>
          <w:rFonts w:ascii="宋体" w:hAnsi="宋体" w:cs="宋体" w:eastAsia="宋体" w:hint="default"/>
          <w:sz w:val="21"/>
          <w:szCs w:val="21"/>
          <w:u w:val="single" w:color="000000"/>
        </w:rPr>
        <w:t>欠款金额</w:t>
      </w:r>
      <w:r>
        <w:rPr>
          <w:rFonts w:ascii="宋体" w:hAnsi="宋体" w:cs="宋体" w:eastAsia="宋体" w:hint="default"/>
          <w:sz w:val="21"/>
          <w:szCs w:val="21"/>
        </w:rPr>
        <w:tab/>
      </w: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spacing w:before="101"/>
        <w:ind w:left="4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占其他应收款</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860" w:right="580"/>
          <w:cols w:num="2" w:equalWidth="0">
            <w:col w:w="8411" w:space="40"/>
            <w:col w:w="2019"/>
          </w:cols>
        </w:sectPr>
      </w:pPr>
    </w:p>
    <w:tbl>
      <w:tblPr>
        <w:tblW w:w="0" w:type="auto"/>
        <w:jc w:val="left"/>
        <w:tblInd w:w="113" w:type="dxa"/>
        <w:tblLayout w:type="fixed"/>
        <w:tblCellMar>
          <w:top w:w="0" w:type="dxa"/>
          <w:left w:w="0" w:type="dxa"/>
          <w:bottom w:w="0" w:type="dxa"/>
          <w:right w:w="0" w:type="dxa"/>
        </w:tblCellMar>
        <w:tblLook w:val="01E0"/>
      </w:tblPr>
      <w:tblGrid>
        <w:gridCol w:w="3161"/>
        <w:gridCol w:w="1429"/>
        <w:gridCol w:w="1841"/>
        <w:gridCol w:w="1239"/>
        <w:gridCol w:w="976"/>
        <w:gridCol w:w="1126"/>
      </w:tblGrid>
      <w:tr>
        <w:trPr>
          <w:trHeight w:val="605"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深圳市鹏基物业管理服务有限公司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新厂房承建商</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新厂房工程</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2,070,000.00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6" w:type="dxa"/>
            <w:tcBorders>
              <w:top w:val="nil" w:sz="6" w:space="0" w:color="auto"/>
              <w:left w:val="nil" w:sz="6" w:space="0" w:color="auto"/>
              <w:bottom w:val="nil" w:sz="6" w:space="0" w:color="auto"/>
              <w:right w:val="nil" w:sz="6" w:space="0" w:color="auto"/>
            </w:tcBorders>
          </w:tcPr>
          <w:p>
            <w:pPr>
              <w:pStyle w:val="TableParagraph"/>
              <w:spacing w:line="165" w:lineRule="exact"/>
              <w:ind w:left="15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总额的比例</w:t>
            </w:r>
            <w:r>
              <w:rPr>
                <w:rFonts w:ascii="宋体" w:hAnsi="宋体" w:cs="宋体" w:eastAsia="宋体" w:hint="default"/>
                <w:sz w:val="18"/>
                <w:szCs w:val="18"/>
              </w:rPr>
            </w:r>
          </w:p>
          <w:p>
            <w:pPr>
              <w:pStyle w:val="TableParagraph"/>
              <w:spacing w:line="240" w:lineRule="auto" w:before="146"/>
              <w:ind w:left="169" w:right="0"/>
              <w:jc w:val="center"/>
              <w:rPr>
                <w:rFonts w:ascii="Times New Roman" w:hAnsi="Times New Roman" w:cs="Times New Roman" w:eastAsia="Times New Roman" w:hint="default"/>
                <w:sz w:val="18"/>
                <w:szCs w:val="18"/>
              </w:rPr>
            </w:pPr>
            <w:r>
              <w:rPr>
                <w:rFonts w:ascii="Times New Roman"/>
                <w:sz w:val="18"/>
              </w:rPr>
              <w:t>29.89%</w:t>
            </w:r>
          </w:p>
        </w:tc>
      </w:tr>
      <w:tr>
        <w:trPr>
          <w:trHeight w:val="327"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5"/>
              <w:jc w:val="center"/>
              <w:rPr>
                <w:rFonts w:ascii="宋体" w:hAnsi="宋体" w:cs="宋体" w:eastAsia="宋体" w:hint="default"/>
                <w:sz w:val="18"/>
                <w:szCs w:val="18"/>
              </w:rPr>
            </w:pPr>
            <w:r>
              <w:rPr>
                <w:rFonts w:ascii="宋体" w:hAnsi="宋体" w:cs="宋体" w:eastAsia="宋体" w:hint="default"/>
                <w:sz w:val="18"/>
                <w:szCs w:val="18"/>
              </w:rPr>
              <w:t>日东电子科技（深圳）有限公司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3"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出售固定资产</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8"/>
                <w:szCs w:val="18"/>
              </w:rPr>
            </w:pPr>
            <w:r>
              <w:rPr>
                <w:rFonts w:ascii="Times New Roman"/>
                <w:spacing w:val="-1"/>
                <w:sz w:val="18"/>
              </w:rPr>
              <w:t>1,140,000.00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98"/>
              <w:jc w:val="right"/>
              <w:rPr>
                <w:rFonts w:ascii="Times New Roman" w:hAnsi="Times New Roman" w:cs="Times New Roman" w:eastAsia="Times New Roman" w:hint="default"/>
                <w:sz w:val="18"/>
                <w:szCs w:val="18"/>
              </w:rPr>
            </w:pPr>
            <w:r>
              <w:rPr>
                <w:rFonts w:ascii="Times New Roman"/>
                <w:sz w:val="18"/>
              </w:rPr>
              <w:t>16.46%</w:t>
            </w:r>
          </w:p>
        </w:tc>
      </w:tr>
      <w:tr>
        <w:trPr>
          <w:trHeight w:val="352"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57" w:lineRule="exact"/>
              <w:ind w:right="150"/>
              <w:jc w:val="center"/>
              <w:rPr>
                <w:rFonts w:ascii="宋体" w:hAnsi="宋体" w:cs="宋体" w:eastAsia="宋体" w:hint="default"/>
                <w:sz w:val="21"/>
                <w:szCs w:val="21"/>
              </w:rPr>
            </w:pPr>
            <w:r>
              <w:rPr>
                <w:rFonts w:ascii="宋体" w:hAnsi="宋体" w:cs="宋体" w:eastAsia="宋体" w:hint="default"/>
                <w:sz w:val="21"/>
                <w:szCs w:val="21"/>
              </w:rPr>
              <w:t>明基逐鹿软件（苏州）有限公司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3" w:right="0"/>
              <w:jc w:val="center"/>
              <w:rPr>
                <w:rFonts w:ascii="宋体" w:hAnsi="宋体" w:cs="宋体" w:eastAsia="宋体" w:hint="default"/>
                <w:sz w:val="18"/>
                <w:szCs w:val="18"/>
              </w:rPr>
            </w:pPr>
            <w:r>
              <w:rPr>
                <w:rFonts w:ascii="宋体" w:hAnsi="宋体" w:cs="宋体" w:eastAsia="宋体" w:hint="default"/>
                <w:sz w:val="18"/>
                <w:szCs w:val="18"/>
              </w:rPr>
              <w:t>软件供应商</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软件授权项目</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Times New Roman" w:hAnsi="Times New Roman" w:cs="Times New Roman" w:eastAsia="Times New Roman" w:hint="default"/>
                <w:sz w:val="18"/>
                <w:szCs w:val="18"/>
              </w:rPr>
            </w:pPr>
            <w:r>
              <w:rPr>
                <w:rFonts w:ascii="Times New Roman"/>
                <w:sz w:val="18"/>
              </w:rPr>
              <w:t>699,520.00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8"/>
              <w:jc w:val="right"/>
              <w:rPr>
                <w:rFonts w:ascii="Times New Roman" w:hAnsi="Times New Roman" w:cs="Times New Roman" w:eastAsia="Times New Roman" w:hint="default"/>
                <w:sz w:val="18"/>
                <w:szCs w:val="18"/>
              </w:rPr>
            </w:pPr>
            <w:r>
              <w:rPr>
                <w:rFonts w:ascii="Times New Roman"/>
                <w:sz w:val="18"/>
              </w:rPr>
              <w:t>10.10%</w:t>
            </w:r>
          </w:p>
        </w:tc>
      </w:tr>
      <w:tr>
        <w:trPr>
          <w:trHeight w:val="340"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
              <w:jc w:val="center"/>
              <w:rPr>
                <w:rFonts w:ascii="宋体" w:hAnsi="宋体" w:cs="宋体" w:eastAsia="宋体" w:hint="default"/>
                <w:sz w:val="18"/>
                <w:szCs w:val="18"/>
              </w:rPr>
            </w:pPr>
            <w:r>
              <w:rPr>
                <w:rFonts w:ascii="宋体" w:hAnsi="宋体" w:cs="宋体" w:eastAsia="宋体" w:hint="default"/>
                <w:sz w:val="18"/>
                <w:szCs w:val="18"/>
              </w:rPr>
              <w:t>深圳裕宝森科技有限公司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3" w:right="0"/>
              <w:jc w:val="center"/>
              <w:rPr>
                <w:rFonts w:ascii="宋体" w:hAnsi="宋体" w:cs="宋体" w:eastAsia="宋体" w:hint="default"/>
                <w:sz w:val="18"/>
                <w:szCs w:val="18"/>
              </w:rPr>
            </w:pPr>
            <w:r>
              <w:rPr>
                <w:rFonts w:ascii="宋体" w:hAnsi="宋体" w:cs="宋体" w:eastAsia="宋体" w:hint="default"/>
                <w:sz w:val="18"/>
                <w:szCs w:val="18"/>
              </w:rPr>
              <w:t>租赁厂房业主</w:t>
            </w:r>
          </w:p>
        </w:tc>
        <w:tc>
          <w:tcPr>
            <w:tcW w:w="184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
              <w:ind w:right="5"/>
              <w:jc w:val="center"/>
              <w:rPr>
                <w:rFonts w:ascii="宋体" w:hAnsi="宋体" w:cs="宋体" w:eastAsia="宋体" w:hint="default"/>
                <w:sz w:val="18"/>
                <w:szCs w:val="18"/>
              </w:rPr>
            </w:pPr>
            <w:r>
              <w:rPr>
                <w:rFonts w:ascii="宋体" w:hAnsi="宋体" w:cs="宋体" w:eastAsia="宋体" w:hint="default"/>
                <w:sz w:val="18"/>
                <w:szCs w:val="18"/>
              </w:rPr>
              <w:t>押</w:t>
              <w:tab/>
              <w:t>金</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z w:val="18"/>
              </w:rPr>
              <w:t>580,000.00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4"/>
              <w:jc w:val="right"/>
              <w:rPr>
                <w:rFonts w:ascii="Times New Roman" w:hAnsi="Times New Roman" w:cs="Times New Roman" w:eastAsia="Times New Roman" w:hint="default"/>
                <w:sz w:val="18"/>
                <w:szCs w:val="18"/>
              </w:rPr>
            </w:pPr>
            <w:r>
              <w:rPr>
                <w:rFonts w:ascii="Times New Roman"/>
                <w:w w:val="95"/>
                <w:sz w:val="18"/>
              </w:rPr>
              <w:t>8.37%</w:t>
            </w:r>
            <w:r>
              <w:rPr>
                <w:rFonts w:ascii="Times New Roman"/>
                <w:sz w:val="18"/>
              </w:rPr>
            </w:r>
          </w:p>
        </w:tc>
      </w:tr>
      <w:tr>
        <w:trPr>
          <w:trHeight w:val="365"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4"/>
              <w:jc w:val="center"/>
              <w:rPr>
                <w:rFonts w:ascii="宋体" w:hAnsi="宋体" w:cs="宋体" w:eastAsia="宋体" w:hint="default"/>
                <w:sz w:val="18"/>
                <w:szCs w:val="18"/>
              </w:rPr>
            </w:pPr>
            <w:r>
              <w:rPr>
                <w:rFonts w:ascii="宋体" w:hAnsi="宋体" w:cs="宋体" w:eastAsia="宋体" w:hint="default"/>
                <w:sz w:val="18"/>
                <w:szCs w:val="18"/>
              </w:rPr>
              <w:t>湛江市第一建筑工程公司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3" w:right="0"/>
              <w:jc w:val="center"/>
              <w:rPr>
                <w:rFonts w:ascii="宋体" w:hAnsi="宋体" w:cs="宋体" w:eastAsia="宋体" w:hint="default"/>
                <w:sz w:val="18"/>
                <w:szCs w:val="18"/>
              </w:rPr>
            </w:pPr>
            <w:r>
              <w:rPr>
                <w:rFonts w:ascii="宋体" w:hAnsi="宋体" w:cs="宋体" w:eastAsia="宋体" w:hint="default"/>
                <w:sz w:val="18"/>
                <w:szCs w:val="18"/>
              </w:rPr>
              <w:t>新厂房承建商</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
              <w:jc w:val="center"/>
              <w:rPr>
                <w:rFonts w:ascii="宋体" w:hAnsi="宋体" w:cs="宋体" w:eastAsia="宋体" w:hint="default"/>
                <w:sz w:val="18"/>
                <w:szCs w:val="18"/>
              </w:rPr>
            </w:pPr>
            <w:r>
              <w:rPr>
                <w:rFonts w:ascii="宋体" w:hAnsi="宋体" w:cs="宋体" w:eastAsia="宋体" w:hint="default"/>
                <w:sz w:val="18"/>
                <w:szCs w:val="18"/>
              </w:rPr>
              <w:t>新厂房工程款</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8"/>
                <w:szCs w:val="18"/>
              </w:rPr>
            </w:pPr>
            <w:r>
              <w:rPr>
                <w:rFonts w:ascii="Times New Roman"/>
                <w:sz w:val="18"/>
              </w:rPr>
              <w:t>443,808.18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4"/>
              <w:jc w:val="right"/>
              <w:rPr>
                <w:rFonts w:ascii="Times New Roman" w:hAnsi="Times New Roman" w:cs="Times New Roman" w:eastAsia="Times New Roman" w:hint="default"/>
                <w:sz w:val="18"/>
                <w:szCs w:val="18"/>
              </w:rPr>
            </w:pPr>
            <w:r>
              <w:rPr>
                <w:rFonts w:ascii="Times New Roman"/>
                <w:w w:val="95"/>
                <w:sz w:val="18"/>
              </w:rPr>
              <w:t>6.41%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20" w:bottom="1520" w:left="860" w:right="580"/>
        </w:sectPr>
      </w:pPr>
    </w:p>
    <w:p>
      <w:pPr>
        <w:spacing w:line="240" w:lineRule="auto" w:before="10"/>
        <w:rPr>
          <w:rFonts w:ascii="宋体" w:hAnsi="宋体" w:cs="宋体" w:eastAsia="宋体" w:hint="default"/>
          <w:sz w:val="20"/>
          <w:szCs w:val="20"/>
        </w:rPr>
      </w:pPr>
    </w:p>
    <w:p>
      <w:pPr>
        <w:spacing w:line="297" w:lineRule="auto" w:before="35"/>
        <w:ind w:left="340" w:right="243" w:firstLine="420"/>
        <w:jc w:val="left"/>
        <w:rPr>
          <w:rFonts w:ascii="宋体" w:hAnsi="宋体" w:cs="宋体" w:eastAsia="宋体" w:hint="default"/>
          <w:sz w:val="21"/>
          <w:szCs w:val="21"/>
        </w:rPr>
      </w:pPr>
      <w:r>
        <w:rPr>
          <w:rFonts w:ascii="宋体" w:hAnsi="宋体" w:cs="宋体" w:eastAsia="宋体" w:hint="default"/>
          <w:sz w:val="21"/>
          <w:szCs w:val="21"/>
        </w:rPr>
        <w:t>9、其他应收款年末数比年初数增加</w:t>
      </w:r>
      <w:r>
        <w:rPr>
          <w:rFonts w:ascii="宋体" w:hAnsi="宋体" w:cs="宋体" w:eastAsia="宋体" w:hint="default"/>
          <w:spacing w:val="-61"/>
          <w:sz w:val="21"/>
          <w:szCs w:val="21"/>
        </w:rPr>
        <w:t> </w:t>
      </w:r>
      <w:r>
        <w:rPr>
          <w:rFonts w:ascii="宋体" w:hAnsi="宋体" w:cs="宋体" w:eastAsia="宋体" w:hint="default"/>
          <w:sz w:val="21"/>
          <w:szCs w:val="21"/>
        </w:rPr>
        <w:t>3,137,483.70</w:t>
      </w:r>
      <w:r>
        <w:rPr>
          <w:rFonts w:ascii="宋体" w:hAnsi="宋体" w:cs="宋体" w:eastAsia="宋体" w:hint="default"/>
          <w:spacing w:val="-61"/>
          <w:sz w:val="21"/>
          <w:szCs w:val="21"/>
        </w:rPr>
        <w:t> </w:t>
      </w:r>
      <w:r>
        <w:rPr>
          <w:rFonts w:ascii="宋体" w:hAnsi="宋体" w:cs="宋体" w:eastAsia="宋体" w:hint="default"/>
          <w:spacing w:val="-3"/>
          <w:sz w:val="21"/>
          <w:szCs w:val="21"/>
        </w:rPr>
        <w:t>元，增加比例为</w:t>
      </w:r>
      <w:r>
        <w:rPr>
          <w:rFonts w:ascii="宋体" w:hAnsi="宋体" w:cs="宋体" w:eastAsia="宋体" w:hint="default"/>
          <w:spacing w:val="-61"/>
          <w:sz w:val="21"/>
          <w:szCs w:val="21"/>
        </w:rPr>
        <w:t> </w:t>
      </w:r>
      <w:r>
        <w:rPr>
          <w:rFonts w:ascii="宋体" w:hAnsi="宋体" w:cs="宋体" w:eastAsia="宋体" w:hint="default"/>
          <w:sz w:val="21"/>
          <w:szCs w:val="21"/>
        </w:rPr>
        <w:t>82.82％，增加原因</w:t>
      </w:r>
      <w:r>
        <w:rPr>
          <w:rFonts w:ascii="宋体" w:hAnsi="宋体" w:cs="宋体" w:eastAsia="宋体" w:hint="default"/>
          <w:sz w:val="21"/>
          <w:szCs w:val="21"/>
        </w:rPr>
        <w:t> 为：企业新厂房设备及</w:t>
      </w:r>
      <w:r>
        <w:rPr>
          <w:rFonts w:ascii="宋体" w:hAnsi="宋体" w:cs="宋体" w:eastAsia="宋体" w:hint="default"/>
          <w:spacing w:val="-54"/>
          <w:sz w:val="21"/>
          <w:szCs w:val="21"/>
        </w:rPr>
        <w:t> </w:t>
      </w:r>
      <w:r>
        <w:rPr>
          <w:rFonts w:ascii="宋体" w:hAnsi="宋体" w:cs="宋体" w:eastAsia="宋体" w:hint="default"/>
          <w:sz w:val="21"/>
          <w:szCs w:val="21"/>
        </w:rPr>
        <w:t>MES</w:t>
      </w:r>
      <w:r>
        <w:rPr>
          <w:rFonts w:ascii="宋体" w:hAnsi="宋体" w:cs="宋体" w:eastAsia="宋体" w:hint="default"/>
          <w:spacing w:val="-53"/>
          <w:sz w:val="21"/>
          <w:szCs w:val="21"/>
        </w:rPr>
        <w:t> </w:t>
      </w:r>
      <w:r>
        <w:rPr>
          <w:rFonts w:ascii="宋体" w:hAnsi="宋体" w:cs="宋体" w:eastAsia="宋体" w:hint="default"/>
          <w:sz w:val="21"/>
          <w:szCs w:val="21"/>
        </w:rPr>
        <w:t>项目的保证金增加所致。</w:t>
      </w:r>
    </w:p>
    <w:p>
      <w:pPr>
        <w:spacing w:before="15"/>
        <w:ind w:left="762" w:right="243" w:firstLine="0"/>
        <w:jc w:val="left"/>
        <w:rPr>
          <w:rFonts w:ascii="宋体" w:hAnsi="宋体" w:cs="宋体" w:eastAsia="宋体" w:hint="default"/>
          <w:sz w:val="21"/>
          <w:szCs w:val="21"/>
        </w:rPr>
      </w:pPr>
      <w:r>
        <w:rPr>
          <w:rFonts w:ascii="宋体" w:hAnsi="宋体" w:cs="宋体" w:eastAsia="宋体" w:hint="default"/>
          <w:b/>
          <w:bCs/>
          <w:sz w:val="21"/>
          <w:szCs w:val="21"/>
        </w:rPr>
        <w:t>（八）存货及存货跌价准备</w:t>
      </w:r>
      <w:r>
        <w:rPr>
          <w:rFonts w:ascii="宋体" w:hAnsi="宋体" w:cs="宋体" w:eastAsia="宋体" w:hint="default"/>
          <w:sz w:val="21"/>
          <w:szCs w:val="21"/>
        </w:rPr>
      </w:r>
    </w:p>
    <w:p>
      <w:pPr>
        <w:tabs>
          <w:tab w:pos="6809" w:val="left" w:leader="none"/>
        </w:tabs>
        <w:spacing w:before="100"/>
        <w:ind w:left="3450" w:right="243" w:firstLine="0"/>
        <w:jc w:val="left"/>
        <w:rPr>
          <w:rFonts w:ascii="宋体" w:hAnsi="宋体" w:cs="宋体" w:eastAsia="宋体" w:hint="default"/>
          <w:sz w:val="18"/>
          <w:szCs w:val="18"/>
        </w:rPr>
      </w:pPr>
      <w:r>
        <w:rPr/>
        <w:pict>
          <v:group style="position:absolute;margin-left:179.639999pt;margin-top:19.11204pt;width:158.1pt;height:.1pt;mso-position-horizontal-relative:page;mso-position-vertical-relative:paragraph;z-index:-624496" coordorigin="3593,382" coordsize="3162,2">
            <v:shape style="position:absolute;left:3593;top:382;width:3162;height:2" coordorigin="3593,382" coordsize="3162,0" path="m3593,382l6755,382e" filled="false" stroked="true" strokeweight=".47998pt" strokecolor="#000000">
              <v:path arrowok="t"/>
            </v:shape>
            <w10:wrap type="none"/>
          </v:group>
        </w:pict>
      </w:r>
      <w:r>
        <w:rPr/>
        <w:pict>
          <v:group style="position:absolute;margin-left:349.320007pt;margin-top:18.872028pt;width:154.6pt;height:.5pt;mso-position-horizontal-relative:page;mso-position-vertical-relative:paragraph;z-index:-624472" coordorigin="6986,377" coordsize="3092,10">
            <v:group style="position:absolute;left:6991;top:382;width:1623;height:2" coordorigin="6991,382" coordsize="1623,2">
              <v:shape style="position:absolute;left:6991;top:382;width:1623;height:2" coordorigin="6991,382" coordsize="1623,0" path="m6991,382l8614,382e" filled="false" stroked="true" strokeweight=".48pt" strokecolor="#000000">
                <v:path arrowok="t"/>
              </v:shape>
            </v:group>
            <v:group style="position:absolute;left:8614;top:382;width:1460;height:2" coordorigin="8614,382" coordsize="1460,2">
              <v:shape style="position:absolute;left:8614;top:382;width:1460;height:2" coordorigin="8614,382" coordsize="1460,0" path="m8614,382l10073,382e" filled="false" stroked="true" strokeweight=".47998pt" strokecolor="#000000">
                <v:path arrowok="t"/>
              </v:shape>
            </v:group>
            <w10:wrap type="none"/>
          </v:group>
        </w:pict>
      </w:r>
      <w:r>
        <w:rPr>
          <w:rFonts w:ascii="宋体" w:hAnsi="宋体" w:cs="宋体" w:eastAsia="宋体" w:hint="default"/>
          <w:sz w:val="18"/>
          <w:szCs w:val="18"/>
        </w:rPr>
        <w:t>年末数</w:t>
        <w:tab/>
        <w:t>年初数</w:t>
      </w:r>
    </w:p>
    <w:tbl>
      <w:tblPr>
        <w:tblW w:w="0" w:type="auto"/>
        <w:jc w:val="left"/>
        <w:tblInd w:w="665" w:type="dxa"/>
        <w:tblLayout w:type="fixed"/>
        <w:tblCellMar>
          <w:top w:w="0" w:type="dxa"/>
          <w:left w:w="0" w:type="dxa"/>
          <w:bottom w:w="0" w:type="dxa"/>
          <w:right w:w="0" w:type="dxa"/>
        </w:tblCellMar>
        <w:tblLook w:val="01E0"/>
      </w:tblPr>
      <w:tblGrid>
        <w:gridCol w:w="1468"/>
        <w:gridCol w:w="1445"/>
        <w:gridCol w:w="101"/>
        <w:gridCol w:w="233"/>
        <w:gridCol w:w="1283"/>
        <w:gridCol w:w="101"/>
        <w:gridCol w:w="233"/>
        <w:gridCol w:w="1626"/>
        <w:gridCol w:w="304"/>
        <w:gridCol w:w="243"/>
        <w:gridCol w:w="812"/>
        <w:gridCol w:w="101"/>
      </w:tblGrid>
      <w:tr>
        <w:trPr>
          <w:trHeight w:val="180" w:hRule="exact"/>
        </w:trPr>
        <w:tc>
          <w:tcPr>
            <w:tcW w:w="1468" w:type="dxa"/>
            <w:tcBorders>
              <w:top w:val="nil" w:sz="6" w:space="0" w:color="auto"/>
              <w:left w:val="nil" w:sz="6" w:space="0" w:color="auto"/>
              <w:bottom w:val="single" w:sz="4" w:space="0" w:color="000000"/>
              <w:right w:val="nil" w:sz="6" w:space="0" w:color="auto"/>
            </w:tcBorders>
          </w:tcPr>
          <w:p>
            <w:pPr>
              <w:pStyle w:val="TableParagraph"/>
              <w:spacing w:line="175" w:lineRule="exact"/>
              <w:ind w:left="30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480" w:type="dxa"/>
            <w:gridSpan w:val="11"/>
            <w:tcBorders>
              <w:top w:val="nil" w:sz="6" w:space="0" w:color="auto"/>
              <w:left w:val="nil" w:sz="6" w:space="0" w:color="auto"/>
              <w:bottom w:val="nil" w:sz="6" w:space="0" w:color="auto"/>
              <w:right w:val="nil" w:sz="6" w:space="0" w:color="auto"/>
            </w:tcBorders>
          </w:tcPr>
          <w:p>
            <w:pPr/>
          </w:p>
        </w:tc>
      </w:tr>
      <w:tr>
        <w:trPr>
          <w:trHeight w:val="181" w:hRule="exact"/>
        </w:trPr>
        <w:tc>
          <w:tcPr>
            <w:tcW w:w="1468" w:type="dxa"/>
            <w:tcBorders>
              <w:top w:val="single" w:sz="4" w:space="0" w:color="000000"/>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169" w:lineRule="exact"/>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single" w:sz="4" w:space="0" w:color="000000"/>
              <w:right w:val="nil" w:sz="6" w:space="0" w:color="auto"/>
            </w:tcBorders>
          </w:tcPr>
          <w:p>
            <w:pPr>
              <w:pStyle w:val="TableParagraph"/>
              <w:spacing w:line="169" w:lineRule="exact"/>
              <w:ind w:right="0"/>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0"/>
              <w:right w:val="nil" w:sz="6" w:space="0" w:color="auto"/>
            </w:tcBorders>
          </w:tcPr>
          <w:p>
            <w:pPr>
              <w:pStyle w:val="TableParagraph"/>
              <w:spacing w:line="169" w:lineRule="exact"/>
              <w:ind w:right="9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single" w:sz="4" w:space="0" w:color="000000"/>
              <w:right w:val="nil" w:sz="6" w:space="0" w:color="auto"/>
            </w:tcBorders>
          </w:tcPr>
          <w:p>
            <w:pPr>
              <w:pStyle w:val="TableParagraph"/>
              <w:spacing w:line="169" w:lineRule="exact"/>
              <w:ind w:right="0"/>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01" w:type="dxa"/>
            <w:tcBorders>
              <w:top w:val="nil" w:sz="6" w:space="0" w:color="auto"/>
              <w:left w:val="nil" w:sz="6" w:space="0" w:color="auto"/>
              <w:bottom w:val="nil" w:sz="6" w:space="0" w:color="auto"/>
              <w:right w:val="nil" w:sz="6" w:space="0" w:color="auto"/>
            </w:tcBorders>
          </w:tcPr>
          <w:p>
            <w:pPr/>
          </w:p>
        </w:tc>
      </w:tr>
      <w:tr>
        <w:trPr>
          <w:trHeight w:val="418"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52,826,531.76</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620,263.70</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80,350,144.22</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sz w:val="18"/>
              </w:rPr>
              <w:t>483,757.09</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257,528.51</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225,011.32</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2,167,661.45</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pacing w:val="-1"/>
                <w:sz w:val="18"/>
              </w:rPr>
              <w:t>2,787,109.20</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6,498,314.49</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444,159.25</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spacing w:val="-1"/>
                <w:sz w:val="18"/>
              </w:rPr>
              <w:t>8,054,786.57</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252,140.89</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受托加工产品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9,968,529.74</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1,623,715.85</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pacing w:val="-1"/>
                <w:sz w:val="18"/>
              </w:rPr>
              <w:t>2,716,754.78</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nil" w:sz="6" w:space="0" w:color="auto"/>
              <w:right w:val="nil" w:sz="6" w:space="0" w:color="auto"/>
            </w:tcBorders>
          </w:tcPr>
          <w:p>
            <w:pPr/>
          </w:p>
        </w:tc>
      </w:tr>
      <w:tr>
        <w:trPr>
          <w:trHeight w:val="303"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2,664,953.83</w:t>
            </w:r>
          </w:p>
        </w:tc>
        <w:tc>
          <w:tcPr>
            <w:tcW w:w="101"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c>
          <w:tcPr>
            <w:tcW w:w="101"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pacing w:val="-1"/>
                <w:sz w:val="18"/>
              </w:rPr>
              <w:t>10,434,839.00</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single" w:sz="4" w:space="0" w:color="000000"/>
              <w:right w:val="nil" w:sz="6" w:space="0" w:color="auto"/>
            </w:tcBorders>
          </w:tcPr>
          <w:p>
            <w:pPr/>
          </w:p>
        </w:tc>
        <w:tc>
          <w:tcPr>
            <w:tcW w:w="81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532,393.23</w:t>
            </w:r>
          </w:p>
        </w:tc>
        <w:tc>
          <w:tcPr>
            <w:tcW w:w="101" w:type="dxa"/>
            <w:tcBorders>
              <w:top w:val="nil" w:sz="6" w:space="0" w:color="auto"/>
              <w:left w:val="nil" w:sz="6" w:space="0" w:color="auto"/>
              <w:bottom w:val="single" w:sz="4" w:space="0" w:color="000000"/>
              <w:right w:val="nil" w:sz="6" w:space="0" w:color="auto"/>
            </w:tcBorders>
          </w:tcPr>
          <w:p>
            <w:pPr/>
          </w:p>
        </w:tc>
      </w:tr>
      <w:tr>
        <w:trPr>
          <w:trHeight w:val="435"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spacing w:val="-1"/>
                <w:sz w:val="18"/>
              </w:rPr>
              <w:t>66,038,705.89</w:t>
            </w:r>
          </w:p>
        </w:tc>
        <w:tc>
          <w:tcPr>
            <w:tcW w:w="101" w:type="dxa"/>
            <w:tcBorders>
              <w:top w:val="single" w:sz="4" w:space="0" w:color="000000"/>
              <w:left w:val="nil" w:sz="6" w:space="0" w:color="auto"/>
              <w:bottom w:val="single" w:sz="1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spacing w:val="-1"/>
                <w:sz w:val="18"/>
              </w:rPr>
              <w:t>1,064,422.95</w:t>
            </w:r>
          </w:p>
        </w:tc>
        <w:tc>
          <w:tcPr>
            <w:tcW w:w="101" w:type="dxa"/>
            <w:tcBorders>
              <w:top w:val="single" w:sz="4" w:space="0" w:color="000000"/>
              <w:left w:val="nil" w:sz="6" w:space="0" w:color="auto"/>
              <w:bottom w:val="single" w:sz="1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96"/>
              <w:jc w:val="right"/>
              <w:rPr>
                <w:rFonts w:ascii="Times New Roman" w:hAnsi="Times New Roman" w:cs="Times New Roman" w:eastAsia="Times New Roman" w:hint="default"/>
                <w:sz w:val="18"/>
                <w:szCs w:val="18"/>
              </w:rPr>
            </w:pPr>
            <w:r>
              <w:rPr>
                <w:rFonts w:ascii="Times New Roman"/>
                <w:spacing w:val="-1"/>
                <w:sz w:val="18"/>
              </w:rPr>
              <w:t>115,020,931.92</w:t>
            </w:r>
          </w:p>
        </w:tc>
        <w:tc>
          <w:tcPr>
            <w:tcW w:w="304" w:type="dxa"/>
            <w:tcBorders>
              <w:top w:val="nil" w:sz="6" w:space="0" w:color="auto"/>
              <w:left w:val="nil" w:sz="6" w:space="0" w:color="auto"/>
              <w:bottom w:val="nil" w:sz="6" w:space="0" w:color="auto"/>
              <w:right w:val="nil" w:sz="6" w:space="0" w:color="auto"/>
            </w:tcBorders>
          </w:tcPr>
          <w:p>
            <w:pPr/>
          </w:p>
        </w:tc>
        <w:tc>
          <w:tcPr>
            <w:tcW w:w="243" w:type="dxa"/>
            <w:tcBorders>
              <w:top w:val="single" w:sz="4" w:space="0" w:color="000000"/>
              <w:left w:val="nil" w:sz="6" w:space="0" w:color="auto"/>
              <w:bottom w:val="single" w:sz="12" w:space="0" w:color="000000"/>
              <w:right w:val="nil" w:sz="6" w:space="0" w:color="auto"/>
            </w:tcBorders>
          </w:tcPr>
          <w:p>
            <w:pPr/>
          </w:p>
        </w:tc>
        <w:tc>
          <w:tcPr>
            <w:tcW w:w="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sz w:val="18"/>
              </w:rPr>
              <w:t>784,534.12</w:t>
            </w:r>
          </w:p>
        </w:tc>
        <w:tc>
          <w:tcPr>
            <w:tcW w:w="101" w:type="dxa"/>
            <w:tcBorders>
              <w:top w:val="single" w:sz="4" w:space="0" w:color="000000"/>
              <w:left w:val="nil" w:sz="6" w:space="0" w:color="auto"/>
              <w:bottom w:val="single" w:sz="12" w:space="0" w:color="000000"/>
              <w:right w:val="nil" w:sz="6" w:space="0" w:color="auto"/>
            </w:tcBorders>
          </w:tcPr>
          <w:p>
            <w:pPr/>
          </w:p>
        </w:tc>
      </w:tr>
    </w:tbl>
    <w:p>
      <w:pPr>
        <w:spacing w:line="297" w:lineRule="auto" w:before="7"/>
        <w:ind w:left="760" w:right="2664" w:firstLine="0"/>
        <w:jc w:val="left"/>
        <w:rPr>
          <w:rFonts w:ascii="宋体" w:hAnsi="宋体" w:cs="宋体" w:eastAsia="宋体" w:hint="default"/>
          <w:sz w:val="21"/>
          <w:szCs w:val="21"/>
        </w:rPr>
      </w:pPr>
      <w:r>
        <w:rPr/>
        <w:pict>
          <v:group style="position:absolute;margin-left:179.279999pt;margin-top:-5.866013pt;width:78pt;height:.1pt;mso-position-horizontal-relative:page;mso-position-vertical-relative:paragraph;z-index:-624448" coordorigin="3586,-117" coordsize="1560,2">
            <v:shape style="position:absolute;left:3586;top:-117;width:1560;height:2" coordorigin="3586,-117" coordsize="1560,0" path="m3586,-117l5146,-117e" filled="false" stroked="true" strokeweight=".71997pt" strokecolor="#000000">
              <v:path arrowok="t"/>
            </v:shape>
            <w10:wrap type="none"/>
          </v:group>
        </w:pict>
      </w:r>
      <w:r>
        <w:rPr/>
        <w:pict>
          <v:group style="position:absolute;margin-left:268.380005pt;margin-top:-5.866013pt;width:69.75pt;height:.1pt;mso-position-horizontal-relative:page;mso-position-vertical-relative:paragraph;z-index:-624424" coordorigin="5368,-117" coordsize="1395,2">
            <v:shape style="position:absolute;left:5368;top:-117;width:1395;height:2" coordorigin="5368,-117" coordsize="1395,0" path="m5368,-117l6762,-117e" filled="false" stroked="true" strokeweight=".71997pt" strokecolor="#000000">
              <v:path arrowok="t"/>
            </v:shape>
            <w10:wrap type="none"/>
          </v:group>
        </w:pict>
      </w:r>
      <w:r>
        <w:rPr/>
        <w:pict>
          <v:group style="position:absolute;margin-left:349.200012pt;margin-top:-5.866013pt;width:81.850pt;height:.1pt;mso-position-horizontal-relative:page;mso-position-vertical-relative:paragraph;z-index:-624400" coordorigin="6984,-117" coordsize="1637,2">
            <v:shape style="position:absolute;left:6984;top:-117;width:1637;height:2" coordorigin="6984,-117" coordsize="1637,0" path="m6984,-117l8621,-117e" filled="false" stroked="true" strokeweight=".71997pt" strokecolor="#000000">
              <v:path arrowok="t"/>
            </v:shape>
            <w10:wrap type="none"/>
          </v:group>
        </w:pict>
      </w:r>
      <w:r>
        <w:rPr/>
        <w:pict>
          <v:group style="position:absolute;margin-left:445.679993pt;margin-top:-5.866013pt;width:58.35pt;height:.1pt;mso-position-horizontal-relative:page;mso-position-vertical-relative:paragraph;z-index:-624376" coordorigin="8914,-117" coordsize="1167,2">
            <v:shape style="position:absolute;left:8914;top:-117;width:1167;height:2" coordorigin="8914,-117" coordsize="1167,0" path="m8914,-117l10080,-117e" filled="false" stroked="true" strokeweight=".71997pt" strokecolor="#000000">
              <v:path arrowok="t"/>
            </v:shape>
            <w10:wrap type="none"/>
          </v:group>
        </w:pict>
      </w:r>
      <w:r>
        <w:rPr>
          <w:rFonts w:ascii="宋体" w:hAnsi="宋体" w:cs="宋体" w:eastAsia="宋体" w:hint="default"/>
          <w:sz w:val="21"/>
          <w:szCs w:val="21"/>
        </w:rPr>
        <w:t>年末数中无用于担保的存货，也无所有权受到限制的存货。 1、存货跌价准备</w:t>
      </w:r>
    </w:p>
    <w:p>
      <w:pPr>
        <w:spacing w:before="50"/>
        <w:ind w:left="5067" w:right="243" w:firstLine="0"/>
        <w:jc w:val="left"/>
        <w:rPr>
          <w:rFonts w:ascii="宋体" w:hAnsi="宋体" w:cs="宋体" w:eastAsia="宋体" w:hint="default"/>
          <w:sz w:val="18"/>
          <w:szCs w:val="18"/>
        </w:rPr>
      </w:pPr>
      <w:r>
        <w:rPr/>
        <w:pict>
          <v:group style="position:absolute;margin-left:295.679993pt;margin-top:16.612024pt;width:105.85pt;height:.1pt;mso-position-horizontal-relative:page;mso-position-vertical-relative:paragraph;z-index:-624352" coordorigin="5914,332" coordsize="2117,2">
            <v:shape style="position:absolute;left:5914;top:332;width:2117;height:2" coordorigin="5914,332" coordsize="2117,0" path="m5914,332l8030,332e" filled="false" stroked="true" strokeweight=".48001pt" strokecolor="#000000">
              <v:path arrowok="t"/>
            </v:shape>
            <w10:wrap type="none"/>
          </v:group>
        </w:pict>
      </w:r>
      <w:r>
        <w:rPr>
          <w:rFonts w:ascii="宋体" w:hAnsi="宋体" w:cs="宋体" w:eastAsia="宋体" w:hint="default"/>
          <w:sz w:val="18"/>
          <w:szCs w:val="18"/>
        </w:rPr>
        <w:t>本年减少额</w:t>
      </w:r>
    </w:p>
    <w:tbl>
      <w:tblPr>
        <w:tblW w:w="0" w:type="auto"/>
        <w:jc w:val="left"/>
        <w:tblInd w:w="511" w:type="dxa"/>
        <w:tblLayout w:type="fixed"/>
        <w:tblCellMar>
          <w:top w:w="0" w:type="dxa"/>
          <w:left w:w="0" w:type="dxa"/>
          <w:bottom w:w="0" w:type="dxa"/>
          <w:right w:w="0" w:type="dxa"/>
        </w:tblCellMar>
        <w:tblLook w:val="01E0"/>
      </w:tblPr>
      <w:tblGrid>
        <w:gridCol w:w="955"/>
        <w:gridCol w:w="1566"/>
        <w:gridCol w:w="1364"/>
        <w:gridCol w:w="713"/>
        <w:gridCol w:w="257"/>
        <w:gridCol w:w="1397"/>
        <w:gridCol w:w="1849"/>
      </w:tblGrid>
      <w:tr>
        <w:trPr>
          <w:trHeight w:val="434"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175" w:lineRule="exact"/>
              <w:ind w:right="16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存货种类</w:t>
            </w:r>
            <w:r>
              <w:rPr>
                <w:rFonts w:ascii="宋体" w:hAnsi="宋体" w:cs="宋体" w:eastAsia="宋体" w:hint="default"/>
                <w:sz w:val="18"/>
                <w:szCs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175" w:lineRule="exact"/>
              <w:ind w:right="1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175" w:lineRule="exact"/>
              <w:ind w:left="4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25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849" w:type="dxa"/>
            <w:tcBorders>
              <w:top w:val="nil" w:sz="6" w:space="0" w:color="auto"/>
              <w:left w:val="nil" w:sz="6" w:space="0" w:color="auto"/>
              <w:bottom w:val="nil" w:sz="6" w:space="0" w:color="auto"/>
              <w:right w:val="nil" w:sz="6" w:space="0" w:color="auto"/>
            </w:tcBorders>
          </w:tcPr>
          <w:p>
            <w:pPr>
              <w:pStyle w:val="TableParagraph"/>
              <w:spacing w:line="175" w:lineRule="exact"/>
              <w:ind w:left="2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45"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
              <w:jc w:val="center"/>
              <w:rPr>
                <w:rFonts w:ascii="Times New Roman" w:hAnsi="Times New Roman" w:cs="Times New Roman" w:eastAsia="Times New Roman" w:hint="default"/>
                <w:sz w:val="18"/>
                <w:szCs w:val="18"/>
              </w:rPr>
            </w:pPr>
            <w:r>
              <w:rPr>
                <w:rFonts w:ascii="Times New Roman"/>
                <w:sz w:val="18"/>
              </w:rPr>
              <w:t>---</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0" w:right="0"/>
              <w:jc w:val="center"/>
              <w:rPr>
                <w:rFonts w:ascii="Times New Roman" w:hAnsi="Times New Roman" w:cs="Times New Roman" w:eastAsia="Times New Roman" w:hint="default"/>
                <w:sz w:val="18"/>
                <w:szCs w:val="18"/>
              </w:rPr>
            </w:pPr>
            <w:r>
              <w:rPr>
                <w:rFonts w:ascii="Times New Roman"/>
                <w:sz w:val="18"/>
              </w:rPr>
              <w:t>620,263.70</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9" w:right="0"/>
              <w:jc w:val="center"/>
              <w:rPr>
                <w:rFonts w:ascii="Times New Roman" w:hAnsi="Times New Roman" w:cs="Times New Roman" w:eastAsia="Times New Roman" w:hint="default"/>
                <w:sz w:val="18"/>
                <w:szCs w:val="18"/>
              </w:rPr>
            </w:pPr>
            <w:r>
              <w:rPr>
                <w:rFonts w:ascii="Times New Roman"/>
                <w:sz w:val="18"/>
              </w:rPr>
              <w:t>---</w:t>
            </w:r>
          </w:p>
        </w:tc>
        <w:tc>
          <w:tcPr>
            <w:tcW w:w="25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3"/>
              <w:jc w:val="right"/>
              <w:rPr>
                <w:rFonts w:ascii="Times New Roman" w:hAnsi="Times New Roman" w:cs="Times New Roman" w:eastAsia="Times New Roman" w:hint="default"/>
                <w:sz w:val="18"/>
                <w:szCs w:val="18"/>
              </w:rPr>
            </w:pPr>
            <w:r>
              <w:rPr>
                <w:rFonts w:ascii="Times New Roman"/>
                <w:sz w:val="18"/>
              </w:rPr>
              <w:t>---</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620,263.70</w:t>
            </w:r>
          </w:p>
        </w:tc>
      </w:tr>
      <w:tr>
        <w:trPr>
          <w:trHeight w:val="34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center"/>
              <w:rPr>
                <w:rFonts w:ascii="宋体" w:hAnsi="宋体" w:cs="宋体" w:eastAsia="宋体" w:hint="default"/>
                <w:sz w:val="18"/>
                <w:szCs w:val="18"/>
              </w:rPr>
            </w:pPr>
            <w:r>
              <w:rPr>
                <w:rFonts w:ascii="宋体" w:hAnsi="宋体" w:cs="宋体" w:eastAsia="宋体" w:hint="default"/>
                <w:sz w:val="18"/>
                <w:szCs w:val="18"/>
              </w:rPr>
              <w:t>产成品</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
              <w:jc w:val="center"/>
              <w:rPr>
                <w:rFonts w:ascii="Times New Roman" w:hAnsi="Times New Roman" w:cs="Times New Roman" w:eastAsia="Times New Roman" w:hint="default"/>
                <w:sz w:val="18"/>
                <w:szCs w:val="18"/>
              </w:rPr>
            </w:pPr>
            <w:r>
              <w:rPr>
                <w:rFonts w:ascii="Times New Roman"/>
                <w:sz w:val="18"/>
              </w:rPr>
              <w:t>252,140.89</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 w:right="0"/>
              <w:jc w:val="center"/>
              <w:rPr>
                <w:rFonts w:ascii="Times New Roman" w:hAnsi="Times New Roman" w:cs="Times New Roman" w:eastAsia="Times New Roman" w:hint="default"/>
                <w:sz w:val="18"/>
                <w:szCs w:val="18"/>
              </w:rPr>
            </w:pPr>
            <w:r>
              <w:rPr>
                <w:rFonts w:ascii="Times New Roman"/>
                <w:sz w:val="18"/>
              </w:rPr>
              <w:t>279,581.65</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0" w:right="0"/>
              <w:jc w:val="center"/>
              <w:rPr>
                <w:rFonts w:ascii="Times New Roman" w:hAnsi="Times New Roman" w:cs="Times New Roman" w:eastAsia="Times New Roman" w:hint="default"/>
                <w:sz w:val="18"/>
                <w:szCs w:val="18"/>
              </w:rPr>
            </w:pPr>
            <w:r>
              <w:rPr>
                <w:rFonts w:ascii="Times New Roman"/>
                <w:sz w:val="18"/>
              </w:rPr>
              <w:t>---</w:t>
            </w:r>
          </w:p>
        </w:tc>
        <w:tc>
          <w:tcPr>
            <w:tcW w:w="25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3"/>
              <w:jc w:val="right"/>
              <w:rPr>
                <w:rFonts w:ascii="Times New Roman" w:hAnsi="Times New Roman" w:cs="Times New Roman" w:eastAsia="Times New Roman" w:hint="default"/>
                <w:sz w:val="18"/>
                <w:szCs w:val="18"/>
              </w:rPr>
            </w:pPr>
            <w:r>
              <w:rPr>
                <w:rFonts w:ascii="Times New Roman"/>
                <w:sz w:val="18"/>
              </w:rPr>
              <w:t>87,563.29</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sz w:val="18"/>
              </w:rPr>
              <w:t>444,159.25</w:t>
            </w:r>
          </w:p>
        </w:tc>
      </w:tr>
      <w:tr>
        <w:trPr>
          <w:trHeight w:val="303"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3"/>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6"/>
              <w:jc w:val="center"/>
              <w:rPr>
                <w:rFonts w:ascii="Times New Roman" w:hAnsi="Times New Roman" w:cs="Times New Roman" w:eastAsia="Times New Roman" w:hint="default"/>
                <w:sz w:val="18"/>
                <w:szCs w:val="18"/>
              </w:rPr>
            </w:pPr>
            <w:r>
              <w:rPr>
                <w:rFonts w:ascii="Times New Roman"/>
                <w:sz w:val="18"/>
              </w:rPr>
              <w:t>532,393.23</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39"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left="69" w:right="0"/>
              <w:jc w:val="center"/>
              <w:rPr>
                <w:rFonts w:ascii="Times New Roman" w:hAnsi="Times New Roman" w:cs="Times New Roman" w:eastAsia="Times New Roman" w:hint="default"/>
                <w:sz w:val="18"/>
                <w:szCs w:val="18"/>
              </w:rPr>
            </w:pPr>
            <w:r>
              <w:rPr>
                <w:rFonts w:ascii="Times New Roman"/>
                <w:sz w:val="18"/>
              </w:rPr>
              <w:t>---</w:t>
            </w:r>
          </w:p>
        </w:tc>
        <w:tc>
          <w:tcPr>
            <w:tcW w:w="257"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93"/>
              <w:jc w:val="right"/>
              <w:rPr>
                <w:rFonts w:ascii="Times New Roman" w:hAnsi="Times New Roman" w:cs="Times New Roman" w:eastAsia="Times New Roman" w:hint="default"/>
                <w:sz w:val="18"/>
                <w:szCs w:val="18"/>
              </w:rPr>
            </w:pPr>
            <w:r>
              <w:rPr>
                <w:rFonts w:ascii="Times New Roman"/>
                <w:sz w:val="18"/>
              </w:rPr>
              <w:t>532,393.23</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6"/>
              <w:jc w:val="center"/>
              <w:rPr>
                <w:rFonts w:ascii="Times New Roman" w:hAnsi="Times New Roman" w:cs="Times New Roman" w:eastAsia="Times New Roman" w:hint="default"/>
                <w:sz w:val="18"/>
                <w:szCs w:val="18"/>
              </w:rPr>
            </w:pPr>
            <w:r>
              <w:rPr>
                <w:rFonts w:ascii="Times New Roman"/>
                <w:sz w:val="18"/>
              </w:rPr>
              <w:t>784,534.12</w:t>
            </w: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39" w:right="0"/>
              <w:jc w:val="center"/>
              <w:rPr>
                <w:rFonts w:ascii="Times New Roman" w:hAnsi="Times New Roman" w:cs="Times New Roman" w:eastAsia="Times New Roman" w:hint="default"/>
                <w:sz w:val="18"/>
                <w:szCs w:val="18"/>
              </w:rPr>
            </w:pPr>
            <w:r>
              <w:rPr>
                <w:rFonts w:ascii="Times New Roman"/>
                <w:sz w:val="18"/>
              </w:rPr>
              <w:t>899,845.35</w:t>
            </w:r>
          </w:p>
        </w:tc>
        <w:tc>
          <w:tcPr>
            <w:tcW w:w="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69" w:right="0"/>
              <w:jc w:val="center"/>
              <w:rPr>
                <w:rFonts w:ascii="Times New Roman" w:hAnsi="Times New Roman" w:cs="Times New Roman" w:eastAsia="Times New Roman" w:hint="default"/>
                <w:sz w:val="18"/>
                <w:szCs w:val="18"/>
              </w:rPr>
            </w:pPr>
            <w:r>
              <w:rPr>
                <w:rFonts w:ascii="Times New Roman"/>
                <w:sz w:val="18"/>
              </w:rPr>
              <w:t>---</w:t>
            </w:r>
          </w:p>
        </w:tc>
        <w:tc>
          <w:tcPr>
            <w:tcW w:w="257"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293"/>
              <w:jc w:val="right"/>
              <w:rPr>
                <w:rFonts w:ascii="Times New Roman" w:hAnsi="Times New Roman" w:cs="Times New Roman" w:eastAsia="Times New Roman" w:hint="default"/>
                <w:sz w:val="18"/>
                <w:szCs w:val="18"/>
              </w:rPr>
            </w:pPr>
            <w:r>
              <w:rPr>
                <w:rFonts w:ascii="Times New Roman"/>
                <w:sz w:val="18"/>
              </w:rPr>
              <w:t>619,956.52</w:t>
            </w:r>
          </w:p>
        </w:tc>
        <w:tc>
          <w:tcPr>
            <w:tcW w:w="1849"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97"/>
              <w:jc w:val="right"/>
              <w:rPr>
                <w:rFonts w:ascii="Times New Roman" w:hAnsi="Times New Roman" w:cs="Times New Roman" w:eastAsia="Times New Roman" w:hint="default"/>
                <w:sz w:val="18"/>
                <w:szCs w:val="18"/>
              </w:rPr>
            </w:pPr>
            <w:r>
              <w:rPr>
                <w:rFonts w:ascii="Times New Roman"/>
                <w:spacing w:val="-1"/>
                <w:sz w:val="18"/>
              </w:rPr>
              <w:t>1,064,422.95</w:t>
            </w:r>
          </w:p>
        </w:tc>
      </w:tr>
    </w:tbl>
    <w:p>
      <w:pPr>
        <w:spacing w:line="297" w:lineRule="auto" w:before="7"/>
        <w:ind w:left="340" w:right="243" w:firstLine="420"/>
        <w:jc w:val="left"/>
        <w:rPr>
          <w:rFonts w:ascii="宋体" w:hAnsi="宋体" w:cs="宋体" w:eastAsia="宋体" w:hint="default"/>
          <w:sz w:val="21"/>
          <w:szCs w:val="21"/>
        </w:rPr>
      </w:pPr>
      <w:r>
        <w:rPr/>
        <w:pict>
          <v:group style="position:absolute;margin-left:145.619995pt;margin-top:-6.226038pt;width:183.6pt;height:.75pt;mso-position-horizontal-relative:page;mso-position-vertical-relative:paragraph;z-index:-624328" coordorigin="2912,-125" coordsize="3672,15">
            <v:group style="position:absolute;left:2920;top:-117;width:1550;height:2" coordorigin="2920,-117" coordsize="1550,2">
              <v:shape style="position:absolute;left:2920;top:-117;width:1550;height:2" coordorigin="2920,-117" coordsize="1550,0" path="m2920,-117l4469,-117e" filled="false" stroked="true" strokeweight=".72pt" strokecolor="#000000">
                <v:path arrowok="t"/>
              </v:shape>
            </v:group>
            <v:group style="position:absolute;left:4454;top:-117;width:105;height:2" coordorigin="4454,-117" coordsize="105,2">
              <v:shape style="position:absolute;left:4454;top:-117;width:105;height:2" coordorigin="4454,-117" coordsize="105,0" path="m4454,-117l4559,-117e" filled="false" stroked="true" strokeweight=".72pt" strokecolor="#000000">
                <v:path arrowok="t"/>
              </v:shape>
            </v:group>
            <v:group style="position:absolute;left:4559;top:-117;width:1362;height:2" coordorigin="4559,-117" coordsize="1362,2">
              <v:shape style="position:absolute;left:4559;top:-117;width:1362;height:2" coordorigin="4559,-117" coordsize="1362,0" path="m4559,-117l5921,-117e" filled="false" stroked="true" strokeweight=".72pt" strokecolor="#000000">
                <v:path arrowok="t"/>
              </v:shape>
            </v:group>
            <v:group style="position:absolute;left:5906;top:-117;width:105;height:2" coordorigin="5906,-117" coordsize="105,2">
              <v:shape style="position:absolute;left:5906;top:-117;width:105;height:2" coordorigin="5906,-117" coordsize="105,0" path="m5906,-117l6011,-117e" filled="false" stroked="true" strokeweight=".72pt" strokecolor="#000000">
                <v:path arrowok="t"/>
              </v:shape>
            </v:group>
            <v:group style="position:absolute;left:6011;top:-117;width:567;height:2" coordorigin="6011,-117" coordsize="567,2">
              <v:shape style="position:absolute;left:6011;top:-117;width:567;height:2" coordorigin="6011,-117" coordsize="567,0" path="m6011,-117l6577,-117e" filled="false" stroked="true" strokeweight=".72pt" strokecolor="#000000">
                <v:path arrowok="t"/>
              </v:shape>
            </v:group>
            <w10:wrap type="none"/>
          </v:group>
        </w:pict>
      </w:r>
      <w:r>
        <w:rPr/>
        <w:pict>
          <v:group style="position:absolute;margin-left:340.799988pt;margin-top:-6.226038pt;width:163.6pt;height:.75pt;mso-position-horizontal-relative:page;mso-position-vertical-relative:paragraph;z-index:-624304" coordorigin="6816,-125" coordsize="3272,15">
            <v:group style="position:absolute;left:6823;top:-117;width:1215;height:2" coordorigin="6823,-117" coordsize="1215,2">
              <v:shape style="position:absolute;left:6823;top:-117;width:1215;height:2" coordorigin="6823,-117" coordsize="1215,0" path="m6823,-117l8038,-117e" filled="false" stroked="true" strokeweight=".72pt" strokecolor="#000000">
                <v:path arrowok="t"/>
              </v:shape>
            </v:group>
            <v:group style="position:absolute;left:8023;top:-117;width:105;height:2" coordorigin="8023,-117" coordsize="105,2">
              <v:shape style="position:absolute;left:8023;top:-117;width:105;height:2" coordorigin="8023,-117" coordsize="105,0" path="m8023,-117l8128,-117e" filled="false" stroked="true" strokeweight=".72pt" strokecolor="#000000">
                <v:path arrowok="t"/>
              </v:shape>
            </v:group>
            <v:group style="position:absolute;left:8128;top:-117;width:1953;height:2" coordorigin="8128,-117" coordsize="1953,2">
              <v:shape style="position:absolute;left:8128;top:-117;width:1953;height:2" coordorigin="8128,-117" coordsize="1953,0" path="m8128,-117l10080,-117e" filled="false" stroked="true" strokeweight=".72pt" strokecolor="#000000">
                <v:path arrowok="t"/>
              </v:shape>
            </v:group>
            <w10:wrap type="none"/>
          </v:group>
        </w:pict>
      </w:r>
      <w:r>
        <w:rPr>
          <w:rFonts w:ascii="宋体" w:hAnsi="宋体" w:cs="宋体" w:eastAsia="宋体" w:hint="default"/>
          <w:spacing w:val="-3"/>
          <w:sz w:val="21"/>
          <w:szCs w:val="21"/>
        </w:rPr>
        <w:t>上年计提减值的在产品已生产完工并销售，部分计提减值的产成品已报废处理，本年予</w:t>
      </w:r>
      <w:r>
        <w:rPr>
          <w:rFonts w:ascii="宋体" w:hAnsi="宋体" w:cs="宋体" w:eastAsia="宋体" w:hint="default"/>
          <w:sz w:val="21"/>
          <w:szCs w:val="21"/>
        </w:rPr>
        <w:t> 以转销。</w:t>
      </w:r>
    </w:p>
    <w:p>
      <w:pPr>
        <w:spacing w:line="297" w:lineRule="auto" w:before="14"/>
        <w:ind w:left="760" w:right="244" w:firstLine="0"/>
        <w:jc w:val="left"/>
        <w:rPr>
          <w:rFonts w:ascii="宋体" w:hAnsi="宋体" w:cs="宋体" w:eastAsia="宋体" w:hint="default"/>
          <w:sz w:val="21"/>
          <w:szCs w:val="21"/>
        </w:rPr>
      </w:pPr>
      <w:r>
        <w:rPr>
          <w:rFonts w:ascii="宋体" w:hAnsi="宋体" w:cs="宋体" w:eastAsia="宋体" w:hint="default"/>
          <w:sz w:val="21"/>
          <w:szCs w:val="21"/>
        </w:rPr>
        <w:t>年末按存货的成本与可变现净值孰低提取存货跌价准备。 2、存货年末数比年初数或减少</w:t>
      </w:r>
      <w:r>
        <w:rPr>
          <w:rFonts w:ascii="宋体" w:hAnsi="宋体" w:cs="宋体" w:eastAsia="宋体" w:hint="default"/>
          <w:spacing w:val="-33"/>
          <w:sz w:val="21"/>
          <w:szCs w:val="21"/>
        </w:rPr>
        <w:t> </w:t>
      </w:r>
      <w:r>
        <w:rPr>
          <w:rFonts w:ascii="宋体" w:hAnsi="宋体" w:cs="宋体" w:eastAsia="宋体" w:hint="default"/>
          <w:sz w:val="21"/>
          <w:szCs w:val="21"/>
        </w:rPr>
        <w:t>48,982,226.03</w:t>
      </w:r>
      <w:r>
        <w:rPr>
          <w:rFonts w:ascii="宋体" w:hAnsi="宋体" w:cs="宋体" w:eastAsia="宋体" w:hint="default"/>
          <w:spacing w:val="-34"/>
          <w:sz w:val="21"/>
          <w:szCs w:val="21"/>
        </w:rPr>
        <w:t> </w:t>
      </w:r>
      <w:r>
        <w:rPr>
          <w:rFonts w:ascii="宋体" w:hAnsi="宋体" w:cs="宋体" w:eastAsia="宋体" w:hint="default"/>
          <w:sz w:val="21"/>
          <w:szCs w:val="21"/>
        </w:rPr>
        <w:t>元，减少比例为</w:t>
      </w:r>
      <w:r>
        <w:rPr>
          <w:rFonts w:ascii="宋体" w:hAnsi="宋体" w:cs="宋体" w:eastAsia="宋体" w:hint="default"/>
          <w:spacing w:val="-33"/>
          <w:sz w:val="21"/>
          <w:szCs w:val="21"/>
        </w:rPr>
        <w:t> </w:t>
      </w:r>
      <w:r>
        <w:rPr>
          <w:rFonts w:ascii="宋体" w:hAnsi="宋体" w:cs="宋体" w:eastAsia="宋体" w:hint="default"/>
          <w:sz w:val="21"/>
          <w:szCs w:val="21"/>
        </w:rPr>
        <w:t>42.59％，减少的主要</w:t>
      </w:r>
    </w:p>
    <w:p>
      <w:pPr>
        <w:spacing w:before="14"/>
        <w:ind w:left="340" w:right="243" w:firstLine="0"/>
        <w:jc w:val="left"/>
        <w:rPr>
          <w:rFonts w:ascii="宋体" w:hAnsi="宋体" w:cs="宋体" w:eastAsia="宋体" w:hint="default"/>
          <w:sz w:val="21"/>
          <w:szCs w:val="21"/>
        </w:rPr>
      </w:pPr>
      <w:r>
        <w:rPr>
          <w:rFonts w:ascii="宋体" w:hAnsi="宋体" w:cs="宋体" w:eastAsia="宋体" w:hint="default"/>
          <w:sz w:val="21"/>
          <w:szCs w:val="21"/>
        </w:rPr>
        <w:t>原因为：本年销售量下降，减少采购和存货库存所致。</w:t>
      </w:r>
    </w:p>
    <w:p>
      <w:pPr>
        <w:spacing w:before="64"/>
        <w:ind w:left="762" w:right="243" w:firstLine="0"/>
        <w:jc w:val="left"/>
        <w:rPr>
          <w:rFonts w:ascii="宋体" w:hAnsi="宋体" w:cs="宋体" w:eastAsia="宋体" w:hint="default"/>
          <w:sz w:val="21"/>
          <w:szCs w:val="21"/>
        </w:rPr>
      </w:pPr>
      <w:r>
        <w:rPr>
          <w:rFonts w:ascii="宋体" w:hAnsi="宋体" w:cs="宋体" w:eastAsia="宋体" w:hint="default"/>
          <w:b/>
          <w:bCs/>
          <w:sz w:val="21"/>
          <w:szCs w:val="21"/>
        </w:rPr>
        <w:t>（九）长期股权投资</w:t>
      </w:r>
      <w:r>
        <w:rPr>
          <w:rFonts w:ascii="宋体" w:hAnsi="宋体" w:cs="宋体" w:eastAsia="宋体" w:hint="default"/>
          <w:sz w:val="21"/>
          <w:szCs w:val="21"/>
        </w:rPr>
      </w:r>
    </w:p>
    <w:p>
      <w:pPr>
        <w:tabs>
          <w:tab w:pos="5961" w:val="left" w:leader="none"/>
        </w:tabs>
        <w:spacing w:before="66"/>
        <w:ind w:left="3309" w:right="0" w:firstLine="0"/>
        <w:jc w:val="center"/>
        <w:rPr>
          <w:rFonts w:ascii="宋体" w:hAnsi="宋体" w:cs="宋体" w:eastAsia="宋体" w:hint="default"/>
          <w:sz w:val="18"/>
          <w:szCs w:val="18"/>
        </w:rPr>
      </w:pPr>
      <w:r>
        <w:rPr>
          <w:rFonts w:ascii="宋体" w:hAnsi="宋体" w:cs="宋体" w:eastAsia="宋体" w:hint="default"/>
          <w:sz w:val="21"/>
          <w:szCs w:val="21"/>
        </w:rPr>
        <w:t>年末数</w:t>
        <w:tab/>
      </w:r>
      <w:r>
        <w:rPr>
          <w:rFonts w:ascii="宋体" w:hAnsi="宋体" w:cs="宋体" w:eastAsia="宋体" w:hint="default"/>
          <w:sz w:val="18"/>
          <w:szCs w:val="18"/>
        </w:rPr>
        <w:t>年初数</w:t>
      </w:r>
    </w:p>
    <w:p>
      <w:pPr>
        <w:spacing w:line="240" w:lineRule="auto" w:before="12"/>
        <w:rPr>
          <w:rFonts w:ascii="宋体" w:hAnsi="宋体" w:cs="宋体" w:eastAsia="宋体" w:hint="default"/>
          <w:sz w:val="2"/>
          <w:szCs w:val="2"/>
        </w:rPr>
      </w:pPr>
    </w:p>
    <w:p>
      <w:pPr>
        <w:spacing w:line="20" w:lineRule="exact"/>
        <w:ind w:left="3394" w:right="0" w:firstLine="0"/>
        <w:rPr>
          <w:rFonts w:ascii="宋体" w:hAnsi="宋体" w:cs="宋体" w:eastAsia="宋体" w:hint="default"/>
          <w:sz w:val="2"/>
          <w:szCs w:val="2"/>
        </w:rPr>
      </w:pPr>
      <w:r>
        <w:rPr>
          <w:rFonts w:ascii="宋体" w:hAnsi="宋体" w:cs="宋体" w:eastAsia="宋体" w:hint="default"/>
          <w:sz w:val="2"/>
          <w:szCs w:val="2"/>
        </w:rPr>
        <w:pict>
          <v:group style="width:261.2pt;height:.5pt;mso-position-horizontal-relative:char;mso-position-vertical-relative:line" coordorigin="0,0" coordsize="5224,10">
            <v:group style="position:absolute;left:5;top:5;width:5214;height:2" coordorigin="5,5" coordsize="5214,2">
              <v:shape style="position:absolute;left:5;top:5;width:5214;height:2" coordorigin="5,5" coordsize="5214,0" path="m5,5l5219,5e" filled="false" stroked="true" strokeweight=".48004pt" strokecolor="#000000">
                <v:path arrowok="t"/>
              </v:shape>
            </v:group>
          </v:group>
        </w:pict>
      </w:r>
      <w:r>
        <w:rPr>
          <w:rFonts w:ascii="宋体" w:hAnsi="宋体" w:cs="宋体" w:eastAsia="宋体" w:hint="default"/>
          <w:sz w:val="2"/>
          <w:szCs w:val="2"/>
        </w:rPr>
      </w:r>
    </w:p>
    <w:p>
      <w:pPr>
        <w:tabs>
          <w:tab w:pos="4671" w:val="left" w:leader="none"/>
          <w:tab w:pos="5984" w:val="left" w:leader="none"/>
          <w:tab w:pos="7171" w:val="left" w:leader="none"/>
        </w:tabs>
        <w:spacing w:before="51"/>
        <w:ind w:left="3251"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减值准备</w:t>
        <w:tab/>
        <w:t>账面余额</w:t>
        <w:tab/>
        <w:t>减值准备</w:t>
      </w:r>
    </w:p>
    <w:p>
      <w:pPr>
        <w:tabs>
          <w:tab w:pos="5173" w:val="left" w:leader="none"/>
          <w:tab w:pos="6486" w:val="left" w:leader="none"/>
          <w:tab w:pos="7673" w:val="left" w:leader="none"/>
        </w:tabs>
        <w:spacing w:line="20" w:lineRule="exact"/>
        <w:ind w:left="3752"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tabs>
          <w:tab w:pos="3600" w:val="left" w:leader="none"/>
          <w:tab w:pos="5023" w:val="left" w:leader="none"/>
          <w:tab w:pos="6760" w:val="left" w:leader="none"/>
          <w:tab w:pos="7947" w:val="left" w:leader="none"/>
        </w:tabs>
        <w:spacing w:before="50"/>
        <w:ind w:left="508" w:right="243" w:firstLine="0"/>
        <w:jc w:val="left"/>
        <w:rPr>
          <w:rFonts w:ascii="Times New Roman" w:hAnsi="Times New Roman" w:cs="Times New Roman" w:eastAsia="Times New Roman" w:hint="default"/>
          <w:sz w:val="18"/>
          <w:szCs w:val="18"/>
        </w:rPr>
      </w:pPr>
      <w:r>
        <w:rPr>
          <w:rFonts w:ascii="宋体" w:hAnsi="宋体" w:cs="宋体" w:eastAsia="宋体" w:hint="default"/>
          <w:sz w:val="21"/>
          <w:szCs w:val="21"/>
        </w:rPr>
        <w:t>按成本法核算的长期股权投资</w:t>
        <w:tab/>
      </w:r>
      <w:r>
        <w:rPr>
          <w:rFonts w:ascii="Times New Roman" w:hAnsi="Times New Roman" w:cs="Times New Roman" w:eastAsia="Times New Roman" w:hint="default"/>
          <w:spacing w:val="-1"/>
          <w:sz w:val="18"/>
          <w:szCs w:val="18"/>
        </w:rPr>
        <w:t>15,393,539.67</w:t>
        <w:tab/>
        <w:t>10,775,441.11</w:t>
        <w:tab/>
      </w:r>
      <w:r>
        <w:rPr>
          <w:rFonts w:ascii="Times New Roman" w:hAnsi="Times New Roman" w:cs="Times New Roman" w:eastAsia="Times New Roman" w:hint="default"/>
          <w:sz w:val="18"/>
          <w:szCs w:val="18"/>
        </w:rPr>
        <w:t>---</w:t>
        <w:tab/>
        <w:t>---</w:t>
      </w:r>
    </w:p>
    <w:p>
      <w:pPr>
        <w:spacing w:before="55"/>
        <w:ind w:left="760" w:right="243" w:firstLine="0"/>
        <w:jc w:val="left"/>
        <w:rPr>
          <w:rFonts w:ascii="宋体" w:hAnsi="宋体" w:cs="宋体" w:eastAsia="宋体" w:hint="default"/>
          <w:sz w:val="21"/>
          <w:szCs w:val="21"/>
        </w:rPr>
      </w:pPr>
      <w:r>
        <w:rPr>
          <w:rFonts w:ascii="宋体" w:hAnsi="宋体" w:cs="宋体" w:eastAsia="宋体" w:hint="default"/>
          <w:sz w:val="21"/>
          <w:szCs w:val="21"/>
        </w:rPr>
        <w:t>1、按成本法核算的长期股权投资</w:t>
      </w:r>
    </w:p>
    <w:p>
      <w:pPr>
        <w:spacing w:after="0"/>
        <w:jc w:val="left"/>
        <w:rPr>
          <w:rFonts w:ascii="宋体" w:hAnsi="宋体" w:cs="宋体" w:eastAsia="宋体" w:hint="default"/>
          <w:sz w:val="21"/>
          <w:szCs w:val="21"/>
        </w:rPr>
        <w:sectPr>
          <w:pgSz w:w="11910" w:h="16840"/>
          <w:pgMar w:header="918" w:footer="950" w:top="1160" w:bottom="1140" w:left="1460" w:right="1540"/>
        </w:sectPr>
      </w:pPr>
    </w:p>
    <w:p>
      <w:pPr>
        <w:spacing w:line="240" w:lineRule="auto" w:before="2"/>
        <w:rPr>
          <w:rFonts w:ascii="宋体" w:hAnsi="宋体" w:cs="宋体" w:eastAsia="宋体" w:hint="default"/>
          <w:sz w:val="22"/>
          <w:szCs w:val="22"/>
        </w:rPr>
      </w:pPr>
    </w:p>
    <w:p>
      <w:pPr>
        <w:tabs>
          <w:tab w:pos="1989" w:val="left" w:leader="none"/>
          <w:tab w:pos="3422" w:val="left" w:leader="none"/>
        </w:tabs>
        <w:spacing w:before="0"/>
        <w:ind w:left="43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初始投资成本</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before="100"/>
        <w:ind w:left="25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本年权益增减额</w:t>
      </w:r>
    </w:p>
    <w:p>
      <w:pPr>
        <w:tabs>
          <w:tab w:pos="1337" w:val="left" w:leader="none"/>
        </w:tabs>
        <w:spacing w:before="130"/>
        <w:ind w:left="430" w:right="0" w:firstLine="0"/>
        <w:jc w:val="center"/>
        <w:rPr>
          <w:rFonts w:ascii="宋体" w:hAnsi="宋体" w:cs="宋体" w:eastAsia="宋体" w:hint="default"/>
          <w:sz w:val="18"/>
          <w:szCs w:val="18"/>
        </w:rPr>
      </w:pPr>
      <w:r>
        <w:rPr/>
        <w:pict>
          <v:group style="position:absolute;margin-left:286.679993pt;margin-top:2.132005pt;width:154.2pt;height:.5pt;mso-position-horizontal-relative:page;mso-position-vertical-relative:paragraph;z-index:3592" coordorigin="5734,43" coordsize="3084,10">
            <v:group style="position:absolute;left:5738;top:47;width:1090;height:2" coordorigin="5738,47" coordsize="1090,2">
              <v:shape style="position:absolute;left:5738;top:47;width:1090;height:2" coordorigin="5738,47" coordsize="1090,0" path="m5738,47l6828,47e" filled="false" stroked="true" strokeweight=".48001pt" strokecolor="#000000">
                <v:path arrowok="t"/>
              </v:shape>
            </v:group>
            <v:group style="position:absolute;left:6828;top:47;width:1985;height:2" coordorigin="6828,47" coordsize="1985,2">
              <v:shape style="position:absolute;left:6828;top:47;width:1985;height:2" coordorigin="6828,47" coordsize="1985,0" path="m6828,47l8813,47e" filled="false" stroked="true" strokeweight=".48pt" strokecolor="#000000">
                <v:path arrowok="t"/>
              </v:shape>
            </v:group>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tab/>
      </w:r>
      <w:r>
        <w:rPr>
          <w:rFonts w:ascii="宋体" w:hAnsi="宋体" w:cs="宋体" w:eastAsia="宋体" w:hint="default"/>
          <w:sz w:val="18"/>
          <w:szCs w:val="18"/>
          <w:u w:val="single" w:color="000000"/>
        </w:rPr>
        <w:t>其中：分回现金红利</w:t>
      </w:r>
      <w:r>
        <w:rPr>
          <w:rFonts w:ascii="宋体" w:hAnsi="宋体" w:cs="宋体" w:eastAsia="宋体" w:hint="default"/>
          <w:sz w:val="18"/>
          <w:szCs w:val="18"/>
        </w:rPr>
      </w:r>
    </w:p>
    <w:p>
      <w:pPr>
        <w:spacing w:line="240" w:lineRule="auto" w:before="2"/>
        <w:rPr>
          <w:rFonts w:ascii="宋体" w:hAnsi="宋体" w:cs="宋体" w:eastAsia="宋体" w:hint="default"/>
          <w:sz w:val="22"/>
          <w:szCs w:val="22"/>
        </w:rPr>
      </w:pPr>
      <w:r>
        <w:rPr/>
        <w:br w:type="column"/>
      </w:r>
      <w:r>
        <w:rPr>
          <w:rFonts w:ascii="宋体"/>
          <w:sz w:val="22"/>
        </w:rPr>
      </w:r>
    </w:p>
    <w:p>
      <w:pPr>
        <w:spacing w:before="0"/>
        <w:ind w:left="43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1460" w:right="1540"/>
          <w:cols w:num="3" w:equalWidth="0">
            <w:col w:w="4143" w:space="72"/>
            <w:col w:w="2958" w:space="207"/>
            <w:col w:w="1530"/>
          </w:cols>
        </w:sectPr>
      </w:pPr>
    </w:p>
    <w:p>
      <w:pPr>
        <w:spacing w:line="240" w:lineRule="auto" w:before="5"/>
        <w:rPr>
          <w:rFonts w:ascii="宋体" w:hAnsi="宋体" w:cs="宋体" w:eastAsia="宋体" w:hint="default"/>
          <w:sz w:val="13"/>
          <w:szCs w:val="13"/>
        </w:rPr>
      </w:pPr>
    </w:p>
    <w:p>
      <w:pPr>
        <w:tabs>
          <w:tab w:pos="2012" w:val="left" w:leader="none"/>
          <w:tab w:pos="3692" w:val="left" w:leader="none"/>
          <w:tab w:pos="4735" w:val="left" w:leader="none"/>
          <w:tab w:pos="6272" w:val="left" w:leader="none"/>
          <w:tab w:pos="7651" w:val="left" w:leader="none"/>
        </w:tabs>
        <w:spacing w:before="0"/>
        <w:ind w:left="109" w:right="0" w:firstLine="0"/>
        <w:jc w:val="left"/>
        <w:rPr>
          <w:rFonts w:ascii="Times New Roman" w:hAnsi="Times New Roman" w:cs="Times New Roman" w:eastAsia="Times New Roman" w:hint="default"/>
          <w:sz w:val="18"/>
          <w:szCs w:val="18"/>
        </w:rPr>
      </w:pPr>
      <w:r>
        <w:rPr>
          <w:rFonts w:ascii="Times New Roman"/>
          <w:sz w:val="18"/>
        </w:rPr>
        <w:t>C2 </w:t>
      </w:r>
      <w:r>
        <w:rPr>
          <w:rFonts w:ascii="Times New Roman"/>
          <w:spacing w:val="-1"/>
          <w:sz w:val="18"/>
        </w:rPr>
        <w:t>Microsystems</w:t>
      </w:r>
      <w:r>
        <w:rPr>
          <w:rFonts w:ascii="Times New Roman"/>
          <w:spacing w:val="10"/>
          <w:sz w:val="18"/>
        </w:rPr>
        <w:t> </w:t>
      </w:r>
      <w:r>
        <w:rPr>
          <w:rFonts w:ascii="Times New Roman"/>
          <w:sz w:val="18"/>
        </w:rPr>
        <w:t>Inc</w:t>
        <w:tab/>
      </w:r>
      <w:r>
        <w:rPr>
          <w:rFonts w:ascii="Times New Roman"/>
          <w:spacing w:val="-1"/>
          <w:sz w:val="18"/>
        </w:rPr>
        <w:t>15,393,539.67</w:t>
        <w:tab/>
      </w:r>
      <w:r>
        <w:rPr>
          <w:rFonts w:ascii="Times New Roman"/>
          <w:sz w:val="18"/>
        </w:rPr>
        <w:t>---</w:t>
        <w:tab/>
        <w:t>---</w:t>
        <w:tab/>
        <w:t>---</w:t>
        <w:tab/>
      </w:r>
      <w:r>
        <w:rPr>
          <w:rFonts w:ascii="Times New Roman"/>
          <w:spacing w:val="-1"/>
          <w:sz w:val="18"/>
        </w:rPr>
        <w:t>15,393,539.67</w:t>
      </w:r>
    </w:p>
    <w:p>
      <w:pPr>
        <w:spacing w:before="72"/>
        <w:ind w:left="760" w:right="243" w:firstLine="0"/>
        <w:jc w:val="left"/>
        <w:rPr>
          <w:rFonts w:ascii="宋体" w:hAnsi="宋体" w:cs="宋体" w:eastAsia="宋体" w:hint="default"/>
          <w:sz w:val="21"/>
          <w:szCs w:val="21"/>
        </w:rPr>
      </w:pPr>
      <w:r>
        <w:rPr>
          <w:rFonts w:ascii="宋体" w:hAnsi="宋体" w:cs="宋体" w:eastAsia="宋体" w:hint="default"/>
          <w:sz w:val="21"/>
          <w:szCs w:val="21"/>
        </w:rPr>
        <w:t>2、长期股权投资减值准备</w:t>
      </w:r>
    </w:p>
    <w:p>
      <w:pPr>
        <w:tabs>
          <w:tab w:pos="2634" w:val="left" w:leader="none"/>
          <w:tab w:pos="3714" w:val="left" w:leader="none"/>
          <w:tab w:pos="4974" w:val="left" w:leader="none"/>
          <w:tab w:pos="6339" w:val="left" w:leader="none"/>
          <w:tab w:pos="7796" w:val="left" w:leader="none"/>
        </w:tabs>
        <w:spacing w:before="100"/>
        <w:ind w:left="762" w:right="24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计提原因</w:t>
      </w:r>
      <w:r>
        <w:rPr>
          <w:rFonts w:ascii="宋体" w:hAnsi="宋体" w:cs="宋体" w:eastAsia="宋体" w:hint="default"/>
          <w:sz w:val="18"/>
          <w:szCs w:val="18"/>
        </w:rPr>
      </w:r>
    </w:p>
    <w:p>
      <w:pPr>
        <w:spacing w:before="104"/>
        <w:ind w:left="0" w:right="115" w:firstLine="0"/>
        <w:jc w:val="right"/>
        <w:rPr>
          <w:rFonts w:ascii="宋体" w:hAnsi="宋体" w:cs="宋体" w:eastAsia="宋体" w:hint="default"/>
          <w:sz w:val="18"/>
          <w:szCs w:val="18"/>
        </w:rPr>
      </w:pPr>
      <w:r>
        <w:rPr>
          <w:rFonts w:ascii="宋体" w:hAnsi="宋体" w:cs="宋体" w:eastAsia="宋体" w:hint="default"/>
          <w:sz w:val="18"/>
          <w:szCs w:val="18"/>
        </w:rPr>
        <w:t>被投资公司严重</w:t>
      </w:r>
    </w:p>
    <w:p>
      <w:pPr>
        <w:tabs>
          <w:tab w:pos="2816" w:val="left" w:leader="none"/>
          <w:tab w:pos="3563" w:val="left" w:leader="none"/>
          <w:tab w:pos="5246" w:val="left" w:leader="none"/>
          <w:tab w:pos="6097" w:val="left" w:leader="none"/>
        </w:tabs>
        <w:spacing w:line="145" w:lineRule="exact" w:before="0"/>
        <w:ind w:left="441" w:right="243" w:firstLine="0"/>
        <w:jc w:val="left"/>
        <w:rPr>
          <w:rFonts w:ascii="Times New Roman" w:hAnsi="Times New Roman" w:cs="Times New Roman" w:eastAsia="Times New Roman" w:hint="default"/>
          <w:sz w:val="18"/>
          <w:szCs w:val="18"/>
        </w:rPr>
      </w:pPr>
      <w:r>
        <w:rPr>
          <w:rFonts w:ascii="Times New Roman"/>
          <w:sz w:val="18"/>
        </w:rPr>
        <w:t>C2 </w:t>
      </w:r>
      <w:r>
        <w:rPr>
          <w:rFonts w:ascii="Times New Roman"/>
          <w:spacing w:val="-1"/>
          <w:sz w:val="18"/>
        </w:rPr>
        <w:t>Microsystems</w:t>
      </w:r>
      <w:r>
        <w:rPr>
          <w:rFonts w:ascii="Times New Roman"/>
          <w:spacing w:val="10"/>
          <w:sz w:val="18"/>
        </w:rPr>
        <w:t> </w:t>
      </w:r>
      <w:r>
        <w:rPr>
          <w:rFonts w:ascii="Times New Roman"/>
          <w:sz w:val="18"/>
        </w:rPr>
        <w:t>Inc</w:t>
        <w:tab/>
        <w:t>---</w:t>
        <w:tab/>
      </w:r>
      <w:r>
        <w:rPr>
          <w:rFonts w:ascii="Times New Roman"/>
          <w:spacing w:val="-1"/>
          <w:sz w:val="18"/>
        </w:rPr>
        <w:t>10,775,441.11</w:t>
        <w:tab/>
      </w:r>
      <w:r>
        <w:rPr>
          <w:rFonts w:ascii="Times New Roman"/>
          <w:sz w:val="18"/>
        </w:rPr>
        <w:t>---</w:t>
        <w:tab/>
      </w:r>
      <w:r>
        <w:rPr>
          <w:rFonts w:ascii="Times New Roman"/>
          <w:spacing w:val="-1"/>
          <w:sz w:val="18"/>
        </w:rPr>
        <w:t>10,775,441.11</w:t>
      </w:r>
    </w:p>
    <w:p>
      <w:pPr>
        <w:spacing w:line="196" w:lineRule="exact" w:before="0"/>
        <w:ind w:left="0" w:right="565" w:firstLine="0"/>
        <w:jc w:val="right"/>
        <w:rPr>
          <w:rFonts w:ascii="宋体" w:hAnsi="宋体" w:cs="宋体" w:eastAsia="宋体" w:hint="default"/>
          <w:sz w:val="18"/>
          <w:szCs w:val="18"/>
        </w:rPr>
      </w:pPr>
      <w:r>
        <w:rPr>
          <w:rFonts w:ascii="宋体" w:hAnsi="宋体" w:cs="宋体" w:eastAsia="宋体" w:hint="default"/>
          <w:sz w:val="18"/>
          <w:szCs w:val="18"/>
        </w:rPr>
        <w:t>亏损</w:t>
      </w:r>
    </w:p>
    <w:p>
      <w:pPr>
        <w:spacing w:before="69"/>
        <w:ind w:left="760" w:right="243" w:firstLine="0"/>
        <w:jc w:val="left"/>
        <w:rPr>
          <w:rFonts w:ascii="宋体" w:hAnsi="宋体" w:cs="宋体" w:eastAsia="宋体" w:hint="default"/>
          <w:sz w:val="21"/>
          <w:szCs w:val="21"/>
        </w:rPr>
      </w:pPr>
      <w:r>
        <w:rPr>
          <w:rFonts w:ascii="宋体" w:hAnsi="宋体" w:cs="宋体" w:eastAsia="宋体" w:hint="default"/>
          <w:spacing w:val="2"/>
          <w:sz w:val="21"/>
          <w:szCs w:val="21"/>
        </w:rPr>
        <w:t>年末按长期股权投资的账面余额与未来现金流现值之间的差额计提长期股权投资减值</w:t>
      </w:r>
    </w:p>
    <w:p>
      <w:pPr>
        <w:spacing w:after="0"/>
        <w:jc w:val="left"/>
        <w:rPr>
          <w:rFonts w:ascii="宋体" w:hAnsi="宋体" w:cs="宋体" w:eastAsia="宋体" w:hint="default"/>
          <w:sz w:val="21"/>
          <w:szCs w:val="21"/>
        </w:rPr>
        <w:sectPr>
          <w:type w:val="continuous"/>
          <w:pgSz w:w="11910" w:h="16840"/>
          <w:pgMar w:top="1020" w:bottom="1520" w:left="1460" w:right="1540"/>
        </w:sectPr>
      </w:pPr>
    </w:p>
    <w:p>
      <w:pPr>
        <w:spacing w:line="240" w:lineRule="auto" w:before="10"/>
        <w:rPr>
          <w:rFonts w:ascii="宋体" w:hAnsi="宋体" w:cs="宋体" w:eastAsia="宋体" w:hint="default"/>
          <w:sz w:val="20"/>
          <w:szCs w:val="20"/>
        </w:rPr>
      </w:pPr>
      <w:r>
        <w:rPr/>
        <w:pict>
          <v:group style="position:absolute;margin-left:198.479996pt;margin-top:520.26001pt;width:341.9pt;height:.75pt;mso-position-horizontal-relative:page;mso-position-vertical-relative:page;z-index:-624232" coordorigin="3970,10405" coordsize="6838,15">
            <v:group style="position:absolute;left:3977;top:10412;width:1376;height:2" coordorigin="3977,10412" coordsize="1376,2">
              <v:shape style="position:absolute;left:3977;top:10412;width:1376;height:2" coordorigin="3977,10412" coordsize="1376,0" path="m3977,10412l5352,10412e" filled="false" stroked="true" strokeweight=".72pt" strokecolor="#000000">
                <v:path arrowok="t"/>
              </v:shape>
            </v:group>
            <v:group style="position:absolute;left:5338;top:10412;width:105;height:2" coordorigin="5338,10412" coordsize="105,2">
              <v:shape style="position:absolute;left:5338;top:10412;width:105;height:2" coordorigin="5338,10412" coordsize="105,0" path="m5338,10412l5442,10412e" filled="false" stroked="true" strokeweight=".72pt" strokecolor="#000000">
                <v:path arrowok="t"/>
              </v:shape>
            </v:group>
            <v:group style="position:absolute;left:5442;top:10412;width:1271;height:2" coordorigin="5442,10412" coordsize="1271,2">
              <v:shape style="position:absolute;left:5442;top:10412;width:1271;height:2" coordorigin="5442,10412" coordsize="1271,0" path="m5442,10412l6713,10412e" filled="false" stroked="true" strokeweight=".72pt" strokecolor="#000000">
                <v:path arrowok="t"/>
              </v:shape>
            </v:group>
            <v:group style="position:absolute;left:6698;top:10412;width:105;height:2" coordorigin="6698,10412" coordsize="105,2">
              <v:shape style="position:absolute;left:6698;top:10412;width:105;height:2" coordorigin="6698,10412" coordsize="105,0" path="m6698,10412l6803,10412e" filled="false" stroked="true" strokeweight=".72pt" strokecolor="#000000">
                <v:path arrowok="t"/>
              </v:shape>
            </v:group>
            <v:group style="position:absolute;left:6803;top:10412;width:1274;height:2" coordorigin="6803,10412" coordsize="1274,2">
              <v:shape style="position:absolute;left:6803;top:10412;width:1274;height:2" coordorigin="6803,10412" coordsize="1274,0" path="m6803,10412l8076,10412e" filled="false" stroked="true" strokeweight=".72pt" strokecolor="#000000">
                <v:path arrowok="t"/>
              </v:shape>
            </v:group>
            <v:group style="position:absolute;left:8062;top:10412;width:105;height:2" coordorigin="8062,10412" coordsize="105,2">
              <v:shape style="position:absolute;left:8062;top:10412;width:105;height:2" coordorigin="8062,10412" coordsize="105,0" path="m8062,10412l8166,10412e" filled="false" stroked="true" strokeweight=".72pt" strokecolor="#000000">
                <v:path arrowok="t"/>
              </v:shape>
            </v:group>
            <v:group style="position:absolute;left:8166;top:10412;width:1271;height:2" coordorigin="8166,10412" coordsize="1271,2">
              <v:shape style="position:absolute;left:8166;top:10412;width:1271;height:2" coordorigin="8166,10412" coordsize="1271,0" path="m8166,10412l9437,10412e" filled="false" stroked="true" strokeweight=".72pt" strokecolor="#000000">
                <v:path arrowok="t"/>
              </v:shape>
            </v:group>
            <v:group style="position:absolute;left:9422;top:10412;width:105;height:2" coordorigin="9422,10412" coordsize="105,2">
              <v:shape style="position:absolute;left:9422;top:10412;width:105;height:2" coordorigin="9422,10412" coordsize="105,0" path="m9422,10412l9527,10412e" filled="false" stroked="true" strokeweight=".72pt" strokecolor="#000000">
                <v:path arrowok="t"/>
              </v:shape>
            </v:group>
            <v:group style="position:absolute;left:9527;top:10412;width:1274;height:2" coordorigin="9527,10412" coordsize="1274,2">
              <v:shape style="position:absolute;left:9527;top:10412;width:1274;height:2" coordorigin="9527,10412" coordsize="1274,0" path="m9527,10412l10800,10412e" filled="false" stroked="true" strokeweight=".72pt" strokecolor="#000000">
                <v:path arrowok="t"/>
              </v:shape>
            </v:group>
            <w10:wrap type="none"/>
          </v:group>
        </w:pict>
      </w:r>
    </w:p>
    <w:p>
      <w:pPr>
        <w:spacing w:before="35"/>
        <w:ind w:left="520" w:right="802" w:firstLine="0"/>
        <w:jc w:val="left"/>
        <w:rPr>
          <w:rFonts w:ascii="宋体" w:hAnsi="宋体" w:cs="宋体" w:eastAsia="宋体" w:hint="default"/>
          <w:sz w:val="21"/>
          <w:szCs w:val="21"/>
        </w:rPr>
      </w:pPr>
      <w:r>
        <w:rPr>
          <w:rFonts w:ascii="宋体" w:hAnsi="宋体" w:cs="宋体" w:eastAsia="宋体" w:hint="default"/>
          <w:sz w:val="21"/>
          <w:szCs w:val="21"/>
        </w:rPr>
        <w:t>准备。</w:t>
      </w:r>
    </w:p>
    <w:p>
      <w:pPr>
        <w:spacing w:line="297" w:lineRule="auto" w:before="64"/>
        <w:ind w:left="520" w:right="802" w:firstLine="420"/>
        <w:jc w:val="left"/>
        <w:rPr>
          <w:rFonts w:ascii="宋体" w:hAnsi="宋体" w:cs="宋体" w:eastAsia="宋体" w:hint="default"/>
          <w:sz w:val="21"/>
          <w:szCs w:val="21"/>
        </w:rPr>
      </w:pPr>
      <w:r>
        <w:rPr>
          <w:rFonts w:ascii="宋体" w:hAnsi="宋体" w:cs="宋体" w:eastAsia="宋体" w:hint="default"/>
          <w:sz w:val="21"/>
          <w:szCs w:val="21"/>
        </w:rPr>
        <w:t>3、长期股权投资年末数比年初数增加 15,393,539.67</w:t>
      </w:r>
      <w:r>
        <w:rPr>
          <w:rFonts w:ascii="宋体" w:hAnsi="宋体" w:cs="宋体" w:eastAsia="宋体" w:hint="default"/>
          <w:spacing w:val="-56"/>
          <w:sz w:val="21"/>
          <w:szCs w:val="21"/>
        </w:rPr>
        <w:t> </w:t>
      </w:r>
      <w:r>
        <w:rPr>
          <w:rFonts w:ascii="宋体" w:hAnsi="宋体" w:cs="宋体" w:eastAsia="宋体" w:hint="default"/>
          <w:spacing w:val="-3"/>
          <w:sz w:val="21"/>
          <w:szCs w:val="21"/>
        </w:rPr>
        <w:t>元，增加原因为：本公司子公司</w:t>
      </w:r>
      <w:r>
        <w:rPr>
          <w:rFonts w:ascii="宋体" w:hAnsi="宋体" w:cs="宋体" w:eastAsia="宋体" w:hint="default"/>
          <w:sz w:val="21"/>
          <w:szCs w:val="21"/>
        </w:rPr>
        <w:t> 实益达科技（香港）有限公司在本年投资</w:t>
      </w:r>
      <w:r>
        <w:rPr>
          <w:rFonts w:ascii="宋体" w:hAnsi="宋体" w:cs="宋体" w:eastAsia="宋体" w:hint="default"/>
          <w:spacing w:val="-59"/>
          <w:sz w:val="21"/>
          <w:szCs w:val="21"/>
        </w:rPr>
        <w:t> </w:t>
      </w:r>
      <w:r>
        <w:rPr>
          <w:rFonts w:ascii="宋体" w:hAnsi="宋体" w:cs="宋体" w:eastAsia="宋体" w:hint="default"/>
          <w:sz w:val="21"/>
          <w:szCs w:val="21"/>
        </w:rPr>
        <w:t>C2</w:t>
      </w:r>
      <w:r>
        <w:rPr>
          <w:rFonts w:ascii="宋体" w:hAnsi="宋体" w:cs="宋体" w:eastAsia="宋体" w:hint="default"/>
          <w:spacing w:val="-13"/>
          <w:sz w:val="21"/>
          <w:szCs w:val="21"/>
        </w:rPr>
        <w:t> </w:t>
      </w:r>
      <w:r>
        <w:rPr>
          <w:rFonts w:ascii="宋体" w:hAnsi="宋体" w:cs="宋体" w:eastAsia="宋体" w:hint="default"/>
          <w:sz w:val="21"/>
          <w:szCs w:val="21"/>
        </w:rPr>
        <w:t>Microsystems</w:t>
      </w:r>
      <w:r>
        <w:rPr>
          <w:rFonts w:ascii="宋体" w:hAnsi="宋体" w:cs="宋体" w:eastAsia="宋体" w:hint="default"/>
          <w:spacing w:val="-13"/>
          <w:sz w:val="21"/>
          <w:szCs w:val="21"/>
        </w:rPr>
        <w:t> </w:t>
      </w:r>
      <w:r>
        <w:rPr>
          <w:rFonts w:ascii="宋体" w:hAnsi="宋体" w:cs="宋体" w:eastAsia="宋体" w:hint="default"/>
          <w:sz w:val="21"/>
          <w:szCs w:val="21"/>
        </w:rPr>
        <w:t>Inc</w:t>
      </w:r>
      <w:r>
        <w:rPr>
          <w:rFonts w:ascii="宋体" w:hAnsi="宋体" w:cs="宋体" w:eastAsia="宋体" w:hint="default"/>
          <w:spacing w:val="-58"/>
          <w:sz w:val="21"/>
          <w:szCs w:val="21"/>
        </w:rPr>
        <w:t> </w:t>
      </w:r>
      <w:r>
        <w:rPr>
          <w:rFonts w:ascii="宋体" w:hAnsi="宋体" w:cs="宋体" w:eastAsia="宋体" w:hint="default"/>
          <w:sz w:val="21"/>
          <w:szCs w:val="21"/>
        </w:rPr>
        <w:t>股权所致。</w:t>
      </w:r>
    </w:p>
    <w:p>
      <w:pPr>
        <w:spacing w:line="297" w:lineRule="auto" w:before="14"/>
        <w:ind w:left="940" w:right="5730" w:firstLine="2"/>
        <w:jc w:val="left"/>
        <w:rPr>
          <w:rFonts w:ascii="宋体" w:hAnsi="宋体" w:cs="宋体" w:eastAsia="宋体" w:hint="default"/>
          <w:sz w:val="21"/>
          <w:szCs w:val="21"/>
        </w:rPr>
      </w:pPr>
      <w:r>
        <w:rPr>
          <w:rFonts w:ascii="宋体" w:hAnsi="宋体" w:cs="宋体" w:eastAsia="宋体" w:hint="default"/>
          <w:b/>
          <w:bCs/>
          <w:sz w:val="21"/>
          <w:szCs w:val="21"/>
        </w:rPr>
        <w:t>（十）固定资产原价及累计折旧</w:t>
      </w:r>
      <w:r>
        <w:rPr>
          <w:rFonts w:ascii="宋体" w:hAnsi="宋体" w:cs="宋体" w:eastAsia="宋体" w:hint="default"/>
          <w:b/>
          <w:bCs/>
          <w:spacing w:val="1"/>
          <w:w w:val="99"/>
          <w:sz w:val="21"/>
          <w:szCs w:val="21"/>
        </w:rPr>
        <w:t> </w:t>
      </w:r>
      <w:r>
        <w:rPr>
          <w:rFonts w:ascii="宋体" w:hAnsi="宋体" w:cs="宋体" w:eastAsia="宋体" w:hint="default"/>
          <w:sz w:val="21"/>
          <w:szCs w:val="21"/>
        </w:rPr>
        <w:t>1、固定资产原价</w:t>
      </w:r>
    </w:p>
    <w:tbl>
      <w:tblPr>
        <w:tblW w:w="0" w:type="auto"/>
        <w:jc w:val="left"/>
        <w:tblInd w:w="216" w:type="dxa"/>
        <w:tblLayout w:type="fixed"/>
        <w:tblCellMar>
          <w:top w:w="0" w:type="dxa"/>
          <w:left w:w="0" w:type="dxa"/>
          <w:bottom w:w="0" w:type="dxa"/>
          <w:right w:w="0" w:type="dxa"/>
        </w:tblCellMar>
        <w:tblLook w:val="01E0"/>
      </w:tblPr>
      <w:tblGrid>
        <w:gridCol w:w="2639"/>
        <w:gridCol w:w="1920"/>
        <w:gridCol w:w="1536"/>
        <w:gridCol w:w="1572"/>
        <w:gridCol w:w="1620"/>
      </w:tblGrid>
      <w:tr>
        <w:trPr>
          <w:trHeight w:val="704" w:hRule="exact"/>
        </w:trPr>
        <w:tc>
          <w:tcPr>
            <w:tcW w:w="2639" w:type="dxa"/>
            <w:tcBorders>
              <w:top w:val="nil" w:sz="6" w:space="0" w:color="auto"/>
              <w:left w:val="nil" w:sz="6" w:space="0" w:color="auto"/>
              <w:bottom w:val="nil" w:sz="6" w:space="0" w:color="auto"/>
              <w:right w:val="nil" w:sz="6" w:space="0" w:color="auto"/>
            </w:tcBorders>
          </w:tcPr>
          <w:p>
            <w:pPr>
              <w:pStyle w:val="TableParagraph"/>
              <w:tabs>
                <w:tab w:pos="1248" w:val="left" w:leader="none"/>
              </w:tabs>
              <w:spacing w:line="345" w:lineRule="auto" w:before="44"/>
              <w:ind w:left="574" w:right="983" w:firstLine="1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r>
              <w:rPr>
                <w:rFonts w:ascii="宋体" w:hAnsi="宋体" w:cs="宋体" w:eastAsia="宋体" w:hint="default"/>
                <w:sz w:val="18"/>
                <w:szCs w:val="18"/>
              </w:rPr>
              <w:t> 房屋及建筑物</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46"/>
              <w:ind w:left="525" w:right="0"/>
              <w:jc w:val="left"/>
              <w:rPr>
                <w:rFonts w:ascii="Times New Roman" w:hAnsi="Times New Roman" w:cs="Times New Roman" w:eastAsia="Times New Roman" w:hint="default"/>
                <w:sz w:val="18"/>
                <w:szCs w:val="18"/>
              </w:rPr>
            </w:pPr>
            <w:r>
              <w:rPr>
                <w:rFonts w:ascii="Times New Roman"/>
                <w:sz w:val="18"/>
              </w:rPr>
              <w:t>30,709,540.00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6"/>
              <w:ind w:left="491" w:right="0"/>
              <w:jc w:val="left"/>
              <w:rPr>
                <w:rFonts w:ascii="Times New Roman" w:hAnsi="Times New Roman" w:cs="Times New Roman" w:eastAsia="Times New Roman" w:hint="default"/>
                <w:sz w:val="18"/>
                <w:szCs w:val="18"/>
              </w:rPr>
            </w:pPr>
            <w:r>
              <w:rPr>
                <w:rFonts w:ascii="Times New Roman"/>
                <w:sz w:val="18"/>
              </w:rPr>
              <w:t>253,737.49</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46"/>
              <w:ind w:right="159"/>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46"/>
              <w:ind w:left="483" w:right="0"/>
              <w:jc w:val="left"/>
              <w:rPr>
                <w:rFonts w:ascii="Times New Roman" w:hAnsi="Times New Roman" w:cs="Times New Roman" w:eastAsia="Times New Roman" w:hint="default"/>
                <w:sz w:val="18"/>
                <w:szCs w:val="18"/>
              </w:rPr>
            </w:pPr>
            <w:r>
              <w:rPr>
                <w:rFonts w:ascii="Times New Roman"/>
                <w:sz w:val="18"/>
              </w:rPr>
              <w:t>30,963,277.49</w:t>
            </w:r>
          </w:p>
        </w:tc>
      </w:tr>
      <w:tr>
        <w:trPr>
          <w:trHeight w:val="340"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5"/>
              <w:jc w:val="right"/>
              <w:rPr>
                <w:rFonts w:ascii="Times New Roman" w:hAnsi="Times New Roman" w:cs="Times New Roman" w:eastAsia="Times New Roman" w:hint="default"/>
                <w:sz w:val="18"/>
                <w:szCs w:val="18"/>
              </w:rPr>
            </w:pPr>
            <w:r>
              <w:rPr>
                <w:rFonts w:ascii="Times New Roman"/>
                <w:spacing w:val="-1"/>
                <w:sz w:val="18"/>
              </w:rPr>
              <w:t>171,229,938.70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0"/>
              <w:jc w:val="right"/>
              <w:rPr>
                <w:rFonts w:ascii="Times New Roman" w:hAnsi="Times New Roman" w:cs="Times New Roman" w:eastAsia="Times New Roman" w:hint="default"/>
                <w:sz w:val="18"/>
                <w:szCs w:val="18"/>
              </w:rPr>
            </w:pPr>
            <w:r>
              <w:rPr>
                <w:rFonts w:ascii="Times New Roman"/>
                <w:spacing w:val="-1"/>
                <w:sz w:val="18"/>
              </w:rPr>
              <w:t>4,084,404.99</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9"/>
              <w:jc w:val="center"/>
              <w:rPr>
                <w:rFonts w:ascii="Times New Roman" w:hAnsi="Times New Roman" w:cs="Times New Roman" w:eastAsia="Times New Roman" w:hint="default"/>
                <w:sz w:val="18"/>
                <w:szCs w:val="18"/>
              </w:rPr>
            </w:pPr>
            <w:r>
              <w:rPr>
                <w:rFonts w:ascii="Times New Roman"/>
                <w:sz w:val="18"/>
              </w:rPr>
              <w:t>4,754,793.31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170,559,550.38</w:t>
            </w:r>
          </w:p>
        </w:tc>
      </w:tr>
      <w:tr>
        <w:trPr>
          <w:trHeight w:val="340"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8"/>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6"/>
              <w:jc w:val="right"/>
              <w:rPr>
                <w:rFonts w:ascii="Times New Roman" w:hAnsi="Times New Roman" w:cs="Times New Roman" w:eastAsia="Times New Roman" w:hint="default"/>
                <w:sz w:val="18"/>
                <w:szCs w:val="18"/>
              </w:rPr>
            </w:pPr>
            <w:r>
              <w:rPr>
                <w:rFonts w:ascii="Times New Roman"/>
                <w:spacing w:val="-1"/>
                <w:sz w:val="18"/>
              </w:rPr>
              <w:t>7,664,126.34</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Times New Roman" w:hAnsi="Times New Roman" w:cs="Times New Roman" w:eastAsia="Times New Roman" w:hint="default"/>
                <w:sz w:val="18"/>
                <w:szCs w:val="18"/>
              </w:rPr>
            </w:pPr>
            <w:r>
              <w:rPr>
                <w:rFonts w:ascii="Times New Roman"/>
                <w:spacing w:val="-1"/>
                <w:sz w:val="18"/>
              </w:rPr>
              <w:t>2,062,393.00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9"/>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9,726,519.34</w:t>
            </w:r>
          </w:p>
        </w:tc>
      </w:tr>
      <w:tr>
        <w:trPr>
          <w:trHeight w:val="340"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spacing w:val="-1"/>
                <w:sz w:val="18"/>
              </w:rPr>
              <w:t>5,259,146.70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1"/>
              <w:jc w:val="right"/>
              <w:rPr>
                <w:rFonts w:ascii="Times New Roman" w:hAnsi="Times New Roman" w:cs="Times New Roman" w:eastAsia="Times New Roman" w:hint="default"/>
                <w:sz w:val="18"/>
                <w:szCs w:val="18"/>
              </w:rPr>
            </w:pPr>
            <w:r>
              <w:rPr>
                <w:rFonts w:ascii="Times New Roman"/>
                <w:spacing w:val="-1"/>
                <w:sz w:val="18"/>
              </w:rPr>
              <w:t>2,285,070.53</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9"/>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7,544,217.23</w:t>
            </w:r>
          </w:p>
        </w:tc>
      </w:tr>
      <w:tr>
        <w:trPr>
          <w:trHeight w:val="340"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center"/>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0"/>
              <w:jc w:val="right"/>
              <w:rPr>
                <w:rFonts w:ascii="Times New Roman" w:hAnsi="Times New Roman" w:cs="Times New Roman" w:eastAsia="Times New Roman" w:hint="default"/>
                <w:sz w:val="18"/>
                <w:szCs w:val="18"/>
              </w:rPr>
            </w:pPr>
            <w:r>
              <w:rPr>
                <w:rFonts w:ascii="Times New Roman"/>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8"/>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8"/>
              <w:jc w:val="center"/>
              <w:rPr>
                <w:rFonts w:ascii="宋体" w:hAnsi="宋体" w:cs="宋体" w:eastAsia="宋体" w:hint="default"/>
                <w:sz w:val="18"/>
                <w:szCs w:val="18"/>
              </w:rPr>
            </w:pPr>
            <w:r>
              <w:rPr>
                <w:rFonts w:ascii="宋体" w:hAnsi="宋体" w:cs="宋体" w:eastAsia="宋体" w:hint="default"/>
                <w:sz w:val="18"/>
                <w:szCs w:val="18"/>
              </w:rPr>
              <w:t>固定资产装修</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0"/>
              <w:jc w:val="right"/>
              <w:rPr>
                <w:rFonts w:ascii="Times New Roman" w:hAnsi="Times New Roman" w:cs="Times New Roman" w:eastAsia="Times New Roman" w:hint="default"/>
                <w:sz w:val="18"/>
                <w:szCs w:val="18"/>
              </w:rPr>
            </w:pPr>
            <w:r>
              <w:rPr>
                <w:rFonts w:ascii="Times New Roman"/>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2"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08"/>
              <w:jc w:val="center"/>
              <w:rPr>
                <w:rFonts w:ascii="宋体" w:hAnsi="宋体" w:cs="宋体" w:eastAsia="宋体" w:hint="default"/>
                <w:sz w:val="18"/>
                <w:szCs w:val="18"/>
              </w:rPr>
            </w:pPr>
            <w:r>
              <w:rPr>
                <w:rFonts w:ascii="宋体" w:hAnsi="宋体" w:cs="宋体" w:eastAsia="宋体" w:hint="default"/>
                <w:sz w:val="18"/>
                <w:szCs w:val="18"/>
              </w:rPr>
              <w:t>融资租入固定资产改良支出</w:t>
            </w: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30"/>
              <w:jc w:val="right"/>
              <w:rPr>
                <w:rFonts w:ascii="Times New Roman" w:hAnsi="Times New Roman" w:cs="Times New Roman" w:eastAsia="Times New Roman" w:hint="default"/>
                <w:sz w:val="18"/>
                <w:szCs w:val="18"/>
              </w:rPr>
            </w:pPr>
            <w:r>
              <w:rPr>
                <w:rFonts w:ascii="Times New Roman"/>
                <w:sz w:val="18"/>
              </w:rPr>
              <w:t>---</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58"/>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6" w:hRule="exact"/>
        </w:trPr>
        <w:tc>
          <w:tcPr>
            <w:tcW w:w="263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40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55"/>
              <w:jc w:val="right"/>
              <w:rPr>
                <w:rFonts w:ascii="Times New Roman" w:hAnsi="Times New Roman" w:cs="Times New Roman" w:eastAsia="Times New Roman" w:hint="default"/>
                <w:sz w:val="18"/>
                <w:szCs w:val="18"/>
              </w:rPr>
            </w:pPr>
            <w:r>
              <w:rPr>
                <w:rFonts w:ascii="Times New Roman"/>
                <w:spacing w:val="-1"/>
                <w:sz w:val="18"/>
              </w:rPr>
              <w:t>214,862,751.74</w:t>
            </w:r>
          </w:p>
        </w:tc>
        <w:tc>
          <w:tcPr>
            <w:tcW w:w="15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30"/>
              <w:jc w:val="right"/>
              <w:rPr>
                <w:rFonts w:ascii="Times New Roman" w:hAnsi="Times New Roman" w:cs="Times New Roman" w:eastAsia="Times New Roman" w:hint="default"/>
                <w:sz w:val="18"/>
                <w:szCs w:val="18"/>
              </w:rPr>
            </w:pPr>
            <w:r>
              <w:rPr>
                <w:rFonts w:ascii="Times New Roman"/>
                <w:spacing w:val="-1"/>
                <w:sz w:val="18"/>
              </w:rPr>
              <w:t>8,685,606.01</w:t>
            </w: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59"/>
              <w:jc w:val="center"/>
              <w:rPr>
                <w:rFonts w:ascii="Times New Roman" w:hAnsi="Times New Roman" w:cs="Times New Roman" w:eastAsia="Times New Roman" w:hint="default"/>
                <w:sz w:val="18"/>
                <w:szCs w:val="18"/>
              </w:rPr>
            </w:pPr>
            <w:r>
              <w:rPr>
                <w:rFonts w:ascii="Times New Roman"/>
                <w:sz w:val="18"/>
              </w:rPr>
              <w:t>4,754,793.31</w:t>
            </w:r>
          </w:p>
        </w:tc>
        <w:tc>
          <w:tcPr>
            <w:tcW w:w="16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218,793,564.44</w:t>
            </w:r>
          </w:p>
        </w:tc>
      </w:tr>
    </w:tbl>
    <w:p>
      <w:pPr>
        <w:spacing w:before="18"/>
        <w:ind w:left="940" w:right="802" w:firstLine="0"/>
        <w:jc w:val="left"/>
        <w:rPr>
          <w:rFonts w:ascii="宋体" w:hAnsi="宋体" w:cs="宋体" w:eastAsia="宋体" w:hint="default"/>
          <w:sz w:val="21"/>
          <w:szCs w:val="21"/>
        </w:rPr>
      </w:pPr>
      <w:r>
        <w:rPr/>
        <w:pict>
          <v:group style="position:absolute;margin-left:206.040009pt;margin-top:-5.676017pt;width:333.85pt;height:.75pt;mso-position-horizontal-relative:page;mso-position-vertical-relative:paragraph;z-index:-624256" coordorigin="4121,-114" coordsize="6677,15">
            <v:group style="position:absolute;left:4128;top:-106;width:1677;height:2" coordorigin="4128,-106" coordsize="1677,2">
              <v:shape style="position:absolute;left:4128;top:-106;width:1677;height:2" coordorigin="4128,-106" coordsize="1677,0" path="m4128,-106l5804,-106e" filled="false" stroked="true" strokeweight=".71997pt" strokecolor="#000000">
                <v:path arrowok="t"/>
              </v:shape>
            </v:group>
            <v:group style="position:absolute;left:5790;top:-106;width:105;height:2" coordorigin="5790,-106" coordsize="105,2">
              <v:shape style="position:absolute;left:5790;top:-106;width:105;height:2" coordorigin="5790,-106" coordsize="105,0" path="m5790,-106l5894,-106e" filled="false" stroked="true" strokeweight=".71997pt" strokecolor="#000000">
                <v:path arrowok="t"/>
              </v:shape>
            </v:group>
            <v:group style="position:absolute;left:5894;top:-106;width:1572;height:2" coordorigin="5894,-106" coordsize="1572,2">
              <v:shape style="position:absolute;left:5894;top:-106;width:1572;height:2" coordorigin="5894,-106" coordsize="1572,0" path="m5894,-106l7466,-106e" filled="false" stroked="true" strokeweight=".71997pt" strokecolor="#000000">
                <v:path arrowok="t"/>
              </v:shape>
            </v:group>
            <v:group style="position:absolute;left:7452;top:-106;width:105;height:2" coordorigin="7452,-106" coordsize="105,2">
              <v:shape style="position:absolute;left:7452;top:-106;width:105;height:2" coordorigin="7452,-106" coordsize="105,0" path="m7452,-106l7556,-106e" filled="false" stroked="true" strokeweight=".71997pt" strokecolor="#000000">
                <v:path arrowok="t"/>
              </v:shape>
            </v:group>
            <v:group style="position:absolute;left:7556;top:-106;width:1572;height:2" coordorigin="7556,-106" coordsize="1572,2">
              <v:shape style="position:absolute;left:7556;top:-106;width:1572;height:2" coordorigin="7556,-106" coordsize="1572,0" path="m7556,-106l9128,-106e" filled="false" stroked="true" strokeweight=".71997pt" strokecolor="#000000">
                <v:path arrowok="t"/>
              </v:shape>
            </v:group>
            <v:group style="position:absolute;left:9114;top:-106;width:105;height:2" coordorigin="9114,-106" coordsize="105,2">
              <v:shape style="position:absolute;left:9114;top:-106;width:105;height:2" coordorigin="9114,-106" coordsize="105,0" path="m9114,-106l9218,-106e" filled="false" stroked="true" strokeweight=".71997pt" strokecolor="#000000">
                <v:path arrowok="t"/>
              </v:shape>
            </v:group>
            <v:group style="position:absolute;left:9218;top:-106;width:1572;height:2" coordorigin="9218,-106" coordsize="1572,2">
              <v:shape style="position:absolute;left:9218;top:-106;width:1572;height:2" coordorigin="9218,-106" coordsize="1572,0" path="m9218,-106l10790,-106e" filled="false" stroked="true" strokeweight=".71997pt" strokecolor="#000000">
                <v:path arrowok="t"/>
              </v:shape>
            </v:group>
            <w10:wrap type="none"/>
          </v:group>
        </w:pict>
      </w:r>
      <w:r>
        <w:rPr>
          <w:rFonts w:ascii="宋体" w:hAnsi="宋体" w:cs="宋体" w:eastAsia="宋体" w:hint="default"/>
          <w:sz w:val="21"/>
          <w:szCs w:val="21"/>
        </w:rPr>
        <w:t>其中：本年由在建工程转入固定资产原价为</w:t>
      </w:r>
      <w:r>
        <w:rPr>
          <w:rFonts w:ascii="宋体" w:hAnsi="宋体" w:cs="宋体" w:eastAsia="宋体" w:hint="default"/>
          <w:spacing w:val="-68"/>
          <w:sz w:val="21"/>
          <w:szCs w:val="21"/>
        </w:rPr>
        <w:t> </w:t>
      </w:r>
      <w:r>
        <w:rPr>
          <w:rFonts w:ascii="宋体" w:hAnsi="宋体" w:cs="宋体" w:eastAsia="宋体" w:hint="default"/>
          <w:sz w:val="21"/>
          <w:szCs w:val="21"/>
        </w:rPr>
        <w:t>253,737.49</w:t>
      </w:r>
      <w:r>
        <w:rPr>
          <w:rFonts w:ascii="宋体" w:hAnsi="宋体" w:cs="宋体" w:eastAsia="宋体" w:hint="default"/>
          <w:spacing w:val="-67"/>
          <w:sz w:val="21"/>
          <w:szCs w:val="21"/>
        </w:rPr>
        <w:t> </w:t>
      </w:r>
      <w:r>
        <w:rPr>
          <w:rFonts w:ascii="宋体" w:hAnsi="宋体" w:cs="宋体" w:eastAsia="宋体" w:hint="default"/>
          <w:sz w:val="21"/>
          <w:szCs w:val="21"/>
        </w:rPr>
        <w:t>元。</w:t>
      </w:r>
    </w:p>
    <w:p>
      <w:pPr>
        <w:spacing w:line="297" w:lineRule="auto" w:before="64"/>
        <w:ind w:left="940" w:right="825" w:firstLine="630"/>
        <w:jc w:val="left"/>
        <w:rPr>
          <w:rFonts w:ascii="宋体" w:hAnsi="宋体" w:cs="宋体" w:eastAsia="宋体" w:hint="default"/>
          <w:sz w:val="21"/>
          <w:szCs w:val="21"/>
        </w:rPr>
      </w:pPr>
      <w:r>
        <w:rPr>
          <w:rFonts w:ascii="宋体" w:hAnsi="宋体" w:cs="宋体" w:eastAsia="宋体" w:hint="default"/>
          <w:sz w:val="21"/>
          <w:szCs w:val="21"/>
        </w:rPr>
        <w:t>年末抵押的固定资产账面价值为</w:t>
      </w:r>
      <w:r>
        <w:rPr>
          <w:rFonts w:ascii="宋体" w:hAnsi="宋体" w:cs="宋体" w:eastAsia="宋体" w:hint="default"/>
          <w:spacing w:val="-62"/>
          <w:sz w:val="21"/>
          <w:szCs w:val="21"/>
        </w:rPr>
        <w:t> </w:t>
      </w:r>
      <w:r>
        <w:rPr>
          <w:rFonts w:ascii="宋体" w:hAnsi="宋体" w:cs="宋体" w:eastAsia="宋体" w:hint="default"/>
          <w:sz w:val="21"/>
          <w:szCs w:val="21"/>
        </w:rPr>
        <w:t>30,271,694.46</w:t>
      </w:r>
      <w:r>
        <w:rPr>
          <w:rFonts w:ascii="宋体" w:hAnsi="宋体" w:cs="宋体" w:eastAsia="宋体" w:hint="default"/>
          <w:spacing w:val="-19"/>
          <w:sz w:val="21"/>
          <w:szCs w:val="21"/>
        </w:rPr>
        <w:t> </w:t>
      </w:r>
      <w:r>
        <w:rPr>
          <w:rFonts w:ascii="宋体" w:hAnsi="宋体" w:cs="宋体" w:eastAsia="宋体" w:hint="default"/>
          <w:sz w:val="21"/>
          <w:szCs w:val="21"/>
        </w:rPr>
        <w:t>元，详见附注十。</w:t>
      </w:r>
      <w:r>
        <w:rPr>
          <w:rFonts w:ascii="宋体" w:hAnsi="宋体" w:cs="宋体" w:eastAsia="宋体" w:hint="default"/>
          <w:spacing w:val="-1"/>
          <w:sz w:val="21"/>
          <w:szCs w:val="21"/>
        </w:rPr>
        <w:t> </w:t>
      </w:r>
      <w:r>
        <w:rPr>
          <w:rFonts w:ascii="宋体" w:hAnsi="宋体" w:cs="宋体" w:eastAsia="宋体" w:hint="default"/>
          <w:sz w:val="21"/>
          <w:szCs w:val="21"/>
        </w:rPr>
        <w:t>2、累计折旧</w:t>
      </w:r>
    </w:p>
    <w:tbl>
      <w:tblPr>
        <w:tblW w:w="0" w:type="auto"/>
        <w:jc w:val="left"/>
        <w:tblInd w:w="105" w:type="dxa"/>
        <w:tblLayout w:type="fixed"/>
        <w:tblCellMar>
          <w:top w:w="0" w:type="dxa"/>
          <w:left w:w="0" w:type="dxa"/>
          <w:bottom w:w="0" w:type="dxa"/>
          <w:right w:w="0" w:type="dxa"/>
        </w:tblCellMar>
        <w:tblLook w:val="01E0"/>
      </w:tblPr>
      <w:tblGrid>
        <w:gridCol w:w="2823"/>
        <w:gridCol w:w="1330"/>
        <w:gridCol w:w="1239"/>
        <w:gridCol w:w="1331"/>
        <w:gridCol w:w="1390"/>
        <w:gridCol w:w="1295"/>
      </w:tblGrid>
      <w:tr>
        <w:trPr>
          <w:trHeight w:val="704"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345" w:lineRule="auto" w:before="44"/>
              <w:ind w:left="574" w:right="1165"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r>
              <w:rPr>
                <w:rFonts w:ascii="宋体" w:hAnsi="宋体" w:cs="宋体" w:eastAsia="宋体" w:hint="default"/>
                <w:sz w:val="18"/>
                <w:szCs w:val="18"/>
              </w:rPr>
              <w:t> 房屋及建筑物</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46"/>
              <w:ind w:left="224" w:right="0"/>
              <w:jc w:val="left"/>
              <w:rPr>
                <w:rFonts w:ascii="Times New Roman" w:hAnsi="Times New Roman" w:cs="Times New Roman" w:eastAsia="Times New Roman" w:hint="default"/>
                <w:sz w:val="18"/>
                <w:szCs w:val="18"/>
              </w:rPr>
            </w:pPr>
            <w:r>
              <w:rPr>
                <w:rFonts w:ascii="Times New Roman"/>
                <w:sz w:val="18"/>
              </w:rPr>
              <w:t>137,985.66</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6"/>
              <w:ind w:right="318"/>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本年提取</w:t>
            </w:r>
            <w:r>
              <w:rPr>
                <w:rFonts w:ascii="宋体" w:hAnsi="宋体" w:cs="宋体" w:eastAsia="宋体" w:hint="default"/>
                <w:sz w:val="18"/>
                <w:szCs w:val="18"/>
              </w:rPr>
            </w:r>
          </w:p>
          <w:p>
            <w:pPr>
              <w:pStyle w:val="TableParagraph"/>
              <w:spacing w:line="240" w:lineRule="auto" w:before="146"/>
              <w:ind w:left="379" w:right="0"/>
              <w:jc w:val="left"/>
              <w:rPr>
                <w:rFonts w:ascii="Times New Roman" w:hAnsi="Times New Roman" w:cs="Times New Roman" w:eastAsia="Times New Roman" w:hint="default"/>
                <w:sz w:val="18"/>
                <w:szCs w:val="18"/>
              </w:rPr>
            </w:pPr>
            <w:r>
              <w:rPr>
                <w:rFonts w:ascii="Times New Roman"/>
                <w:sz w:val="18"/>
              </w:rPr>
              <w:t>553,597.37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46"/>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46"/>
              <w:ind w:left="382" w:right="0"/>
              <w:jc w:val="left"/>
              <w:rPr>
                <w:rFonts w:ascii="Times New Roman" w:hAnsi="Times New Roman" w:cs="Times New Roman" w:eastAsia="Times New Roman" w:hint="default"/>
                <w:sz w:val="18"/>
                <w:szCs w:val="18"/>
              </w:rPr>
            </w:pPr>
            <w:r>
              <w:rPr>
                <w:rFonts w:ascii="Times New Roman"/>
                <w:sz w:val="18"/>
              </w:rPr>
              <w:t>691,583.03</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5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32,308,905.05</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9"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15,322,293.59</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40" w:right="0"/>
              <w:jc w:val="left"/>
              <w:rPr>
                <w:rFonts w:ascii="Times New Roman" w:hAnsi="Times New Roman" w:cs="Times New Roman" w:eastAsia="Times New Roman" w:hint="default"/>
                <w:sz w:val="18"/>
                <w:szCs w:val="18"/>
              </w:rPr>
            </w:pPr>
            <w:r>
              <w:rPr>
                <w:rFonts w:ascii="Times New Roman"/>
                <w:sz w:val="18"/>
              </w:rPr>
              <w:t>2,440,795.91</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45,190,402.73</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5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0" w:right="0"/>
              <w:jc w:val="left"/>
              <w:rPr>
                <w:rFonts w:ascii="Times New Roman" w:hAnsi="Times New Roman" w:cs="Times New Roman" w:eastAsia="Times New Roman" w:hint="default"/>
                <w:sz w:val="18"/>
                <w:szCs w:val="18"/>
              </w:rPr>
            </w:pPr>
            <w:r>
              <w:rPr>
                <w:rFonts w:ascii="Times New Roman"/>
                <w:sz w:val="18"/>
              </w:rPr>
              <w:t>1,551,560.27</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8"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z w:val="18"/>
              </w:rPr>
              <w:t>862,686.47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2,414,246.74</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5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0" w:right="0"/>
              <w:jc w:val="left"/>
              <w:rPr>
                <w:rFonts w:ascii="Times New Roman" w:hAnsi="Times New Roman" w:cs="Times New Roman" w:eastAsia="Times New Roman" w:hint="default"/>
                <w:sz w:val="18"/>
                <w:szCs w:val="18"/>
              </w:rPr>
            </w:pPr>
            <w:r>
              <w:rPr>
                <w:rFonts w:ascii="Times New Roman"/>
                <w:sz w:val="18"/>
              </w:rPr>
              <w:t>1,446,950.32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8"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981,757.09</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2,428,707.41</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55" w:right="0"/>
              <w:jc w:val="left"/>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9"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5"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55" w:right="0"/>
              <w:jc w:val="left"/>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69"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82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融资租入固定资产改良支出</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855" w:right="0"/>
              <w:jc w:val="left"/>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9"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61"/>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2823" w:type="dxa"/>
            <w:tcBorders>
              <w:top w:val="single" w:sz="4" w:space="0" w:color="000000"/>
              <w:left w:val="nil" w:sz="6" w:space="0" w:color="auto"/>
              <w:bottom w:val="single" w:sz="12" w:space="0" w:color="000000"/>
              <w:right w:val="nil" w:sz="6" w:space="0" w:color="auto"/>
            </w:tcBorders>
          </w:tcPr>
          <w:p>
            <w:pPr>
              <w:pStyle w:val="TableParagraph"/>
              <w:tabs>
                <w:tab w:pos="1294" w:val="left" w:leader="none"/>
              </w:tabs>
              <w:spacing w:line="240" w:lineRule="auto" w:before="62"/>
              <w:ind w:left="75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left"/>
              <w:rPr>
                <w:rFonts w:ascii="Times New Roman" w:hAnsi="Times New Roman" w:cs="Times New Roman" w:eastAsia="Times New Roman" w:hint="default"/>
                <w:sz w:val="18"/>
                <w:szCs w:val="18"/>
              </w:rPr>
            </w:pPr>
            <w:r>
              <w:rPr>
                <w:rFonts w:ascii="Times New Roman"/>
                <w:sz w:val="18"/>
              </w:rPr>
              <w:t>35,445,401.30</w:t>
            </w: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369"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38"/>
              <w:jc w:val="right"/>
              <w:rPr>
                <w:rFonts w:ascii="Times New Roman" w:hAnsi="Times New Roman" w:cs="Times New Roman" w:eastAsia="Times New Roman" w:hint="default"/>
                <w:sz w:val="18"/>
                <w:szCs w:val="18"/>
              </w:rPr>
            </w:pPr>
            <w:r>
              <w:rPr>
                <w:rFonts w:ascii="Times New Roman"/>
                <w:spacing w:val="-1"/>
                <w:sz w:val="18"/>
              </w:rPr>
              <w:t>17,720,334.52</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40" w:right="0"/>
              <w:jc w:val="left"/>
              <w:rPr>
                <w:rFonts w:ascii="Times New Roman" w:hAnsi="Times New Roman" w:cs="Times New Roman" w:eastAsia="Times New Roman" w:hint="default"/>
                <w:sz w:val="18"/>
                <w:szCs w:val="18"/>
              </w:rPr>
            </w:pPr>
            <w:r>
              <w:rPr>
                <w:rFonts w:ascii="Times New Roman"/>
                <w:sz w:val="18"/>
              </w:rPr>
              <w:t>2,440,795.91</w:t>
            </w: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50,724,939.91</w:t>
            </w:r>
          </w:p>
        </w:tc>
      </w:tr>
      <w:tr>
        <w:trPr>
          <w:trHeight w:val="395" w:hRule="exact"/>
        </w:trPr>
        <w:tc>
          <w:tcPr>
            <w:tcW w:w="2823" w:type="dxa"/>
            <w:tcBorders>
              <w:top w:val="single" w:sz="12" w:space="0" w:color="000000"/>
              <w:left w:val="nil" w:sz="6" w:space="0" w:color="auto"/>
              <w:bottom w:val="nil" w:sz="6" w:space="0" w:color="auto"/>
              <w:right w:val="nil" w:sz="6" w:space="0" w:color="auto"/>
            </w:tcBorders>
          </w:tcPr>
          <w:p>
            <w:pPr>
              <w:pStyle w:val="TableParagraph"/>
              <w:spacing w:line="240" w:lineRule="auto" w:before="27"/>
              <w:ind w:left="834" w:right="-6"/>
              <w:jc w:val="left"/>
              <w:rPr>
                <w:rFonts w:ascii="宋体" w:hAnsi="宋体" w:cs="宋体" w:eastAsia="宋体" w:hint="default"/>
                <w:sz w:val="21"/>
                <w:szCs w:val="21"/>
              </w:rPr>
            </w:pPr>
            <w:r>
              <w:rPr>
                <w:rFonts w:ascii="宋体" w:hAnsi="宋体" w:cs="宋体" w:eastAsia="宋体" w:hint="default"/>
                <w:spacing w:val="-1"/>
                <w:sz w:val="21"/>
                <w:szCs w:val="21"/>
              </w:rPr>
              <w:t>3、固定资产减值准备</w:t>
            </w:r>
          </w:p>
        </w:tc>
        <w:tc>
          <w:tcPr>
            <w:tcW w:w="1330" w:type="dxa"/>
            <w:tcBorders>
              <w:top w:val="single" w:sz="12" w:space="0" w:color="000000"/>
              <w:left w:val="nil" w:sz="6" w:space="0" w:color="auto"/>
              <w:bottom w:val="nil" w:sz="6" w:space="0" w:color="auto"/>
              <w:right w:val="nil" w:sz="6" w:space="0" w:color="auto"/>
            </w:tcBorders>
          </w:tcPr>
          <w:p>
            <w:pPr/>
          </w:p>
        </w:tc>
        <w:tc>
          <w:tcPr>
            <w:tcW w:w="1239" w:type="dxa"/>
            <w:tcBorders>
              <w:top w:val="single" w:sz="12" w:space="0" w:color="000000"/>
              <w:left w:val="nil" w:sz="6" w:space="0" w:color="auto"/>
              <w:bottom w:val="nil" w:sz="6" w:space="0" w:color="auto"/>
              <w:right w:val="nil" w:sz="6" w:space="0" w:color="auto"/>
            </w:tcBorders>
          </w:tcPr>
          <w:p>
            <w:pPr/>
          </w:p>
        </w:tc>
        <w:tc>
          <w:tcPr>
            <w:tcW w:w="1331" w:type="dxa"/>
            <w:tcBorders>
              <w:top w:val="single" w:sz="12" w:space="0" w:color="000000"/>
              <w:left w:val="nil" w:sz="6" w:space="0" w:color="auto"/>
              <w:bottom w:val="nil" w:sz="6" w:space="0" w:color="auto"/>
              <w:right w:val="nil" w:sz="6" w:space="0" w:color="auto"/>
            </w:tcBorders>
          </w:tcPr>
          <w:p>
            <w:pPr/>
          </w:p>
        </w:tc>
        <w:tc>
          <w:tcPr>
            <w:tcW w:w="1390" w:type="dxa"/>
            <w:tcBorders>
              <w:top w:val="single" w:sz="12" w:space="0" w:color="000000"/>
              <w:left w:val="nil" w:sz="6" w:space="0" w:color="auto"/>
              <w:bottom w:val="nil" w:sz="6" w:space="0" w:color="auto"/>
              <w:right w:val="nil" w:sz="6" w:space="0" w:color="auto"/>
            </w:tcBorders>
          </w:tcPr>
          <w:p>
            <w:pPr/>
          </w:p>
        </w:tc>
        <w:tc>
          <w:tcPr>
            <w:tcW w:w="1295" w:type="dxa"/>
            <w:tcBorders>
              <w:top w:val="single" w:sz="12" w:space="0" w:color="000000"/>
              <w:left w:val="nil" w:sz="6" w:space="0" w:color="auto"/>
              <w:bottom w:val="nil" w:sz="6" w:space="0" w:color="auto"/>
              <w:right w:val="nil" w:sz="6" w:space="0" w:color="auto"/>
            </w:tcBorders>
          </w:tcPr>
          <w:p>
            <w:pPr/>
          </w:p>
        </w:tc>
      </w:tr>
      <w:tr>
        <w:trPr>
          <w:trHeight w:val="338"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1447" w:val="left" w:leader="none"/>
              </w:tabs>
              <w:spacing w:line="240" w:lineRule="auto" w:before="22"/>
              <w:ind w:left="9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计提原因</w:t>
            </w:r>
            <w:r>
              <w:rPr>
                <w:rFonts w:ascii="宋体" w:hAnsi="宋体" w:cs="宋体" w:eastAsia="宋体" w:hint="default"/>
                <w:sz w:val="18"/>
                <w:szCs w:val="18"/>
              </w:rPr>
            </w:r>
          </w:p>
        </w:tc>
      </w:tr>
      <w:tr>
        <w:trPr>
          <w:trHeight w:val="345"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7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4"/>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1,527,914.30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06"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1,527,914.30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4"/>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4"/>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9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7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2" w:right="0"/>
              <w:jc w:val="left"/>
              <w:rPr>
                <w:rFonts w:ascii="宋体" w:hAnsi="宋体" w:cs="宋体" w:eastAsia="宋体" w:hint="default"/>
                <w:sz w:val="18"/>
                <w:szCs w:val="18"/>
              </w:rPr>
            </w:pPr>
            <w:r>
              <w:rPr>
                <w:rFonts w:ascii="宋体" w:hAnsi="宋体" w:cs="宋体" w:eastAsia="宋体" w:hint="default"/>
                <w:sz w:val="18"/>
                <w:szCs w:val="18"/>
              </w:rPr>
              <w:t>融资租入固定资产改良支出</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86" w:right="0"/>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07"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5" w:right="0"/>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2823"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19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1,527,914.30</w:t>
            </w: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06"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31" w:right="0"/>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67"/>
              <w:jc w:val="right"/>
              <w:rPr>
                <w:rFonts w:ascii="Times New Roman" w:hAnsi="Times New Roman" w:cs="Times New Roman" w:eastAsia="Times New Roman" w:hint="default"/>
                <w:sz w:val="18"/>
                <w:szCs w:val="18"/>
              </w:rPr>
            </w:pPr>
            <w:r>
              <w:rPr>
                <w:rFonts w:ascii="Times New Roman"/>
                <w:spacing w:val="-1"/>
                <w:sz w:val="18"/>
              </w:rPr>
              <w:t>1,527,914.30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97" w:lineRule="auto" w:before="18"/>
        <w:ind w:left="520" w:right="809" w:firstLine="420"/>
        <w:jc w:val="left"/>
        <w:rPr>
          <w:rFonts w:ascii="宋体" w:hAnsi="宋体" w:cs="宋体" w:eastAsia="宋体" w:hint="default"/>
          <w:sz w:val="21"/>
          <w:szCs w:val="21"/>
        </w:rPr>
      </w:pPr>
      <w:r>
        <w:rPr/>
        <w:pict>
          <v:group style="position:absolute;margin-left:214.919998pt;margin-top:-5.676024pt;width:260.7pt;height:.75pt;mso-position-horizontal-relative:page;mso-position-vertical-relative:paragraph;z-index:-624208" coordorigin="4298,-114" coordsize="5214,15">
            <v:group style="position:absolute;left:4306;top:-106;width:1308;height:2" coordorigin="4306,-106" coordsize="1308,2">
              <v:shape style="position:absolute;left:4306;top:-106;width:1308;height:2" coordorigin="4306,-106" coordsize="1308,0" path="m4306,-106l5614,-106e" filled="false" stroked="true" strokeweight=".72pt" strokecolor="#000000">
                <v:path arrowok="t"/>
              </v:shape>
            </v:group>
            <v:group style="position:absolute;left:5599;top:-106;width:105;height:2" coordorigin="5599,-106" coordsize="105,2">
              <v:shape style="position:absolute;left:5599;top:-106;width:105;height:2" coordorigin="5599,-106" coordsize="105,0" path="m5599,-106l5704,-106e" filled="false" stroked="true" strokeweight=".72pt" strokecolor="#000000">
                <v:path arrowok="t"/>
              </v:shape>
            </v:group>
            <v:group style="position:absolute;left:5704;top:-106;width:1208;height:2" coordorigin="5704,-106" coordsize="1208,2">
              <v:shape style="position:absolute;left:5704;top:-106;width:1208;height:2" coordorigin="5704,-106" coordsize="1208,0" path="m5704,-106l6911,-106e" filled="false" stroked="true" strokeweight=".72pt" strokecolor="#000000">
                <v:path arrowok="t"/>
              </v:shape>
            </v:group>
            <v:group style="position:absolute;left:6896;top:-106;width:105;height:2" coordorigin="6896,-106" coordsize="105,2">
              <v:shape style="position:absolute;left:6896;top:-106;width:105;height:2" coordorigin="6896,-106" coordsize="105,0" path="m6896,-106l7001,-106e" filled="false" stroked="true" strokeweight=".72pt" strokecolor="#000000">
                <v:path arrowok="t"/>
              </v:shape>
            </v:group>
            <v:group style="position:absolute;left:7001;top:-106;width:1208;height:2" coordorigin="7001,-106" coordsize="1208,2">
              <v:shape style="position:absolute;left:7001;top:-106;width:1208;height:2" coordorigin="7001,-106" coordsize="1208,0" path="m7001,-106l8208,-106e" filled="false" stroked="true" strokeweight=".72pt" strokecolor="#000000">
                <v:path arrowok="t"/>
              </v:shape>
            </v:group>
            <v:group style="position:absolute;left:8194;top:-106;width:105;height:2" coordorigin="8194,-106" coordsize="105,2">
              <v:shape style="position:absolute;left:8194;top:-106;width:105;height:2" coordorigin="8194,-106" coordsize="105,0" path="m8194,-106l8298,-106e" filled="false" stroked="true" strokeweight=".72pt" strokecolor="#000000">
                <v:path arrowok="t"/>
              </v:shape>
            </v:group>
            <v:group style="position:absolute;left:8298;top:-106;width:1208;height:2" coordorigin="8298,-106" coordsize="1208,2">
              <v:shape style="position:absolute;left:8298;top:-106;width:1208;height:2" coordorigin="8298,-106" coordsize="1208,0" path="m8298,-106l9505,-106e" filled="false" stroked="true" strokeweight=".72pt" strokecolor="#000000">
                <v:path arrowok="t"/>
              </v:shape>
            </v:group>
            <w10:wrap type="none"/>
          </v:group>
        </w:pict>
      </w:r>
      <w:r>
        <w:rPr>
          <w:rFonts w:ascii="宋体" w:hAnsi="宋体" w:cs="宋体" w:eastAsia="宋体" w:hint="default"/>
          <w:sz w:val="21"/>
          <w:szCs w:val="21"/>
        </w:rPr>
        <w:t>市价的计量结果表明，资产的市价低于其账面价值,本公司对低于其账面价值的差额计 提固定资产减值准备。</w:t>
      </w:r>
    </w:p>
    <w:p>
      <w:pPr>
        <w:spacing w:before="14"/>
        <w:ind w:left="940" w:right="802" w:firstLine="0"/>
        <w:jc w:val="left"/>
        <w:rPr>
          <w:rFonts w:ascii="宋体" w:hAnsi="宋体" w:cs="宋体" w:eastAsia="宋体" w:hint="default"/>
          <w:sz w:val="21"/>
          <w:szCs w:val="21"/>
        </w:rPr>
      </w:pPr>
      <w:r>
        <w:rPr>
          <w:rFonts w:ascii="宋体" w:hAnsi="宋体" w:cs="宋体" w:eastAsia="宋体" w:hint="default"/>
          <w:sz w:val="21"/>
          <w:szCs w:val="21"/>
        </w:rPr>
        <w:t>4、固定资产账面价值</w:t>
      </w:r>
    </w:p>
    <w:p>
      <w:pPr>
        <w:tabs>
          <w:tab w:pos="1685" w:val="left" w:leader="none"/>
          <w:tab w:pos="4209" w:val="left" w:leader="none"/>
          <w:tab w:pos="5583" w:val="left" w:leader="none"/>
          <w:tab w:pos="7136" w:val="left" w:leader="none"/>
          <w:tab w:pos="8871" w:val="left" w:leader="none"/>
        </w:tabs>
        <w:spacing w:before="101"/>
        <w:ind w:left="114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918" w:footer="950" w:top="1160" w:bottom="1140" w:left="1280" w:right="980"/>
        </w:sectPr>
      </w:pPr>
    </w:p>
    <w:p>
      <w:pPr>
        <w:spacing w:line="240" w:lineRule="auto" w:before="9"/>
        <w:rPr>
          <w:rFonts w:ascii="宋体" w:hAnsi="宋体" w:cs="宋体" w:eastAsia="宋体" w:hint="default"/>
          <w:sz w:val="22"/>
          <w:szCs w:val="22"/>
        </w:rPr>
      </w:pPr>
    </w:p>
    <w:tbl>
      <w:tblPr>
        <w:tblW w:w="0" w:type="auto"/>
        <w:jc w:val="left"/>
        <w:tblInd w:w="755" w:type="dxa"/>
        <w:tblLayout w:type="fixed"/>
        <w:tblCellMar>
          <w:top w:w="0" w:type="dxa"/>
          <w:left w:w="0" w:type="dxa"/>
          <w:bottom w:w="0" w:type="dxa"/>
          <w:right w:w="0" w:type="dxa"/>
        </w:tblCellMar>
        <w:tblLook w:val="01E0"/>
      </w:tblPr>
      <w:tblGrid>
        <w:gridCol w:w="2861"/>
        <w:gridCol w:w="1758"/>
        <w:gridCol w:w="1508"/>
        <w:gridCol w:w="1510"/>
        <w:gridCol w:w="1441"/>
      </w:tblGrid>
      <w:tr>
        <w:trPr>
          <w:trHeight w:val="365"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3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2"/>
              <w:jc w:val="right"/>
              <w:rPr>
                <w:rFonts w:ascii="Times New Roman" w:hAnsi="Times New Roman" w:cs="Times New Roman" w:eastAsia="Times New Roman" w:hint="default"/>
                <w:sz w:val="18"/>
                <w:szCs w:val="18"/>
              </w:rPr>
            </w:pPr>
            <w:r>
              <w:rPr>
                <w:rFonts w:ascii="Times New Roman"/>
                <w:spacing w:val="-1"/>
                <w:sz w:val="18"/>
              </w:rPr>
              <w:t>30,571,554.34</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6"/>
              <w:jc w:val="right"/>
              <w:rPr>
                <w:rFonts w:ascii="Times New Roman" w:hAnsi="Times New Roman" w:cs="Times New Roman" w:eastAsia="Times New Roman" w:hint="default"/>
                <w:sz w:val="18"/>
                <w:szCs w:val="18"/>
              </w:rPr>
            </w:pPr>
            <w:r>
              <w:rPr>
                <w:rFonts w:ascii="Times New Roman"/>
                <w:sz w:val="18"/>
              </w:rPr>
              <w:t>253,737.49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3"/>
              <w:jc w:val="right"/>
              <w:rPr>
                <w:rFonts w:ascii="Times New Roman" w:hAnsi="Times New Roman" w:cs="Times New Roman" w:eastAsia="Times New Roman" w:hint="default"/>
                <w:sz w:val="18"/>
                <w:szCs w:val="18"/>
              </w:rPr>
            </w:pPr>
            <w:r>
              <w:rPr>
                <w:rFonts w:ascii="Times New Roman"/>
                <w:sz w:val="18"/>
              </w:rPr>
              <w:t>553,597.37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30,271,694.46</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1"/>
              <w:jc w:val="right"/>
              <w:rPr>
                <w:rFonts w:ascii="Times New Roman" w:hAnsi="Times New Roman" w:cs="Times New Roman" w:eastAsia="Times New Roman" w:hint="default"/>
                <w:sz w:val="18"/>
                <w:szCs w:val="18"/>
              </w:rPr>
            </w:pPr>
            <w:r>
              <w:rPr>
                <w:rFonts w:ascii="Times New Roman"/>
                <w:spacing w:val="-1"/>
                <w:sz w:val="18"/>
              </w:rPr>
              <w:t>137,393,119.35</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pacing w:val="-1"/>
                <w:sz w:val="18"/>
              </w:rPr>
              <w:t>4,084,404.99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pacing w:val="-1"/>
                <w:sz w:val="18"/>
              </w:rPr>
              <w:t>17,636,290.99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123,841,233.35</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Times New Roman" w:hAnsi="Times New Roman" w:cs="Times New Roman" w:eastAsia="Times New Roman" w:hint="default"/>
                <w:sz w:val="18"/>
                <w:szCs w:val="18"/>
              </w:rPr>
            </w:pPr>
            <w:r>
              <w:rPr>
                <w:rFonts w:ascii="Times New Roman"/>
                <w:spacing w:val="-1"/>
                <w:sz w:val="18"/>
              </w:rPr>
              <w:t>6,112,566.07</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Times New Roman" w:hAnsi="Times New Roman" w:cs="Times New Roman" w:eastAsia="Times New Roman" w:hint="default"/>
                <w:sz w:val="18"/>
                <w:szCs w:val="18"/>
              </w:rPr>
            </w:pPr>
            <w:r>
              <w:rPr>
                <w:rFonts w:ascii="Times New Roman"/>
                <w:spacing w:val="-1"/>
                <w:sz w:val="18"/>
              </w:rPr>
              <w:t>2,062,393.00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z w:val="18"/>
              </w:rPr>
              <w:t>862,686.47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7,312,272.60</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4"/>
              <w:jc w:val="right"/>
              <w:rPr>
                <w:rFonts w:ascii="Times New Roman" w:hAnsi="Times New Roman" w:cs="Times New Roman" w:eastAsia="Times New Roman" w:hint="default"/>
                <w:sz w:val="18"/>
                <w:szCs w:val="18"/>
              </w:rPr>
            </w:pPr>
            <w:r>
              <w:rPr>
                <w:rFonts w:ascii="Times New Roman"/>
                <w:spacing w:val="-1"/>
                <w:sz w:val="18"/>
              </w:rPr>
              <w:t>3,812,196.38</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7"/>
              <w:jc w:val="right"/>
              <w:rPr>
                <w:rFonts w:ascii="Times New Roman" w:hAnsi="Times New Roman" w:cs="Times New Roman" w:eastAsia="Times New Roman" w:hint="default"/>
                <w:sz w:val="18"/>
                <w:szCs w:val="18"/>
              </w:rPr>
            </w:pPr>
            <w:r>
              <w:rPr>
                <w:rFonts w:ascii="Times New Roman"/>
                <w:spacing w:val="-1"/>
                <w:sz w:val="18"/>
              </w:rPr>
              <w:t>2,285,070.53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8"/>
                <w:szCs w:val="18"/>
              </w:rPr>
            </w:pPr>
            <w:r>
              <w:rPr>
                <w:rFonts w:ascii="Times New Roman"/>
                <w:sz w:val="18"/>
              </w:rPr>
              <w:t>981,757.09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pacing w:val="-1"/>
                <w:sz w:val="18"/>
              </w:rPr>
              <w:t>5,115,509.82</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0"/>
              <w:jc w:val="center"/>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2"/>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0"/>
              <w:jc w:val="center"/>
              <w:rPr>
                <w:rFonts w:ascii="宋体" w:hAnsi="宋体" w:cs="宋体" w:eastAsia="宋体" w:hint="default"/>
                <w:sz w:val="18"/>
                <w:szCs w:val="18"/>
              </w:rPr>
            </w:pPr>
            <w:r>
              <w:rPr>
                <w:rFonts w:ascii="宋体" w:hAnsi="宋体" w:cs="宋体" w:eastAsia="宋体" w:hint="default"/>
                <w:sz w:val="18"/>
                <w:szCs w:val="18"/>
              </w:rPr>
              <w:t>固定资产装修</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2"/>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6"/>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z w:val="18"/>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0"/>
              <w:jc w:val="center"/>
              <w:rPr>
                <w:rFonts w:ascii="宋体" w:hAnsi="宋体" w:cs="宋体" w:eastAsia="宋体" w:hint="default"/>
                <w:sz w:val="18"/>
                <w:szCs w:val="18"/>
              </w:rPr>
            </w:pPr>
            <w:r>
              <w:rPr>
                <w:rFonts w:ascii="宋体" w:hAnsi="宋体" w:cs="宋体" w:eastAsia="宋体" w:hint="default"/>
                <w:sz w:val="18"/>
                <w:szCs w:val="18"/>
              </w:rPr>
              <w:t>融资租入固定资产改良支出</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02"/>
              <w:jc w:val="right"/>
              <w:rPr>
                <w:rFonts w:ascii="Times New Roman" w:hAnsi="Times New Roman" w:cs="Times New Roman" w:eastAsia="Times New Roman" w:hint="default"/>
                <w:sz w:val="18"/>
                <w:szCs w:val="18"/>
              </w:rPr>
            </w:pPr>
            <w:r>
              <w:rPr>
                <w:rFonts w:ascii="Times New Roman"/>
                <w:sz w:val="18"/>
              </w:rPr>
              <w:t>---</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13"/>
              <w:jc w:val="right"/>
              <w:rPr>
                <w:rFonts w:ascii="Times New Roman" w:hAnsi="Times New Roman" w:cs="Times New Roman" w:eastAsia="Times New Roman" w:hint="default"/>
                <w:sz w:val="18"/>
                <w:szCs w:val="18"/>
              </w:rPr>
            </w:pPr>
            <w:r>
              <w:rPr>
                <w:rFonts w:ascii="Times New Roman"/>
                <w:sz w:val="18"/>
              </w:rPr>
              <w:t>---</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286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2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01"/>
              <w:jc w:val="right"/>
              <w:rPr>
                <w:rFonts w:ascii="Times New Roman" w:hAnsi="Times New Roman" w:cs="Times New Roman" w:eastAsia="Times New Roman" w:hint="default"/>
                <w:sz w:val="18"/>
                <w:szCs w:val="18"/>
              </w:rPr>
            </w:pPr>
            <w:r>
              <w:rPr>
                <w:rFonts w:ascii="Times New Roman"/>
                <w:spacing w:val="-1"/>
                <w:sz w:val="18"/>
              </w:rPr>
              <w:t>177,889,436.14</w:t>
            </w: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56"/>
              <w:jc w:val="right"/>
              <w:rPr>
                <w:rFonts w:ascii="Times New Roman" w:hAnsi="Times New Roman" w:cs="Times New Roman" w:eastAsia="Times New Roman" w:hint="default"/>
                <w:sz w:val="18"/>
                <w:szCs w:val="18"/>
              </w:rPr>
            </w:pPr>
            <w:r>
              <w:rPr>
                <w:rFonts w:ascii="Times New Roman"/>
                <w:spacing w:val="-1"/>
                <w:sz w:val="18"/>
              </w:rPr>
              <w:t>8,685,606.01</w:t>
            </w: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13"/>
              <w:jc w:val="right"/>
              <w:rPr>
                <w:rFonts w:ascii="Times New Roman" w:hAnsi="Times New Roman" w:cs="Times New Roman" w:eastAsia="Times New Roman" w:hint="default"/>
                <w:sz w:val="18"/>
                <w:szCs w:val="18"/>
              </w:rPr>
            </w:pPr>
            <w:r>
              <w:rPr>
                <w:rFonts w:ascii="Times New Roman"/>
                <w:spacing w:val="-1"/>
                <w:sz w:val="18"/>
              </w:rPr>
              <w:t>20,034,331.92</w:t>
            </w: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166,540,710.23</w:t>
            </w:r>
          </w:p>
        </w:tc>
      </w:tr>
    </w:tbl>
    <w:p>
      <w:pPr>
        <w:spacing w:line="297" w:lineRule="auto" w:before="12"/>
        <w:ind w:left="840" w:right="805" w:firstLine="420"/>
        <w:jc w:val="left"/>
        <w:rPr>
          <w:rFonts w:ascii="宋体" w:hAnsi="宋体" w:cs="宋体" w:eastAsia="宋体" w:hint="default"/>
          <w:sz w:val="21"/>
          <w:szCs w:val="21"/>
        </w:rPr>
      </w:pPr>
      <w:r>
        <w:rPr/>
        <w:pict>
          <v:group style="position:absolute;margin-left:228.12001pt;margin-top:-5.976017pt;width:312.25pt;height:.75pt;mso-position-horizontal-relative:page;mso-position-vertical-relative:paragraph;z-index:-624184" coordorigin="4562,-120" coordsize="6245,15">
            <v:group style="position:absolute;left:4570;top:-112;width:1569;height:2" coordorigin="4570,-112" coordsize="1569,2">
              <v:shape style="position:absolute;left:4570;top:-112;width:1569;height:2" coordorigin="4570,-112" coordsize="1569,0" path="m4570,-112l6138,-112e" filled="false" stroked="true" strokeweight=".71997pt" strokecolor="#000000">
                <v:path arrowok="t"/>
              </v:shape>
            </v:group>
            <v:group style="position:absolute;left:6124;top:-112;width:105;height:2" coordorigin="6124,-112" coordsize="105,2">
              <v:shape style="position:absolute;left:6124;top:-112;width:105;height:2" coordorigin="6124,-112" coordsize="105,0" path="m6124,-112l6228,-112e" filled="false" stroked="true" strokeweight=".71997pt" strokecolor="#000000">
                <v:path arrowok="t"/>
              </v:shape>
            </v:group>
            <v:group style="position:absolute;left:6228;top:-112;width:1464;height:2" coordorigin="6228,-112" coordsize="1464,2">
              <v:shape style="position:absolute;left:6228;top:-112;width:1464;height:2" coordorigin="6228,-112" coordsize="1464,0" path="m6228,-112l7692,-112e" filled="false" stroked="true" strokeweight=".71997pt" strokecolor="#000000">
                <v:path arrowok="t"/>
              </v:shape>
            </v:group>
            <v:group style="position:absolute;left:7678;top:-112;width:105;height:2" coordorigin="7678,-112" coordsize="105,2">
              <v:shape style="position:absolute;left:7678;top:-112;width:105;height:2" coordorigin="7678,-112" coordsize="105,0" path="m7678,-112l7782,-112e" filled="false" stroked="true" strokeweight=".71997pt" strokecolor="#000000">
                <v:path arrowok="t"/>
              </v:shape>
            </v:group>
            <v:group style="position:absolute;left:7782;top:-112;width:1463;height:2" coordorigin="7782,-112" coordsize="1463,2">
              <v:shape style="position:absolute;left:7782;top:-112;width:1463;height:2" coordorigin="7782,-112" coordsize="1463,0" path="m7782,-112l9245,-112e" filled="false" stroked="true" strokeweight=".71997pt" strokecolor="#000000">
                <v:path arrowok="t"/>
              </v:shape>
            </v:group>
            <v:group style="position:absolute;left:9230;top:-112;width:105;height:2" coordorigin="9230,-112" coordsize="105,2">
              <v:shape style="position:absolute;left:9230;top:-112;width:105;height:2" coordorigin="9230,-112" coordsize="105,0" path="m9230,-112l9335,-112e" filled="false" stroked="true" strokeweight=".71997pt" strokecolor="#000000">
                <v:path arrowok="t"/>
              </v:shape>
            </v:group>
            <v:group style="position:absolute;left:9335;top:-112;width:1466;height:2" coordorigin="9335,-112" coordsize="1466,2">
              <v:shape style="position:absolute;left:9335;top:-112;width:1466;height:2" coordorigin="9335,-112" coordsize="1466,0" path="m9335,-112l10800,-112e" filled="false" stroked="true" strokeweight=".71997pt" strokecolor="#000000">
                <v:path arrowok="t"/>
              </v:shape>
            </v:group>
            <w10:wrap type="none"/>
          </v:group>
        </w:pict>
      </w:r>
      <w:r>
        <w:rPr>
          <w:rFonts w:ascii="宋体" w:hAnsi="宋体" w:cs="宋体" w:eastAsia="宋体" w:hint="default"/>
          <w:sz w:val="21"/>
          <w:szCs w:val="21"/>
        </w:rPr>
        <w:t>5、 累计折旧年末数比年初数增加</w:t>
      </w:r>
      <w:r>
        <w:rPr>
          <w:rFonts w:ascii="宋体" w:hAnsi="宋体" w:cs="宋体" w:eastAsia="宋体" w:hint="default"/>
          <w:spacing w:val="-52"/>
          <w:sz w:val="21"/>
          <w:szCs w:val="21"/>
        </w:rPr>
        <w:t> </w:t>
      </w:r>
      <w:r>
        <w:rPr>
          <w:rFonts w:ascii="宋体" w:hAnsi="宋体" w:cs="宋体" w:eastAsia="宋体" w:hint="default"/>
          <w:sz w:val="21"/>
          <w:szCs w:val="21"/>
        </w:rPr>
        <w:t>15,279,538.61</w:t>
      </w:r>
      <w:r>
        <w:rPr>
          <w:rFonts w:ascii="宋体" w:hAnsi="宋体" w:cs="宋体" w:eastAsia="宋体" w:hint="default"/>
          <w:spacing w:val="2"/>
          <w:sz w:val="21"/>
          <w:szCs w:val="21"/>
        </w:rPr>
        <w:t> </w:t>
      </w:r>
      <w:r>
        <w:rPr>
          <w:rFonts w:ascii="宋体" w:hAnsi="宋体" w:cs="宋体" w:eastAsia="宋体" w:hint="default"/>
          <w:spacing w:val="-7"/>
          <w:sz w:val="21"/>
          <w:szCs w:val="21"/>
        </w:rPr>
        <w:t>元，增加比例为</w:t>
      </w:r>
      <w:r>
        <w:rPr>
          <w:rFonts w:ascii="宋体" w:hAnsi="宋体" w:cs="宋体" w:eastAsia="宋体" w:hint="default"/>
          <w:spacing w:val="-52"/>
          <w:sz w:val="21"/>
          <w:szCs w:val="21"/>
        </w:rPr>
        <w:t> </w:t>
      </w:r>
      <w:r>
        <w:rPr>
          <w:rFonts w:ascii="宋体" w:hAnsi="宋体" w:cs="宋体" w:eastAsia="宋体" w:hint="default"/>
          <w:spacing w:val="-5"/>
          <w:sz w:val="21"/>
          <w:szCs w:val="21"/>
        </w:rPr>
        <w:t>43.11％，增加原因</w:t>
      </w:r>
      <w:r>
        <w:rPr>
          <w:rFonts w:ascii="宋体" w:hAnsi="宋体" w:cs="宋体" w:eastAsia="宋体" w:hint="default"/>
          <w:sz w:val="21"/>
          <w:szCs w:val="21"/>
        </w:rPr>
        <w:t> 为：公司计提折旧所致。</w:t>
      </w:r>
    </w:p>
    <w:p>
      <w:pPr>
        <w:spacing w:before="14"/>
        <w:ind w:left="1379" w:right="805" w:firstLine="0"/>
        <w:jc w:val="left"/>
        <w:rPr>
          <w:rFonts w:ascii="宋体" w:hAnsi="宋体" w:cs="宋体" w:eastAsia="宋体" w:hint="default"/>
          <w:sz w:val="21"/>
          <w:szCs w:val="21"/>
        </w:rPr>
      </w:pPr>
      <w:r>
        <w:rPr>
          <w:rFonts w:ascii="宋体" w:hAnsi="宋体" w:cs="宋体" w:eastAsia="宋体" w:hint="default"/>
          <w:b/>
          <w:bCs/>
          <w:sz w:val="21"/>
          <w:szCs w:val="21"/>
        </w:rPr>
        <w:t>（十一）在建工程</w:t>
      </w:r>
      <w:r>
        <w:rPr>
          <w:rFonts w:ascii="宋体" w:hAnsi="宋体" w:cs="宋体" w:eastAsia="宋体" w:hint="default"/>
          <w:sz w:val="21"/>
          <w:szCs w:val="21"/>
        </w:rPr>
      </w:r>
    </w:p>
    <w:p>
      <w:pPr>
        <w:tabs>
          <w:tab w:pos="7589" w:val="left" w:leader="none"/>
        </w:tabs>
        <w:spacing w:before="101"/>
        <w:ind w:left="3450" w:right="805"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7"/>
        <w:rPr>
          <w:rFonts w:ascii="宋体" w:hAnsi="宋体" w:cs="宋体" w:eastAsia="宋体" w:hint="default"/>
          <w:sz w:val="3"/>
          <w:szCs w:val="3"/>
        </w:rPr>
      </w:pPr>
    </w:p>
    <w:tbl>
      <w:tblPr>
        <w:tblW w:w="0" w:type="auto"/>
        <w:jc w:val="left"/>
        <w:tblInd w:w="257" w:type="dxa"/>
        <w:tblLayout w:type="fixed"/>
        <w:tblCellMar>
          <w:top w:w="0" w:type="dxa"/>
          <w:left w:w="0" w:type="dxa"/>
          <w:bottom w:w="0" w:type="dxa"/>
          <w:right w:w="0" w:type="dxa"/>
        </w:tblCellMar>
        <w:tblLook w:val="01E0"/>
      </w:tblPr>
      <w:tblGrid>
        <w:gridCol w:w="1295"/>
        <w:gridCol w:w="1440"/>
        <w:gridCol w:w="233"/>
        <w:gridCol w:w="1120"/>
        <w:gridCol w:w="238"/>
        <w:gridCol w:w="1297"/>
        <w:gridCol w:w="1253"/>
        <w:gridCol w:w="233"/>
        <w:gridCol w:w="1027"/>
        <w:gridCol w:w="233"/>
        <w:gridCol w:w="1207"/>
      </w:tblGrid>
      <w:tr>
        <w:trPr>
          <w:trHeight w:val="728" w:hRule="exact"/>
        </w:trPr>
        <w:tc>
          <w:tcPr>
            <w:tcW w:w="129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129" w:lineRule="exact"/>
              <w:ind w:right="14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44"/>
              <w:jc w:val="center"/>
              <w:rPr>
                <w:rFonts w:ascii="宋体" w:hAnsi="宋体" w:cs="宋体" w:eastAsia="宋体" w:hint="default"/>
                <w:sz w:val="18"/>
                <w:szCs w:val="18"/>
              </w:rPr>
            </w:pPr>
            <w:r>
              <w:rPr>
                <w:rFonts w:ascii="宋体" w:hAnsi="宋体" w:cs="宋体" w:eastAsia="宋体" w:hint="default"/>
                <w:sz w:val="18"/>
                <w:szCs w:val="18"/>
              </w:rPr>
              <w:t>实益达科技园</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5" w:right="0"/>
              <w:jc w:val="left"/>
              <w:rPr>
                <w:rFonts w:ascii="宋体" w:hAnsi="宋体" w:cs="宋体" w:eastAsia="宋体" w:hint="default"/>
                <w:sz w:val="21"/>
                <w:szCs w:val="21"/>
              </w:rPr>
            </w:pPr>
            <w:r>
              <w:rPr>
                <w:rFonts w:ascii="宋体" w:hAnsi="宋体" w:cs="宋体" w:eastAsia="宋体" w:hint="default"/>
                <w:sz w:val="21"/>
                <w:szCs w:val="21"/>
              </w:rPr>
              <w:t>账面余额</w:t>
            </w:r>
          </w:p>
          <w:p>
            <w:pPr>
              <w:pStyle w:val="TableParagraph"/>
              <w:spacing w:line="240" w:lineRule="auto" w:before="143"/>
              <w:ind w:left="303" w:right="0"/>
              <w:jc w:val="left"/>
              <w:rPr>
                <w:rFonts w:ascii="Times New Roman" w:hAnsi="Times New Roman" w:cs="Times New Roman" w:eastAsia="Times New Roman" w:hint="default"/>
                <w:sz w:val="18"/>
                <w:szCs w:val="18"/>
              </w:rPr>
            </w:pPr>
            <w:r>
              <w:rPr>
                <w:rFonts w:ascii="Times New Roman"/>
                <w:sz w:val="18"/>
              </w:rPr>
              <w:t>65,933,224.40</w:t>
            </w:r>
          </w:p>
        </w:tc>
        <w:tc>
          <w:tcPr>
            <w:tcW w:w="233" w:type="dxa"/>
            <w:tcBorders>
              <w:top w:val="single" w:sz="4" w:space="0" w:color="000000"/>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8" w:right="0"/>
              <w:jc w:val="center"/>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40" w:lineRule="auto" w:before="147"/>
              <w:ind w:left="17" w:right="0"/>
              <w:jc w:val="center"/>
              <w:rPr>
                <w:rFonts w:ascii="Times New Roman" w:hAnsi="Times New Roman" w:cs="Times New Roman" w:eastAsia="Times New Roman" w:hint="default"/>
                <w:sz w:val="18"/>
                <w:szCs w:val="18"/>
              </w:rPr>
            </w:pPr>
            <w:r>
              <w:rPr>
                <w:rFonts w:ascii="Times New Roman"/>
                <w:sz w:val="18"/>
              </w:rPr>
              <w:t>---</w:t>
            </w:r>
          </w:p>
        </w:tc>
        <w:tc>
          <w:tcPr>
            <w:tcW w:w="238" w:type="dxa"/>
            <w:tcBorders>
              <w:top w:val="single" w:sz="4" w:space="0" w:color="000000"/>
              <w:left w:val="nil" w:sz="6" w:space="0" w:color="auto"/>
              <w:bottom w:val="nil" w:sz="6" w:space="0" w:color="auto"/>
              <w:right w:val="nil" w:sz="6" w:space="0" w:color="auto"/>
            </w:tcBorders>
          </w:tcPr>
          <w:p>
            <w:pP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8"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40" w:lineRule="auto" w:before="143"/>
              <w:ind w:left="153" w:right="0"/>
              <w:jc w:val="left"/>
              <w:rPr>
                <w:rFonts w:ascii="Times New Roman" w:hAnsi="Times New Roman" w:cs="Times New Roman" w:eastAsia="Times New Roman" w:hint="default"/>
                <w:sz w:val="18"/>
                <w:szCs w:val="18"/>
              </w:rPr>
            </w:pPr>
            <w:r>
              <w:rPr>
                <w:rFonts w:ascii="Times New Roman"/>
                <w:sz w:val="18"/>
              </w:rPr>
              <w:t>65,933,224.40</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账面余额</w:t>
            </w:r>
          </w:p>
          <w:p>
            <w:pPr>
              <w:pStyle w:val="TableParagraph"/>
              <w:spacing w:line="240" w:lineRule="auto" w:before="143"/>
              <w:ind w:left="205" w:right="0"/>
              <w:jc w:val="left"/>
              <w:rPr>
                <w:rFonts w:ascii="Times New Roman" w:hAnsi="Times New Roman" w:cs="Times New Roman" w:eastAsia="Times New Roman" w:hint="default"/>
                <w:sz w:val="18"/>
                <w:szCs w:val="18"/>
              </w:rPr>
            </w:pPr>
            <w:r>
              <w:rPr>
                <w:rFonts w:ascii="Times New Roman"/>
                <w:sz w:val="18"/>
              </w:rPr>
              <w:t>1,257,881.19</w:t>
            </w:r>
          </w:p>
        </w:tc>
        <w:tc>
          <w:tcPr>
            <w:tcW w:w="233"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6" w:right="0"/>
              <w:jc w:val="center"/>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40" w:lineRule="auto" w:before="147"/>
              <w:ind w:left="16" w:right="0"/>
              <w:jc w:val="center"/>
              <w:rPr>
                <w:rFonts w:ascii="Times New Roman" w:hAnsi="Times New Roman" w:cs="Times New Roman" w:eastAsia="Times New Roman" w:hint="default"/>
                <w:sz w:val="18"/>
                <w:szCs w:val="18"/>
              </w:rPr>
            </w:pPr>
            <w:r>
              <w:rPr>
                <w:rFonts w:ascii="Times New Roman"/>
                <w:sz w:val="18"/>
              </w:rPr>
              <w:t>---</w:t>
            </w:r>
          </w:p>
        </w:tc>
        <w:tc>
          <w:tcPr>
            <w:tcW w:w="233"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8"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40" w:lineRule="auto" w:before="143"/>
              <w:ind w:left="160" w:right="0"/>
              <w:jc w:val="left"/>
              <w:rPr>
                <w:rFonts w:ascii="Times New Roman" w:hAnsi="Times New Roman" w:cs="Times New Roman" w:eastAsia="Times New Roman" w:hint="default"/>
                <w:sz w:val="18"/>
                <w:szCs w:val="18"/>
              </w:rPr>
            </w:pPr>
            <w:r>
              <w:rPr>
                <w:rFonts w:ascii="Times New Roman"/>
                <w:sz w:val="18"/>
              </w:rPr>
              <w:t>1,257,881.19</w:t>
            </w:r>
          </w:p>
        </w:tc>
      </w:tr>
      <w:tr>
        <w:trPr>
          <w:trHeight w:val="302"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4" w:right="0"/>
              <w:jc w:val="left"/>
              <w:rPr>
                <w:rFonts w:ascii="宋体" w:hAnsi="宋体" w:cs="宋体" w:eastAsia="宋体" w:hint="default"/>
                <w:sz w:val="18"/>
                <w:szCs w:val="18"/>
              </w:rPr>
            </w:pPr>
            <w:r>
              <w:rPr>
                <w:rFonts w:ascii="宋体" w:hAnsi="宋体" w:cs="宋体" w:eastAsia="宋体" w:hint="default"/>
                <w:sz w:val="18"/>
                <w:szCs w:val="18"/>
              </w:rPr>
              <w:t>一期厂房</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290,263.45</w:t>
            </w:r>
          </w:p>
        </w:tc>
        <w:tc>
          <w:tcPr>
            <w:tcW w:w="233"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458"/>
              <w:jc w:val="right"/>
              <w:rPr>
                <w:rFonts w:ascii="Times New Roman" w:hAnsi="Times New Roman" w:cs="Times New Roman" w:eastAsia="Times New Roman" w:hint="default"/>
                <w:sz w:val="18"/>
                <w:szCs w:val="18"/>
              </w:rPr>
            </w:pPr>
            <w:r>
              <w:rPr>
                <w:rFonts w:ascii="Times New Roman"/>
                <w:sz w:val="18"/>
              </w:rPr>
              <w:t>---</w:t>
            </w:r>
          </w:p>
        </w:tc>
        <w:tc>
          <w:tcPr>
            <w:tcW w:w="238"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z w:val="18"/>
              </w:rPr>
              <w:t>290,263.45</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398,108.45</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6" w:right="0"/>
              <w:jc w:val="center"/>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398,108.45</w:t>
            </w:r>
          </w:p>
        </w:tc>
      </w:tr>
      <w:tr>
        <w:trPr>
          <w:trHeight w:val="435" w:hRule="exact"/>
        </w:trPr>
        <w:tc>
          <w:tcPr>
            <w:tcW w:w="1295" w:type="dxa"/>
            <w:tcBorders>
              <w:top w:val="nil" w:sz="6" w:space="0" w:color="auto"/>
              <w:left w:val="nil" w:sz="6" w:space="0" w:color="auto"/>
              <w:bottom w:val="nil" w:sz="6" w:space="0" w:color="auto"/>
              <w:right w:val="nil" w:sz="6" w:space="0" w:color="auto"/>
            </w:tcBorders>
          </w:tcPr>
          <w:p>
            <w:pPr>
              <w:pStyle w:val="TableParagraph"/>
              <w:tabs>
                <w:tab w:pos="762" w:val="left" w:leader="none"/>
              </w:tabs>
              <w:spacing w:line="240" w:lineRule="auto" w:before="67"/>
              <w:ind w:left="2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66,223,487.85</w:t>
            </w:r>
          </w:p>
        </w:tc>
        <w:tc>
          <w:tcPr>
            <w:tcW w:w="233" w:type="dxa"/>
            <w:tcBorders>
              <w:top w:val="nil" w:sz="6" w:space="0" w:color="auto"/>
              <w:left w:val="nil" w:sz="6" w:space="0" w:color="auto"/>
              <w:bottom w:val="nil" w:sz="6" w:space="0" w:color="auto"/>
              <w:right w:val="nil" w:sz="6" w:space="0" w:color="auto"/>
            </w:tcBorders>
          </w:tcPr>
          <w:p>
            <w:pPr/>
          </w:p>
        </w:tc>
        <w:tc>
          <w:tcPr>
            <w:tcW w:w="1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458"/>
              <w:jc w:val="right"/>
              <w:rPr>
                <w:rFonts w:ascii="Times New Roman" w:hAnsi="Times New Roman" w:cs="Times New Roman" w:eastAsia="Times New Roman" w:hint="default"/>
                <w:sz w:val="18"/>
                <w:szCs w:val="18"/>
              </w:rPr>
            </w:pPr>
            <w:r>
              <w:rPr>
                <w:rFonts w:ascii="Times New Roman"/>
                <w:sz w:val="18"/>
              </w:rPr>
              <w:t>---</w:t>
            </w:r>
          </w:p>
        </w:tc>
        <w:tc>
          <w:tcPr>
            <w:tcW w:w="238" w:type="dxa"/>
            <w:tcBorders>
              <w:top w:val="nil" w:sz="6" w:space="0" w:color="auto"/>
              <w:left w:val="nil" w:sz="6" w:space="0" w:color="auto"/>
              <w:bottom w:val="nil" w:sz="6" w:space="0" w:color="auto"/>
              <w:right w:val="nil" w:sz="6" w:space="0" w:color="auto"/>
            </w:tcBorders>
          </w:tcPr>
          <w:p>
            <w:pPr/>
          </w:p>
        </w:tc>
        <w:tc>
          <w:tcPr>
            <w:tcW w:w="12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spacing w:val="-1"/>
                <w:sz w:val="18"/>
              </w:rPr>
              <w:t>66,223,487.85</w:t>
            </w:r>
          </w:p>
        </w:tc>
        <w:tc>
          <w:tcPr>
            <w:tcW w:w="12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1,655,989.64</w:t>
            </w:r>
          </w:p>
        </w:tc>
        <w:tc>
          <w:tcPr>
            <w:tcW w:w="233"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c>
          <w:tcPr>
            <w:tcW w:w="233"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1,655,989.64</w:t>
            </w:r>
          </w:p>
        </w:tc>
      </w:tr>
    </w:tbl>
    <w:p>
      <w:pPr>
        <w:spacing w:before="12"/>
        <w:ind w:left="1260" w:right="805" w:firstLine="0"/>
        <w:jc w:val="left"/>
        <w:rPr>
          <w:rFonts w:ascii="宋体" w:hAnsi="宋体" w:cs="宋体" w:eastAsia="宋体" w:hint="default"/>
          <w:sz w:val="21"/>
          <w:szCs w:val="21"/>
        </w:rPr>
      </w:pPr>
      <w:r>
        <w:rPr/>
        <w:pict>
          <v:group style="position:absolute;margin-left:125.279999pt;margin-top:-5.616029pt;width:72.75pt;height:.1pt;mso-position-horizontal-relative:page;mso-position-vertical-relative:paragraph;z-index:-624160" coordorigin="2506,-112" coordsize="1455,2">
            <v:shape style="position:absolute;left:2506;top:-112;width:1455;height:2" coordorigin="2506,-112" coordsize="1455,0" path="m2506,-112l3960,-112e" filled="false" stroked="true" strokeweight=".72pt" strokecolor="#000000">
              <v:path arrowok="t"/>
            </v:shape>
            <w10:wrap type="none"/>
          </v:group>
        </w:pict>
      </w:r>
      <w:r>
        <w:rPr/>
        <w:pict>
          <v:group style="position:absolute;margin-left:209.100006pt;margin-top:-5.616029pt;width:56.55pt;height:.1pt;mso-position-horizontal-relative:page;mso-position-vertical-relative:paragraph;z-index:-624136" coordorigin="4182,-112" coordsize="1131,2">
            <v:shape style="position:absolute;left:4182;top:-112;width:1131;height:2" coordorigin="4182,-112" coordsize="1131,0" path="m4182,-112l5312,-112e" filled="false" stroked="true" strokeweight=".72pt" strokecolor="#000000">
              <v:path arrowok="t"/>
            </v:shape>
            <w10:wrap type="none"/>
          </v:group>
        </w:pict>
      </w:r>
      <w:r>
        <w:rPr/>
        <w:pict>
          <v:group style="position:absolute;margin-left:276.600006pt;margin-top:-5.976029pt;width:128.8pt;height:.75pt;mso-position-horizontal-relative:page;mso-position-vertical-relative:paragraph;z-index:-624112" coordorigin="5532,-120" coordsize="2576,15">
            <v:group style="position:absolute;left:5539;top:-112;width:1301;height:2" coordorigin="5539,-112" coordsize="1301,2">
              <v:shape style="position:absolute;left:5539;top:-112;width:1301;height:2" coordorigin="5539,-112" coordsize="1301,0" path="m5539,-112l6840,-112e" filled="false" stroked="true" strokeweight=".72pt" strokecolor="#000000">
                <v:path arrowok="t"/>
              </v:shape>
            </v:group>
            <v:group style="position:absolute;left:6826;top:-112;width:105;height:2" coordorigin="6826,-112" coordsize="105,2">
              <v:shape style="position:absolute;left:6826;top:-112;width:105;height:2" coordorigin="6826,-112" coordsize="105,0" path="m6826,-112l6930,-112e" filled="false" stroked="true" strokeweight=".72pt" strokecolor="#000000">
                <v:path arrowok="t"/>
              </v:shape>
            </v:group>
            <v:group style="position:absolute;left:6930;top:-112;width:1170;height:2" coordorigin="6930,-112" coordsize="1170,2">
              <v:shape style="position:absolute;left:6930;top:-112;width:1170;height:2" coordorigin="6930,-112" coordsize="1170,0" path="m6930,-112l8100,-112e" filled="false" stroked="true" strokeweight=".72pt" strokecolor="#000000">
                <v:path arrowok="t"/>
              </v:shape>
            </v:group>
            <w10:wrap type="none"/>
          </v:group>
        </w:pict>
      </w:r>
      <w:r>
        <w:rPr/>
        <w:pict>
          <v:group style="position:absolute;margin-left:416.100006pt;margin-top:-5.616029pt;width:51.9pt;height:.1pt;mso-position-horizontal-relative:page;mso-position-vertical-relative:paragraph;z-index:-624088" coordorigin="8322,-112" coordsize="1038,2">
            <v:shape style="position:absolute;left:8322;top:-112;width:1038;height:2" coordorigin="8322,-112" coordsize="1038,0" path="m8322,-112l9360,-112e" filled="false" stroked="true" strokeweight=".72pt" strokecolor="#000000">
              <v:path arrowok="t"/>
            </v:shape>
            <w10:wrap type="none"/>
          </v:group>
        </w:pict>
      </w:r>
      <w:r>
        <w:rPr/>
        <w:pict>
          <v:group style="position:absolute;margin-left:479.100006pt;margin-top:-5.616029pt;width:60.9pt;height:.1pt;mso-position-horizontal-relative:page;mso-position-vertical-relative:paragraph;z-index:-624064" coordorigin="9582,-112" coordsize="1218,2">
            <v:shape style="position:absolute;left:9582;top:-112;width:1218;height:2" coordorigin="9582,-112" coordsize="1218,0" path="m9582,-112l10800,-112e" filled="false" stroked="true" strokeweight=".72pt" strokecolor="#000000">
              <v:path arrowok="t"/>
            </v:shape>
            <w10:wrap type="none"/>
          </v:group>
        </w:pict>
      </w:r>
      <w:r>
        <w:rPr>
          <w:rFonts w:ascii="Times New Roman" w:hAnsi="Times New Roman" w:cs="Times New Roman" w:eastAsia="Times New Roman" w:hint="default"/>
          <w:sz w:val="21"/>
          <w:szCs w:val="21"/>
        </w:rPr>
        <w:t>1</w:t>
      </w:r>
      <w:r>
        <w:rPr>
          <w:rFonts w:ascii="宋体" w:hAnsi="宋体" w:cs="宋体" w:eastAsia="宋体" w:hint="default"/>
          <w:sz w:val="21"/>
          <w:szCs w:val="21"/>
        </w:rPr>
        <w:t>、在建工程项目变动情况</w:t>
      </w:r>
    </w:p>
    <w:tbl>
      <w:tblPr>
        <w:tblW w:w="0" w:type="auto"/>
        <w:jc w:val="left"/>
        <w:tblInd w:w="115" w:type="dxa"/>
        <w:tblLayout w:type="fixed"/>
        <w:tblCellMar>
          <w:top w:w="0" w:type="dxa"/>
          <w:left w:w="0" w:type="dxa"/>
          <w:bottom w:w="0" w:type="dxa"/>
          <w:right w:w="0" w:type="dxa"/>
        </w:tblCellMar>
        <w:tblLook w:val="01E0"/>
      </w:tblPr>
      <w:tblGrid>
        <w:gridCol w:w="1560"/>
        <w:gridCol w:w="972"/>
        <w:gridCol w:w="1262"/>
        <w:gridCol w:w="1288"/>
        <w:gridCol w:w="1266"/>
        <w:gridCol w:w="1049"/>
        <w:gridCol w:w="1274"/>
        <w:gridCol w:w="1049"/>
      </w:tblGrid>
      <w:tr>
        <w:trPr>
          <w:trHeight w:val="349"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工程项目名称</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8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50" w:hRule="exact"/>
        </w:trPr>
        <w:tc>
          <w:tcPr>
            <w:tcW w:w="1560"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288"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0"/>
              <w:jc w:val="center"/>
              <w:rPr>
                <w:rFonts w:ascii="宋体" w:hAnsi="宋体" w:cs="宋体" w:eastAsia="宋体" w:hint="default"/>
                <w:sz w:val="18"/>
                <w:szCs w:val="18"/>
              </w:rPr>
            </w:pPr>
            <w:r>
              <w:rPr>
                <w:rFonts w:ascii="宋体" w:hAnsi="宋体" w:cs="宋体" w:eastAsia="宋体" w:hint="default"/>
                <w:sz w:val="18"/>
                <w:szCs w:val="18"/>
              </w:rPr>
              <w:t>转入固定资产</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1274"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r>
      <w:tr>
        <w:trPr>
          <w:trHeight w:val="6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实益达科技园</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6,237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1,257,881.19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64,675,343.21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1"/>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0" w:right="0"/>
              <w:jc w:val="left"/>
              <w:rPr>
                <w:rFonts w:ascii="Times New Roman" w:hAnsi="Times New Roman" w:cs="Times New Roman" w:eastAsia="Times New Roman" w:hint="default"/>
                <w:sz w:val="21"/>
                <w:szCs w:val="21"/>
              </w:rPr>
            </w:pPr>
            <w:r>
              <w:rPr>
                <w:rFonts w:ascii="Times New Roman"/>
                <w:sz w:val="21"/>
              </w:rPr>
              <w:t>65,933,224.</w:t>
            </w:r>
          </w:p>
          <w:p>
            <w:pPr>
              <w:pStyle w:val="TableParagraph"/>
              <w:spacing w:line="240" w:lineRule="auto" w:before="98"/>
              <w:ind w:left="70" w:right="0"/>
              <w:jc w:val="left"/>
              <w:rPr>
                <w:rFonts w:ascii="Times New Roman" w:hAnsi="Times New Roman" w:cs="Times New Roman" w:eastAsia="Times New Roman" w:hint="default"/>
                <w:sz w:val="21"/>
                <w:szCs w:val="21"/>
              </w:rPr>
            </w:pPr>
            <w:r>
              <w:rPr>
                <w:rFonts w:ascii="Times New Roman"/>
                <w:sz w:val="21"/>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2"/>
              <w:ind w:left="142" w:right="66" w:hanging="72"/>
              <w:jc w:val="left"/>
              <w:rPr>
                <w:rFonts w:ascii="宋体" w:hAnsi="宋体" w:cs="宋体" w:eastAsia="宋体" w:hint="default"/>
                <w:sz w:val="18"/>
                <w:szCs w:val="18"/>
              </w:rPr>
            </w:pPr>
            <w:r>
              <w:rPr>
                <w:rFonts w:ascii="宋体" w:hAnsi="宋体" w:cs="宋体" w:eastAsia="宋体" w:hint="default"/>
                <w:sz w:val="18"/>
                <w:szCs w:val="18"/>
              </w:rPr>
              <w:t>自有资金、 募集资金</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一期厂房</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398,108.45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145,892.49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1"/>
              <w:jc w:val="center"/>
              <w:rPr>
                <w:rFonts w:ascii="Times New Roman" w:hAnsi="Times New Roman" w:cs="Times New Roman" w:eastAsia="Times New Roman" w:hint="default"/>
                <w:sz w:val="18"/>
                <w:szCs w:val="18"/>
              </w:rPr>
            </w:pPr>
            <w:r>
              <w:rPr>
                <w:rFonts w:ascii="Times New Roman"/>
                <w:sz w:val="18"/>
              </w:rPr>
              <w:t>253,737.49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290,263.45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1"/>
              <w:jc w:val="center"/>
              <w:rPr>
                <w:rFonts w:ascii="宋体" w:hAnsi="宋体" w:cs="宋体" w:eastAsia="宋体" w:hint="default"/>
                <w:sz w:val="18"/>
                <w:szCs w:val="18"/>
              </w:rPr>
            </w:pPr>
            <w:r>
              <w:rPr>
                <w:rFonts w:ascii="宋体" w:hAnsi="宋体" w:cs="宋体" w:eastAsia="宋体" w:hint="default"/>
                <w:sz w:val="18"/>
                <w:szCs w:val="18"/>
              </w:rPr>
              <w:t>合  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8,267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1,655,989.64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64,821,235.70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0"/>
              <w:jc w:val="center"/>
              <w:rPr>
                <w:rFonts w:ascii="Times New Roman" w:hAnsi="Times New Roman" w:cs="Times New Roman" w:eastAsia="Times New Roman" w:hint="default"/>
                <w:sz w:val="18"/>
                <w:szCs w:val="18"/>
              </w:rPr>
            </w:pPr>
            <w:r>
              <w:rPr>
                <w:rFonts w:ascii="Times New Roman"/>
                <w:sz w:val="18"/>
              </w:rPr>
              <w:t>253,737.49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66,223,487.85</w:t>
            </w:r>
          </w:p>
        </w:tc>
        <w:tc>
          <w:tcPr>
            <w:tcW w:w="1049" w:type="dxa"/>
            <w:tcBorders>
              <w:top w:val="single" w:sz="4" w:space="0" w:color="000000"/>
              <w:left w:val="single" w:sz="4" w:space="0" w:color="000000"/>
              <w:bottom w:val="single" w:sz="4" w:space="0" w:color="000000"/>
              <w:right w:val="single" w:sz="4" w:space="0" w:color="000000"/>
            </w:tcBorders>
          </w:tcPr>
          <w:p>
            <w:pPr/>
          </w:p>
        </w:tc>
      </w:tr>
    </w:tbl>
    <w:p>
      <w:pPr>
        <w:spacing w:before="50"/>
        <w:ind w:left="1260" w:right="805" w:firstLine="0"/>
        <w:jc w:val="left"/>
        <w:rPr>
          <w:rFonts w:ascii="宋体" w:hAnsi="宋体" w:cs="宋体" w:eastAsia="宋体" w:hint="default"/>
          <w:sz w:val="21"/>
          <w:szCs w:val="21"/>
        </w:rPr>
      </w:pPr>
      <w:r>
        <w:rPr>
          <w:rFonts w:ascii="宋体" w:hAnsi="宋体" w:cs="宋体" w:eastAsia="宋体" w:hint="default"/>
          <w:sz w:val="21"/>
          <w:szCs w:val="21"/>
        </w:rPr>
        <w:t>2、本年增加的在建工程不含资本化借款费用。</w:t>
      </w:r>
    </w:p>
    <w:p>
      <w:pPr>
        <w:spacing w:line="297" w:lineRule="auto" w:before="64"/>
        <w:ind w:left="840" w:right="809" w:firstLine="420"/>
        <w:jc w:val="left"/>
        <w:rPr>
          <w:rFonts w:ascii="宋体" w:hAnsi="宋体" w:cs="宋体" w:eastAsia="宋体" w:hint="default"/>
          <w:sz w:val="21"/>
          <w:szCs w:val="21"/>
        </w:rPr>
      </w:pPr>
      <w:r>
        <w:rPr>
          <w:rFonts w:ascii="宋体" w:hAnsi="宋体" w:cs="宋体" w:eastAsia="宋体" w:hint="default"/>
          <w:sz w:val="21"/>
          <w:szCs w:val="21"/>
        </w:rPr>
        <w:t>3、年末经检查，不存在在建工程长期停建或所建项目性能、技术上落后，且预计带来 的经济利益具有很大的不确定性的情形，故无需计提减值准备。</w:t>
      </w:r>
    </w:p>
    <w:p>
      <w:pPr>
        <w:spacing w:line="297" w:lineRule="auto" w:before="15"/>
        <w:ind w:left="840" w:right="803" w:firstLine="420"/>
        <w:jc w:val="left"/>
        <w:rPr>
          <w:rFonts w:ascii="宋体" w:hAnsi="宋体" w:cs="宋体" w:eastAsia="宋体" w:hint="default"/>
          <w:sz w:val="21"/>
          <w:szCs w:val="21"/>
        </w:rPr>
      </w:pPr>
      <w:r>
        <w:rPr>
          <w:rFonts w:ascii="宋体" w:hAnsi="宋体" w:cs="宋体" w:eastAsia="宋体" w:hint="default"/>
          <w:sz w:val="21"/>
          <w:szCs w:val="21"/>
        </w:rPr>
        <w:t>4、在建工程年末数比年初数增加</w:t>
      </w:r>
      <w:r>
        <w:rPr>
          <w:rFonts w:ascii="宋体" w:hAnsi="宋体" w:cs="宋体" w:eastAsia="宋体" w:hint="default"/>
          <w:spacing w:val="-33"/>
          <w:sz w:val="21"/>
          <w:szCs w:val="21"/>
        </w:rPr>
        <w:t> </w:t>
      </w:r>
      <w:r>
        <w:rPr>
          <w:rFonts w:ascii="宋体" w:hAnsi="宋体" w:cs="宋体" w:eastAsia="宋体" w:hint="default"/>
          <w:sz w:val="21"/>
          <w:szCs w:val="21"/>
        </w:rPr>
        <w:t>64,567,498.21</w:t>
      </w:r>
      <w:r>
        <w:rPr>
          <w:rFonts w:ascii="宋体" w:hAnsi="宋体" w:cs="宋体" w:eastAsia="宋体" w:hint="default"/>
          <w:spacing w:val="-33"/>
          <w:sz w:val="21"/>
          <w:szCs w:val="21"/>
        </w:rPr>
        <w:t> </w:t>
      </w:r>
      <w:r>
        <w:rPr>
          <w:rFonts w:ascii="宋体" w:hAnsi="宋体" w:cs="宋体" w:eastAsia="宋体" w:hint="default"/>
          <w:sz w:val="21"/>
          <w:szCs w:val="21"/>
        </w:rPr>
        <w:t>元，增加比例为</w:t>
      </w:r>
      <w:r>
        <w:rPr>
          <w:rFonts w:ascii="宋体" w:hAnsi="宋体" w:cs="宋体" w:eastAsia="宋体" w:hint="default"/>
          <w:spacing w:val="-33"/>
          <w:sz w:val="21"/>
          <w:szCs w:val="21"/>
        </w:rPr>
        <w:t> </w:t>
      </w:r>
      <w:r>
        <w:rPr>
          <w:rFonts w:ascii="宋体" w:hAnsi="宋体" w:cs="宋体" w:eastAsia="宋体" w:hint="default"/>
          <w:sz w:val="21"/>
          <w:szCs w:val="21"/>
        </w:rPr>
        <w:t>3,899.03%，增加原</w:t>
      </w:r>
      <w:r>
        <w:rPr>
          <w:rFonts w:ascii="宋体" w:hAnsi="宋体" w:cs="宋体" w:eastAsia="宋体" w:hint="default"/>
          <w:sz w:val="21"/>
          <w:szCs w:val="21"/>
        </w:rPr>
        <w:t> 因为：实益达科技园工程建设投入增加所致。</w:t>
      </w:r>
    </w:p>
    <w:p>
      <w:pPr>
        <w:spacing w:before="14"/>
        <w:ind w:left="1262" w:right="805" w:firstLine="0"/>
        <w:jc w:val="left"/>
        <w:rPr>
          <w:rFonts w:ascii="宋体" w:hAnsi="宋体" w:cs="宋体" w:eastAsia="宋体" w:hint="default"/>
          <w:sz w:val="21"/>
          <w:szCs w:val="21"/>
        </w:rPr>
      </w:pPr>
      <w:r>
        <w:rPr>
          <w:rFonts w:ascii="宋体" w:hAnsi="宋体" w:cs="宋体" w:eastAsia="宋体" w:hint="default"/>
          <w:b/>
          <w:bCs/>
          <w:sz w:val="21"/>
          <w:szCs w:val="21"/>
        </w:rPr>
        <w:t>（十二）无形资产</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190" w:type="dxa"/>
        <w:tblLayout w:type="fixed"/>
        <w:tblCellMar>
          <w:top w:w="0" w:type="dxa"/>
          <w:left w:w="0" w:type="dxa"/>
          <w:bottom w:w="0" w:type="dxa"/>
          <w:right w:w="0" w:type="dxa"/>
        </w:tblCellMar>
        <w:tblLook w:val="01E0"/>
      </w:tblPr>
      <w:tblGrid>
        <w:gridCol w:w="2748"/>
        <w:gridCol w:w="2322"/>
        <w:gridCol w:w="1519"/>
        <w:gridCol w:w="1029"/>
        <w:gridCol w:w="477"/>
        <w:gridCol w:w="1312"/>
      </w:tblGrid>
      <w:tr>
        <w:trPr>
          <w:trHeight w:val="707" w:hRule="exact"/>
        </w:trPr>
        <w:tc>
          <w:tcPr>
            <w:tcW w:w="2748" w:type="dxa"/>
            <w:tcBorders>
              <w:top w:val="nil" w:sz="6" w:space="0" w:color="auto"/>
              <w:left w:val="nil" w:sz="6" w:space="0" w:color="auto"/>
              <w:bottom w:val="nil" w:sz="6" w:space="0" w:color="auto"/>
              <w:right w:val="nil" w:sz="6" w:space="0" w:color="auto"/>
            </w:tcBorders>
          </w:tcPr>
          <w:p>
            <w:pPr>
              <w:pStyle w:val="TableParagraph"/>
              <w:tabs>
                <w:tab w:pos="1801" w:val="left" w:leader="none"/>
              </w:tabs>
              <w:spacing w:line="240" w:lineRule="auto" w:before="44"/>
              <w:ind w:left="12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37"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18"/>
              <w:ind w:left="418" w:right="0"/>
              <w:jc w:val="center"/>
              <w:rPr>
                <w:rFonts w:ascii="Times New Roman" w:hAnsi="Times New Roman" w:cs="Times New Roman" w:eastAsia="Times New Roman" w:hint="default"/>
                <w:sz w:val="21"/>
                <w:szCs w:val="21"/>
              </w:rPr>
            </w:pPr>
            <w:r>
              <w:rPr>
                <w:rFonts w:ascii="Times New Roman"/>
                <w:sz w:val="21"/>
              </w:rPr>
              <w:t>55,159,205.52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6"/>
              <w:ind w:left="544" w:right="0"/>
              <w:jc w:val="left"/>
              <w:rPr>
                <w:rFonts w:ascii="Times New Roman" w:hAnsi="Times New Roman" w:cs="Times New Roman" w:eastAsia="Times New Roman" w:hint="default"/>
                <w:sz w:val="18"/>
                <w:szCs w:val="18"/>
              </w:rPr>
            </w:pPr>
            <w:r>
              <w:rPr>
                <w:rFonts w:ascii="Times New Roman"/>
                <w:sz w:val="18"/>
              </w:rPr>
              <w:t>51,000.00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241" w:right="0"/>
              <w:jc w:val="left"/>
              <w:rPr>
                <w:rFonts w:ascii="Times New Roman" w:hAnsi="Times New Roman" w:cs="Times New Roman" w:eastAsia="Times New Roman" w:hint="default"/>
                <w:sz w:val="18"/>
                <w:szCs w:val="18"/>
              </w:rPr>
            </w:pPr>
            <w:r>
              <w:rPr>
                <w:rFonts w:ascii="Times New Roman"/>
                <w:sz w:val="18"/>
              </w:rPr>
              <w:t>55,210,205.52</w:t>
            </w:r>
          </w:p>
        </w:tc>
      </w:tr>
      <w:tr>
        <w:trPr>
          <w:trHeight w:val="337"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MFG/PRO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1"/>
              <w:jc w:val="right"/>
              <w:rPr>
                <w:rFonts w:ascii="Times New Roman" w:hAnsi="Times New Roman" w:cs="Times New Roman" w:eastAsia="Times New Roman" w:hint="default"/>
                <w:sz w:val="18"/>
                <w:szCs w:val="18"/>
              </w:rPr>
            </w:pPr>
            <w:r>
              <w:rPr>
                <w:rFonts w:ascii="Times New Roman"/>
                <w:sz w:val="18"/>
              </w:rPr>
              <w:t>390,000.00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1"/>
              <w:jc w:val="right"/>
              <w:rPr>
                <w:rFonts w:ascii="Times New Roman" w:hAnsi="Times New Roman" w:cs="Times New Roman" w:eastAsia="Times New Roman" w:hint="default"/>
                <w:sz w:val="18"/>
                <w:szCs w:val="18"/>
              </w:rPr>
            </w:pPr>
            <w:r>
              <w:rPr>
                <w:rFonts w:ascii="Times New Roman"/>
                <w:sz w:val="18"/>
              </w:rPr>
              <w:t>---</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sz w:val="18"/>
              </w:rPr>
              <w:t>390,000.00</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、考勤系统</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2"/>
              <w:jc w:val="right"/>
              <w:rPr>
                <w:rFonts w:ascii="Times New Roman" w:hAnsi="Times New Roman" w:cs="Times New Roman" w:eastAsia="Times New Roman" w:hint="default"/>
                <w:sz w:val="18"/>
                <w:szCs w:val="18"/>
              </w:rPr>
            </w:pPr>
            <w:r>
              <w:rPr>
                <w:rFonts w:ascii="Times New Roman"/>
                <w:sz w:val="18"/>
              </w:rPr>
              <w:t>19,385.00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1"/>
              <w:jc w:val="right"/>
              <w:rPr>
                <w:rFonts w:ascii="Times New Roman" w:hAnsi="Times New Roman" w:cs="Times New Roman" w:eastAsia="Times New Roman" w:hint="default"/>
                <w:sz w:val="18"/>
                <w:szCs w:val="18"/>
              </w:rPr>
            </w:pPr>
            <w:r>
              <w:rPr>
                <w:rFonts w:ascii="Times New Roman"/>
                <w:sz w:val="18"/>
              </w:rPr>
              <w:t>---</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19,385.00</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sz w:val="18"/>
              </w:rPr>
              <w:t>54,651,748.52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54,651,748.52</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、办公软件</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67,000.00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z w:val="18"/>
              </w:rPr>
              <w:t>51,000.00</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118,000.00</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、用友软件</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2"/>
              <w:jc w:val="right"/>
              <w:rPr>
                <w:rFonts w:ascii="Times New Roman" w:hAnsi="Times New Roman" w:cs="Times New Roman" w:eastAsia="Times New Roman" w:hint="default"/>
                <w:sz w:val="18"/>
                <w:szCs w:val="18"/>
              </w:rPr>
            </w:pPr>
            <w:r>
              <w:rPr>
                <w:rFonts w:ascii="Times New Roman"/>
                <w:sz w:val="18"/>
              </w:rPr>
              <w:t>31,072.00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1"/>
              <w:jc w:val="right"/>
              <w:rPr>
                <w:rFonts w:ascii="Times New Roman" w:hAnsi="Times New Roman" w:cs="Times New Roman" w:eastAsia="Times New Roman" w:hint="default"/>
                <w:sz w:val="18"/>
                <w:szCs w:val="18"/>
              </w:rPr>
            </w:pPr>
            <w:r>
              <w:rPr>
                <w:rFonts w:ascii="Times New Roman"/>
                <w:sz w:val="18"/>
              </w:rPr>
              <w:t>---</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31,072.00</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1,846,003.88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sz w:val="18"/>
              </w:rPr>
              <w:t>1,198,549.77</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3,044,553.65</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MFG/PRO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234,000.00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z w:val="18"/>
              </w:rPr>
              <w:t>71,500.00</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305,500.00</w:t>
            </w:r>
          </w:p>
        </w:tc>
      </w:tr>
      <w:tr>
        <w:trPr>
          <w:trHeight w:val="340"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、考勤系统</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3"/>
              <w:jc w:val="right"/>
              <w:rPr>
                <w:rFonts w:ascii="Times New Roman" w:hAnsi="Times New Roman" w:cs="Times New Roman" w:eastAsia="Times New Roman" w:hint="default"/>
                <w:sz w:val="18"/>
                <w:szCs w:val="18"/>
              </w:rPr>
            </w:pPr>
            <w:r>
              <w:rPr>
                <w:rFonts w:ascii="Times New Roman"/>
                <w:sz w:val="18"/>
              </w:rPr>
              <w:t>4,200.05</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2"/>
              <w:jc w:val="right"/>
              <w:rPr>
                <w:rFonts w:ascii="Times New Roman" w:hAnsi="Times New Roman" w:cs="Times New Roman" w:eastAsia="Times New Roman" w:hint="default"/>
                <w:sz w:val="18"/>
                <w:szCs w:val="18"/>
              </w:rPr>
            </w:pPr>
            <w:r>
              <w:rPr>
                <w:rFonts w:ascii="Times New Roman"/>
                <w:sz w:val="18"/>
              </w:rPr>
              <w:t>15,184.95</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19,385.00</w:t>
            </w:r>
          </w:p>
        </w:tc>
      </w:tr>
      <w:tr>
        <w:trPr>
          <w:trHeight w:val="365"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pacing w:val="-1"/>
                <w:sz w:val="18"/>
              </w:rPr>
              <w:t>1,601,783.54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sz w:val="18"/>
              </w:rPr>
              <w:t>1,093,034.88</w:t>
            </w:r>
          </w:p>
        </w:tc>
        <w:tc>
          <w:tcPr>
            <w:tcW w:w="1029" w:type="dxa"/>
            <w:tcBorders>
              <w:top w:val="nil" w:sz="6" w:space="0" w:color="auto"/>
              <w:left w:val="nil" w:sz="6" w:space="0" w:color="auto"/>
              <w:bottom w:val="nil" w:sz="6" w:space="0" w:color="auto"/>
              <w:right w:val="nil" w:sz="6" w:space="0" w:color="auto"/>
            </w:tcBorders>
          </w:tcPr>
          <w:p>
            <w:pP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2,694,818.42</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960" w:right="980"/>
        </w:sectPr>
      </w:pPr>
    </w:p>
    <w:p>
      <w:pPr>
        <w:spacing w:line="240" w:lineRule="auto" w:before="9"/>
        <w:rPr>
          <w:rFonts w:ascii="宋体" w:hAnsi="宋体" w:cs="宋体" w:eastAsia="宋体" w:hint="default"/>
          <w:b/>
          <w:bCs/>
          <w:sz w:val="22"/>
          <w:szCs w:val="22"/>
        </w:rPr>
      </w:pPr>
    </w:p>
    <w:tbl>
      <w:tblPr>
        <w:tblW w:w="0" w:type="auto"/>
        <w:jc w:val="left"/>
        <w:tblInd w:w="110" w:type="dxa"/>
        <w:tblLayout w:type="fixed"/>
        <w:tblCellMar>
          <w:top w:w="0" w:type="dxa"/>
          <w:left w:w="0" w:type="dxa"/>
          <w:bottom w:w="0" w:type="dxa"/>
          <w:right w:w="0" w:type="dxa"/>
        </w:tblCellMar>
        <w:tblLook w:val="01E0"/>
      </w:tblPr>
      <w:tblGrid>
        <w:gridCol w:w="3349"/>
        <w:gridCol w:w="1866"/>
        <w:gridCol w:w="1407"/>
        <w:gridCol w:w="1474"/>
        <w:gridCol w:w="1312"/>
      </w:tblGrid>
      <w:tr>
        <w:trPr>
          <w:trHeight w:val="365"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、办公软件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6"/>
              <w:jc w:val="right"/>
              <w:rPr>
                <w:rFonts w:ascii="Times New Roman" w:hAnsi="Times New Roman" w:cs="Times New Roman" w:eastAsia="Times New Roman" w:hint="default"/>
                <w:sz w:val="18"/>
                <w:szCs w:val="18"/>
              </w:rPr>
            </w:pPr>
            <w:r>
              <w:rPr>
                <w:rFonts w:ascii="Times New Roman"/>
                <w:sz w:val="18"/>
              </w:rPr>
              <w:t>4,466.68</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4"/>
              <w:jc w:val="right"/>
              <w:rPr>
                <w:rFonts w:ascii="Times New Roman" w:hAnsi="Times New Roman" w:cs="Times New Roman" w:eastAsia="Times New Roman" w:hint="default"/>
                <w:sz w:val="18"/>
                <w:szCs w:val="18"/>
              </w:rPr>
            </w:pPr>
            <w:r>
              <w:rPr>
                <w:rFonts w:ascii="Times New Roman"/>
                <w:sz w:val="18"/>
              </w:rPr>
              <w:t>13,133.37</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17,600.05</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、用友软件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z w:val="18"/>
              </w:rPr>
              <w:t>1,553.61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5,696.57</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7,250.18</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三、无形资产减值准备累计金额合计</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MFG/PRO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、考勤系统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、办公软件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、用友软件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7"/>
              <w:jc w:val="right"/>
              <w:rPr>
                <w:rFonts w:ascii="Times New Roman" w:hAnsi="Times New Roman" w:cs="Times New Roman" w:eastAsia="Times New Roman" w:hint="default"/>
                <w:sz w:val="18"/>
                <w:szCs w:val="18"/>
              </w:rPr>
            </w:pPr>
            <w:r>
              <w:rPr>
                <w:rFonts w:ascii="Times New Roman"/>
                <w:spacing w:val="-1"/>
                <w:sz w:val="18"/>
              </w:rPr>
              <w:t>53,313,201.64</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5"/>
              <w:jc w:val="right"/>
              <w:rPr>
                <w:rFonts w:ascii="Times New Roman" w:hAnsi="Times New Roman" w:cs="Times New Roman" w:eastAsia="Times New Roman" w:hint="default"/>
                <w:sz w:val="18"/>
                <w:szCs w:val="18"/>
              </w:rPr>
            </w:pPr>
            <w:r>
              <w:rPr>
                <w:rFonts w:ascii="Times New Roman"/>
                <w:sz w:val="18"/>
              </w:rPr>
              <w:t>51,000.00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9"/>
              <w:jc w:val="right"/>
              <w:rPr>
                <w:rFonts w:ascii="Times New Roman" w:hAnsi="Times New Roman" w:cs="Times New Roman" w:eastAsia="Times New Roman" w:hint="default"/>
                <w:sz w:val="18"/>
                <w:szCs w:val="18"/>
              </w:rPr>
            </w:pPr>
            <w:r>
              <w:rPr>
                <w:rFonts w:ascii="Times New Roman"/>
                <w:spacing w:val="-1"/>
                <w:sz w:val="18"/>
              </w:rPr>
              <w:t>1,198,549.77</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52,165,651.87</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MFG/PRO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z w:val="18"/>
              </w:rPr>
              <w:t>156,000.00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71,500.00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84,500.00</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、考勤系统</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7"/>
              <w:jc w:val="right"/>
              <w:rPr>
                <w:rFonts w:ascii="Times New Roman" w:hAnsi="Times New Roman" w:cs="Times New Roman" w:eastAsia="Times New Roman" w:hint="default"/>
                <w:sz w:val="18"/>
                <w:szCs w:val="18"/>
              </w:rPr>
            </w:pPr>
            <w:r>
              <w:rPr>
                <w:rFonts w:ascii="Times New Roman"/>
                <w:sz w:val="18"/>
              </w:rPr>
              <w:t>15,184.95</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15,184.95</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、土地使用权</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6"/>
              <w:jc w:val="right"/>
              <w:rPr>
                <w:rFonts w:ascii="Times New Roman" w:hAnsi="Times New Roman" w:cs="Times New Roman" w:eastAsia="Times New Roman" w:hint="default"/>
                <w:sz w:val="18"/>
                <w:szCs w:val="18"/>
              </w:rPr>
            </w:pPr>
            <w:r>
              <w:rPr>
                <w:rFonts w:ascii="Times New Roman"/>
                <w:spacing w:val="-1"/>
                <w:sz w:val="18"/>
              </w:rPr>
              <w:t>53,049,964.98</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9"/>
              <w:jc w:val="right"/>
              <w:rPr>
                <w:rFonts w:ascii="Times New Roman" w:hAnsi="Times New Roman" w:cs="Times New Roman" w:eastAsia="Times New Roman" w:hint="default"/>
                <w:sz w:val="18"/>
                <w:szCs w:val="18"/>
              </w:rPr>
            </w:pPr>
            <w:r>
              <w:rPr>
                <w:rFonts w:ascii="Times New Roman"/>
                <w:spacing w:val="-1"/>
                <w:sz w:val="18"/>
              </w:rPr>
              <w:t>1,093,034.88</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1"/>
                <w:sz w:val="18"/>
              </w:rPr>
              <w:t>51,956,930.10</w:t>
            </w:r>
          </w:p>
        </w:tc>
      </w:tr>
      <w:tr>
        <w:trPr>
          <w:trHeight w:val="34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、办公软件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z w:val="18"/>
              </w:rPr>
              <w:t>62,533.32</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51,000.00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13,133.37</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100,399.95</w:t>
            </w:r>
          </w:p>
        </w:tc>
      </w:tr>
      <w:tr>
        <w:trPr>
          <w:trHeight w:val="350" w:hRule="exact"/>
        </w:trPr>
        <w:tc>
          <w:tcPr>
            <w:tcW w:w="33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、用友软件</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6"/>
              <w:jc w:val="right"/>
              <w:rPr>
                <w:rFonts w:ascii="Times New Roman" w:hAnsi="Times New Roman" w:cs="Times New Roman" w:eastAsia="Times New Roman" w:hint="default"/>
                <w:sz w:val="18"/>
                <w:szCs w:val="18"/>
              </w:rPr>
            </w:pPr>
            <w:r>
              <w:rPr>
                <w:rFonts w:ascii="Times New Roman"/>
                <w:sz w:val="18"/>
              </w:rPr>
              <w:t>29,518.39</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9"/>
              <w:jc w:val="right"/>
              <w:rPr>
                <w:rFonts w:ascii="Times New Roman" w:hAnsi="Times New Roman" w:cs="Times New Roman" w:eastAsia="Times New Roman" w:hint="default"/>
                <w:sz w:val="18"/>
                <w:szCs w:val="18"/>
              </w:rPr>
            </w:pPr>
            <w:r>
              <w:rPr>
                <w:rFonts w:ascii="Times New Roman"/>
                <w:sz w:val="18"/>
              </w:rPr>
              <w:t>5,696.57</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23,821.82</w:t>
            </w:r>
          </w:p>
        </w:tc>
      </w:tr>
    </w:tbl>
    <w:p>
      <w:pPr>
        <w:spacing w:line="250" w:lineRule="exact" w:before="0"/>
        <w:ind w:left="1180" w:right="0" w:firstLine="0"/>
        <w:jc w:val="left"/>
        <w:rPr>
          <w:rFonts w:ascii="宋体" w:hAnsi="宋体" w:cs="宋体" w:eastAsia="宋体" w:hint="default"/>
          <w:sz w:val="21"/>
          <w:szCs w:val="21"/>
        </w:rPr>
      </w:pPr>
      <w:r>
        <w:rPr>
          <w:rFonts w:ascii="宋体" w:hAnsi="宋体" w:cs="宋体" w:eastAsia="宋体" w:hint="default"/>
          <w:sz w:val="21"/>
          <w:szCs w:val="21"/>
        </w:rPr>
        <w:t>注：年末用于抵押或担保的无形资产账面价值为</w:t>
      </w:r>
      <w:r>
        <w:rPr>
          <w:rFonts w:ascii="宋体" w:hAnsi="宋体" w:cs="宋体" w:eastAsia="宋体" w:hint="default"/>
          <w:spacing w:val="-73"/>
          <w:sz w:val="21"/>
          <w:szCs w:val="21"/>
        </w:rPr>
        <w:t> </w:t>
      </w:r>
      <w:r>
        <w:rPr>
          <w:rFonts w:ascii="宋体" w:hAnsi="宋体" w:cs="宋体" w:eastAsia="宋体" w:hint="default"/>
          <w:sz w:val="21"/>
          <w:szCs w:val="21"/>
        </w:rPr>
        <w:t>8,944,130.10</w:t>
      </w:r>
      <w:r>
        <w:rPr>
          <w:rFonts w:ascii="宋体" w:hAnsi="宋体" w:cs="宋体" w:eastAsia="宋体" w:hint="default"/>
          <w:spacing w:val="-73"/>
          <w:sz w:val="21"/>
          <w:szCs w:val="21"/>
        </w:rPr>
        <w:t> </w:t>
      </w:r>
      <w:r>
        <w:rPr>
          <w:rFonts w:ascii="宋体" w:hAnsi="宋体" w:cs="宋体" w:eastAsia="宋体" w:hint="default"/>
          <w:sz w:val="21"/>
          <w:szCs w:val="21"/>
        </w:rPr>
        <w:t>元，详见附注十。</w:t>
      </w:r>
    </w:p>
    <w:p>
      <w:pPr>
        <w:spacing w:before="64"/>
        <w:ind w:left="1299" w:right="0" w:firstLine="0"/>
        <w:jc w:val="left"/>
        <w:rPr>
          <w:rFonts w:ascii="宋体" w:hAnsi="宋体" w:cs="宋体" w:eastAsia="宋体" w:hint="default"/>
          <w:sz w:val="21"/>
          <w:szCs w:val="21"/>
        </w:rPr>
      </w:pPr>
      <w:r>
        <w:rPr>
          <w:rFonts w:ascii="宋体" w:hAnsi="宋体" w:cs="宋体" w:eastAsia="宋体" w:hint="default"/>
          <w:b/>
          <w:bCs/>
          <w:sz w:val="21"/>
          <w:szCs w:val="21"/>
        </w:rPr>
        <w:t>（十三）长期待摊费用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421" w:type="dxa"/>
        <w:tblLayout w:type="fixed"/>
        <w:tblCellMar>
          <w:top w:w="0" w:type="dxa"/>
          <w:left w:w="0" w:type="dxa"/>
          <w:bottom w:w="0" w:type="dxa"/>
          <w:right w:w="0" w:type="dxa"/>
        </w:tblCellMar>
        <w:tblLook w:val="01E0"/>
      </w:tblPr>
      <w:tblGrid>
        <w:gridCol w:w="2617"/>
        <w:gridCol w:w="2838"/>
        <w:gridCol w:w="2156"/>
      </w:tblGrid>
      <w:tr>
        <w:trPr>
          <w:trHeight w:val="698" w:hRule="exact"/>
        </w:trPr>
        <w:tc>
          <w:tcPr>
            <w:tcW w:w="2617"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348" w:lineRule="auto" w:before="44"/>
              <w:ind w:left="35" w:right="780" w:firstLine="58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深圳实益达厂房装修费</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7"/>
              <w:ind w:left="1450" w:right="0"/>
              <w:jc w:val="left"/>
              <w:rPr>
                <w:rFonts w:ascii="Times New Roman" w:hAnsi="Times New Roman" w:cs="Times New Roman" w:eastAsia="Times New Roman" w:hint="default"/>
                <w:sz w:val="18"/>
                <w:szCs w:val="18"/>
              </w:rPr>
            </w:pPr>
            <w:r>
              <w:rPr>
                <w:rFonts w:ascii="Times New Roman"/>
                <w:sz w:val="18"/>
              </w:rPr>
              <w:t>1,843,034.07</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7"/>
              <w:ind w:right="326"/>
              <w:jc w:val="center"/>
              <w:rPr>
                <w:rFonts w:ascii="Times New Roman" w:hAnsi="Times New Roman" w:cs="Times New Roman" w:eastAsia="Times New Roman" w:hint="default"/>
                <w:sz w:val="18"/>
                <w:szCs w:val="18"/>
              </w:rPr>
            </w:pPr>
            <w:r>
              <w:rPr>
                <w:rFonts w:ascii="Times New Roman"/>
                <w:sz w:val="18"/>
              </w:rPr>
              <w:t>2,445,306.51</w:t>
            </w:r>
          </w:p>
        </w:tc>
      </w:tr>
      <w:tr>
        <w:trPr>
          <w:trHeight w:val="350"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5" w:right="0"/>
              <w:jc w:val="left"/>
              <w:rPr>
                <w:rFonts w:ascii="宋体" w:hAnsi="宋体" w:cs="宋体" w:eastAsia="宋体" w:hint="default"/>
                <w:sz w:val="18"/>
                <w:szCs w:val="18"/>
              </w:rPr>
            </w:pPr>
            <w:r>
              <w:rPr>
                <w:rFonts w:ascii="宋体" w:hAnsi="宋体" w:cs="宋体" w:eastAsia="宋体" w:hint="default"/>
                <w:sz w:val="18"/>
                <w:szCs w:val="18"/>
              </w:rPr>
              <w:t>绿化工程费</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9"/>
              <w:jc w:val="right"/>
              <w:rPr>
                <w:rFonts w:ascii="Times New Roman" w:hAnsi="Times New Roman" w:cs="Times New Roman" w:eastAsia="Times New Roman" w:hint="default"/>
                <w:sz w:val="18"/>
                <w:szCs w:val="18"/>
              </w:rPr>
            </w:pPr>
            <w:r>
              <w:rPr>
                <w:rFonts w:ascii="Times New Roman"/>
                <w:sz w:val="18"/>
              </w:rPr>
              <w:t>75,770.23</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25"/>
              <w:jc w:val="center"/>
              <w:rPr>
                <w:rFonts w:ascii="Times New Roman" w:hAnsi="Times New Roman" w:cs="Times New Roman" w:eastAsia="Times New Roman" w:hint="default"/>
                <w:sz w:val="21"/>
                <w:szCs w:val="21"/>
              </w:rPr>
            </w:pPr>
            <w:r>
              <w:rPr>
                <w:rFonts w:ascii="Times New Roman"/>
                <w:sz w:val="21"/>
              </w:rPr>
              <w:t>---</w:t>
            </w:r>
          </w:p>
        </w:tc>
      </w:tr>
      <w:tr>
        <w:trPr>
          <w:trHeight w:val="337"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85" w:right="0"/>
              <w:jc w:val="left"/>
              <w:rPr>
                <w:rFonts w:ascii="宋体" w:hAnsi="宋体" w:cs="宋体" w:eastAsia="宋体" w:hint="default"/>
                <w:sz w:val="18"/>
                <w:szCs w:val="18"/>
              </w:rPr>
            </w:pPr>
            <w:r>
              <w:rPr>
                <w:rFonts w:ascii="宋体" w:hAnsi="宋体" w:cs="宋体" w:eastAsia="宋体" w:hint="default"/>
                <w:sz w:val="18"/>
                <w:szCs w:val="18"/>
              </w:rPr>
              <w:t>网络通讯费</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39"/>
              <w:jc w:val="right"/>
              <w:rPr>
                <w:rFonts w:ascii="Times New Roman" w:hAnsi="Times New Roman" w:cs="Times New Roman" w:eastAsia="Times New Roman" w:hint="default"/>
                <w:sz w:val="18"/>
                <w:szCs w:val="18"/>
              </w:rPr>
            </w:pPr>
            <w:r>
              <w:rPr>
                <w:rFonts w:ascii="Times New Roman"/>
                <w:sz w:val="18"/>
              </w:rPr>
              <w:t>92,140.81</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26"/>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龙岗厂房配套设施费用</w:t>
            </w:r>
          </w:p>
        </w:tc>
        <w:tc>
          <w:tcPr>
            <w:tcW w:w="283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39"/>
              <w:jc w:val="right"/>
              <w:rPr>
                <w:rFonts w:ascii="Times New Roman" w:hAnsi="Times New Roman" w:cs="Times New Roman" w:eastAsia="Times New Roman" w:hint="default"/>
                <w:sz w:val="18"/>
                <w:szCs w:val="18"/>
              </w:rPr>
            </w:pPr>
            <w:r>
              <w:rPr>
                <w:rFonts w:ascii="Times New Roman"/>
                <w:spacing w:val="-1"/>
                <w:sz w:val="18"/>
              </w:rPr>
              <w:t>1,576,893.82</w:t>
            </w: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26"/>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2617"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67"/>
              <w:ind w:left="62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439"/>
              <w:jc w:val="right"/>
              <w:rPr>
                <w:rFonts w:ascii="Times New Roman" w:hAnsi="Times New Roman" w:cs="Times New Roman" w:eastAsia="Times New Roman" w:hint="default"/>
                <w:sz w:val="18"/>
                <w:szCs w:val="18"/>
              </w:rPr>
            </w:pPr>
            <w:r>
              <w:rPr>
                <w:rFonts w:ascii="Times New Roman"/>
                <w:spacing w:val="-1"/>
                <w:sz w:val="18"/>
              </w:rPr>
              <w:t>3,587,838.93</w:t>
            </w:r>
          </w:p>
        </w:tc>
        <w:tc>
          <w:tcPr>
            <w:tcW w:w="21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26"/>
              <w:jc w:val="center"/>
              <w:rPr>
                <w:rFonts w:ascii="Times New Roman" w:hAnsi="Times New Roman" w:cs="Times New Roman" w:eastAsia="Times New Roman" w:hint="default"/>
                <w:sz w:val="18"/>
                <w:szCs w:val="18"/>
              </w:rPr>
            </w:pPr>
            <w:r>
              <w:rPr>
                <w:rFonts w:ascii="Times New Roman"/>
                <w:sz w:val="18"/>
              </w:rPr>
              <w:t>2,445,306.51</w:t>
            </w:r>
          </w:p>
        </w:tc>
      </w:tr>
    </w:tbl>
    <w:p>
      <w:pPr>
        <w:spacing w:line="297" w:lineRule="auto" w:before="12"/>
        <w:ind w:left="760" w:right="0" w:firstLine="420"/>
        <w:jc w:val="left"/>
        <w:rPr>
          <w:rFonts w:ascii="宋体" w:hAnsi="宋体" w:cs="宋体" w:eastAsia="宋体" w:hint="default"/>
          <w:sz w:val="21"/>
          <w:szCs w:val="21"/>
        </w:rPr>
      </w:pPr>
      <w:r>
        <w:rPr/>
        <w:pict>
          <v:group style="position:absolute;margin-left:253.199997pt;margin-top:-5.976039pt;width:251.2pt;height:.75pt;mso-position-horizontal-relative:page;mso-position-vertical-relative:paragraph;z-index:-624040" coordorigin="5064,-120" coordsize="5024,15">
            <v:group style="position:absolute;left:5071;top:-112;width:2512;height:2" coordorigin="5071,-112" coordsize="2512,2">
              <v:shape style="position:absolute;left:5071;top:-112;width:2512;height:2" coordorigin="5071,-112" coordsize="2512,0" path="m5071,-112l7583,-112e" filled="false" stroked="true" strokeweight=".72pt" strokecolor="#000000">
                <v:path arrowok="t"/>
              </v:shape>
            </v:group>
            <v:group style="position:absolute;left:7568;top:-112;width:105;height:2" coordorigin="7568,-112" coordsize="105,2">
              <v:shape style="position:absolute;left:7568;top:-112;width:105;height:2" coordorigin="7568,-112" coordsize="105,0" path="m7568,-112l7673,-112e" filled="false" stroked="true" strokeweight=".72pt" strokecolor="#000000">
                <v:path arrowok="t"/>
              </v:shape>
            </v:group>
            <v:group style="position:absolute;left:7673;top:-112;width:2408;height:2" coordorigin="7673,-112" coordsize="2408,2">
              <v:shape style="position:absolute;left:7673;top:-112;width:2408;height:2" coordorigin="7673,-112" coordsize="2408,0" path="m7673,-112l10080,-112e" filled="false" stroked="true" strokeweight=".72pt" strokecolor="#000000">
                <v:path arrowok="t"/>
              </v:shape>
            </v:group>
            <w10:wrap type="none"/>
          </v:group>
        </w:pict>
      </w:r>
      <w:r>
        <w:rPr>
          <w:rFonts w:ascii="宋体" w:hAnsi="宋体" w:cs="宋体" w:eastAsia="宋体" w:hint="default"/>
          <w:sz w:val="21"/>
          <w:szCs w:val="21"/>
        </w:rPr>
        <w:t>长期待摊费用年末数比年初数增加</w:t>
      </w:r>
      <w:r>
        <w:rPr>
          <w:rFonts w:ascii="宋体" w:hAnsi="宋体" w:cs="宋体" w:eastAsia="宋体" w:hint="default"/>
          <w:spacing w:val="-58"/>
          <w:sz w:val="21"/>
          <w:szCs w:val="21"/>
        </w:rPr>
        <w:t> </w:t>
      </w:r>
      <w:r>
        <w:rPr>
          <w:rFonts w:ascii="宋体" w:hAnsi="宋体" w:cs="宋体" w:eastAsia="宋体" w:hint="default"/>
          <w:sz w:val="21"/>
          <w:szCs w:val="21"/>
        </w:rPr>
        <w:t>1,142,532.42</w:t>
      </w:r>
      <w:r>
        <w:rPr>
          <w:rFonts w:ascii="宋体" w:hAnsi="宋体" w:cs="宋体" w:eastAsia="宋体" w:hint="default"/>
          <w:spacing w:val="-58"/>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58"/>
          <w:sz w:val="21"/>
          <w:szCs w:val="21"/>
        </w:rPr>
        <w:t> </w:t>
      </w:r>
      <w:r>
        <w:rPr>
          <w:rFonts w:ascii="宋体" w:hAnsi="宋体" w:cs="宋体" w:eastAsia="宋体" w:hint="default"/>
          <w:spacing w:val="-3"/>
          <w:sz w:val="21"/>
          <w:szCs w:val="21"/>
        </w:rPr>
        <w:t>46.72%，增加的原因</w:t>
      </w:r>
      <w:r>
        <w:rPr>
          <w:rFonts w:ascii="宋体" w:hAnsi="宋体" w:cs="宋体" w:eastAsia="宋体" w:hint="default"/>
          <w:spacing w:val="-1"/>
          <w:sz w:val="21"/>
          <w:szCs w:val="21"/>
        </w:rPr>
        <w:t> </w:t>
      </w:r>
      <w:r>
        <w:rPr>
          <w:rFonts w:ascii="宋体" w:hAnsi="宋体" w:cs="宋体" w:eastAsia="宋体" w:hint="default"/>
          <w:sz w:val="21"/>
          <w:szCs w:val="21"/>
        </w:rPr>
        <w:t>主要是本年龙岗厂房配套设施费增加所致。</w:t>
      </w:r>
    </w:p>
    <w:p>
      <w:pPr>
        <w:spacing w:line="297" w:lineRule="auto" w:before="14"/>
        <w:ind w:left="1180" w:right="4416" w:firstLine="2"/>
        <w:jc w:val="left"/>
        <w:rPr>
          <w:rFonts w:ascii="宋体" w:hAnsi="宋体" w:cs="宋体" w:eastAsia="宋体" w:hint="default"/>
          <w:sz w:val="21"/>
          <w:szCs w:val="21"/>
        </w:rPr>
      </w:pPr>
      <w:r>
        <w:rPr/>
        <w:pict>
          <v:group style="position:absolute;margin-left:214.200012pt;margin-top:118.863983pt;width:290.2pt;height:.75pt;mso-position-horizontal-relative:page;mso-position-vertical-relative:paragraph;z-index:-624016" coordorigin="4284,2377" coordsize="5804,15">
            <v:group style="position:absolute;left:4291;top:2384;width:2902;height:2" coordorigin="4291,2384" coordsize="2902,2">
              <v:shape style="position:absolute;left:4291;top:2384;width:2902;height:2" coordorigin="4291,2384" coordsize="2902,0" path="m4291,2384l7193,2384e" filled="false" stroked="true" strokeweight=".71999pt" strokecolor="#000000">
                <v:path arrowok="t"/>
              </v:shape>
            </v:group>
            <v:group style="position:absolute;left:7178;top:2384;width:105;height:2" coordorigin="7178,2384" coordsize="105,2">
              <v:shape style="position:absolute;left:7178;top:2384;width:105;height:2" coordorigin="7178,2384" coordsize="105,0" path="m7178,2384l7283,2384e" filled="false" stroked="true" strokeweight=".71999pt" strokecolor="#000000">
                <v:path arrowok="t"/>
              </v:shape>
            </v:group>
            <v:group style="position:absolute;left:7283;top:2384;width:2798;height:2" coordorigin="7283,2384" coordsize="2798,2">
              <v:shape style="position:absolute;left:7283;top:2384;width:2798;height:2" coordorigin="7283,2384" coordsize="2798,0" path="m7283,2384l10080,2384e" filled="false" stroked="true" strokeweight=".71999pt" strokecolor="#000000">
                <v:path arrowok="t"/>
              </v:shape>
            </v:group>
            <w10:wrap type="none"/>
          </v:group>
        </w:pict>
      </w:r>
      <w:r>
        <w:rPr>
          <w:rFonts w:ascii="宋体" w:hAnsi="宋体" w:cs="宋体" w:eastAsia="宋体" w:hint="default"/>
          <w:b/>
          <w:bCs/>
          <w:sz w:val="21"/>
          <w:szCs w:val="21"/>
        </w:rPr>
        <w:t>（十四）递延所得税资产和递延所得税负债</w:t>
      </w:r>
      <w:r>
        <w:rPr>
          <w:rFonts w:ascii="宋体" w:hAnsi="宋体" w:cs="宋体" w:eastAsia="宋体" w:hint="default"/>
          <w:b/>
          <w:bCs/>
          <w:spacing w:val="1"/>
          <w:w w:val="99"/>
          <w:sz w:val="21"/>
          <w:szCs w:val="21"/>
        </w:rPr>
        <w:t> </w:t>
      </w:r>
      <w:r>
        <w:rPr>
          <w:rFonts w:ascii="宋体" w:hAnsi="宋体" w:cs="宋体" w:eastAsia="宋体" w:hint="default"/>
          <w:sz w:val="21"/>
          <w:szCs w:val="21"/>
        </w:rPr>
        <w:t>1、已确认的递延所得税资产</w:t>
      </w:r>
    </w:p>
    <w:tbl>
      <w:tblPr>
        <w:tblW w:w="0" w:type="auto"/>
        <w:jc w:val="left"/>
        <w:tblInd w:w="755" w:type="dxa"/>
        <w:tblLayout w:type="fixed"/>
        <w:tblCellMar>
          <w:top w:w="0" w:type="dxa"/>
          <w:left w:w="0" w:type="dxa"/>
          <w:bottom w:w="0" w:type="dxa"/>
          <w:right w:w="0" w:type="dxa"/>
        </w:tblCellMar>
        <w:tblLook w:val="01E0"/>
      </w:tblPr>
      <w:tblGrid>
        <w:gridCol w:w="2503"/>
        <w:gridCol w:w="670"/>
        <w:gridCol w:w="2656"/>
        <w:gridCol w:w="2450"/>
      </w:tblGrid>
      <w:tr>
        <w:trPr>
          <w:trHeight w:val="721"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）资产减值准备</w:t>
            </w:r>
          </w:p>
        </w:tc>
        <w:tc>
          <w:tcPr>
            <w:tcW w:w="3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right="53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right="537"/>
              <w:jc w:val="right"/>
              <w:rPr>
                <w:rFonts w:ascii="Times New Roman" w:hAnsi="Times New Roman" w:cs="Times New Roman" w:eastAsia="Times New Roman" w:hint="default"/>
                <w:sz w:val="18"/>
                <w:szCs w:val="18"/>
              </w:rPr>
            </w:pPr>
            <w:r>
              <w:rPr>
                <w:rFonts w:ascii="Times New Roman"/>
                <w:spacing w:val="-1"/>
                <w:sz w:val="18"/>
              </w:rPr>
              <w:t>2,552,564.27</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4"/>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p>
            <w:pPr>
              <w:pStyle w:val="TableParagraph"/>
              <w:spacing w:line="240" w:lineRule="auto" w:before="142"/>
              <w:ind w:right="423"/>
              <w:jc w:val="center"/>
              <w:rPr>
                <w:rFonts w:ascii="Times New Roman" w:hAnsi="Times New Roman" w:cs="Times New Roman" w:eastAsia="Times New Roman" w:hint="default"/>
                <w:sz w:val="18"/>
                <w:szCs w:val="18"/>
              </w:rPr>
            </w:pPr>
            <w:r>
              <w:rPr>
                <w:rFonts w:ascii="Times New Roman"/>
                <w:sz w:val="18"/>
              </w:rPr>
              <w:t>1,637,545.49</w:t>
            </w:r>
          </w:p>
        </w:tc>
      </w:tr>
      <w:tr>
        <w:trPr>
          <w:trHeight w:val="340"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）交易性金融负债</w:t>
            </w:r>
          </w:p>
        </w:tc>
        <w:tc>
          <w:tcPr>
            <w:tcW w:w="3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975" w:right="0"/>
              <w:jc w:val="left"/>
              <w:rPr>
                <w:rFonts w:ascii="Times New Roman" w:hAnsi="Times New Roman" w:cs="Times New Roman" w:eastAsia="Times New Roman" w:hint="default"/>
                <w:sz w:val="18"/>
                <w:szCs w:val="18"/>
              </w:rPr>
            </w:pPr>
            <w:r>
              <w:rPr>
                <w:rFonts w:ascii="Times New Roman"/>
                <w:sz w:val="18"/>
              </w:rPr>
              <w:t>870,635.40</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23"/>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）可抵扣亏损</w:t>
            </w: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1"/>
              <w:ind w:right="537"/>
              <w:jc w:val="right"/>
              <w:rPr>
                <w:rFonts w:ascii="Times New Roman" w:hAnsi="Times New Roman" w:cs="Times New Roman" w:eastAsia="Times New Roman" w:hint="default"/>
                <w:sz w:val="18"/>
                <w:szCs w:val="18"/>
              </w:rPr>
            </w:pPr>
            <w:r>
              <w:rPr>
                <w:rFonts w:ascii="Times New Roman"/>
                <w:sz w:val="18"/>
              </w:rPr>
              <w:t>---</w:t>
            </w:r>
          </w:p>
        </w:tc>
        <w:tc>
          <w:tcPr>
            <w:tcW w:w="245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23"/>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2503"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2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840" w:right="0"/>
              <w:jc w:val="left"/>
              <w:rPr>
                <w:rFonts w:ascii="Times New Roman" w:hAnsi="Times New Roman" w:cs="Times New Roman" w:eastAsia="Times New Roman" w:hint="default"/>
                <w:sz w:val="18"/>
                <w:szCs w:val="18"/>
              </w:rPr>
            </w:pPr>
            <w:r>
              <w:rPr>
                <w:rFonts w:ascii="Times New Roman"/>
                <w:sz w:val="18"/>
              </w:rPr>
              <w:t>3,423,199.67</w:t>
            </w:r>
          </w:p>
        </w:tc>
        <w:tc>
          <w:tcPr>
            <w:tcW w:w="2450"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423"/>
              <w:jc w:val="center"/>
              <w:rPr>
                <w:rFonts w:ascii="Times New Roman" w:hAnsi="Times New Roman" w:cs="Times New Roman" w:eastAsia="Times New Roman" w:hint="default"/>
                <w:sz w:val="18"/>
                <w:szCs w:val="18"/>
              </w:rPr>
            </w:pPr>
            <w:r>
              <w:rPr>
                <w:rFonts w:ascii="Times New Roman"/>
                <w:sz w:val="18"/>
              </w:rPr>
              <w:t>1,637,545.49</w:t>
            </w:r>
          </w:p>
        </w:tc>
      </w:tr>
      <w:tr>
        <w:trPr>
          <w:trHeight w:val="395" w:hRule="exact"/>
        </w:trPr>
        <w:tc>
          <w:tcPr>
            <w:tcW w:w="82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1"/>
              <w:ind w:left="424" w:right="0"/>
              <w:jc w:val="left"/>
              <w:rPr>
                <w:rFonts w:ascii="宋体" w:hAnsi="宋体" w:cs="宋体" w:eastAsia="宋体" w:hint="default"/>
                <w:sz w:val="21"/>
                <w:szCs w:val="21"/>
              </w:rPr>
            </w:pPr>
            <w:r>
              <w:rPr>
                <w:rFonts w:ascii="宋体" w:hAnsi="宋体" w:cs="宋体" w:eastAsia="宋体" w:hint="default"/>
                <w:sz w:val="21"/>
                <w:szCs w:val="21"/>
              </w:rPr>
              <w:t>引起暂时性差异的资产或负债项目对应的暂时性差异金额。</w:t>
            </w:r>
          </w:p>
        </w:tc>
      </w:tr>
      <w:tr>
        <w:trPr>
          <w:trHeight w:val="338"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45"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）应收款项坏账准备</w:t>
            </w:r>
          </w:p>
        </w:tc>
        <w:tc>
          <w:tcPr>
            <w:tcW w:w="5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right="20"/>
              <w:jc w:val="right"/>
              <w:rPr>
                <w:rFonts w:ascii="Times New Roman" w:hAnsi="Times New Roman" w:cs="Times New Roman" w:eastAsia="Times New Roman" w:hint="default"/>
                <w:sz w:val="18"/>
                <w:szCs w:val="18"/>
              </w:rPr>
            </w:pPr>
            <w:r>
              <w:rPr>
                <w:rFonts w:ascii="Times New Roman"/>
                <w:spacing w:val="-1"/>
                <w:sz w:val="18"/>
              </w:rPr>
              <w:t>9,580,639.61</w:t>
            </w:r>
          </w:p>
        </w:tc>
      </w:tr>
      <w:tr>
        <w:trPr>
          <w:trHeight w:val="340"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tc>
        <w:tc>
          <w:tcPr>
            <w:tcW w:w="5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1,064,422.95</w:t>
            </w:r>
          </w:p>
        </w:tc>
      </w:tr>
      <w:tr>
        <w:trPr>
          <w:trHeight w:val="340"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）固定资产减值准备</w:t>
            </w:r>
          </w:p>
        </w:tc>
        <w:tc>
          <w:tcPr>
            <w:tcW w:w="51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1,527,914.30</w:t>
            </w:r>
          </w:p>
        </w:tc>
      </w:tr>
      <w:tr>
        <w:trPr>
          <w:trHeight w:val="302"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）交易性金融负债</w:t>
            </w:r>
          </w:p>
        </w:tc>
        <w:tc>
          <w:tcPr>
            <w:tcW w:w="510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4,353,176.99</w:t>
            </w:r>
          </w:p>
        </w:tc>
      </w:tr>
      <w:tr>
        <w:trPr>
          <w:trHeight w:val="435" w:hRule="exact"/>
        </w:trPr>
        <w:tc>
          <w:tcPr>
            <w:tcW w:w="3173" w:type="dxa"/>
            <w:gridSpan w:val="2"/>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510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16,526,153.85</w:t>
            </w:r>
          </w:p>
        </w:tc>
      </w:tr>
    </w:tbl>
    <w:p>
      <w:pPr>
        <w:spacing w:before="1"/>
        <w:ind w:left="1180" w:right="0" w:firstLine="0"/>
        <w:jc w:val="left"/>
        <w:rPr>
          <w:rFonts w:ascii="宋体" w:hAnsi="宋体" w:cs="宋体" w:eastAsia="宋体" w:hint="default"/>
          <w:sz w:val="21"/>
          <w:szCs w:val="21"/>
        </w:rPr>
      </w:pPr>
      <w:r>
        <w:rPr/>
        <w:pict>
          <v:group style="position:absolute;margin-left:248.039993pt;margin-top:-6.165925pt;width:256.05pt;height:.1pt;mso-position-horizontal-relative:page;mso-position-vertical-relative:paragraph;z-index:-623992" coordorigin="4961,-123" coordsize="5121,2">
            <v:shape style="position:absolute;left:4961;top:-123;width:5121;height:2" coordorigin="4961,-123" coordsize="5121,0" path="m4961,-123l10081,-123e" filled="false" stroked="true" strokeweight=".72pt" strokecolor="#000000">
              <v:path arrowok="t"/>
            </v:shape>
            <w10:wrap type="none"/>
          </v:group>
        </w:pict>
      </w:r>
      <w:r>
        <w:rPr>
          <w:rFonts w:ascii="宋体" w:hAnsi="宋体" w:cs="宋体" w:eastAsia="宋体" w:hint="default"/>
          <w:sz w:val="21"/>
          <w:szCs w:val="21"/>
        </w:rPr>
        <w:t>2、已确认的递延所得税负债</w:t>
      </w:r>
    </w:p>
    <w:p>
      <w:pPr>
        <w:tabs>
          <w:tab w:pos="2570" w:val="left" w:leader="none"/>
          <w:tab w:pos="5005" w:val="left" w:leader="none"/>
          <w:tab w:pos="7514" w:val="left" w:leader="none"/>
        </w:tabs>
        <w:spacing w:before="101"/>
        <w:ind w:left="203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918" w:footer="950" w:top="1160" w:bottom="1140" w:left="1040" w:right="1240"/>
        </w:sectPr>
      </w:pPr>
    </w:p>
    <w:p>
      <w:pPr>
        <w:spacing w:line="240" w:lineRule="auto" w:before="8"/>
        <w:rPr>
          <w:rFonts w:ascii="宋体" w:hAnsi="宋体" w:cs="宋体" w:eastAsia="宋体" w:hint="default"/>
          <w:sz w:val="21"/>
          <w:szCs w:val="21"/>
        </w:rPr>
      </w:pPr>
    </w:p>
    <w:p>
      <w:pPr>
        <w:tabs>
          <w:tab w:pos="4469" w:val="left" w:leader="none"/>
          <w:tab w:pos="7280" w:val="left" w:leader="none"/>
        </w:tabs>
        <w:spacing w:before="58"/>
        <w:ind w:left="1270" w:right="803"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可抵扣暂时性差异</w:t>
        <w:tab/>
      </w:r>
      <w:r>
        <w:rPr>
          <w:rFonts w:ascii="Times New Roman" w:hAnsi="Times New Roman" w:cs="Times New Roman" w:eastAsia="Times New Roman" w:hint="default"/>
          <w:sz w:val="18"/>
          <w:szCs w:val="18"/>
        </w:rPr>
        <w:t>101,120.00</w:t>
        <w:tab/>
      </w:r>
      <w:r>
        <w:rPr>
          <w:rFonts w:ascii="Times New Roman" w:hAnsi="Times New Roman" w:cs="Times New Roman" w:eastAsia="Times New Roman" w:hint="default"/>
          <w:sz w:val="21"/>
          <w:szCs w:val="21"/>
        </w:rPr>
        <w:t>---</w:t>
      </w:r>
    </w:p>
    <w:p>
      <w:pPr>
        <w:spacing w:before="49"/>
        <w:ind w:left="779" w:right="803" w:firstLine="0"/>
        <w:jc w:val="left"/>
        <w:rPr>
          <w:rFonts w:ascii="宋体" w:hAnsi="宋体" w:cs="宋体" w:eastAsia="宋体" w:hint="default"/>
          <w:sz w:val="21"/>
          <w:szCs w:val="21"/>
        </w:rPr>
      </w:pPr>
      <w:r>
        <w:rPr>
          <w:rFonts w:ascii="宋体" w:hAnsi="宋体" w:cs="宋体" w:eastAsia="宋体" w:hint="default"/>
          <w:sz w:val="21"/>
          <w:szCs w:val="21"/>
        </w:rPr>
        <w:t>引起暂时性差异的资产或负债项目对应的暂时性差异金额。</w:t>
      </w:r>
    </w:p>
    <w:p>
      <w:pPr>
        <w:tabs>
          <w:tab w:pos="2159" w:val="left" w:leader="none"/>
          <w:tab w:pos="5489" w:val="left" w:leader="none"/>
        </w:tabs>
        <w:spacing w:before="101"/>
        <w:ind w:left="1620" w:right="80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暂时性差异金额</w:t>
      </w:r>
      <w:r>
        <w:rPr>
          <w:rFonts w:ascii="宋体" w:hAnsi="宋体" w:cs="宋体" w:eastAsia="宋体" w:hint="default"/>
          <w:sz w:val="18"/>
          <w:szCs w:val="18"/>
        </w:rPr>
      </w:r>
    </w:p>
    <w:p>
      <w:pPr>
        <w:tabs>
          <w:tab w:pos="5714" w:val="left" w:leader="none"/>
        </w:tabs>
        <w:spacing w:before="104"/>
        <w:ind w:left="1350" w:right="803" w:firstLine="0"/>
        <w:jc w:val="left"/>
        <w:rPr>
          <w:rFonts w:ascii="Times New Roman" w:hAnsi="Times New Roman" w:cs="Times New Roman" w:eastAsia="Times New Roman" w:hint="default"/>
          <w:sz w:val="18"/>
          <w:szCs w:val="18"/>
        </w:rPr>
      </w:pPr>
      <w:r>
        <w:rPr/>
        <w:pict>
          <v:group style="position:absolute;margin-left:329.760010pt;margin-top:70.311707pt;width:137.550pt;height:.1pt;mso-position-horizontal-relative:page;mso-position-vertical-relative:paragraph;z-index:-623968" coordorigin="6595,1406" coordsize="2751,2">
            <v:shape style="position:absolute;left:6595;top:1406;width:2751;height:2" coordorigin="6595,1406" coordsize="2751,0" path="m6595,1406l9346,1406e" filled="false" stroked="true" strokeweight=".48004pt" strokecolor="#000000">
              <v:path arrowok="t"/>
            </v:shape>
            <w10:wrap type="none"/>
          </v:group>
        </w:pict>
      </w:r>
      <w:r>
        <w:rPr>
          <w:rFonts w:ascii="宋体" w:hAnsi="宋体" w:cs="宋体" w:eastAsia="宋体" w:hint="default"/>
          <w:sz w:val="18"/>
          <w:szCs w:val="18"/>
        </w:rPr>
        <w:t>交易性金融资产</w:t>
        <w:tab/>
      </w:r>
      <w:r>
        <w:rPr>
          <w:rFonts w:ascii="Times New Roman" w:hAnsi="Times New Roman" w:cs="Times New Roman" w:eastAsia="Times New Roman" w:hint="default"/>
          <w:sz w:val="18"/>
          <w:szCs w:val="18"/>
        </w:rPr>
        <w:t>505,600.00</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692"/>
        <w:gridCol w:w="1437"/>
        <w:gridCol w:w="1750"/>
        <w:gridCol w:w="960"/>
        <w:gridCol w:w="1416"/>
      </w:tblGrid>
      <w:tr>
        <w:trPr>
          <w:trHeight w:val="643"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1" w:right="0"/>
              <w:jc w:val="left"/>
              <w:rPr>
                <w:rFonts w:ascii="宋体" w:hAnsi="宋体" w:cs="宋体" w:eastAsia="宋体" w:hint="default"/>
                <w:sz w:val="21"/>
                <w:szCs w:val="21"/>
              </w:rPr>
            </w:pPr>
            <w:r>
              <w:rPr>
                <w:rFonts w:ascii="宋体" w:hAnsi="宋体" w:cs="宋体" w:eastAsia="宋体" w:hint="default"/>
                <w:b/>
                <w:bCs/>
                <w:sz w:val="21"/>
                <w:szCs w:val="21"/>
              </w:rPr>
              <w:t>（十五）资产减值准备</w:t>
            </w:r>
            <w:r>
              <w:rPr>
                <w:rFonts w:ascii="宋体" w:hAnsi="宋体" w:cs="宋体" w:eastAsia="宋体" w:hint="default"/>
                <w:sz w:val="21"/>
                <w:szCs w:val="21"/>
              </w:rPr>
            </w:r>
          </w:p>
        </w:tc>
        <w:tc>
          <w:tcPr>
            <w:tcW w:w="143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46"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375" w:type="dxa"/>
            <w:gridSpan w:val="2"/>
            <w:tcBorders>
              <w:top w:val="nil" w:sz="6" w:space="0" w:color="auto"/>
              <w:left w:val="nil" w:sz="6" w:space="0" w:color="auto"/>
              <w:bottom w:val="nil" w:sz="6" w:space="0" w:color="auto"/>
              <w:right w:val="nil" w:sz="6" w:space="0" w:color="auto"/>
            </w:tcBorders>
          </w:tcPr>
          <w:p>
            <w:pPr/>
          </w:p>
        </w:tc>
      </w:tr>
      <w:tr>
        <w:trPr>
          <w:trHeight w:val="175" w:hRule="exact"/>
        </w:trPr>
        <w:tc>
          <w:tcPr>
            <w:tcW w:w="3692" w:type="dxa"/>
            <w:tcBorders>
              <w:top w:val="nil" w:sz="6" w:space="0" w:color="auto"/>
              <w:left w:val="nil" w:sz="6" w:space="0" w:color="auto"/>
              <w:bottom w:val="nil" w:sz="6" w:space="0" w:color="auto"/>
              <w:right w:val="nil" w:sz="6" w:space="0" w:color="auto"/>
            </w:tcBorders>
          </w:tcPr>
          <w:p>
            <w:pPr>
              <w:pStyle w:val="TableParagraph"/>
              <w:tabs>
                <w:tab w:pos="539" w:val="left" w:leader="none"/>
                <w:tab w:pos="1753" w:val="left" w:leader="none"/>
              </w:tabs>
              <w:spacing w:line="178" w:lineRule="exact"/>
              <w:ind w:right="28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437" w:type="dxa"/>
            <w:tcBorders>
              <w:top w:val="nil" w:sz="6" w:space="0" w:color="auto"/>
              <w:left w:val="nil" w:sz="6" w:space="0" w:color="auto"/>
              <w:bottom w:val="nil" w:sz="6" w:space="0" w:color="auto"/>
              <w:right w:val="nil" w:sz="6" w:space="0" w:color="auto"/>
            </w:tcBorders>
          </w:tcPr>
          <w:p>
            <w:pPr>
              <w:pStyle w:val="TableParagraph"/>
              <w:spacing w:line="178" w:lineRule="exact"/>
              <w:ind w:left="18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1750"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78" w:lineRule="exact"/>
              <w:ind w:left="1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257" w:hRule="exact"/>
        </w:trPr>
        <w:tc>
          <w:tcPr>
            <w:tcW w:w="369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Style w:val="TableParagraph"/>
              <w:spacing w:line="177" w:lineRule="exact"/>
              <w:ind w:left="3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  回</w:t>
            </w:r>
            <w:r>
              <w:rPr>
                <w:rFonts w:ascii="宋体" w:hAnsi="宋体" w:cs="宋体" w:eastAsia="宋体" w:hint="default"/>
                <w:sz w:val="18"/>
                <w:szCs w:val="18"/>
              </w:rPr>
            </w:r>
          </w:p>
        </w:tc>
        <w:tc>
          <w:tcPr>
            <w:tcW w:w="960" w:type="dxa"/>
            <w:tcBorders>
              <w:top w:val="nil" w:sz="6" w:space="0" w:color="auto"/>
              <w:left w:val="nil" w:sz="6" w:space="0" w:color="auto"/>
              <w:bottom w:val="nil" w:sz="6" w:space="0" w:color="auto"/>
              <w:right w:val="nil" w:sz="6" w:space="0" w:color="auto"/>
            </w:tcBorders>
          </w:tcPr>
          <w:p>
            <w:pPr>
              <w:pStyle w:val="TableParagraph"/>
              <w:spacing w:line="177" w:lineRule="exact"/>
              <w:ind w:left="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  销</w:t>
            </w:r>
            <w:r>
              <w:rPr>
                <w:rFonts w:ascii="宋体" w:hAnsi="宋体" w:cs="宋体" w:eastAsia="宋体" w:hint="default"/>
                <w:sz w:val="18"/>
                <w:szCs w:val="18"/>
              </w:rPr>
            </w:r>
          </w:p>
        </w:tc>
        <w:tc>
          <w:tcPr>
            <w:tcW w:w="1416" w:type="dxa"/>
            <w:tcBorders>
              <w:top w:val="nil" w:sz="6" w:space="0" w:color="auto"/>
              <w:left w:val="nil" w:sz="6" w:space="0" w:color="auto"/>
              <w:bottom w:val="nil" w:sz="6" w:space="0" w:color="auto"/>
              <w:right w:val="nil" w:sz="6" w:space="0" w:color="auto"/>
            </w:tcBorders>
          </w:tcPr>
          <w:p>
            <w:pPr/>
          </w:p>
        </w:tc>
      </w:tr>
      <w:tr>
        <w:trPr>
          <w:trHeight w:val="345" w:hRule="exact"/>
        </w:trPr>
        <w:tc>
          <w:tcPr>
            <w:tcW w:w="3692" w:type="dxa"/>
            <w:tcBorders>
              <w:top w:val="nil" w:sz="6" w:space="0" w:color="auto"/>
              <w:left w:val="nil" w:sz="6" w:space="0" w:color="auto"/>
              <w:bottom w:val="nil" w:sz="6" w:space="0" w:color="auto"/>
              <w:right w:val="nil" w:sz="6" w:space="0" w:color="auto"/>
            </w:tcBorders>
          </w:tcPr>
          <w:p>
            <w:pPr>
              <w:pStyle w:val="TableParagraph"/>
              <w:tabs>
                <w:tab w:pos="1892" w:val="left" w:leader="none"/>
              </w:tabs>
              <w:spacing w:line="240" w:lineRule="auto" w:before="25"/>
              <w:ind w:right="187"/>
              <w:jc w:val="right"/>
              <w:rPr>
                <w:rFonts w:ascii="Times New Roman" w:hAnsi="Times New Roman" w:cs="Times New Roman" w:eastAsia="Times New Roman" w:hint="default"/>
                <w:sz w:val="18"/>
                <w:szCs w:val="18"/>
              </w:rPr>
            </w:pPr>
            <w:r>
              <w:rPr>
                <w:rFonts w:ascii="宋体" w:hAnsi="宋体" w:cs="宋体" w:eastAsia="宋体" w:hint="default"/>
                <w:sz w:val="18"/>
                <w:szCs w:val="18"/>
              </w:rPr>
              <w:t>坏账准备</w:t>
              <w:tab/>
            </w:r>
            <w:r>
              <w:rPr>
                <w:rFonts w:ascii="Times New Roman" w:hAnsi="Times New Roman" w:cs="Times New Roman" w:eastAsia="Times New Roman" w:hint="default"/>
                <w:spacing w:val="-1"/>
                <w:sz w:val="18"/>
                <w:szCs w:val="18"/>
              </w:rPr>
              <w:t>16,485,718.46</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4"/>
              <w:jc w:val="right"/>
              <w:rPr>
                <w:rFonts w:ascii="Times New Roman" w:hAnsi="Times New Roman" w:cs="Times New Roman" w:eastAsia="Times New Roman" w:hint="default"/>
                <w:sz w:val="18"/>
                <w:szCs w:val="18"/>
              </w:rPr>
            </w:pPr>
            <w:r>
              <w:rPr>
                <w:rFonts w:ascii="Times New Roman"/>
                <w:sz w:val="18"/>
              </w:rPr>
              <w:t>744,950.22</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6" w:right="0"/>
              <w:jc w:val="left"/>
              <w:rPr>
                <w:rFonts w:ascii="Times New Roman" w:hAnsi="Times New Roman" w:cs="Times New Roman" w:eastAsia="Times New Roman" w:hint="default"/>
                <w:sz w:val="18"/>
                <w:szCs w:val="18"/>
              </w:rPr>
            </w:pPr>
            <w:r>
              <w:rPr>
                <w:rFonts w:ascii="Times New Roman"/>
                <w:sz w:val="18"/>
              </w:rPr>
              <w:t>7,649,660.77</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43"/>
              <w:jc w:val="right"/>
              <w:rPr>
                <w:rFonts w:ascii="Times New Roman" w:hAnsi="Times New Roman" w:cs="Times New Roman" w:eastAsia="Times New Roman" w:hint="default"/>
                <w:sz w:val="18"/>
                <w:szCs w:val="18"/>
              </w:rPr>
            </w:pPr>
            <w:r>
              <w:rPr>
                <w:rFonts w:ascii="Times New Roman"/>
                <w:sz w:val="18"/>
              </w:rPr>
              <w:t>368.30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9,580,639.61</w:t>
            </w:r>
          </w:p>
        </w:tc>
      </w:tr>
      <w:tr>
        <w:trPr>
          <w:trHeight w:val="340" w:hRule="exact"/>
        </w:trPr>
        <w:tc>
          <w:tcPr>
            <w:tcW w:w="3692" w:type="dxa"/>
            <w:tcBorders>
              <w:top w:val="nil" w:sz="6" w:space="0" w:color="auto"/>
              <w:left w:val="nil" w:sz="6" w:space="0" w:color="auto"/>
              <w:bottom w:val="nil" w:sz="6" w:space="0" w:color="auto"/>
              <w:right w:val="nil" w:sz="6" w:space="0" w:color="auto"/>
            </w:tcBorders>
          </w:tcPr>
          <w:p>
            <w:pPr>
              <w:pStyle w:val="TableParagraph"/>
              <w:tabs>
                <w:tab w:pos="2296" w:val="left" w:leader="none"/>
              </w:tabs>
              <w:spacing w:line="240" w:lineRule="auto" w:before="19"/>
              <w:ind w:right="187"/>
              <w:jc w:val="right"/>
              <w:rPr>
                <w:rFonts w:ascii="Times New Roman" w:hAnsi="Times New Roman" w:cs="Times New Roman" w:eastAsia="Times New Roman" w:hint="default"/>
                <w:sz w:val="18"/>
                <w:szCs w:val="18"/>
              </w:rPr>
            </w:pPr>
            <w:r>
              <w:rPr>
                <w:rFonts w:ascii="宋体" w:hAnsi="宋体" w:cs="宋体" w:eastAsia="宋体" w:hint="default"/>
                <w:sz w:val="18"/>
                <w:szCs w:val="18"/>
              </w:rPr>
              <w:t>存货跌价准备</w:t>
              <w:tab/>
            </w:r>
            <w:r>
              <w:rPr>
                <w:rFonts w:ascii="Times New Roman" w:hAnsi="Times New Roman" w:cs="Times New Roman" w:eastAsia="Times New Roman" w:hint="default"/>
                <w:w w:val="95"/>
                <w:sz w:val="18"/>
                <w:szCs w:val="18"/>
              </w:rPr>
              <w:t>784,534.12</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4"/>
              <w:jc w:val="right"/>
              <w:rPr>
                <w:rFonts w:ascii="Times New Roman" w:hAnsi="Times New Roman" w:cs="Times New Roman" w:eastAsia="Times New Roman" w:hint="default"/>
                <w:sz w:val="18"/>
                <w:szCs w:val="18"/>
              </w:rPr>
            </w:pPr>
            <w:r>
              <w:rPr>
                <w:rFonts w:ascii="Times New Roman"/>
                <w:sz w:val="18"/>
              </w:rPr>
              <w:t>899,845.35</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34"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sz w:val="18"/>
              </w:rPr>
              <w:t>619,956.52</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1,064,422.95</w:t>
            </w:r>
          </w:p>
        </w:tc>
      </w:tr>
      <w:tr>
        <w:trPr>
          <w:trHeight w:val="340" w:hRule="exact"/>
        </w:trPr>
        <w:tc>
          <w:tcPr>
            <w:tcW w:w="3692" w:type="dxa"/>
            <w:tcBorders>
              <w:top w:val="nil" w:sz="6" w:space="0" w:color="auto"/>
              <w:left w:val="nil" w:sz="6" w:space="0" w:color="auto"/>
              <w:bottom w:val="nil" w:sz="6" w:space="0" w:color="auto"/>
              <w:right w:val="nil" w:sz="6" w:space="0" w:color="auto"/>
            </w:tcBorders>
          </w:tcPr>
          <w:p>
            <w:pPr>
              <w:pStyle w:val="TableParagraph"/>
              <w:tabs>
                <w:tab w:pos="2342" w:val="left" w:leader="none"/>
              </w:tabs>
              <w:spacing w:line="240" w:lineRule="auto" w:before="20"/>
              <w:ind w:right="187"/>
              <w:jc w:val="right"/>
              <w:rPr>
                <w:rFonts w:ascii="Times New Roman" w:hAnsi="Times New Roman" w:cs="Times New Roman" w:eastAsia="Times New Roman" w:hint="default"/>
                <w:sz w:val="18"/>
                <w:szCs w:val="18"/>
              </w:rPr>
            </w:pPr>
            <w:r>
              <w:rPr>
                <w:rFonts w:ascii="宋体" w:hAnsi="宋体" w:cs="宋体" w:eastAsia="宋体" w:hint="default"/>
                <w:sz w:val="18"/>
                <w:szCs w:val="18"/>
              </w:rPr>
              <w:t>固定资产减值准备</w:t>
              <w:tab/>
            </w:r>
            <w:r>
              <w:rPr>
                <w:rFonts w:ascii="Times New Roman" w:hAnsi="Times New Roman" w:cs="Times New Roman" w:eastAsia="Times New Roman" w:hint="default"/>
                <w:spacing w:val="-1"/>
                <w:sz w:val="18"/>
                <w:szCs w:val="18"/>
              </w:rPr>
              <w:t>1,527,914.30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4"/>
              <w:jc w:val="right"/>
              <w:rPr>
                <w:rFonts w:ascii="Times New Roman" w:hAnsi="Times New Roman" w:cs="Times New Roman" w:eastAsia="Times New Roman" w:hint="default"/>
                <w:sz w:val="18"/>
                <w:szCs w:val="18"/>
              </w:rPr>
            </w:pPr>
            <w:r>
              <w:rPr>
                <w:rFonts w:ascii="Times New Roman"/>
                <w:sz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34"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3"/>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1,527,914.30</w:t>
            </w:r>
          </w:p>
        </w:tc>
      </w:tr>
      <w:tr>
        <w:trPr>
          <w:trHeight w:val="302" w:hRule="exact"/>
        </w:trPr>
        <w:tc>
          <w:tcPr>
            <w:tcW w:w="3692" w:type="dxa"/>
            <w:tcBorders>
              <w:top w:val="nil" w:sz="6" w:space="0" w:color="auto"/>
              <w:left w:val="nil" w:sz="6" w:space="0" w:color="auto"/>
              <w:bottom w:val="single" w:sz="4" w:space="0" w:color="000000"/>
              <w:right w:val="nil" w:sz="6" w:space="0" w:color="auto"/>
            </w:tcBorders>
          </w:tcPr>
          <w:p>
            <w:pPr>
              <w:pStyle w:val="TableParagraph"/>
              <w:tabs>
                <w:tab w:pos="3287" w:val="left" w:leader="none"/>
              </w:tabs>
              <w:spacing w:line="240" w:lineRule="auto" w:before="19"/>
              <w:ind w:right="186"/>
              <w:jc w:val="righ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长期股权投资减值准备</w:t>
              <w:tab/>
            </w:r>
            <w:r>
              <w:rPr>
                <w:rFonts w:ascii="Times New Roman" w:hAnsi="Times New Roman" w:cs="Times New Roman" w:eastAsia="Times New Roman" w:hint="default"/>
                <w:sz w:val="18"/>
                <w:szCs w:val="18"/>
              </w:rPr>
              <w:t>---</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22" w:right="0"/>
              <w:jc w:val="left"/>
              <w:rPr>
                <w:rFonts w:ascii="Times New Roman" w:hAnsi="Times New Roman" w:cs="Times New Roman" w:eastAsia="Times New Roman" w:hint="default"/>
                <w:sz w:val="18"/>
                <w:szCs w:val="18"/>
              </w:rPr>
            </w:pPr>
            <w:r>
              <w:rPr>
                <w:rFonts w:ascii="Times New Roman"/>
                <w:sz w:val="18"/>
              </w:rPr>
              <w:t>10,775,441.11</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35"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10,775,441.11</w:t>
            </w:r>
          </w:p>
        </w:tc>
      </w:tr>
      <w:tr>
        <w:trPr>
          <w:trHeight w:val="436" w:hRule="exact"/>
        </w:trPr>
        <w:tc>
          <w:tcPr>
            <w:tcW w:w="3692" w:type="dxa"/>
            <w:tcBorders>
              <w:top w:val="single" w:sz="4" w:space="0" w:color="000000"/>
              <w:left w:val="nil" w:sz="6" w:space="0" w:color="auto"/>
              <w:bottom w:val="single" w:sz="12" w:space="0" w:color="000000"/>
              <w:right w:val="nil" w:sz="6" w:space="0" w:color="auto"/>
            </w:tcBorders>
          </w:tcPr>
          <w:p>
            <w:pPr>
              <w:pStyle w:val="TableParagraph"/>
              <w:tabs>
                <w:tab w:pos="539" w:val="left" w:leader="none"/>
                <w:tab w:pos="1892" w:val="left" w:leader="none"/>
              </w:tabs>
              <w:spacing w:line="240" w:lineRule="auto" w:before="62"/>
              <w:ind w:right="187"/>
              <w:jc w:val="righ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18,798,166.88</w:t>
            </w:r>
          </w:p>
        </w:tc>
        <w:tc>
          <w:tcPr>
            <w:tcW w:w="1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15" w:right="0"/>
              <w:jc w:val="left"/>
              <w:rPr>
                <w:rFonts w:ascii="Times New Roman" w:hAnsi="Times New Roman" w:cs="Times New Roman" w:eastAsia="Times New Roman" w:hint="default"/>
                <w:sz w:val="18"/>
                <w:szCs w:val="18"/>
              </w:rPr>
            </w:pPr>
            <w:r>
              <w:rPr>
                <w:rFonts w:ascii="Times New Roman"/>
                <w:sz w:val="18"/>
              </w:rPr>
              <w:t>12,420,236.68</w:t>
            </w:r>
          </w:p>
        </w:tc>
        <w:tc>
          <w:tcPr>
            <w:tcW w:w="17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7,649,660.77</w:t>
            </w:r>
          </w:p>
        </w:tc>
        <w:tc>
          <w:tcPr>
            <w:tcW w:w="9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43"/>
              <w:jc w:val="right"/>
              <w:rPr>
                <w:rFonts w:ascii="Times New Roman" w:hAnsi="Times New Roman" w:cs="Times New Roman" w:eastAsia="Times New Roman" w:hint="default"/>
                <w:sz w:val="18"/>
                <w:szCs w:val="18"/>
              </w:rPr>
            </w:pPr>
            <w:r>
              <w:rPr>
                <w:rFonts w:ascii="Times New Roman"/>
                <w:sz w:val="18"/>
              </w:rPr>
              <w:t>620,324.82</w:t>
            </w: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22,948,417.97</w:t>
            </w:r>
          </w:p>
        </w:tc>
      </w:tr>
    </w:tbl>
    <w:p>
      <w:pPr>
        <w:spacing w:line="297" w:lineRule="auto" w:before="12"/>
        <w:ind w:left="780" w:right="6995" w:firstLine="2"/>
        <w:jc w:val="left"/>
        <w:rPr>
          <w:rFonts w:ascii="宋体" w:hAnsi="宋体" w:cs="宋体" w:eastAsia="宋体" w:hint="default"/>
          <w:sz w:val="21"/>
          <w:szCs w:val="21"/>
        </w:rPr>
      </w:pPr>
      <w:r>
        <w:rPr/>
        <w:pict>
          <v:group style="position:absolute;margin-left:182.820023pt;margin-top:-5.976017pt;width:213.6pt;height:.75pt;mso-position-horizontal-relative:page;mso-position-vertical-relative:paragraph;z-index:-623944" coordorigin="3656,-120" coordsize="4272,15">
            <v:group style="position:absolute;left:3664;top:-112;width:1500;height:2" coordorigin="3664,-112" coordsize="1500,2">
              <v:shape style="position:absolute;left:3664;top:-112;width:1500;height:2" coordorigin="3664,-112" coordsize="1500,0" path="m3664,-112l5164,-112e" filled="false" stroked="true" strokeweight=".71997pt" strokecolor="#000000">
                <v:path arrowok="t"/>
              </v:shape>
            </v:group>
            <v:group style="position:absolute;left:5149;top:-112;width:105;height:2" coordorigin="5149,-112" coordsize="105,2">
              <v:shape style="position:absolute;left:5149;top:-112;width:105;height:2" coordorigin="5149,-112" coordsize="105,0" path="m5149,-112l5254,-112e" filled="false" stroked="true" strokeweight=".71997pt" strokecolor="#000000">
                <v:path arrowok="t"/>
              </v:shape>
            </v:group>
            <v:group style="position:absolute;left:5254;top:-112;width:1349;height:2" coordorigin="5254,-112" coordsize="1349,2">
              <v:shape style="position:absolute;left:5254;top:-112;width:1349;height:2" coordorigin="5254,-112" coordsize="1349,0" path="m5254,-112l6602,-112e" filled="false" stroked="true" strokeweight=".71997pt" strokecolor="#000000">
                <v:path arrowok="t"/>
              </v:shape>
            </v:group>
            <v:group style="position:absolute;left:6588;top:-112;width:105;height:2" coordorigin="6588,-112" coordsize="105,2">
              <v:shape style="position:absolute;left:6588;top:-112;width:105;height:2" coordorigin="6588,-112" coordsize="105,0" path="m6588,-112l6692,-112e" filled="false" stroked="true" strokeweight=".71997pt" strokecolor="#000000">
                <v:path arrowok="t"/>
              </v:shape>
            </v:group>
            <v:group style="position:absolute;left:6692;top:-112;width:1229;height:2" coordorigin="6692,-112" coordsize="1229,2">
              <v:shape style="position:absolute;left:6692;top:-112;width:1229;height:2" coordorigin="6692,-112" coordsize="1229,0" path="m6692,-112l7921,-112e" filled="false" stroked="true" strokeweight=".71997pt" strokecolor="#000000">
                <v:path arrowok="t"/>
              </v:shape>
            </v:group>
            <w10:wrap type="none"/>
          </v:group>
        </w:pict>
      </w:r>
      <w:r>
        <w:rPr/>
        <w:pict>
          <v:group style="position:absolute;margin-left:407.460022pt;margin-top:-5.976017pt;width:133.6pt;height:.75pt;mso-position-horizontal-relative:page;mso-position-vertical-relative:paragraph;z-index:-623920" coordorigin="8149,-120" coordsize="2672,15">
            <v:group style="position:absolute;left:8156;top:-112;width:1197;height:2" coordorigin="8156,-112" coordsize="1197,2">
              <v:shape style="position:absolute;left:8156;top:-112;width:1197;height:2" coordorigin="8156,-112" coordsize="1197,0" path="m8156,-112l9353,-112e" filled="false" stroked="true" strokeweight=".71997pt" strokecolor="#000000">
                <v:path arrowok="t"/>
              </v:shape>
            </v:group>
            <v:group style="position:absolute;left:9338;top:-112;width:105;height:2" coordorigin="9338,-112" coordsize="105,2">
              <v:shape style="position:absolute;left:9338;top:-112;width:105;height:2" coordorigin="9338,-112" coordsize="105,0" path="m9338,-112l9443,-112e" filled="false" stroked="true" strokeweight=".71997pt" strokecolor="#000000">
                <v:path arrowok="t"/>
              </v:shape>
            </v:group>
            <v:group style="position:absolute;left:9443;top:-112;width:1371;height:2" coordorigin="9443,-112" coordsize="1371,2">
              <v:shape style="position:absolute;left:9443;top:-112;width:1371;height:2" coordorigin="9443,-112" coordsize="1371,0" path="m9443,-112l10813,-112e" filled="false" stroked="true" strokeweight=".71997pt" strokecolor="#000000">
                <v:path arrowok="t"/>
              </v:shape>
            </v:group>
            <w10:wrap type="none"/>
          </v:group>
        </w:pict>
      </w:r>
      <w:r>
        <w:rPr>
          <w:rFonts w:ascii="宋体" w:hAnsi="宋体" w:cs="宋体" w:eastAsia="宋体" w:hint="default"/>
          <w:b/>
          <w:bCs/>
          <w:sz w:val="21"/>
          <w:szCs w:val="21"/>
        </w:rPr>
        <w:t>（十六）短期借款</w:t>
      </w:r>
      <w:r>
        <w:rPr>
          <w:rFonts w:ascii="宋体" w:hAnsi="宋体" w:cs="宋体" w:eastAsia="宋体" w:hint="default"/>
          <w:b/>
          <w:bCs/>
          <w:spacing w:val="1"/>
          <w:w w:val="99"/>
          <w:sz w:val="21"/>
          <w:szCs w:val="21"/>
        </w:rPr>
        <w:t> </w:t>
      </w:r>
      <w:r>
        <w:rPr>
          <w:rFonts w:ascii="宋体" w:hAnsi="宋体" w:cs="宋体" w:eastAsia="宋体" w:hint="default"/>
          <w:sz w:val="21"/>
          <w:szCs w:val="21"/>
        </w:rPr>
        <w:t>1、短期借款</w:t>
      </w:r>
    </w:p>
    <w:tbl>
      <w:tblPr>
        <w:tblW w:w="0" w:type="auto"/>
        <w:jc w:val="left"/>
        <w:tblInd w:w="524" w:type="dxa"/>
        <w:tblLayout w:type="fixed"/>
        <w:tblCellMar>
          <w:top w:w="0" w:type="dxa"/>
          <w:left w:w="0" w:type="dxa"/>
          <w:bottom w:w="0" w:type="dxa"/>
          <w:right w:w="0" w:type="dxa"/>
        </w:tblCellMar>
        <w:tblLook w:val="01E0"/>
      </w:tblPr>
      <w:tblGrid>
        <w:gridCol w:w="1459"/>
        <w:gridCol w:w="1249"/>
        <w:gridCol w:w="2197"/>
        <w:gridCol w:w="1502"/>
        <w:gridCol w:w="1700"/>
      </w:tblGrid>
      <w:tr>
        <w:trPr>
          <w:trHeight w:val="706"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348" w:lineRule="auto" w:before="44"/>
              <w:ind w:left="915" w:right="107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借款类别</w:t>
            </w:r>
            <w:r>
              <w:rPr>
                <w:rFonts w:ascii="宋体" w:hAnsi="宋体" w:cs="宋体" w:eastAsia="宋体" w:hint="default"/>
                <w:sz w:val="18"/>
                <w:szCs w:val="18"/>
              </w:rPr>
            </w:r>
            <w:r>
              <w:rPr>
                <w:rFonts w:ascii="宋体" w:hAnsi="宋体" w:cs="宋体" w:eastAsia="宋体" w:hint="default"/>
                <w:sz w:val="18"/>
                <w:szCs w:val="18"/>
              </w:rPr>
              <w:t> 信用借款</w:t>
            </w:r>
          </w:p>
        </w:tc>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20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7"/>
              <w:ind w:left="2419"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2419"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center"/>
              <w:rPr>
                <w:rFonts w:ascii="宋体" w:hAnsi="宋体" w:cs="宋体" w:eastAsia="宋体" w:hint="default"/>
                <w:sz w:val="18"/>
                <w:szCs w:val="18"/>
              </w:rPr>
            </w:pPr>
            <w:r>
              <w:rPr>
                <w:rFonts w:ascii="宋体" w:hAnsi="宋体" w:cs="宋体" w:eastAsia="宋体" w:hint="default"/>
                <w:sz w:val="18"/>
                <w:szCs w:val="18"/>
              </w:rPr>
              <w:t>票据贴现</w:t>
            </w:r>
          </w:p>
        </w:tc>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474" w:right="0"/>
              <w:jc w:val="left"/>
              <w:rPr>
                <w:rFonts w:ascii="Times New Roman" w:hAnsi="Times New Roman" w:cs="Times New Roman" w:eastAsia="Times New Roman" w:hint="default"/>
                <w:sz w:val="18"/>
                <w:szCs w:val="18"/>
              </w:rPr>
            </w:pPr>
            <w:r>
              <w:rPr>
                <w:rFonts w:ascii="Times New Roman"/>
                <w:sz w:val="18"/>
              </w:rPr>
              <w:t>136,706,000.00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735"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474" w:right="0"/>
              <w:jc w:val="left"/>
              <w:rPr>
                <w:rFonts w:ascii="Times New Roman" w:hAnsi="Times New Roman" w:cs="Times New Roman" w:eastAsia="Times New Roman" w:hint="default"/>
                <w:sz w:val="18"/>
                <w:szCs w:val="18"/>
              </w:rPr>
            </w:pPr>
            <w:r>
              <w:rPr>
                <w:rFonts w:ascii="Times New Roman"/>
                <w:sz w:val="18"/>
              </w:rPr>
              <w:t>380,816,880.00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65,741,400.00</w:t>
            </w:r>
          </w:p>
        </w:tc>
      </w:tr>
      <w:tr>
        <w:trPr>
          <w:trHeight w:val="340"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2419"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03"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right="156"/>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70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left="2419" w:right="0"/>
              <w:jc w:val="left"/>
              <w:rPr>
                <w:rFonts w:ascii="Times New Roman" w:hAnsi="Times New Roman" w:cs="Times New Roman" w:eastAsia="Times New Roman" w:hint="default"/>
                <w:sz w:val="18"/>
                <w:szCs w:val="18"/>
              </w:rPr>
            </w:pPr>
            <w:r>
              <w:rPr>
                <w:rFonts w:ascii="Times New Roman"/>
                <w:sz w:val="18"/>
              </w:rPr>
              <w:t>---</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43,827,600.00</w:t>
            </w:r>
          </w:p>
        </w:tc>
      </w:tr>
      <w:tr>
        <w:trPr>
          <w:trHeight w:val="435"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5"/>
              <w:ind w:right="15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70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1474" w:right="0"/>
              <w:jc w:val="left"/>
              <w:rPr>
                <w:rFonts w:ascii="Times New Roman" w:hAnsi="Times New Roman" w:cs="Times New Roman" w:eastAsia="Times New Roman" w:hint="default"/>
                <w:sz w:val="18"/>
                <w:szCs w:val="18"/>
              </w:rPr>
            </w:pPr>
            <w:r>
              <w:rPr>
                <w:rFonts w:ascii="Times New Roman"/>
                <w:sz w:val="18"/>
              </w:rPr>
              <w:t>517,522,880.00</w:t>
            </w: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119,569,000.00</w:t>
            </w:r>
          </w:p>
        </w:tc>
      </w:tr>
      <w:tr>
        <w:trPr>
          <w:trHeight w:val="732" w:hRule="exact"/>
        </w:trPr>
        <w:tc>
          <w:tcPr>
            <w:tcW w:w="27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255" w:right="0"/>
              <w:jc w:val="left"/>
              <w:rPr>
                <w:rFonts w:ascii="宋体" w:hAnsi="宋体" w:cs="宋体" w:eastAsia="宋体" w:hint="default"/>
                <w:sz w:val="21"/>
                <w:szCs w:val="21"/>
              </w:rPr>
            </w:pPr>
            <w:r>
              <w:rPr>
                <w:rFonts w:ascii="宋体" w:hAnsi="宋体" w:cs="宋体" w:eastAsia="宋体" w:hint="default"/>
                <w:sz w:val="21"/>
                <w:szCs w:val="21"/>
              </w:rPr>
              <w:t>2、其中外币借款明细：</w:t>
            </w:r>
          </w:p>
          <w:p>
            <w:pPr>
              <w:pStyle w:val="TableParagraph"/>
              <w:tabs>
                <w:tab w:pos="1803" w:val="left" w:leader="none"/>
              </w:tabs>
              <w:spacing w:line="240" w:lineRule="auto" w:before="100"/>
              <w:ind w:left="2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借款类别</w:t>
            </w:r>
            <w:r>
              <w:rPr>
                <w:rFonts w:ascii="宋体" w:hAnsi="宋体" w:cs="宋体" w:eastAsia="宋体" w:hint="default"/>
                <w:sz w:val="18"/>
                <w:szCs w:val="18"/>
              </w:rPr>
              <w:tab/>
            </w:r>
            <w:r>
              <w:rPr>
                <w:rFonts w:ascii="宋体" w:hAnsi="宋体" w:cs="宋体" w:eastAsia="宋体" w:hint="default"/>
                <w:sz w:val="18"/>
                <w:szCs w:val="18"/>
                <w:u w:val="single" w:color="000000"/>
              </w:rPr>
              <w:t>原币币种</w:t>
            </w:r>
            <w:r>
              <w:rPr>
                <w:rFonts w:ascii="宋体" w:hAnsi="宋体" w:cs="宋体" w:eastAsia="宋体" w:hint="default"/>
                <w:sz w:val="18"/>
                <w:szCs w:val="18"/>
              </w:rPr>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原币金额</w:t>
            </w:r>
            <w:r>
              <w:rPr>
                <w:rFonts w:ascii="宋体" w:hAnsi="宋体" w:cs="宋体" w:eastAsia="宋体" w:hint="default"/>
                <w:sz w:val="18"/>
                <w:szCs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折算汇率</w:t>
            </w:r>
            <w:r>
              <w:rPr>
                <w:rFonts w:ascii="宋体" w:hAnsi="宋体" w:cs="宋体" w:eastAsia="宋体" w:hint="default"/>
                <w:sz w:val="18"/>
                <w:szCs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折合人民币</w:t>
            </w:r>
            <w:r>
              <w:rPr>
                <w:rFonts w:ascii="宋体" w:hAnsi="宋体" w:cs="宋体" w:eastAsia="宋体" w:hint="default"/>
                <w:sz w:val="18"/>
                <w:szCs w:val="18"/>
              </w:rPr>
            </w:r>
          </w:p>
        </w:tc>
      </w:tr>
      <w:tr>
        <w:trPr>
          <w:trHeight w:val="34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7"/>
              <w:jc w:val="center"/>
              <w:rPr>
                <w:rFonts w:ascii="宋体" w:hAnsi="宋体" w:cs="宋体" w:eastAsia="宋体" w:hint="default"/>
                <w:sz w:val="18"/>
                <w:szCs w:val="18"/>
              </w:rPr>
            </w:pPr>
            <w:r>
              <w:rPr>
                <w:rFonts w:ascii="宋体" w:hAnsi="宋体" w:cs="宋体" w:eastAsia="宋体" w:hint="default"/>
                <w:sz w:val="18"/>
                <w:szCs w:val="18"/>
              </w:rPr>
              <w:t>抵押保证借款</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2"/>
              <w:jc w:val="right"/>
              <w:rPr>
                <w:rFonts w:ascii="Times New Roman" w:hAnsi="Times New Roman" w:cs="Times New Roman" w:eastAsia="Times New Roman" w:hint="default"/>
                <w:sz w:val="18"/>
                <w:szCs w:val="18"/>
              </w:rPr>
            </w:pPr>
            <w:r>
              <w:rPr>
                <w:rFonts w:ascii="Times New Roman"/>
                <w:spacing w:val="-1"/>
                <w:w w:val="95"/>
                <w:sz w:val="18"/>
              </w:rPr>
              <w:t>USD</w:t>
            </w:r>
            <w:r>
              <w:rPr>
                <w:rFonts w:ascii="Times New Roman"/>
                <w:sz w:val="18"/>
              </w:rPr>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6"/>
              <w:jc w:val="right"/>
              <w:rPr>
                <w:rFonts w:ascii="Times New Roman" w:hAnsi="Times New Roman" w:cs="Times New Roman" w:eastAsia="Times New Roman" w:hint="default"/>
                <w:sz w:val="18"/>
                <w:szCs w:val="18"/>
              </w:rPr>
            </w:pPr>
            <w:r>
              <w:rPr>
                <w:rFonts w:ascii="Times New Roman"/>
                <w:spacing w:val="-1"/>
                <w:sz w:val="18"/>
              </w:rPr>
              <w:t>52,800,000.00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1"/>
              <w:jc w:val="center"/>
              <w:rPr>
                <w:rFonts w:ascii="Times New Roman" w:hAnsi="Times New Roman" w:cs="Times New Roman" w:eastAsia="Times New Roman" w:hint="default"/>
                <w:sz w:val="18"/>
                <w:szCs w:val="18"/>
              </w:rPr>
            </w:pPr>
            <w:r>
              <w:rPr>
                <w:rFonts w:ascii="Times New Roman"/>
                <w:sz w:val="18"/>
              </w:rPr>
              <w:t>6.8346</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6"/>
              <w:jc w:val="right"/>
              <w:rPr>
                <w:rFonts w:ascii="Times New Roman" w:hAnsi="Times New Roman" w:cs="Times New Roman" w:eastAsia="Times New Roman" w:hint="default"/>
                <w:sz w:val="18"/>
                <w:szCs w:val="18"/>
              </w:rPr>
            </w:pPr>
            <w:r>
              <w:rPr>
                <w:rFonts w:ascii="Times New Roman"/>
                <w:spacing w:val="-1"/>
                <w:sz w:val="18"/>
              </w:rPr>
              <w:t>360,866,880.00</w:t>
            </w:r>
          </w:p>
        </w:tc>
      </w:tr>
      <w:tr>
        <w:trPr>
          <w:trHeight w:val="302"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7"/>
              <w:jc w:val="center"/>
              <w:rPr>
                <w:rFonts w:ascii="宋体" w:hAnsi="宋体" w:cs="宋体" w:eastAsia="宋体" w:hint="default"/>
                <w:sz w:val="18"/>
                <w:szCs w:val="18"/>
              </w:rPr>
            </w:pPr>
            <w:r>
              <w:rPr>
                <w:rFonts w:ascii="宋体" w:hAnsi="宋体" w:cs="宋体" w:eastAsia="宋体" w:hint="default"/>
                <w:sz w:val="18"/>
                <w:szCs w:val="18"/>
              </w:rPr>
              <w:t>票据贴现</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w w:val="95"/>
                <w:sz w:val="18"/>
              </w:rPr>
              <w:t>USD</w:t>
            </w:r>
            <w:r>
              <w:rPr>
                <w:rFonts w:ascii="Times New Roman"/>
                <w:sz w:val="18"/>
              </w:rPr>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6"/>
              <w:jc w:val="right"/>
              <w:rPr>
                <w:rFonts w:ascii="Times New Roman" w:hAnsi="Times New Roman" w:cs="Times New Roman" w:eastAsia="Times New Roman" w:hint="default"/>
                <w:sz w:val="18"/>
                <w:szCs w:val="18"/>
              </w:rPr>
            </w:pPr>
            <w:r>
              <w:rPr>
                <w:rFonts w:ascii="Times New Roman"/>
                <w:spacing w:val="-1"/>
                <w:sz w:val="18"/>
              </w:rPr>
              <w:t>20,000,000.00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1"/>
              <w:jc w:val="center"/>
              <w:rPr>
                <w:rFonts w:ascii="Times New Roman" w:hAnsi="Times New Roman" w:cs="Times New Roman" w:eastAsia="Times New Roman" w:hint="default"/>
                <w:sz w:val="18"/>
                <w:szCs w:val="18"/>
              </w:rPr>
            </w:pPr>
            <w:r>
              <w:rPr>
                <w:rFonts w:ascii="Times New Roman"/>
                <w:sz w:val="18"/>
              </w:rPr>
              <w:t>6.8346</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6"/>
              <w:jc w:val="right"/>
              <w:rPr>
                <w:rFonts w:ascii="Times New Roman" w:hAnsi="Times New Roman" w:cs="Times New Roman" w:eastAsia="Times New Roman" w:hint="default"/>
                <w:sz w:val="18"/>
                <w:szCs w:val="18"/>
              </w:rPr>
            </w:pPr>
            <w:r>
              <w:rPr>
                <w:rFonts w:ascii="Times New Roman"/>
                <w:spacing w:val="-1"/>
                <w:sz w:val="18"/>
              </w:rPr>
              <w:t>136,706,000.00</w:t>
            </w:r>
          </w:p>
        </w:tc>
      </w:tr>
      <w:tr>
        <w:trPr>
          <w:trHeight w:val="43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07"/>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249"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6"/>
              <w:jc w:val="right"/>
              <w:rPr>
                <w:rFonts w:ascii="Times New Roman" w:hAnsi="Times New Roman" w:cs="Times New Roman" w:eastAsia="Times New Roman" w:hint="default"/>
                <w:sz w:val="18"/>
                <w:szCs w:val="18"/>
              </w:rPr>
            </w:pPr>
            <w:r>
              <w:rPr>
                <w:rFonts w:ascii="Times New Roman"/>
                <w:spacing w:val="-1"/>
                <w:sz w:val="18"/>
              </w:rPr>
              <w:t>72,800,000.00</w:t>
            </w:r>
          </w:p>
        </w:tc>
        <w:tc>
          <w:tcPr>
            <w:tcW w:w="1502"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497,572,880.00</w:t>
            </w:r>
          </w:p>
        </w:tc>
      </w:tr>
    </w:tbl>
    <w:p>
      <w:pPr>
        <w:spacing w:before="17"/>
        <w:ind w:left="780" w:right="803" w:firstLine="0"/>
        <w:jc w:val="left"/>
        <w:rPr>
          <w:rFonts w:ascii="宋体" w:hAnsi="宋体" w:cs="宋体" w:eastAsia="宋体" w:hint="default"/>
          <w:sz w:val="21"/>
          <w:szCs w:val="21"/>
        </w:rPr>
      </w:pPr>
      <w:r>
        <w:rPr/>
        <w:pict>
          <v:group style="position:absolute;margin-left:232.919998pt;margin-top:-96.445915pt;width:271.45pt;height:.75pt;mso-position-horizontal-relative:page;mso-position-vertical-relative:paragraph;z-index:-623896" coordorigin="4658,-1929" coordsize="5429,15">
            <v:group style="position:absolute;left:4666;top:-1922;width:2715;height:2" coordorigin="4666,-1922" coordsize="2715,2">
              <v:shape style="position:absolute;left:4666;top:-1922;width:2715;height:2" coordorigin="4666,-1922" coordsize="2715,0" path="m4666,-1922l7380,-1922e" filled="false" stroked="true" strokeweight=".72pt" strokecolor="#000000">
                <v:path arrowok="t"/>
              </v:shape>
            </v:group>
            <v:group style="position:absolute;left:7366;top:-1922;width:105;height:2" coordorigin="7366,-1922" coordsize="105,2">
              <v:shape style="position:absolute;left:7366;top:-1922;width:105;height:2" coordorigin="7366,-1922" coordsize="105,0" path="m7366,-1922l7470,-1922e" filled="false" stroked="true" strokeweight=".72pt" strokecolor="#000000">
                <v:path arrowok="t"/>
              </v:shape>
            </v:group>
            <v:group style="position:absolute;left:7470;top:-1922;width:2610;height:2" coordorigin="7470,-1922" coordsize="2610,2">
              <v:shape style="position:absolute;left:7470;top:-1922;width:2610;height:2" coordorigin="7470,-1922" coordsize="2610,0" path="m7470,-1922l10080,-1922e" filled="false" stroked="true" strokeweight=".72pt" strokecolor="#000000">
                <v:path arrowok="t"/>
              </v:shape>
            </v:group>
            <w10:wrap type="none"/>
          </v:group>
        </w:pict>
      </w:r>
      <w:r>
        <w:rPr/>
        <w:pict>
          <v:group style="position:absolute;margin-left:418.26001pt;margin-top:-5.365917pt;width:85.75pt;height:.1pt;mso-position-horizontal-relative:page;mso-position-vertical-relative:paragraph;z-index:-623872" coordorigin="8365,-107" coordsize="1715,2">
            <v:shape style="position:absolute;left:8365;top:-107;width:1715;height:2" coordorigin="8365,-107" coordsize="1715,0" path="m8365,-107l10080,-107e" filled="false" stroked="true" strokeweight=".72pt" strokecolor="#000000">
              <v:path arrowok="t"/>
            </v:shape>
            <w10:wrap type="none"/>
          </v:group>
        </w:pict>
      </w:r>
      <w:r>
        <w:rPr>
          <w:rFonts w:ascii="宋体" w:hAnsi="宋体" w:cs="宋体" w:eastAsia="宋体" w:hint="default"/>
          <w:sz w:val="21"/>
          <w:szCs w:val="21"/>
        </w:rPr>
        <w:t>3、年末无已到期未偿还的借款。</w:t>
      </w:r>
    </w:p>
    <w:p>
      <w:pPr>
        <w:spacing w:before="66"/>
        <w:ind w:left="780" w:right="803" w:firstLine="0"/>
        <w:jc w:val="left"/>
        <w:rPr>
          <w:rFonts w:ascii="宋体" w:hAnsi="宋体" w:cs="宋体" w:eastAsia="宋体" w:hint="default"/>
          <w:sz w:val="21"/>
          <w:szCs w:val="21"/>
        </w:rPr>
      </w:pPr>
      <w:r>
        <w:rPr>
          <w:rFonts w:ascii="宋体" w:hAnsi="宋体" w:cs="宋体" w:eastAsia="宋体" w:hint="default"/>
          <w:sz w:val="21"/>
          <w:szCs w:val="21"/>
        </w:rPr>
        <w:t>4、抵押借款的抵押物情况详见附注十。</w:t>
      </w:r>
    </w:p>
    <w:p>
      <w:pPr>
        <w:spacing w:line="297" w:lineRule="auto" w:before="64"/>
        <w:ind w:left="360" w:right="803" w:firstLine="420"/>
        <w:jc w:val="left"/>
        <w:rPr>
          <w:rFonts w:ascii="宋体" w:hAnsi="宋体" w:cs="宋体" w:eastAsia="宋体" w:hint="default"/>
          <w:sz w:val="21"/>
          <w:szCs w:val="21"/>
        </w:rPr>
      </w:pPr>
      <w:r>
        <w:rPr>
          <w:rFonts w:ascii="宋体" w:hAnsi="宋体" w:cs="宋体" w:eastAsia="宋体" w:hint="default"/>
          <w:sz w:val="21"/>
          <w:szCs w:val="21"/>
        </w:rPr>
        <w:t>5、短期借款年末数比年初数增加</w:t>
      </w:r>
      <w:r>
        <w:rPr>
          <w:rFonts w:ascii="宋体" w:hAnsi="宋体" w:cs="宋体" w:eastAsia="宋体" w:hint="default"/>
          <w:spacing w:val="-33"/>
          <w:sz w:val="21"/>
          <w:szCs w:val="21"/>
        </w:rPr>
        <w:t> </w:t>
      </w:r>
      <w:r>
        <w:rPr>
          <w:rFonts w:ascii="宋体" w:hAnsi="宋体" w:cs="宋体" w:eastAsia="宋体" w:hint="default"/>
          <w:sz w:val="21"/>
          <w:szCs w:val="21"/>
        </w:rPr>
        <w:t>397,953,880.00</w:t>
      </w:r>
      <w:r>
        <w:rPr>
          <w:rFonts w:ascii="宋体" w:hAnsi="宋体" w:cs="宋体" w:eastAsia="宋体" w:hint="default"/>
          <w:spacing w:val="-33"/>
          <w:sz w:val="21"/>
          <w:szCs w:val="21"/>
        </w:rPr>
        <w:t> </w:t>
      </w:r>
      <w:r>
        <w:rPr>
          <w:rFonts w:ascii="宋体" w:hAnsi="宋体" w:cs="宋体" w:eastAsia="宋体" w:hint="default"/>
          <w:sz w:val="21"/>
          <w:szCs w:val="21"/>
        </w:rPr>
        <w:t>元，增加比例为</w:t>
      </w:r>
      <w:r>
        <w:rPr>
          <w:rFonts w:ascii="宋体" w:hAnsi="宋体" w:cs="宋体" w:eastAsia="宋体" w:hint="default"/>
          <w:spacing w:val="-33"/>
          <w:sz w:val="21"/>
          <w:szCs w:val="21"/>
        </w:rPr>
        <w:t> </w:t>
      </w:r>
      <w:r>
        <w:rPr>
          <w:rFonts w:ascii="宋体" w:hAnsi="宋体" w:cs="宋体" w:eastAsia="宋体" w:hint="default"/>
          <w:sz w:val="21"/>
          <w:szCs w:val="21"/>
        </w:rPr>
        <w:t>332.82％，增加原</w:t>
      </w:r>
      <w:r>
        <w:rPr>
          <w:rFonts w:ascii="宋体" w:hAnsi="宋体" w:cs="宋体" w:eastAsia="宋体" w:hint="default"/>
          <w:sz w:val="21"/>
          <w:szCs w:val="21"/>
        </w:rPr>
        <w:t> 因为：为降低人民币升值不利影响，大量增加美元借款所致。</w:t>
      </w:r>
    </w:p>
    <w:p>
      <w:pPr>
        <w:spacing w:before="15"/>
        <w:ind w:left="782" w:right="803" w:firstLine="0"/>
        <w:jc w:val="left"/>
        <w:rPr>
          <w:rFonts w:ascii="宋体" w:hAnsi="宋体" w:cs="宋体" w:eastAsia="宋体" w:hint="default"/>
          <w:sz w:val="21"/>
          <w:szCs w:val="21"/>
        </w:rPr>
      </w:pPr>
      <w:r>
        <w:rPr>
          <w:rFonts w:ascii="宋体" w:hAnsi="宋体" w:cs="宋体" w:eastAsia="宋体" w:hint="default"/>
          <w:b/>
          <w:bCs/>
          <w:sz w:val="21"/>
          <w:szCs w:val="21"/>
        </w:rPr>
        <w:t>（十七）交易性金融负债</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574" w:type="dxa"/>
        <w:tblLayout w:type="fixed"/>
        <w:tblCellMar>
          <w:top w:w="0" w:type="dxa"/>
          <w:left w:w="0" w:type="dxa"/>
          <w:bottom w:w="0" w:type="dxa"/>
          <w:right w:w="0" w:type="dxa"/>
        </w:tblCellMar>
        <w:tblLook w:val="01E0"/>
      </w:tblPr>
      <w:tblGrid>
        <w:gridCol w:w="4231"/>
        <w:gridCol w:w="1899"/>
        <w:gridCol w:w="1520"/>
      </w:tblGrid>
      <w:tr>
        <w:trPr>
          <w:trHeight w:val="723"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0"/>
              <w:ind w:right="19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、发行的交易性债券</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年末公允价值</w:t>
            </w:r>
            <w:r>
              <w:rPr>
                <w:rFonts w:ascii="宋体" w:hAnsi="宋体" w:cs="宋体" w:eastAsia="宋体" w:hint="default"/>
                <w:sz w:val="21"/>
                <w:szCs w:val="21"/>
              </w:rPr>
            </w:r>
          </w:p>
          <w:p>
            <w:pPr>
              <w:pStyle w:val="TableParagraph"/>
              <w:spacing w:line="240" w:lineRule="auto" w:before="142"/>
              <w:ind w:right="169"/>
              <w:jc w:val="center"/>
              <w:rPr>
                <w:rFonts w:ascii="Times New Roman" w:hAnsi="Times New Roman" w:cs="Times New Roman" w:eastAsia="Times New Roman" w:hint="default"/>
                <w:sz w:val="18"/>
                <w:szCs w:val="18"/>
              </w:rPr>
            </w:pPr>
            <w:r>
              <w:rPr>
                <w:rFonts w:ascii="Times New Roman"/>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年初公允价值</w:t>
            </w:r>
            <w:r>
              <w:rPr>
                <w:rFonts w:ascii="宋体" w:hAnsi="宋体" w:cs="宋体" w:eastAsia="宋体" w:hint="default"/>
                <w:sz w:val="18"/>
                <w:szCs w:val="18"/>
              </w:rPr>
            </w:r>
          </w:p>
          <w:p>
            <w:pPr>
              <w:pStyle w:val="TableParagraph"/>
              <w:spacing w:line="240" w:lineRule="auto" w:before="118"/>
              <w:ind w:left="369" w:right="0"/>
              <w:jc w:val="center"/>
              <w:rPr>
                <w:rFonts w:ascii="Times New Roman" w:hAnsi="Times New Roman" w:cs="Times New Roman" w:eastAsia="Times New Roman" w:hint="default"/>
                <w:sz w:val="21"/>
                <w:szCs w:val="21"/>
              </w:rPr>
            </w:pPr>
            <w:r>
              <w:rPr>
                <w:rFonts w:ascii="Times New Roman"/>
                <w:sz w:val="21"/>
              </w:rPr>
              <w:t>---</w:t>
            </w:r>
          </w:p>
        </w:tc>
      </w:tr>
      <w:tr>
        <w:trPr>
          <w:trHeight w:val="337"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8"/>
                <w:sz w:val="18"/>
                <w:szCs w:val="18"/>
              </w:rPr>
              <w:t>、</w:t>
            </w:r>
            <w:r>
              <w:rPr>
                <w:rFonts w:ascii="宋体" w:hAnsi="宋体" w:cs="宋体" w:eastAsia="宋体" w:hint="default"/>
                <w:sz w:val="18"/>
                <w:szCs w:val="18"/>
              </w:rPr>
              <w:t>指定为以公允价值计量且其变动计入当期损益的</w:t>
            </w:r>
          </w:p>
        </w:tc>
        <w:tc>
          <w:tcPr>
            <w:tcW w:w="189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r>
      <w:tr>
        <w:trPr>
          <w:trHeight w:val="339"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9"/>
              <w:jc w:val="center"/>
              <w:rPr>
                <w:rFonts w:ascii="Times New Roman" w:hAnsi="Times New Roman" w:cs="Times New Roman" w:eastAsia="Times New Roman" w:hint="default"/>
                <w:sz w:val="18"/>
                <w:szCs w:val="18"/>
              </w:rPr>
            </w:pPr>
            <w:r>
              <w:rPr>
                <w:rFonts w:ascii="Times New Roman"/>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83"/>
              <w:jc w:val="right"/>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、衍生金融负债</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9"/>
              <w:jc w:val="center"/>
              <w:rPr>
                <w:rFonts w:ascii="Times New Roman" w:hAnsi="Times New Roman" w:cs="Times New Roman" w:eastAsia="Times New Roman" w:hint="default"/>
                <w:sz w:val="18"/>
                <w:szCs w:val="18"/>
              </w:rPr>
            </w:pPr>
            <w:r>
              <w:rPr>
                <w:rFonts w:ascii="Times New Roman"/>
                <w:sz w:val="18"/>
              </w:rPr>
              <w:t>4,353,176.99</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3"/>
              <w:jc w:val="right"/>
              <w:rPr>
                <w:rFonts w:ascii="Times New Roman" w:hAnsi="Times New Roman" w:cs="Times New Roman" w:eastAsia="Times New Roman" w:hint="default"/>
                <w:sz w:val="18"/>
                <w:szCs w:val="18"/>
              </w:rPr>
            </w:pPr>
            <w:r>
              <w:rPr>
                <w:rFonts w:ascii="Times New Roman"/>
                <w:sz w:val="18"/>
              </w:rPr>
              <w:t>---</w:t>
            </w:r>
          </w:p>
        </w:tc>
      </w:tr>
      <w:tr>
        <w:trPr>
          <w:trHeight w:val="327" w:hRule="exact"/>
        </w:trPr>
        <w:tc>
          <w:tcPr>
            <w:tcW w:w="42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、其他金融负债</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9"/>
              <w:jc w:val="center"/>
              <w:rPr>
                <w:rFonts w:ascii="Times New Roman" w:hAnsi="Times New Roman" w:cs="Times New Roman" w:eastAsia="Times New Roman" w:hint="default"/>
                <w:sz w:val="18"/>
                <w:szCs w:val="18"/>
              </w:rPr>
            </w:pPr>
            <w:r>
              <w:rPr>
                <w:rFonts w:ascii="Times New Roman"/>
                <w:sz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3"/>
              <w:jc w:val="right"/>
              <w:rPr>
                <w:rFonts w:ascii="Times New Roman" w:hAnsi="Times New Roman" w:cs="Times New Roman" w:eastAsia="Times New Roman" w:hint="default"/>
                <w:sz w:val="18"/>
                <w:szCs w:val="18"/>
              </w:rPr>
            </w:pPr>
            <w:r>
              <w:rPr>
                <w:rFonts w:ascii="Times New Roman"/>
                <w:sz w:val="18"/>
              </w:rPr>
              <w:t>---</w:t>
            </w:r>
          </w:p>
        </w:tc>
      </w:tr>
      <w:tr>
        <w:trPr>
          <w:trHeight w:val="378" w:hRule="exact"/>
        </w:trPr>
        <w:tc>
          <w:tcPr>
            <w:tcW w:w="423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72" w:lineRule="exact"/>
              <w:ind w:right="19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9"/>
              <w:jc w:val="center"/>
              <w:rPr>
                <w:rFonts w:ascii="Times New Roman" w:hAnsi="Times New Roman" w:cs="Times New Roman" w:eastAsia="Times New Roman" w:hint="default"/>
                <w:sz w:val="18"/>
                <w:szCs w:val="18"/>
              </w:rPr>
            </w:pPr>
            <w:r>
              <w:rPr>
                <w:rFonts w:ascii="Times New Roman"/>
                <w:sz w:val="18"/>
              </w:rPr>
              <w:t>4,353,176.99</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50" w:header="918" w:top="1160" w:bottom="1140" w:left="1440" w:right="980"/>
          <w:pgNumType w:start="88"/>
        </w:sectPr>
      </w:pPr>
    </w:p>
    <w:p>
      <w:pPr>
        <w:spacing w:line="240" w:lineRule="auto" w:before="10"/>
        <w:rPr>
          <w:rFonts w:ascii="宋体" w:hAnsi="宋体" w:cs="宋体" w:eastAsia="宋体" w:hint="default"/>
          <w:b/>
          <w:bCs/>
          <w:sz w:val="20"/>
          <w:szCs w:val="20"/>
        </w:rPr>
      </w:pPr>
    </w:p>
    <w:p>
      <w:pPr>
        <w:spacing w:line="297" w:lineRule="auto" w:before="35"/>
        <w:ind w:left="400" w:right="441" w:firstLine="420"/>
        <w:jc w:val="left"/>
        <w:rPr>
          <w:rFonts w:ascii="宋体" w:hAnsi="宋体" w:cs="宋体" w:eastAsia="宋体" w:hint="default"/>
          <w:sz w:val="21"/>
          <w:szCs w:val="21"/>
        </w:rPr>
      </w:pPr>
      <w:r>
        <w:rPr>
          <w:rFonts w:ascii="宋体" w:hAnsi="宋体" w:cs="宋体" w:eastAsia="宋体" w:hint="default"/>
          <w:sz w:val="21"/>
          <w:szCs w:val="21"/>
        </w:rPr>
        <w:t>交易性金融负债年末数比年初数增加</w:t>
      </w:r>
      <w:r>
        <w:rPr>
          <w:rFonts w:ascii="宋体" w:hAnsi="宋体" w:cs="宋体" w:eastAsia="宋体" w:hint="default"/>
          <w:spacing w:val="-49"/>
          <w:sz w:val="21"/>
          <w:szCs w:val="21"/>
        </w:rPr>
        <w:t> </w:t>
      </w:r>
      <w:r>
        <w:rPr>
          <w:rFonts w:ascii="宋体" w:hAnsi="宋体" w:cs="宋体" w:eastAsia="宋体" w:hint="default"/>
          <w:sz w:val="21"/>
          <w:szCs w:val="21"/>
        </w:rPr>
        <w:t>4,353,176.99</w:t>
      </w:r>
      <w:r>
        <w:rPr>
          <w:rFonts w:ascii="宋体" w:hAnsi="宋体" w:cs="宋体" w:eastAsia="宋体" w:hint="default"/>
          <w:spacing w:val="-48"/>
          <w:sz w:val="21"/>
          <w:szCs w:val="21"/>
        </w:rPr>
        <w:t> </w:t>
      </w:r>
      <w:r>
        <w:rPr>
          <w:rFonts w:ascii="宋体" w:hAnsi="宋体" w:cs="宋体" w:eastAsia="宋体" w:hint="default"/>
          <w:sz w:val="21"/>
          <w:szCs w:val="21"/>
        </w:rPr>
        <w:t>元，增加原因为：公司与银行发生</w:t>
      </w:r>
      <w:r>
        <w:rPr>
          <w:rFonts w:ascii="宋体" w:hAnsi="宋体" w:cs="宋体" w:eastAsia="宋体" w:hint="default"/>
          <w:sz w:val="21"/>
          <w:szCs w:val="21"/>
        </w:rPr>
        <w:t> 的外汇远期结售汇交易所致。</w:t>
      </w:r>
    </w:p>
    <w:p>
      <w:pPr>
        <w:spacing w:before="15"/>
        <w:ind w:left="822" w:right="441" w:firstLine="0"/>
        <w:jc w:val="left"/>
        <w:rPr>
          <w:rFonts w:ascii="宋体" w:hAnsi="宋体" w:cs="宋体" w:eastAsia="宋体" w:hint="default"/>
          <w:sz w:val="21"/>
          <w:szCs w:val="21"/>
        </w:rPr>
      </w:pPr>
      <w:r>
        <w:rPr>
          <w:rFonts w:ascii="宋体" w:hAnsi="宋体" w:cs="宋体" w:eastAsia="宋体" w:hint="default"/>
          <w:b/>
          <w:bCs/>
          <w:sz w:val="21"/>
          <w:szCs w:val="21"/>
        </w:rPr>
        <w:t>（十八）应付票据</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189" w:type="dxa"/>
        <w:tblLayout w:type="fixed"/>
        <w:tblCellMar>
          <w:top w:w="0" w:type="dxa"/>
          <w:left w:w="0" w:type="dxa"/>
          <w:bottom w:w="0" w:type="dxa"/>
          <w:right w:w="0" w:type="dxa"/>
        </w:tblCellMar>
        <w:tblLook w:val="01E0"/>
      </w:tblPr>
      <w:tblGrid>
        <w:gridCol w:w="1756"/>
        <w:gridCol w:w="2769"/>
        <w:gridCol w:w="2959"/>
      </w:tblGrid>
      <w:tr>
        <w:trPr>
          <w:trHeight w:val="698" w:hRule="exact"/>
        </w:trPr>
        <w:tc>
          <w:tcPr>
            <w:tcW w:w="175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45" w:lineRule="auto" w:before="44"/>
              <w:ind w:left="35" w:right="638"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r>
              <w:rPr>
                <w:rFonts w:ascii="宋体" w:hAnsi="宋体" w:cs="宋体" w:eastAsia="宋体" w:hint="default"/>
                <w:sz w:val="18"/>
                <w:szCs w:val="18"/>
              </w:rPr>
              <w:t> 银行承兑汇票</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108" w:right="0"/>
              <w:jc w:val="center"/>
              <w:rPr>
                <w:rFonts w:ascii="Times New Roman" w:hAnsi="Times New Roman" w:cs="Times New Roman" w:eastAsia="Times New Roman" w:hint="default"/>
                <w:sz w:val="18"/>
                <w:szCs w:val="18"/>
              </w:rPr>
            </w:pPr>
            <w:r>
              <w:rPr>
                <w:rFonts w:ascii="Times New Roman"/>
                <w:sz w:val="18"/>
              </w:rPr>
              <w:t>---</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left="107" w:right="0"/>
              <w:jc w:val="center"/>
              <w:rPr>
                <w:rFonts w:ascii="Times New Roman" w:hAnsi="Times New Roman" w:cs="Times New Roman" w:eastAsia="Times New Roman" w:hint="default"/>
                <w:sz w:val="18"/>
                <w:szCs w:val="18"/>
              </w:rPr>
            </w:pPr>
            <w:r>
              <w:rPr>
                <w:rFonts w:ascii="Times New Roman"/>
                <w:sz w:val="18"/>
              </w:rPr>
              <w:t>1,614,478.51</w:t>
            </w:r>
          </w:p>
        </w:tc>
      </w:tr>
      <w:tr>
        <w:trPr>
          <w:trHeight w:val="309"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03"/>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76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3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59"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107" w:right="0"/>
              <w:jc w:val="center"/>
              <w:rPr>
                <w:rFonts w:ascii="Times New Roman" w:hAnsi="Times New Roman" w:cs="Times New Roman" w:eastAsia="Times New Roman" w:hint="default"/>
                <w:sz w:val="21"/>
                <w:szCs w:val="21"/>
              </w:rPr>
            </w:pPr>
            <w:r>
              <w:rPr>
                <w:rFonts w:ascii="Times New Roman"/>
                <w:sz w:val="21"/>
              </w:rPr>
              <w:t>---</w:t>
            </w:r>
          </w:p>
        </w:tc>
      </w:tr>
      <w:tr>
        <w:trPr>
          <w:trHeight w:val="435" w:hRule="exact"/>
        </w:trPr>
        <w:tc>
          <w:tcPr>
            <w:tcW w:w="175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0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23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07" w:right="0"/>
              <w:jc w:val="center"/>
              <w:rPr>
                <w:rFonts w:ascii="Times New Roman" w:hAnsi="Times New Roman" w:cs="Times New Roman" w:eastAsia="Times New Roman" w:hint="default"/>
                <w:sz w:val="18"/>
                <w:szCs w:val="18"/>
              </w:rPr>
            </w:pPr>
            <w:r>
              <w:rPr>
                <w:rFonts w:ascii="Times New Roman"/>
                <w:sz w:val="18"/>
              </w:rPr>
              <w:t>1,614,478.51</w:t>
            </w:r>
          </w:p>
        </w:tc>
      </w:tr>
    </w:tbl>
    <w:p>
      <w:pPr>
        <w:spacing w:before="12"/>
        <w:ind w:left="820" w:right="441" w:firstLine="0"/>
        <w:jc w:val="left"/>
        <w:rPr>
          <w:rFonts w:ascii="宋体" w:hAnsi="宋体" w:cs="宋体" w:eastAsia="宋体" w:hint="default"/>
          <w:sz w:val="21"/>
          <w:szCs w:val="21"/>
        </w:rPr>
      </w:pPr>
      <w:r>
        <w:rPr/>
        <w:pict>
          <v:group style="position:absolute;margin-left:216.539978pt;margin-top:-5.976038pt;width:287.850pt;height:.75pt;mso-position-horizontal-relative:page;mso-position-vertical-relative:paragraph;z-index:-623848" coordorigin="4331,-120" coordsize="5757,15">
            <v:group style="position:absolute;left:4338;top:-112;width:2878;height:2" coordorigin="4338,-112" coordsize="2878,2">
              <v:shape style="position:absolute;left:4338;top:-112;width:2878;height:2" coordorigin="4338,-112" coordsize="2878,0" path="m4338,-112l7216,-112e" filled="false" stroked="true" strokeweight=".72003pt" strokecolor="#000000">
                <v:path arrowok="t"/>
              </v:shape>
            </v:group>
            <v:group style="position:absolute;left:7201;top:-112;width:105;height:2" coordorigin="7201,-112" coordsize="105,2">
              <v:shape style="position:absolute;left:7201;top:-112;width:105;height:2" coordorigin="7201,-112" coordsize="105,0" path="m7201,-112l7306,-112e" filled="false" stroked="true" strokeweight=".72003pt" strokecolor="#000000">
                <v:path arrowok="t"/>
              </v:shape>
            </v:group>
            <v:group style="position:absolute;left:7306;top:-112;width:2775;height:2" coordorigin="7306,-112" coordsize="2775,2">
              <v:shape style="position:absolute;left:7306;top:-112;width:2775;height:2" coordorigin="7306,-112" coordsize="2775,0" path="m7306,-112l10080,-112e" filled="false" stroked="true" strokeweight=".72003pt" strokecolor="#000000">
                <v:path arrowok="t"/>
              </v:shape>
            </v:group>
            <w10:wrap type="none"/>
          </v:group>
        </w:pict>
      </w:r>
      <w:r>
        <w:rPr>
          <w:rFonts w:ascii="宋体" w:hAnsi="宋体" w:cs="宋体" w:eastAsia="宋体" w:hint="default"/>
          <w:sz w:val="21"/>
          <w:szCs w:val="21"/>
        </w:rPr>
        <w:t>1、年末余额中无欠持本公司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5％）表决权股份的股东票据。</w:t>
      </w:r>
    </w:p>
    <w:p>
      <w:pPr>
        <w:spacing w:before="66"/>
        <w:ind w:left="820" w:right="441" w:firstLine="0"/>
        <w:jc w:val="left"/>
        <w:rPr>
          <w:rFonts w:ascii="宋体" w:hAnsi="宋体" w:cs="宋体" w:eastAsia="宋体" w:hint="default"/>
          <w:sz w:val="21"/>
          <w:szCs w:val="21"/>
        </w:rPr>
      </w:pPr>
      <w:r>
        <w:rPr>
          <w:rFonts w:ascii="宋体" w:hAnsi="宋体" w:cs="宋体" w:eastAsia="宋体" w:hint="default"/>
          <w:sz w:val="21"/>
          <w:szCs w:val="21"/>
        </w:rPr>
        <w:t>2、年末余额中无欠关联方票据金额。</w:t>
      </w:r>
    </w:p>
    <w:p>
      <w:pPr>
        <w:spacing w:line="297" w:lineRule="auto" w:before="64"/>
        <w:ind w:left="400" w:right="446" w:firstLine="420"/>
        <w:jc w:val="left"/>
        <w:rPr>
          <w:rFonts w:ascii="宋体" w:hAnsi="宋体" w:cs="宋体" w:eastAsia="宋体" w:hint="default"/>
          <w:sz w:val="21"/>
          <w:szCs w:val="21"/>
        </w:rPr>
      </w:pPr>
      <w:r>
        <w:rPr>
          <w:rFonts w:ascii="宋体" w:hAnsi="宋体" w:cs="宋体" w:eastAsia="宋体" w:hint="default"/>
          <w:sz w:val="21"/>
          <w:szCs w:val="21"/>
        </w:rPr>
        <w:t>3、应付票据年末数比年初数减少</w:t>
      </w:r>
      <w:r>
        <w:rPr>
          <w:rFonts w:ascii="宋体" w:hAnsi="宋体" w:cs="宋体" w:eastAsia="宋体" w:hint="default"/>
          <w:spacing w:val="-55"/>
          <w:sz w:val="21"/>
          <w:szCs w:val="21"/>
        </w:rPr>
        <w:t> </w:t>
      </w:r>
      <w:r>
        <w:rPr>
          <w:rFonts w:ascii="宋体" w:hAnsi="宋体" w:cs="宋体" w:eastAsia="宋体" w:hint="default"/>
          <w:sz w:val="21"/>
          <w:szCs w:val="21"/>
        </w:rPr>
        <w:t>1,614,478.51</w:t>
      </w:r>
      <w:r>
        <w:rPr>
          <w:rFonts w:ascii="宋体" w:hAnsi="宋体" w:cs="宋体" w:eastAsia="宋体" w:hint="default"/>
          <w:spacing w:val="-54"/>
          <w:sz w:val="21"/>
          <w:szCs w:val="21"/>
        </w:rPr>
        <w:t> </w:t>
      </w:r>
      <w:r>
        <w:rPr>
          <w:rFonts w:ascii="宋体" w:hAnsi="宋体" w:cs="宋体" w:eastAsia="宋体" w:hint="default"/>
          <w:spacing w:val="-3"/>
          <w:sz w:val="21"/>
          <w:szCs w:val="21"/>
        </w:rPr>
        <w:t>元，减少比例为</w:t>
      </w:r>
      <w:r>
        <w:rPr>
          <w:rFonts w:ascii="宋体" w:hAnsi="宋体" w:cs="宋体" w:eastAsia="宋体" w:hint="default"/>
          <w:spacing w:val="-55"/>
          <w:sz w:val="21"/>
          <w:szCs w:val="21"/>
        </w:rPr>
        <w:t> </w:t>
      </w:r>
      <w:r>
        <w:rPr>
          <w:rFonts w:ascii="宋体" w:hAnsi="宋体" w:cs="宋体" w:eastAsia="宋体" w:hint="default"/>
          <w:sz w:val="21"/>
          <w:szCs w:val="21"/>
        </w:rPr>
        <w:t>100.00</w:t>
      </w:r>
      <w:r>
        <w:rPr>
          <w:rFonts w:ascii="宋体" w:hAnsi="宋体" w:cs="宋体" w:eastAsia="宋体" w:hint="default"/>
          <w:spacing w:val="-4"/>
          <w:sz w:val="21"/>
          <w:szCs w:val="21"/>
        </w:rPr>
        <w:t> </w:t>
      </w:r>
      <w:r>
        <w:rPr>
          <w:rFonts w:ascii="宋体" w:hAnsi="宋体" w:cs="宋体" w:eastAsia="宋体" w:hint="default"/>
          <w:spacing w:val="-3"/>
          <w:sz w:val="21"/>
          <w:szCs w:val="21"/>
        </w:rPr>
        <w:t>％，减少原因</w:t>
      </w:r>
      <w:r>
        <w:rPr>
          <w:rFonts w:ascii="宋体" w:hAnsi="宋体" w:cs="宋体" w:eastAsia="宋体" w:hint="default"/>
          <w:sz w:val="21"/>
          <w:szCs w:val="21"/>
        </w:rPr>
        <w:t> 为：本年应付票据偿付完毕。</w:t>
      </w:r>
    </w:p>
    <w:p>
      <w:pPr>
        <w:spacing w:before="15"/>
        <w:ind w:left="822" w:right="441" w:firstLine="0"/>
        <w:jc w:val="left"/>
        <w:rPr>
          <w:rFonts w:ascii="宋体" w:hAnsi="宋体" w:cs="宋体" w:eastAsia="宋体" w:hint="default"/>
          <w:sz w:val="21"/>
          <w:szCs w:val="21"/>
        </w:rPr>
      </w:pPr>
      <w:r>
        <w:rPr>
          <w:rFonts w:ascii="宋体" w:hAnsi="宋体" w:cs="宋体" w:eastAsia="宋体" w:hint="default"/>
          <w:b/>
          <w:bCs/>
          <w:sz w:val="21"/>
          <w:szCs w:val="21"/>
        </w:rPr>
        <w:t>（十九）应付账款</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488" w:type="dxa"/>
        <w:tblLayout w:type="fixed"/>
        <w:tblCellMar>
          <w:top w:w="0" w:type="dxa"/>
          <w:left w:w="0" w:type="dxa"/>
          <w:bottom w:w="0" w:type="dxa"/>
          <w:right w:w="0" w:type="dxa"/>
        </w:tblCellMar>
        <w:tblLook w:val="01E0"/>
      </w:tblPr>
      <w:tblGrid>
        <w:gridCol w:w="1695"/>
        <w:gridCol w:w="3455"/>
        <w:gridCol w:w="2035"/>
      </w:tblGrid>
      <w:tr>
        <w:trPr>
          <w:trHeight w:val="708" w:hRule="exact"/>
        </w:trPr>
        <w:tc>
          <w:tcPr>
            <w:tcW w:w="169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帐</w:t>
              <w:tab/>
              <w:t>龄</w:t>
            </w:r>
            <w:r>
              <w:rPr>
                <w:rFonts w:ascii="宋体" w:hAnsi="宋体" w:cs="宋体" w:eastAsia="宋体" w:hint="default"/>
                <w:sz w:val="18"/>
                <w:szCs w:val="18"/>
              </w:rPr>
            </w:r>
          </w:p>
          <w:p>
            <w:pPr>
              <w:pStyle w:val="TableParagraph"/>
              <w:spacing w:line="240" w:lineRule="auto" w:before="104"/>
              <w:ind w:left="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18"/>
              <w:ind w:left="1330" w:right="0"/>
              <w:jc w:val="left"/>
              <w:rPr>
                <w:rFonts w:ascii="Times New Roman" w:hAnsi="Times New Roman" w:cs="Times New Roman" w:eastAsia="Times New Roman" w:hint="default"/>
                <w:sz w:val="21"/>
                <w:szCs w:val="21"/>
              </w:rPr>
            </w:pPr>
            <w:r>
              <w:rPr>
                <w:rFonts w:ascii="Times New Roman"/>
                <w:sz w:val="21"/>
              </w:rPr>
              <w:t>134,295,511.05</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207,374,020.66</w:t>
            </w:r>
          </w:p>
        </w:tc>
      </w:tr>
      <w:tr>
        <w:trPr>
          <w:trHeight w:val="33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9"/>
              <w:jc w:val="right"/>
              <w:rPr>
                <w:rFonts w:ascii="Times New Roman" w:hAnsi="Times New Roman" w:cs="Times New Roman" w:eastAsia="Times New Roman" w:hint="default"/>
                <w:sz w:val="18"/>
                <w:szCs w:val="18"/>
              </w:rPr>
            </w:pPr>
            <w:r>
              <w:rPr>
                <w:rFonts w:ascii="Times New Roman"/>
                <w:spacing w:val="-1"/>
                <w:sz w:val="18"/>
              </w:rPr>
              <w:t>6,734,778.49</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z w:val="18"/>
              </w:rPr>
              <w:t>364,232.53</w:t>
            </w:r>
          </w:p>
        </w:tc>
      </w:tr>
      <w:tr>
        <w:trPr>
          <w:trHeight w:val="35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09"/>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45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0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1695" w:type="dxa"/>
            <w:tcBorders>
              <w:top w:val="nil" w:sz="6" w:space="0" w:color="auto"/>
              <w:left w:val="nil" w:sz="6" w:space="0" w:color="auto"/>
              <w:bottom w:val="nil" w:sz="6" w:space="0" w:color="auto"/>
              <w:right w:val="nil" w:sz="6" w:space="0" w:color="auto"/>
            </w:tcBorders>
          </w:tcPr>
          <w:p>
            <w:pPr>
              <w:pStyle w:val="TableParagraph"/>
              <w:tabs>
                <w:tab w:pos="576" w:val="left" w:leader="none"/>
              </w:tabs>
              <w:spacing w:line="240" w:lineRule="auto" w:before="65"/>
              <w:ind w:left="3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807"/>
              <w:jc w:val="right"/>
              <w:rPr>
                <w:rFonts w:ascii="Times New Roman" w:hAnsi="Times New Roman" w:cs="Times New Roman" w:eastAsia="Times New Roman" w:hint="default"/>
                <w:sz w:val="18"/>
                <w:szCs w:val="18"/>
              </w:rPr>
            </w:pPr>
            <w:r>
              <w:rPr>
                <w:rFonts w:ascii="Times New Roman"/>
                <w:spacing w:val="-1"/>
                <w:sz w:val="18"/>
              </w:rPr>
              <w:t>141,030,289.54</w:t>
            </w:r>
          </w:p>
        </w:tc>
        <w:tc>
          <w:tcPr>
            <w:tcW w:w="20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207,738,253.19</w:t>
            </w:r>
          </w:p>
        </w:tc>
      </w:tr>
    </w:tbl>
    <w:p>
      <w:pPr>
        <w:spacing w:before="12"/>
        <w:ind w:left="820" w:right="441" w:firstLine="0"/>
        <w:jc w:val="left"/>
        <w:rPr>
          <w:rFonts w:ascii="宋体" w:hAnsi="宋体" w:cs="宋体" w:eastAsia="宋体" w:hint="default"/>
          <w:sz w:val="21"/>
          <w:szCs w:val="21"/>
        </w:rPr>
      </w:pPr>
      <w:r>
        <w:rPr/>
        <w:pict>
          <v:group style="position:absolute;margin-left:228.419998pt;margin-top:-5.976038pt;width:275.95pt;height:.75pt;mso-position-horizontal-relative:page;mso-position-vertical-relative:paragraph;z-index:-623824" coordorigin="4568,-120" coordsize="5519,15">
            <v:group style="position:absolute;left:4576;top:-112;width:2760;height:2" coordorigin="4576,-112" coordsize="2760,2">
              <v:shape style="position:absolute;left:4576;top:-112;width:2760;height:2" coordorigin="4576,-112" coordsize="2760,0" path="m4576,-112l7336,-112e" filled="false" stroked="true" strokeweight=".72pt" strokecolor="#000000">
                <v:path arrowok="t"/>
              </v:shape>
            </v:group>
            <v:group style="position:absolute;left:7321;top:-112;width:105;height:2" coordorigin="7321,-112" coordsize="105,2">
              <v:shape style="position:absolute;left:7321;top:-112;width:105;height:2" coordorigin="7321,-112" coordsize="105,0" path="m7321,-112l7426,-112e" filled="false" stroked="true" strokeweight=".72pt" strokecolor="#000000">
                <v:path arrowok="t"/>
              </v:shape>
            </v:group>
            <v:group style="position:absolute;left:7426;top:-112;width:2655;height:2" coordorigin="7426,-112" coordsize="2655,2">
              <v:shape style="position:absolute;left:7426;top:-112;width:2655;height:2" coordorigin="7426,-112" coordsize="2655,0" path="m7426,-112l10080,-112e" filled="false" stroked="true" strokeweight=".72pt" strokecolor="#000000">
                <v:path arrowok="t"/>
              </v:shape>
            </v:group>
            <w10:wrap type="none"/>
          </v:group>
        </w:pict>
      </w:r>
      <w:r>
        <w:rPr>
          <w:rFonts w:ascii="宋体" w:hAnsi="宋体" w:cs="宋体" w:eastAsia="宋体" w:hint="default"/>
          <w:sz w:val="21"/>
          <w:szCs w:val="21"/>
        </w:rPr>
        <w:t>1、年末余额中无欠持本公司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p>
    <w:p>
      <w:pPr>
        <w:spacing w:before="64"/>
        <w:ind w:left="820" w:right="441" w:firstLine="0"/>
        <w:jc w:val="left"/>
        <w:rPr>
          <w:rFonts w:ascii="宋体" w:hAnsi="宋体" w:cs="宋体" w:eastAsia="宋体" w:hint="default"/>
          <w:sz w:val="21"/>
          <w:szCs w:val="21"/>
        </w:rPr>
      </w:pPr>
      <w:r>
        <w:rPr>
          <w:rFonts w:ascii="宋体" w:hAnsi="宋体" w:cs="宋体" w:eastAsia="宋体" w:hint="default"/>
          <w:sz w:val="21"/>
          <w:szCs w:val="21"/>
        </w:rPr>
        <w:t>2、年末余额中无欠关联方款项。</w:t>
      </w:r>
    </w:p>
    <w:p>
      <w:pPr>
        <w:spacing w:before="64"/>
        <w:ind w:left="820" w:right="441" w:firstLine="0"/>
        <w:jc w:val="left"/>
        <w:rPr>
          <w:rFonts w:ascii="宋体" w:hAnsi="宋体" w:cs="宋体" w:eastAsia="宋体" w:hint="default"/>
          <w:sz w:val="21"/>
          <w:szCs w:val="21"/>
        </w:rPr>
      </w:pPr>
      <w:r>
        <w:rPr>
          <w:rFonts w:ascii="宋体" w:hAnsi="宋体" w:cs="宋体" w:eastAsia="宋体" w:hint="default"/>
          <w:sz w:val="21"/>
          <w:szCs w:val="21"/>
        </w:rPr>
        <w:t>3、账龄超过一年的大额应付账款：</w:t>
      </w:r>
    </w:p>
    <w:p>
      <w:pPr>
        <w:spacing w:after="0"/>
        <w:jc w:val="left"/>
        <w:rPr>
          <w:rFonts w:ascii="宋体" w:hAnsi="宋体" w:cs="宋体" w:eastAsia="宋体" w:hint="default"/>
          <w:sz w:val="21"/>
          <w:szCs w:val="21"/>
        </w:rPr>
        <w:sectPr>
          <w:pgSz w:w="11910" w:h="16840"/>
          <w:pgMar w:header="918" w:footer="950" w:top="1160" w:bottom="1140" w:left="1400" w:right="1340"/>
        </w:sectPr>
      </w:pPr>
    </w:p>
    <w:p>
      <w:pPr>
        <w:spacing w:line="240" w:lineRule="auto" w:before="10"/>
        <w:rPr>
          <w:rFonts w:ascii="宋体" w:hAnsi="宋体" w:cs="宋体" w:eastAsia="宋体" w:hint="default"/>
          <w:sz w:val="20"/>
          <w:szCs w:val="20"/>
        </w:rPr>
      </w:pPr>
    </w:p>
    <w:p>
      <w:pPr>
        <w:tabs>
          <w:tab w:pos="4355" w:val="left" w:leader="none"/>
          <w:tab w:pos="4805" w:val="left" w:leader="none"/>
          <w:tab w:pos="5281" w:val="left" w:leader="none"/>
        </w:tabs>
        <w:spacing w:before="0"/>
        <w:ind w:left="1538" w:right="-20" w:firstLine="0"/>
        <w:jc w:val="left"/>
        <w:rPr>
          <w:rFonts w:ascii="宋体" w:hAnsi="宋体" w:cs="宋体" w:eastAsia="宋体" w:hint="default"/>
          <w:sz w:val="18"/>
          <w:szCs w:val="18"/>
        </w:rPr>
      </w:pPr>
      <w:r>
        <w:rPr/>
        <w:pict>
          <v:group style="position:absolute;margin-left:396.720001pt;margin-top:3.612015pt;width:126pt;height:.1pt;mso-position-horizontal-relative:page;mso-position-vertical-relative:paragraph;z-index:4072" coordorigin="7934,72" coordsize="2520,2">
            <v:shape style="position:absolute;left:7934;top:72;width:2520;height:2" coordorigin="7934,72" coordsize="2520,0" path="m7934,72l10454,72e" filled="false" stroked="true" strokeweight=".48001pt" strokecolor="#000000">
              <v:path arrowok="t"/>
            </v:shape>
            <w10:wrap type="none"/>
          </v:group>
        </w:pict>
      </w:r>
      <w:r>
        <w:rPr>
          <w:rFonts w:ascii="宋体" w:hAnsi="宋体" w:cs="宋体" w:eastAsia="宋体" w:hint="default"/>
          <w:sz w:val="18"/>
          <w:szCs w:val="18"/>
        </w:rPr>
        <w:t>债权人</w:t>
        <w:tab/>
        <w:t>金</w:t>
        <w:tab/>
        <w:t>额</w:t>
        <w:tab/>
        <w:t>未偿还原因</w:t>
      </w:r>
    </w:p>
    <w:p>
      <w:pPr>
        <w:spacing w:before="101"/>
        <w:ind w:left="31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备注（报表日后已还款的应予注</w:t>
      </w:r>
    </w:p>
    <w:p>
      <w:pPr>
        <w:spacing w:after="0"/>
        <w:jc w:val="left"/>
        <w:rPr>
          <w:rFonts w:ascii="宋体" w:hAnsi="宋体" w:cs="宋体" w:eastAsia="宋体" w:hint="default"/>
          <w:sz w:val="18"/>
          <w:szCs w:val="18"/>
        </w:rPr>
        <w:sectPr>
          <w:type w:val="continuous"/>
          <w:pgSz w:w="11910" w:h="16840"/>
          <w:pgMar w:top="1020" w:bottom="1520" w:left="1400" w:right="1340"/>
          <w:cols w:num="2" w:equalWidth="0">
            <w:col w:w="6182" w:space="40"/>
            <w:col w:w="2948"/>
          </w:cols>
        </w:sectPr>
      </w:pPr>
    </w:p>
    <w:tbl>
      <w:tblPr>
        <w:tblW w:w="0" w:type="auto"/>
        <w:jc w:val="left"/>
        <w:tblInd w:w="113" w:type="dxa"/>
        <w:tblLayout w:type="fixed"/>
        <w:tblCellMar>
          <w:top w:w="0" w:type="dxa"/>
          <w:left w:w="0" w:type="dxa"/>
          <w:bottom w:w="0" w:type="dxa"/>
          <w:right w:w="0" w:type="dxa"/>
        </w:tblCellMar>
        <w:tblLook w:val="01E0"/>
      </w:tblPr>
      <w:tblGrid>
        <w:gridCol w:w="3457"/>
        <w:gridCol w:w="1415"/>
        <w:gridCol w:w="102"/>
        <w:gridCol w:w="194"/>
        <w:gridCol w:w="900"/>
        <w:gridCol w:w="2862"/>
      </w:tblGrid>
      <w:tr>
        <w:trPr>
          <w:trHeight w:val="169" w:hRule="exact"/>
        </w:trPr>
        <w:tc>
          <w:tcPr>
            <w:tcW w:w="6069" w:type="dxa"/>
            <w:gridSpan w:val="5"/>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single" w:sz="4" w:space="0" w:color="000000"/>
              <w:right w:val="nil" w:sz="6" w:space="0" w:color="auto"/>
            </w:tcBorders>
          </w:tcPr>
          <w:p>
            <w:pPr>
              <w:pStyle w:val="TableParagraph"/>
              <w:spacing w:line="162" w:lineRule="exact"/>
              <w:ind w:left="363" w:right="0"/>
              <w:jc w:val="center"/>
              <w:rPr>
                <w:rFonts w:ascii="宋体" w:hAnsi="宋体" w:cs="宋体" w:eastAsia="宋体" w:hint="default"/>
                <w:sz w:val="18"/>
                <w:szCs w:val="18"/>
              </w:rPr>
            </w:pPr>
            <w:r>
              <w:rPr>
                <w:rFonts w:ascii="宋体" w:hAnsi="宋体" w:cs="宋体" w:eastAsia="宋体" w:hint="default"/>
                <w:sz w:val="18"/>
                <w:szCs w:val="18"/>
              </w:rPr>
              <w:t>明）</w:t>
            </w:r>
          </w:p>
        </w:tc>
      </w:tr>
      <w:tr>
        <w:trPr>
          <w:trHeight w:val="41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日东电子科技（深圳）有限公司</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1,910,197.33</w:t>
            </w:r>
          </w:p>
        </w:tc>
        <w:tc>
          <w:tcPr>
            <w:tcW w:w="10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w w:val="95"/>
                <w:sz w:val="18"/>
                <w:szCs w:val="18"/>
              </w:rPr>
              <w:t>未及时结算</w:t>
            </w:r>
          </w:p>
        </w:tc>
        <w:tc>
          <w:tcPr>
            <w:tcW w:w="286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36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月已支付美元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w:t>
            </w: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
              <w:jc w:val="center"/>
              <w:rPr>
                <w:rFonts w:ascii="宋体" w:hAnsi="宋体" w:cs="宋体" w:eastAsia="宋体" w:hint="default"/>
                <w:sz w:val="18"/>
                <w:szCs w:val="18"/>
              </w:rPr>
            </w:pPr>
            <w:r>
              <w:rPr>
                <w:rFonts w:ascii="宋体" w:hAnsi="宋体" w:cs="宋体" w:eastAsia="宋体" w:hint="default"/>
                <w:sz w:val="18"/>
                <w:szCs w:val="18"/>
              </w:rPr>
              <w:t>弘成科技</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499,609.50</w:t>
            </w:r>
          </w:p>
        </w:tc>
        <w:tc>
          <w:tcPr>
            <w:tcW w:w="10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w w:val="95"/>
                <w:sz w:val="18"/>
                <w:szCs w:val="18"/>
              </w:rPr>
              <w:t>未及时结算</w:t>
            </w:r>
          </w:p>
        </w:tc>
        <w:tc>
          <w:tcPr>
            <w:tcW w:w="2862" w:type="dxa"/>
            <w:tcBorders>
              <w:top w:val="nil" w:sz="6" w:space="0" w:color="auto"/>
              <w:left w:val="nil" w:sz="6" w:space="0" w:color="auto"/>
              <w:bottom w:val="nil" w:sz="6" w:space="0" w:color="auto"/>
              <w:right w:val="nil" w:sz="6" w:space="0" w:color="auto"/>
            </w:tcBorders>
          </w:tcPr>
          <w:p>
            <w:pPr/>
          </w:p>
        </w:tc>
      </w:tr>
      <w:tr>
        <w:trPr>
          <w:trHeight w:val="340"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3"/>
              <w:jc w:val="center"/>
              <w:rPr>
                <w:rFonts w:ascii="Times New Roman" w:hAnsi="Times New Roman" w:cs="Times New Roman" w:eastAsia="Times New Roman" w:hint="default"/>
                <w:sz w:val="18"/>
                <w:szCs w:val="18"/>
              </w:rPr>
            </w:pPr>
            <w:r>
              <w:rPr>
                <w:rFonts w:ascii="Times New Roman"/>
                <w:sz w:val="18"/>
              </w:rPr>
              <w:t>Dale</w:t>
            </w:r>
            <w:r>
              <w:rPr>
                <w:rFonts w:ascii="Times New Roman"/>
                <w:spacing w:val="-3"/>
                <w:sz w:val="18"/>
              </w:rPr>
              <w:t> </w:t>
            </w:r>
            <w:r>
              <w:rPr>
                <w:rFonts w:ascii="Times New Roman"/>
                <w:sz w:val="18"/>
              </w:rPr>
              <w:t>(hk)LTD.</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412,016.98</w:t>
            </w:r>
          </w:p>
        </w:tc>
        <w:tc>
          <w:tcPr>
            <w:tcW w:w="102"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w w:val="95"/>
                <w:sz w:val="18"/>
                <w:szCs w:val="18"/>
              </w:rPr>
              <w:t>未及时结算</w:t>
            </w:r>
          </w:p>
        </w:tc>
        <w:tc>
          <w:tcPr>
            <w:tcW w:w="2862" w:type="dxa"/>
            <w:tcBorders>
              <w:top w:val="nil" w:sz="6" w:space="0" w:color="auto"/>
              <w:left w:val="nil" w:sz="6" w:space="0" w:color="auto"/>
              <w:bottom w:val="nil" w:sz="6" w:space="0" w:color="auto"/>
              <w:right w:val="nil" w:sz="6" w:space="0" w:color="auto"/>
            </w:tcBorders>
          </w:tcPr>
          <w:p>
            <w:pPr/>
          </w:p>
        </w:tc>
      </w:tr>
      <w:tr>
        <w:trPr>
          <w:trHeight w:val="303"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center"/>
              <w:rPr>
                <w:rFonts w:ascii="宋体" w:hAnsi="宋体" w:cs="宋体" w:eastAsia="宋体" w:hint="default"/>
                <w:sz w:val="18"/>
                <w:szCs w:val="18"/>
              </w:rPr>
            </w:pPr>
            <w:r>
              <w:rPr>
                <w:rFonts w:ascii="宋体" w:hAnsi="宋体" w:cs="宋体" w:eastAsia="宋体" w:hint="default"/>
                <w:sz w:val="18"/>
                <w:szCs w:val="18"/>
              </w:rPr>
              <w:t>中科佳电子</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348,987.87</w:t>
            </w:r>
          </w:p>
        </w:tc>
        <w:tc>
          <w:tcPr>
            <w:tcW w:w="102" w:type="dxa"/>
            <w:tcBorders>
              <w:top w:val="nil" w:sz="6" w:space="0" w:color="auto"/>
              <w:left w:val="nil" w:sz="6" w:space="0" w:color="auto"/>
              <w:bottom w:val="single" w:sz="4" w:space="0" w:color="000000"/>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w w:val="95"/>
                <w:sz w:val="18"/>
                <w:szCs w:val="18"/>
              </w:rPr>
              <w:t>未及时结算</w:t>
            </w:r>
          </w:p>
        </w:tc>
        <w:tc>
          <w:tcPr>
            <w:tcW w:w="2862" w:type="dxa"/>
            <w:tcBorders>
              <w:top w:val="nil" w:sz="6" w:space="0" w:color="auto"/>
              <w:left w:val="nil" w:sz="6" w:space="0" w:color="auto"/>
              <w:bottom w:val="nil" w:sz="6" w:space="0" w:color="auto"/>
              <w:right w:val="nil" w:sz="6" w:space="0" w:color="auto"/>
            </w:tcBorders>
          </w:tcPr>
          <w:p>
            <w:pPr/>
          </w:p>
        </w:tc>
      </w:tr>
      <w:tr>
        <w:trPr>
          <w:trHeight w:val="435"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3"/>
              <w:jc w:val="center"/>
              <w:rPr>
                <w:rFonts w:ascii="宋体" w:hAnsi="宋体" w:cs="宋体" w:eastAsia="宋体" w:hint="default"/>
                <w:sz w:val="18"/>
                <w:szCs w:val="18"/>
              </w:rPr>
            </w:pPr>
            <w:r>
              <w:rPr>
                <w:rFonts w:ascii="宋体" w:hAnsi="宋体" w:cs="宋体" w:eastAsia="宋体" w:hint="default"/>
                <w:sz w:val="18"/>
                <w:szCs w:val="18"/>
              </w:rPr>
              <w:t>弘  威</w:t>
            </w:r>
          </w:p>
        </w:tc>
        <w:tc>
          <w:tcPr>
            <w:tcW w:w="1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309,278.09</w:t>
            </w:r>
          </w:p>
        </w:tc>
        <w:tc>
          <w:tcPr>
            <w:tcW w:w="102" w:type="dxa"/>
            <w:tcBorders>
              <w:top w:val="single" w:sz="4" w:space="0" w:color="000000"/>
              <w:left w:val="nil" w:sz="6" w:space="0" w:color="auto"/>
              <w:bottom w:val="single" w:sz="12" w:space="0" w:color="000000"/>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w w:val="95"/>
                <w:sz w:val="18"/>
                <w:szCs w:val="18"/>
              </w:rPr>
              <w:t>未及时结算</w:t>
            </w:r>
          </w:p>
        </w:tc>
        <w:tc>
          <w:tcPr>
            <w:tcW w:w="2862" w:type="dxa"/>
            <w:tcBorders>
              <w:top w:val="nil" w:sz="6" w:space="0" w:color="auto"/>
              <w:left w:val="nil" w:sz="6" w:space="0" w:color="auto"/>
              <w:bottom w:val="nil" w:sz="6" w:space="0" w:color="auto"/>
              <w:right w:val="nil" w:sz="6" w:space="0" w:color="auto"/>
            </w:tcBorders>
          </w:tcPr>
          <w:p>
            <w:pPr/>
          </w:p>
        </w:tc>
      </w:tr>
    </w:tbl>
    <w:p>
      <w:pPr>
        <w:spacing w:line="297" w:lineRule="auto" w:before="19"/>
        <w:ind w:left="400" w:right="341" w:firstLine="420"/>
        <w:jc w:val="left"/>
        <w:rPr>
          <w:rFonts w:ascii="宋体" w:hAnsi="宋体" w:cs="宋体" w:eastAsia="宋体" w:hint="default"/>
          <w:sz w:val="21"/>
          <w:szCs w:val="21"/>
        </w:rPr>
      </w:pPr>
      <w:r>
        <w:rPr/>
        <w:pict>
          <v:group style="position:absolute;margin-left:248.160004pt;margin-top:-5.265921pt;width:76.6pt;height:.1pt;mso-position-horizontal-relative:page;mso-position-vertical-relative:paragraph;z-index:-623776" coordorigin="4963,-105" coordsize="1532,2">
            <v:shape style="position:absolute;left:4963;top:-105;width:1532;height:2" coordorigin="4963,-105" coordsize="1532,0" path="m4963,-105l6494,-105e" filled="false" stroked="true" strokeweight=".71997pt" strokecolor="#000000">
              <v:path arrowok="t"/>
            </v:shape>
            <w10:wrap type="none"/>
          </v:group>
        </w:pict>
      </w:r>
      <w:r>
        <w:rPr>
          <w:rFonts w:ascii="宋体" w:hAnsi="宋体" w:cs="宋体" w:eastAsia="宋体" w:hint="default"/>
          <w:spacing w:val="-4"/>
          <w:sz w:val="21"/>
          <w:szCs w:val="21"/>
        </w:rPr>
        <w:t>4、应付账款年末数比年初数减少</w:t>
      </w:r>
      <w:r>
        <w:rPr>
          <w:rFonts w:ascii="宋体" w:hAnsi="宋体" w:cs="宋体" w:eastAsia="宋体" w:hint="default"/>
          <w:spacing w:val="-48"/>
          <w:sz w:val="21"/>
          <w:szCs w:val="21"/>
        </w:rPr>
        <w:t> </w:t>
      </w:r>
      <w:r>
        <w:rPr>
          <w:rFonts w:ascii="宋体" w:hAnsi="宋体" w:cs="宋体" w:eastAsia="宋体" w:hint="default"/>
          <w:sz w:val="21"/>
          <w:szCs w:val="21"/>
        </w:rPr>
        <w:t>66,707,963.65</w:t>
      </w:r>
      <w:r>
        <w:rPr>
          <w:rFonts w:ascii="宋体" w:hAnsi="宋体" w:cs="宋体" w:eastAsia="宋体" w:hint="default"/>
          <w:spacing w:val="-48"/>
          <w:sz w:val="21"/>
          <w:szCs w:val="21"/>
        </w:rPr>
        <w:t> </w:t>
      </w:r>
      <w:r>
        <w:rPr>
          <w:rFonts w:ascii="宋体" w:hAnsi="宋体" w:cs="宋体" w:eastAsia="宋体" w:hint="default"/>
          <w:spacing w:val="-8"/>
          <w:sz w:val="21"/>
          <w:szCs w:val="21"/>
        </w:rPr>
        <w:t>元，减少比例为</w:t>
      </w:r>
      <w:r>
        <w:rPr>
          <w:rFonts w:ascii="宋体" w:hAnsi="宋体" w:cs="宋体" w:eastAsia="宋体" w:hint="default"/>
          <w:spacing w:val="-48"/>
          <w:sz w:val="21"/>
          <w:szCs w:val="21"/>
        </w:rPr>
        <w:t> </w:t>
      </w:r>
      <w:r>
        <w:rPr>
          <w:rFonts w:ascii="宋体" w:hAnsi="宋体" w:cs="宋体" w:eastAsia="宋体" w:hint="default"/>
          <w:spacing w:val="-4"/>
          <w:sz w:val="21"/>
          <w:szCs w:val="21"/>
        </w:rPr>
        <w:t>32.11%，减少原因为：</w:t>
      </w:r>
      <w:r>
        <w:rPr>
          <w:rFonts w:ascii="宋体" w:hAnsi="宋体" w:cs="宋体" w:eastAsia="宋体" w:hint="default"/>
          <w:sz w:val="21"/>
          <w:szCs w:val="21"/>
        </w:rPr>
        <w:t> 销售收入下降相应减少了采购量使应付账款减少。</w:t>
      </w:r>
    </w:p>
    <w:p>
      <w:pPr>
        <w:spacing w:before="15"/>
        <w:ind w:left="822" w:right="441" w:firstLine="0"/>
        <w:jc w:val="left"/>
        <w:rPr>
          <w:rFonts w:ascii="宋体" w:hAnsi="宋体" w:cs="宋体" w:eastAsia="宋体" w:hint="default"/>
          <w:sz w:val="21"/>
          <w:szCs w:val="21"/>
        </w:rPr>
      </w:pPr>
      <w:r>
        <w:rPr>
          <w:rFonts w:ascii="宋体" w:hAnsi="宋体" w:cs="宋体" w:eastAsia="宋体" w:hint="default"/>
          <w:b/>
          <w:bCs/>
          <w:sz w:val="21"/>
          <w:szCs w:val="21"/>
        </w:rPr>
        <w:t>（二十）预收款项</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174" w:type="dxa"/>
        <w:tblLayout w:type="fixed"/>
        <w:tblCellMar>
          <w:top w:w="0" w:type="dxa"/>
          <w:left w:w="0" w:type="dxa"/>
          <w:bottom w:w="0" w:type="dxa"/>
          <w:right w:w="0" w:type="dxa"/>
        </w:tblCellMar>
        <w:tblLook w:val="01E0"/>
      </w:tblPr>
      <w:tblGrid>
        <w:gridCol w:w="1558"/>
        <w:gridCol w:w="2976"/>
        <w:gridCol w:w="2964"/>
      </w:tblGrid>
      <w:tr>
        <w:trPr>
          <w:trHeight w:val="705" w:hRule="exact"/>
        </w:trPr>
        <w:tc>
          <w:tcPr>
            <w:tcW w:w="155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p>
            <w:pPr>
              <w:pStyle w:val="TableParagraph"/>
              <w:spacing w:line="240" w:lineRule="auto" w:before="104"/>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1,715,166.52</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left="6" w:right="0"/>
              <w:jc w:val="center"/>
              <w:rPr>
                <w:rFonts w:ascii="Times New Roman" w:hAnsi="Times New Roman" w:cs="Times New Roman" w:eastAsia="Times New Roman" w:hint="default"/>
                <w:sz w:val="18"/>
                <w:szCs w:val="18"/>
              </w:rPr>
            </w:pPr>
            <w:r>
              <w:rPr>
                <w:rFonts w:ascii="Times New Roman"/>
                <w:sz w:val="18"/>
              </w:rPr>
              <w:t>1,348,333.78</w:t>
            </w:r>
          </w:p>
        </w:tc>
      </w:tr>
      <w:tr>
        <w:trPr>
          <w:trHeight w:val="340"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32"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 w:right="0"/>
              <w:jc w:val="center"/>
              <w:rPr>
                <w:rFonts w:ascii="Times New Roman" w:hAnsi="Times New Roman" w:cs="Times New Roman" w:eastAsia="Times New Roman" w:hint="default"/>
                <w:sz w:val="18"/>
                <w:szCs w:val="18"/>
              </w:rPr>
            </w:pPr>
            <w:r>
              <w:rPr>
                <w:rFonts w:ascii="Times New Roman"/>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10"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6" w:right="0"/>
              <w:jc w:val="center"/>
              <w:rPr>
                <w:rFonts w:ascii="Times New Roman" w:hAnsi="Times New Roman" w:cs="Times New Roman" w:eastAsia="Times New Roman" w:hint="default"/>
                <w:sz w:val="21"/>
                <w:szCs w:val="21"/>
              </w:rPr>
            </w:pPr>
            <w:r>
              <w:rPr>
                <w:rFonts w:ascii="Times New Roman"/>
                <w:sz w:val="21"/>
              </w:rPr>
              <w:t>---</w:t>
            </w: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55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1,715,166.52</w:t>
            </w:r>
          </w:p>
        </w:tc>
        <w:tc>
          <w:tcPr>
            <w:tcW w:w="29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6" w:right="0"/>
              <w:jc w:val="center"/>
              <w:rPr>
                <w:rFonts w:ascii="Times New Roman" w:hAnsi="Times New Roman" w:cs="Times New Roman" w:eastAsia="Times New Roman" w:hint="default"/>
                <w:sz w:val="18"/>
                <w:szCs w:val="18"/>
              </w:rPr>
            </w:pPr>
            <w:r>
              <w:rPr>
                <w:rFonts w:ascii="Times New Roman"/>
                <w:sz w:val="18"/>
              </w:rPr>
              <w:t>1,348,333.78</w:t>
            </w:r>
          </w:p>
        </w:tc>
      </w:tr>
    </w:tbl>
    <w:p>
      <w:pPr>
        <w:spacing w:before="12"/>
        <w:ind w:left="820" w:right="441" w:firstLine="0"/>
        <w:jc w:val="left"/>
        <w:rPr>
          <w:rFonts w:ascii="宋体" w:hAnsi="宋体" w:cs="宋体" w:eastAsia="宋体" w:hint="default"/>
          <w:sz w:val="21"/>
          <w:szCs w:val="21"/>
        </w:rPr>
      </w:pPr>
      <w:r>
        <w:rPr/>
        <w:pict>
          <v:group style="position:absolute;margin-left:205.919998pt;margin-top:-5.975931pt;width:298.45pt;height:.75pt;mso-position-horizontal-relative:page;mso-position-vertical-relative:paragraph;z-index:-623752" coordorigin="4118,-120" coordsize="5969,15">
            <v:group style="position:absolute;left:4126;top:-112;width:2985;height:2" coordorigin="4126,-112" coordsize="2985,2">
              <v:shape style="position:absolute;left:4126;top:-112;width:2985;height:2" coordorigin="4126,-112" coordsize="2985,0" path="m4126,-112l7110,-112e" filled="false" stroked="true" strokeweight=".72pt" strokecolor="#000000">
                <v:path arrowok="t"/>
              </v:shape>
            </v:group>
            <v:group style="position:absolute;left:7096;top:-112;width:105;height:2" coordorigin="7096,-112" coordsize="105,2">
              <v:shape style="position:absolute;left:7096;top:-112;width:105;height:2" coordorigin="7096,-112" coordsize="105,0" path="m7096,-112l7200,-112e" filled="false" stroked="true" strokeweight=".72pt" strokecolor="#000000">
                <v:path arrowok="t"/>
              </v:shape>
            </v:group>
            <v:group style="position:absolute;left:7200;top:-112;width:2880;height:2" coordorigin="7200,-112" coordsize="2880,2">
              <v:shape style="position:absolute;left:7200;top:-112;width:2880;height:2" coordorigin="7200,-112" coordsize="2880,0" path="m7200,-112l10080,-112e" filled="false" stroked="true" strokeweight=".72pt" strokecolor="#000000">
                <v:path arrowok="t"/>
              </v:shape>
            </v:group>
            <w10:wrap type="none"/>
          </v:group>
        </w:pict>
      </w:r>
      <w:r>
        <w:rPr>
          <w:rFonts w:ascii="宋体" w:hAnsi="宋体" w:cs="宋体" w:eastAsia="宋体" w:hint="default"/>
          <w:sz w:val="21"/>
          <w:szCs w:val="21"/>
        </w:rPr>
        <w:t>1、年末余额中无预收持本公司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p>
    <w:p>
      <w:pPr>
        <w:spacing w:before="64"/>
        <w:ind w:left="820" w:right="441" w:firstLine="0"/>
        <w:jc w:val="left"/>
        <w:rPr>
          <w:rFonts w:ascii="宋体" w:hAnsi="宋体" w:cs="宋体" w:eastAsia="宋体" w:hint="default"/>
          <w:sz w:val="21"/>
          <w:szCs w:val="21"/>
        </w:rPr>
      </w:pPr>
      <w:r>
        <w:rPr>
          <w:rFonts w:ascii="宋体" w:hAnsi="宋体" w:cs="宋体" w:eastAsia="宋体" w:hint="default"/>
          <w:sz w:val="21"/>
          <w:szCs w:val="21"/>
        </w:rPr>
        <w:t>2、年末余额中无预收关联方款项。</w:t>
      </w:r>
    </w:p>
    <w:p>
      <w:pPr>
        <w:spacing w:after="0"/>
        <w:jc w:val="left"/>
        <w:rPr>
          <w:rFonts w:ascii="宋体" w:hAnsi="宋体" w:cs="宋体" w:eastAsia="宋体" w:hint="default"/>
          <w:sz w:val="21"/>
          <w:szCs w:val="21"/>
        </w:rPr>
        <w:sectPr>
          <w:type w:val="continuous"/>
          <w:pgSz w:w="11910" w:h="16840"/>
          <w:pgMar w:top="1020" w:bottom="1520" w:left="1400" w:right="1340"/>
        </w:sectPr>
      </w:pPr>
    </w:p>
    <w:p>
      <w:pPr>
        <w:spacing w:line="240" w:lineRule="auto" w:before="10"/>
        <w:rPr>
          <w:rFonts w:ascii="宋体" w:hAnsi="宋体" w:cs="宋体" w:eastAsia="宋体" w:hint="default"/>
          <w:sz w:val="20"/>
          <w:szCs w:val="20"/>
        </w:rPr>
      </w:pPr>
      <w:r>
        <w:rPr/>
        <w:pict>
          <v:group style="position:absolute;margin-left:201.12001pt;margin-top:503.280029pt;width:202.65pt;height:.75pt;mso-position-horizontal-relative:page;mso-position-vertical-relative:page;z-index:-623704" coordorigin="4022,10066" coordsize="4053,15">
            <v:group style="position:absolute;left:4030;top:10073;width:2027;height:2" coordorigin="4030,10073" coordsize="2027,2">
              <v:shape style="position:absolute;left:4030;top:10073;width:2027;height:2" coordorigin="4030,10073" coordsize="2027,0" path="m4030,10073l6056,10073e" filled="false" stroked="true" strokeweight=".71997pt" strokecolor="#000000">
                <v:path arrowok="t"/>
              </v:shape>
            </v:group>
            <v:group style="position:absolute;left:6042;top:10073;width:105;height:2" coordorigin="6042,10073" coordsize="105,2">
              <v:shape style="position:absolute;left:6042;top:10073;width:105;height:2" coordorigin="6042,10073" coordsize="105,0" path="m6042,10073l6146,10073e" filled="false" stroked="true" strokeweight=".71997pt" strokecolor="#000000">
                <v:path arrowok="t"/>
              </v:shape>
            </v:group>
            <v:group style="position:absolute;left:6146;top:10073;width:1922;height:2" coordorigin="6146,10073" coordsize="1922,2">
              <v:shape style="position:absolute;left:6146;top:10073;width:1922;height:2" coordorigin="6146,10073" coordsize="1922,0" path="m6146,10073l8068,10073e" filled="false" stroked="true" strokeweight=".71997pt" strokecolor="#000000">
                <v:path arrowok="t"/>
              </v:shape>
            </v:group>
            <w10:wrap type="none"/>
          </v:group>
        </w:pict>
      </w:r>
    </w:p>
    <w:p>
      <w:pPr>
        <w:spacing w:line="297" w:lineRule="auto" w:before="35"/>
        <w:ind w:left="1000" w:right="6363" w:firstLine="2"/>
        <w:jc w:val="left"/>
        <w:rPr>
          <w:rFonts w:ascii="宋体" w:hAnsi="宋体" w:cs="宋体" w:eastAsia="宋体" w:hint="default"/>
          <w:sz w:val="21"/>
          <w:szCs w:val="21"/>
        </w:rPr>
      </w:pPr>
      <w:r>
        <w:rPr>
          <w:rFonts w:ascii="宋体" w:hAnsi="宋体" w:cs="宋体" w:eastAsia="宋体" w:hint="default"/>
          <w:b/>
          <w:bCs/>
          <w:sz w:val="21"/>
          <w:szCs w:val="21"/>
        </w:rPr>
        <w:t>（二十一）应付职工薪酬</w:t>
      </w:r>
      <w:r>
        <w:rPr>
          <w:rFonts w:ascii="宋体" w:hAnsi="宋体" w:cs="宋体" w:eastAsia="宋体" w:hint="default"/>
          <w:b/>
          <w:bCs/>
          <w:w w:val="99"/>
          <w:sz w:val="21"/>
          <w:szCs w:val="21"/>
        </w:rPr>
        <w:t> </w:t>
      </w:r>
      <w:r>
        <w:rPr>
          <w:rFonts w:ascii="宋体" w:hAnsi="宋体" w:cs="宋体" w:eastAsia="宋体" w:hint="default"/>
          <w:sz w:val="21"/>
          <w:szCs w:val="21"/>
        </w:rPr>
        <w:t>1、应付职工薪酬</w:t>
      </w:r>
    </w:p>
    <w:tbl>
      <w:tblPr>
        <w:tblW w:w="0" w:type="auto"/>
        <w:jc w:val="left"/>
        <w:tblInd w:w="112" w:type="dxa"/>
        <w:tblLayout w:type="fixed"/>
        <w:tblCellMar>
          <w:top w:w="0" w:type="dxa"/>
          <w:left w:w="0" w:type="dxa"/>
          <w:bottom w:w="0" w:type="dxa"/>
          <w:right w:w="0" w:type="dxa"/>
        </w:tblCellMar>
        <w:tblLook w:val="01E0"/>
      </w:tblPr>
      <w:tblGrid>
        <w:gridCol w:w="2980"/>
        <w:gridCol w:w="1811"/>
        <w:gridCol w:w="1620"/>
        <w:gridCol w:w="1665"/>
        <w:gridCol w:w="1384"/>
      </w:tblGrid>
      <w:tr>
        <w:trPr>
          <w:trHeight w:val="704" w:hRule="exact"/>
        </w:trPr>
        <w:tc>
          <w:tcPr>
            <w:tcW w:w="298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6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69"/>
              <w:ind w:right="177"/>
              <w:jc w:val="center"/>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left="573" w:right="0"/>
              <w:jc w:val="left"/>
              <w:rPr>
                <w:rFonts w:ascii="Times New Roman" w:hAnsi="Times New Roman" w:cs="Times New Roman" w:eastAsia="Times New Roman" w:hint="default"/>
                <w:sz w:val="18"/>
                <w:szCs w:val="18"/>
              </w:rPr>
            </w:pPr>
            <w:r>
              <w:rPr>
                <w:rFonts w:ascii="Times New Roman"/>
                <w:sz w:val="18"/>
              </w:rPr>
              <w:t>3,839,888.63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6"/>
              <w:ind w:left="291" w:right="0"/>
              <w:jc w:val="left"/>
              <w:rPr>
                <w:rFonts w:ascii="Times New Roman" w:hAnsi="Times New Roman" w:cs="Times New Roman" w:eastAsia="Times New Roman" w:hint="default"/>
                <w:sz w:val="18"/>
                <w:szCs w:val="18"/>
              </w:rPr>
            </w:pPr>
            <w:r>
              <w:rPr>
                <w:rFonts w:ascii="Times New Roman"/>
                <w:sz w:val="18"/>
              </w:rPr>
              <w:t>55,905,695.77</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本年支付</w:t>
            </w:r>
            <w:r>
              <w:rPr>
                <w:rFonts w:ascii="宋体" w:hAnsi="宋体" w:cs="宋体" w:eastAsia="宋体" w:hint="default"/>
                <w:sz w:val="18"/>
                <w:szCs w:val="18"/>
              </w:rPr>
            </w:r>
          </w:p>
          <w:p>
            <w:pPr>
              <w:pStyle w:val="TableParagraph"/>
              <w:spacing w:line="240" w:lineRule="auto" w:before="146"/>
              <w:ind w:left="292" w:right="0"/>
              <w:jc w:val="left"/>
              <w:rPr>
                <w:rFonts w:ascii="Times New Roman" w:hAnsi="Times New Roman" w:cs="Times New Roman" w:eastAsia="Times New Roman" w:hint="default"/>
                <w:sz w:val="18"/>
                <w:szCs w:val="18"/>
              </w:rPr>
            </w:pPr>
            <w:r>
              <w:rPr>
                <w:rFonts w:ascii="Times New Roman"/>
                <w:sz w:val="18"/>
              </w:rPr>
              <w:t>55,188,497.43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337" w:right="0"/>
              <w:jc w:val="left"/>
              <w:rPr>
                <w:rFonts w:ascii="Times New Roman" w:hAnsi="Times New Roman" w:cs="Times New Roman" w:eastAsia="Times New Roman" w:hint="default"/>
                <w:sz w:val="18"/>
                <w:szCs w:val="18"/>
              </w:rPr>
            </w:pPr>
            <w:r>
              <w:rPr>
                <w:rFonts w:ascii="Times New Roman"/>
                <w:sz w:val="18"/>
              </w:rPr>
              <w:t>4,557,086.97</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sz w:val="18"/>
              </w:rPr>
              <w:t>882.00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5"/>
              <w:jc w:val="right"/>
              <w:rPr>
                <w:rFonts w:ascii="Times New Roman" w:hAnsi="Times New Roman" w:cs="Times New Roman" w:eastAsia="Times New Roman" w:hint="default"/>
                <w:sz w:val="18"/>
                <w:szCs w:val="18"/>
              </w:rPr>
            </w:pPr>
            <w:r>
              <w:rPr>
                <w:rFonts w:ascii="Times New Roman"/>
                <w:sz w:val="18"/>
              </w:rPr>
              <w:t>882.00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spacing w:val="-1"/>
                <w:sz w:val="18"/>
              </w:rPr>
              <w:t>1,477,663.22</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6"/>
              <w:jc w:val="right"/>
              <w:rPr>
                <w:rFonts w:ascii="Times New Roman" w:hAnsi="Times New Roman" w:cs="Times New Roman" w:eastAsia="Times New Roman" w:hint="default"/>
                <w:sz w:val="18"/>
                <w:szCs w:val="18"/>
              </w:rPr>
            </w:pPr>
            <w:r>
              <w:rPr>
                <w:rFonts w:ascii="Times New Roman"/>
                <w:spacing w:val="-1"/>
                <w:sz w:val="18"/>
              </w:rPr>
              <w:t>1,477,663.22</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sz w:val="18"/>
              </w:rPr>
              <w:t>37,505.00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5"/>
              <w:jc w:val="right"/>
              <w:rPr>
                <w:rFonts w:ascii="Times New Roman" w:hAnsi="Times New Roman" w:cs="Times New Roman" w:eastAsia="Times New Roman" w:hint="default"/>
                <w:sz w:val="18"/>
                <w:szCs w:val="18"/>
              </w:rPr>
            </w:pPr>
            <w:r>
              <w:rPr>
                <w:rFonts w:ascii="Times New Roman"/>
                <w:sz w:val="18"/>
              </w:rPr>
              <w:t>37,505.00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spacing w:val="-1"/>
                <w:sz w:val="18"/>
              </w:rPr>
              <w:t>1,366,740.44</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5"/>
              <w:jc w:val="right"/>
              <w:rPr>
                <w:rFonts w:ascii="Times New Roman" w:hAnsi="Times New Roman" w:cs="Times New Roman" w:eastAsia="Times New Roman" w:hint="default"/>
                <w:sz w:val="18"/>
                <w:szCs w:val="18"/>
              </w:rPr>
            </w:pPr>
            <w:r>
              <w:rPr>
                <w:rFonts w:ascii="Times New Roman"/>
                <w:spacing w:val="-1"/>
                <w:sz w:val="18"/>
              </w:rPr>
              <w:t>1,202,161.37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164,579.07</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0"/>
              <w:jc w:val="right"/>
              <w:rPr>
                <w:rFonts w:ascii="Times New Roman" w:hAnsi="Times New Roman" w:cs="Times New Roman" w:eastAsia="Times New Roman" w:hint="default"/>
                <w:sz w:val="18"/>
                <w:szCs w:val="18"/>
              </w:rPr>
            </w:pPr>
            <w:r>
              <w:rPr>
                <w:rFonts w:ascii="Times New Roman"/>
                <w:sz w:val="18"/>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5"/>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sz w:val="18"/>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5"/>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303" w:hRule="exact"/>
        </w:trPr>
        <w:tc>
          <w:tcPr>
            <w:tcW w:w="2980"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八、其</w:t>
              <w:tab/>
              <w:t>他</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0"/>
              <w:jc w:val="right"/>
              <w:rPr>
                <w:rFonts w:ascii="Times New Roman" w:hAnsi="Times New Roman" w:cs="Times New Roman" w:eastAsia="Times New Roman" w:hint="default"/>
                <w:sz w:val="18"/>
                <w:szCs w:val="18"/>
              </w:rPr>
            </w:pPr>
            <w:r>
              <w:rPr>
                <w:rFonts w:ascii="Times New Roman"/>
                <w:sz w:val="18"/>
              </w:rPr>
              <w:t>---</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35"/>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298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1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90"/>
              <w:jc w:val="right"/>
              <w:rPr>
                <w:rFonts w:ascii="Times New Roman" w:hAnsi="Times New Roman" w:cs="Times New Roman" w:eastAsia="Times New Roman" w:hint="default"/>
                <w:sz w:val="18"/>
                <w:szCs w:val="18"/>
              </w:rPr>
            </w:pPr>
            <w:r>
              <w:rPr>
                <w:rFonts w:ascii="Times New Roman"/>
                <w:spacing w:val="-1"/>
                <w:sz w:val="18"/>
              </w:rPr>
              <w:t>3,839,888.63</w:t>
            </w:r>
          </w:p>
        </w:tc>
        <w:tc>
          <w:tcPr>
            <w:tcW w:w="16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290"/>
              <w:jc w:val="right"/>
              <w:rPr>
                <w:rFonts w:ascii="Times New Roman" w:hAnsi="Times New Roman" w:cs="Times New Roman" w:eastAsia="Times New Roman" w:hint="default"/>
                <w:sz w:val="18"/>
                <w:szCs w:val="18"/>
              </w:rPr>
            </w:pPr>
            <w:r>
              <w:rPr>
                <w:rFonts w:ascii="Times New Roman"/>
                <w:spacing w:val="-1"/>
                <w:sz w:val="18"/>
              </w:rPr>
              <w:t>58,788,486.43</w:t>
            </w:r>
          </w:p>
        </w:tc>
        <w:tc>
          <w:tcPr>
            <w:tcW w:w="1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35"/>
              <w:jc w:val="right"/>
              <w:rPr>
                <w:rFonts w:ascii="Times New Roman" w:hAnsi="Times New Roman" w:cs="Times New Roman" w:eastAsia="Times New Roman" w:hint="default"/>
                <w:sz w:val="18"/>
                <w:szCs w:val="18"/>
              </w:rPr>
            </w:pPr>
            <w:r>
              <w:rPr>
                <w:rFonts w:ascii="Times New Roman"/>
                <w:spacing w:val="-1"/>
                <w:sz w:val="18"/>
              </w:rPr>
              <w:t>57,906,709.02</w:t>
            </w: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4,721,666.04</w:t>
            </w:r>
          </w:p>
        </w:tc>
      </w:tr>
    </w:tbl>
    <w:p>
      <w:pPr>
        <w:spacing w:before="18"/>
        <w:ind w:left="1000" w:right="0" w:firstLine="0"/>
        <w:jc w:val="left"/>
        <w:rPr>
          <w:rFonts w:ascii="宋体" w:hAnsi="宋体" w:cs="宋体" w:eastAsia="宋体" w:hint="default"/>
          <w:sz w:val="21"/>
          <w:szCs w:val="21"/>
        </w:rPr>
      </w:pPr>
      <w:r>
        <w:rPr/>
        <w:pict>
          <v:group style="position:absolute;margin-left:214.920013pt;margin-top:-5.675906pt;width:325.45pt;height:.75pt;mso-position-horizontal-relative:page;mso-position-vertical-relative:paragraph;z-index:-623728" coordorigin="4298,-114" coordsize="6509,15">
            <v:group style="position:absolute;left:4306;top:-106;width:1635;height:2" coordorigin="4306,-106" coordsize="1635,2">
              <v:shape style="position:absolute;left:4306;top:-106;width:1635;height:2" coordorigin="4306,-106" coordsize="1635,0" path="m4306,-106l5940,-106e" filled="false" stroked="true" strokeweight=".71997pt" strokecolor="#000000">
                <v:path arrowok="t"/>
              </v:shape>
            </v:group>
            <v:group style="position:absolute;left:5926;top:-106;width:105;height:2" coordorigin="5926,-106" coordsize="105,2">
              <v:shape style="position:absolute;left:5926;top:-106;width:105;height:2" coordorigin="5926,-106" coordsize="105,0" path="m5926,-106l6030,-106e" filled="false" stroked="true" strokeweight=".71997pt" strokecolor="#000000">
                <v:path arrowok="t"/>
              </v:shape>
            </v:group>
            <v:group style="position:absolute;left:6030;top:-106;width:1530;height:2" coordorigin="6030,-106" coordsize="1530,2">
              <v:shape style="position:absolute;left:6030;top:-106;width:1530;height:2" coordorigin="6030,-106" coordsize="1530,0" path="m6030,-106l7560,-106e" filled="false" stroked="true" strokeweight=".71997pt" strokecolor="#000000">
                <v:path arrowok="t"/>
              </v:shape>
            </v:group>
            <v:group style="position:absolute;left:7546;top:-106;width:105;height:2" coordorigin="7546,-106" coordsize="105,2">
              <v:shape style="position:absolute;left:7546;top:-106;width:105;height:2" coordorigin="7546,-106" coordsize="105,0" path="m7546,-106l7650,-106e" filled="false" stroked="true" strokeweight=".71997pt" strokecolor="#000000">
                <v:path arrowok="t"/>
              </v:shape>
            </v:group>
            <v:group style="position:absolute;left:7650;top:-106;width:1530;height:2" coordorigin="7650,-106" coordsize="1530,2">
              <v:shape style="position:absolute;left:7650;top:-106;width:1530;height:2" coordorigin="7650,-106" coordsize="1530,0" path="m7650,-106l9180,-106e" filled="false" stroked="true" strokeweight=".72pt" strokecolor="#000000">
                <v:path arrowok="t"/>
              </v:shape>
            </v:group>
            <v:group style="position:absolute;left:9166;top:-106;width:105;height:2" coordorigin="9166,-106" coordsize="105,2">
              <v:shape style="position:absolute;left:9166;top:-106;width:105;height:2" coordorigin="9166,-106" coordsize="105,0" path="m9166,-106l9270,-106e" filled="false" stroked="true" strokeweight=".71997pt" strokecolor="#000000">
                <v:path arrowok="t"/>
              </v:shape>
            </v:group>
            <v:group style="position:absolute;left:9270;top:-106;width:1530;height:2" coordorigin="9270,-106" coordsize="1530,2">
              <v:shape style="position:absolute;left:9270;top:-106;width:1530;height:2" coordorigin="9270,-106" coordsize="1530,0" path="m9270,-106l10800,-106e" filled="false" stroked="true" strokeweight=".71997pt" strokecolor="#000000">
                <v:path arrowok="t"/>
              </v:shape>
            </v:group>
            <w10:wrap type="none"/>
          </v:group>
        </w:pict>
      </w:r>
      <w:r>
        <w:rPr>
          <w:rFonts w:ascii="宋体" w:hAnsi="宋体" w:cs="宋体" w:eastAsia="宋体" w:hint="default"/>
          <w:sz w:val="21"/>
          <w:szCs w:val="21"/>
        </w:rPr>
        <w:t>2、应付职工薪酬中余额中无拖欠性质或工效挂钩的部分。</w:t>
      </w:r>
    </w:p>
    <w:p>
      <w:pPr>
        <w:spacing w:before="64"/>
        <w:ind w:left="1002" w:right="6363" w:firstLine="0"/>
        <w:jc w:val="left"/>
        <w:rPr>
          <w:rFonts w:ascii="宋体" w:hAnsi="宋体" w:cs="宋体" w:eastAsia="宋体" w:hint="default"/>
          <w:sz w:val="21"/>
          <w:szCs w:val="21"/>
        </w:rPr>
      </w:pPr>
      <w:r>
        <w:rPr>
          <w:rFonts w:ascii="宋体" w:hAnsi="宋体" w:cs="宋体" w:eastAsia="宋体" w:hint="default"/>
          <w:b/>
          <w:bCs/>
          <w:sz w:val="21"/>
          <w:szCs w:val="21"/>
        </w:rPr>
        <w:t>（二十二）应交税费</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649" w:type="dxa"/>
        <w:tblLayout w:type="fixed"/>
        <w:tblCellMar>
          <w:top w:w="0" w:type="dxa"/>
          <w:left w:w="0" w:type="dxa"/>
          <w:bottom w:w="0" w:type="dxa"/>
          <w:right w:w="0" w:type="dxa"/>
        </w:tblCellMar>
        <w:tblLook w:val="01E0"/>
      </w:tblPr>
      <w:tblGrid>
        <w:gridCol w:w="2167"/>
        <w:gridCol w:w="1446"/>
        <w:gridCol w:w="999"/>
        <w:gridCol w:w="1579"/>
        <w:gridCol w:w="2012"/>
      </w:tblGrid>
      <w:tr>
        <w:trPr>
          <w:trHeight w:val="70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345" w:lineRule="auto" w:before="44"/>
              <w:ind w:left="692" w:right="75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税费项目</w:t>
            </w:r>
            <w:r>
              <w:rPr>
                <w:rFonts w:ascii="宋体" w:hAnsi="宋体" w:cs="宋体" w:eastAsia="宋体" w:hint="default"/>
                <w:sz w:val="18"/>
                <w:szCs w:val="18"/>
              </w:rPr>
            </w:r>
            <w:r>
              <w:rPr>
                <w:rFonts w:ascii="宋体" w:hAnsi="宋体" w:cs="宋体" w:eastAsia="宋体" w:hint="default"/>
                <w:sz w:val="18"/>
                <w:szCs w:val="18"/>
              </w:rPr>
              <w:t> 增值税</w:t>
            </w:r>
          </w:p>
        </w:tc>
        <w:tc>
          <w:tcPr>
            <w:tcW w:w="24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37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906" w:right="0"/>
              <w:jc w:val="left"/>
              <w:rPr>
                <w:rFonts w:ascii="Times New Roman" w:hAnsi="Times New Roman" w:cs="Times New Roman" w:eastAsia="Times New Roman" w:hint="default"/>
                <w:sz w:val="18"/>
                <w:szCs w:val="18"/>
              </w:rPr>
            </w:pPr>
            <w:r>
              <w:rPr>
                <w:rFonts w:ascii="Times New Roman"/>
                <w:sz w:val="18"/>
              </w:rPr>
              <w:t>-1,340,298.16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left="607" w:right="0"/>
              <w:jc w:val="left"/>
              <w:rPr>
                <w:rFonts w:ascii="Times New Roman" w:hAnsi="Times New Roman" w:cs="Times New Roman" w:eastAsia="Times New Roman" w:hint="default"/>
                <w:sz w:val="18"/>
                <w:szCs w:val="18"/>
              </w:rPr>
            </w:pPr>
            <w:r>
              <w:rPr>
                <w:rFonts w:ascii="Times New Roman"/>
                <w:sz w:val="18"/>
              </w:rPr>
              <w:t>-354,035.64</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计缴标准</w:t>
            </w:r>
            <w:r>
              <w:rPr>
                <w:rFonts w:ascii="宋体" w:hAnsi="宋体" w:cs="宋体" w:eastAsia="宋体" w:hint="default"/>
                <w:sz w:val="18"/>
                <w:szCs w:val="18"/>
              </w:rPr>
            </w:r>
          </w:p>
          <w:p>
            <w:pPr>
              <w:pStyle w:val="TableParagraph"/>
              <w:spacing w:line="240" w:lineRule="auto" w:before="146"/>
              <w:ind w:left="13" w:right="0"/>
              <w:jc w:val="center"/>
              <w:rPr>
                <w:rFonts w:ascii="Times New Roman" w:hAnsi="Times New Roman" w:cs="Times New Roman" w:eastAsia="Times New Roman" w:hint="default"/>
                <w:sz w:val="18"/>
                <w:szCs w:val="18"/>
              </w:rPr>
            </w:pPr>
            <w:r>
              <w:rPr>
                <w:rFonts w:ascii="Times New Roman"/>
                <w:sz w:val="18"/>
              </w:rPr>
              <w:t>17%</w:t>
            </w:r>
          </w:p>
        </w:tc>
      </w:tr>
      <w:tr>
        <w:trPr>
          <w:trHeight w:val="136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345" w:lineRule="auto" w:before="19"/>
              <w:ind w:left="602" w:right="662"/>
              <w:jc w:val="center"/>
              <w:rPr>
                <w:rFonts w:ascii="宋体" w:hAnsi="宋体" w:cs="宋体" w:eastAsia="宋体" w:hint="default"/>
                <w:sz w:val="18"/>
                <w:szCs w:val="18"/>
              </w:rPr>
            </w:pPr>
            <w:r>
              <w:rPr>
                <w:rFonts w:ascii="宋体" w:hAnsi="宋体" w:cs="宋体" w:eastAsia="宋体" w:hint="default"/>
                <w:sz w:val="18"/>
                <w:szCs w:val="18"/>
              </w:rPr>
              <w:t>消费税 营业税 城建税 企业所得税</w:t>
            </w:r>
          </w:p>
        </w:tc>
        <w:tc>
          <w:tcPr>
            <w:tcW w:w="24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53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4"/>
              <w:ind w:right="53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393" w:lineRule="auto" w:before="132"/>
              <w:ind w:left="966" w:right="531" w:firstLine="76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3,126,629.88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4"/>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393" w:lineRule="auto" w:before="132"/>
              <w:ind w:left="533" w:right="97" w:firstLine="765"/>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2,800,383.38</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345" w:lineRule="auto" w:before="20"/>
              <w:ind w:left="602" w:right="662"/>
              <w:jc w:val="center"/>
              <w:rPr>
                <w:rFonts w:ascii="宋体" w:hAnsi="宋体" w:cs="宋体" w:eastAsia="宋体" w:hint="default"/>
                <w:sz w:val="18"/>
                <w:szCs w:val="18"/>
              </w:rPr>
            </w:pPr>
            <w:r>
              <w:rPr>
                <w:rFonts w:ascii="宋体" w:hAnsi="宋体" w:cs="宋体" w:eastAsia="宋体" w:hint="default"/>
                <w:sz w:val="18"/>
                <w:szCs w:val="18"/>
              </w:rPr>
              <w:t>个人所得税 土地增值税 房产税</w:t>
            </w:r>
          </w:p>
        </w:tc>
        <w:tc>
          <w:tcPr>
            <w:tcW w:w="24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531"/>
              <w:jc w:val="right"/>
              <w:rPr>
                <w:rFonts w:ascii="Times New Roman" w:hAnsi="Times New Roman" w:cs="Times New Roman" w:eastAsia="Times New Roman" w:hint="default"/>
                <w:sz w:val="18"/>
                <w:szCs w:val="18"/>
              </w:rPr>
            </w:pPr>
            <w:r>
              <w:rPr>
                <w:rFonts w:ascii="Times New Roman"/>
                <w:sz w:val="18"/>
              </w:rPr>
              <w:t>149,762.72</w:t>
            </w:r>
          </w:p>
          <w:p>
            <w:pPr>
              <w:pStyle w:val="TableParagraph"/>
              <w:spacing w:line="240" w:lineRule="auto" w:before="132"/>
              <w:ind w:right="53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2"/>
              <w:ind w:right="53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z w:val="18"/>
              </w:rPr>
              <w:t>134,803.99</w:t>
            </w:r>
          </w:p>
          <w:p>
            <w:pPr>
              <w:pStyle w:val="TableParagraph"/>
              <w:spacing w:line="393" w:lineRule="auto" w:before="132"/>
              <w:ind w:left="757" w:right="97" w:firstLine="54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53,960.83</w:t>
            </w:r>
          </w:p>
        </w:tc>
        <w:tc>
          <w:tcPr>
            <w:tcW w:w="2012" w:type="dxa"/>
            <w:tcBorders>
              <w:top w:val="nil" w:sz="6" w:space="0" w:color="auto"/>
              <w:left w:val="nil" w:sz="6" w:space="0" w:color="auto"/>
              <w:bottom w:val="nil" w:sz="6" w:space="0" w:color="auto"/>
              <w:right w:val="nil" w:sz="6" w:space="0" w:color="auto"/>
            </w:tcBorders>
          </w:tcPr>
          <w:p>
            <w:pPr/>
          </w:p>
        </w:tc>
      </w:tr>
      <w:tr>
        <w:trPr>
          <w:trHeight w:val="30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244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2"/>
              <w:ind w:right="53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106.25</w:t>
            </w:r>
          </w:p>
        </w:tc>
        <w:tc>
          <w:tcPr>
            <w:tcW w:w="2012" w:type="dxa"/>
            <w:tcBorders>
              <w:top w:val="nil" w:sz="6" w:space="0" w:color="auto"/>
              <w:left w:val="nil" w:sz="6" w:space="0" w:color="auto"/>
              <w:bottom w:val="nil" w:sz="6" w:space="0" w:color="auto"/>
              <w:right w:val="nil" w:sz="6" w:space="0" w:color="auto"/>
            </w:tcBorders>
          </w:tcPr>
          <w:p>
            <w:pPr/>
          </w:p>
        </w:tc>
      </w:tr>
      <w:tr>
        <w:trPr>
          <w:trHeight w:val="435"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4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966" w:right="0"/>
              <w:jc w:val="left"/>
              <w:rPr>
                <w:rFonts w:ascii="Times New Roman" w:hAnsi="Times New Roman" w:cs="Times New Roman" w:eastAsia="Times New Roman" w:hint="default"/>
                <w:sz w:val="18"/>
                <w:szCs w:val="18"/>
              </w:rPr>
            </w:pPr>
            <w:r>
              <w:rPr>
                <w:rFonts w:ascii="Times New Roman"/>
                <w:sz w:val="18"/>
              </w:rPr>
              <w:t>1,936,094.44</w:t>
            </w:r>
          </w:p>
        </w:tc>
        <w:tc>
          <w:tcPr>
            <w:tcW w:w="1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2,635,218.81</w:t>
            </w:r>
          </w:p>
        </w:tc>
        <w:tc>
          <w:tcPr>
            <w:tcW w:w="2012" w:type="dxa"/>
            <w:tcBorders>
              <w:top w:val="nil" w:sz="6" w:space="0" w:color="auto"/>
              <w:left w:val="nil" w:sz="6" w:space="0" w:color="auto"/>
              <w:bottom w:val="nil" w:sz="6" w:space="0" w:color="auto"/>
              <w:right w:val="nil" w:sz="6" w:space="0" w:color="auto"/>
            </w:tcBorders>
          </w:tcPr>
          <w:p>
            <w:pPr/>
          </w:p>
        </w:tc>
      </w:tr>
      <w:tr>
        <w:trPr>
          <w:trHeight w:val="395" w:hRule="exact"/>
        </w:trPr>
        <w:tc>
          <w:tcPr>
            <w:tcW w:w="820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2"/>
              <w:ind w:left="352" w:right="0"/>
              <w:jc w:val="left"/>
              <w:rPr>
                <w:rFonts w:ascii="宋体" w:hAnsi="宋体" w:cs="宋体" w:eastAsia="宋体" w:hint="default"/>
                <w:sz w:val="21"/>
                <w:szCs w:val="21"/>
              </w:rPr>
            </w:pPr>
            <w:r>
              <w:rPr>
                <w:rFonts w:ascii="宋体" w:hAnsi="宋体" w:cs="宋体" w:eastAsia="宋体" w:hint="default"/>
                <w:b/>
                <w:bCs/>
                <w:sz w:val="21"/>
                <w:szCs w:val="21"/>
              </w:rPr>
              <w:t>（二十三）应付利息</w:t>
            </w:r>
            <w:r>
              <w:rPr>
                <w:rFonts w:ascii="宋体" w:hAnsi="宋体" w:cs="宋体" w:eastAsia="宋体" w:hint="default"/>
                <w:sz w:val="21"/>
                <w:szCs w:val="21"/>
              </w:rPr>
            </w:r>
          </w:p>
        </w:tc>
      </w:tr>
      <w:tr>
        <w:trPr>
          <w:trHeight w:val="338" w:hRule="exact"/>
        </w:trPr>
        <w:tc>
          <w:tcPr>
            <w:tcW w:w="3613"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22"/>
              <w:ind w:right="8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right="28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45" w:hRule="exact"/>
        </w:trPr>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286"/>
              <w:jc w:val="center"/>
              <w:rPr>
                <w:rFonts w:ascii="Times New Roman" w:hAnsi="Times New Roman" w:cs="Times New Roman" w:eastAsia="Times New Roman" w:hint="default"/>
                <w:sz w:val="18"/>
                <w:szCs w:val="18"/>
              </w:rPr>
            </w:pPr>
            <w:r>
              <w:rPr>
                <w:rFonts w:ascii="Times New Roman"/>
                <w:sz w:val="18"/>
              </w:rPr>
              <w:t>---</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4"/>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286"/>
              <w:jc w:val="center"/>
              <w:rPr>
                <w:rFonts w:ascii="Times New Roman" w:hAnsi="Times New Roman" w:cs="Times New Roman" w:eastAsia="Times New Roman" w:hint="default"/>
                <w:sz w:val="18"/>
                <w:szCs w:val="18"/>
              </w:rPr>
            </w:pPr>
            <w:r>
              <w:rPr>
                <w:rFonts w:ascii="Times New Roman"/>
                <w:sz w:val="18"/>
              </w:rPr>
              <w:t>---</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4"/>
              <w:jc w:val="center"/>
              <w:rPr>
                <w:rFonts w:ascii="Times New Roman" w:hAnsi="Times New Roman" w:cs="Times New Roman" w:eastAsia="Times New Roman" w:hint="default"/>
                <w:sz w:val="18"/>
                <w:szCs w:val="18"/>
              </w:rPr>
            </w:pPr>
            <w:r>
              <w:rPr>
                <w:rFonts w:ascii="Times New Roman"/>
                <w:sz w:val="18"/>
              </w:rPr>
              <w:t>---</w:t>
            </w:r>
          </w:p>
        </w:tc>
      </w:tr>
      <w:tr>
        <w:trPr>
          <w:trHeight w:val="303" w:hRule="exact"/>
        </w:trPr>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57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left="672" w:right="0"/>
              <w:jc w:val="left"/>
              <w:rPr>
                <w:rFonts w:ascii="Times New Roman" w:hAnsi="Times New Roman" w:cs="Times New Roman" w:eastAsia="Times New Roman" w:hint="default"/>
                <w:sz w:val="18"/>
                <w:szCs w:val="18"/>
              </w:rPr>
            </w:pPr>
            <w:r>
              <w:rPr>
                <w:rFonts w:ascii="Times New Roman"/>
                <w:sz w:val="18"/>
              </w:rPr>
              <w:t>8,326,079.22</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456" w:right="0"/>
              <w:jc w:val="left"/>
              <w:rPr>
                <w:rFonts w:ascii="Times New Roman" w:hAnsi="Times New Roman" w:cs="Times New Roman" w:eastAsia="Times New Roman" w:hint="default"/>
                <w:sz w:val="18"/>
                <w:szCs w:val="18"/>
              </w:rPr>
            </w:pPr>
            <w:r>
              <w:rPr>
                <w:rFonts w:ascii="Times New Roman"/>
                <w:sz w:val="18"/>
              </w:rPr>
              <w:t>387,040.81</w:t>
            </w:r>
          </w:p>
        </w:tc>
      </w:tr>
      <w:tr>
        <w:trPr>
          <w:trHeight w:val="435" w:hRule="exact"/>
        </w:trPr>
        <w:tc>
          <w:tcPr>
            <w:tcW w:w="3613"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8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78"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672" w:right="0"/>
              <w:jc w:val="left"/>
              <w:rPr>
                <w:rFonts w:ascii="Times New Roman" w:hAnsi="Times New Roman" w:cs="Times New Roman" w:eastAsia="Times New Roman" w:hint="default"/>
                <w:sz w:val="18"/>
                <w:szCs w:val="18"/>
              </w:rPr>
            </w:pPr>
            <w:r>
              <w:rPr>
                <w:rFonts w:ascii="Times New Roman"/>
                <w:sz w:val="18"/>
              </w:rPr>
              <w:t>8,326,079.22</w:t>
            </w:r>
          </w:p>
        </w:tc>
        <w:tc>
          <w:tcPr>
            <w:tcW w:w="2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457" w:right="0"/>
              <w:jc w:val="left"/>
              <w:rPr>
                <w:rFonts w:ascii="Times New Roman" w:hAnsi="Times New Roman" w:cs="Times New Roman" w:eastAsia="Times New Roman" w:hint="default"/>
                <w:sz w:val="18"/>
                <w:szCs w:val="18"/>
              </w:rPr>
            </w:pPr>
            <w:r>
              <w:rPr>
                <w:rFonts w:ascii="Times New Roman"/>
                <w:sz w:val="18"/>
              </w:rPr>
              <w:t>387,040.81</w:t>
            </w:r>
          </w:p>
        </w:tc>
      </w:tr>
    </w:tbl>
    <w:p>
      <w:pPr>
        <w:spacing w:line="297" w:lineRule="auto" w:before="12"/>
        <w:ind w:left="580" w:right="0" w:firstLine="420"/>
        <w:jc w:val="left"/>
        <w:rPr>
          <w:rFonts w:ascii="宋体" w:hAnsi="宋体" w:cs="宋体" w:eastAsia="宋体" w:hint="default"/>
          <w:sz w:val="21"/>
          <w:szCs w:val="21"/>
        </w:rPr>
      </w:pPr>
      <w:r>
        <w:rPr/>
        <w:pict>
          <v:group style="position:absolute;margin-left:273.420013pt;margin-top:-5.976028pt;width:230.95pt;height:.75pt;mso-position-horizontal-relative:page;mso-position-vertical-relative:paragraph;z-index:-623680" coordorigin="5468,-120" coordsize="4619,15">
            <v:group style="position:absolute;left:5476;top:-112;width:2310;height:2" coordorigin="5476,-112" coordsize="2310,2">
              <v:shape style="position:absolute;left:5476;top:-112;width:2310;height:2" coordorigin="5476,-112" coordsize="2310,0" path="m5476,-112l7786,-112e" filled="false" stroked="true" strokeweight=".72pt" strokecolor="#000000">
                <v:path arrowok="t"/>
              </v:shape>
            </v:group>
            <v:group style="position:absolute;left:7771;top:-112;width:105;height:2" coordorigin="7771,-112" coordsize="105,2">
              <v:shape style="position:absolute;left:7771;top:-112;width:105;height:2" coordorigin="7771,-112" coordsize="105,0" path="m7771,-112l7876,-112e" filled="false" stroked="true" strokeweight=".72pt" strokecolor="#000000">
                <v:path arrowok="t"/>
              </v:shape>
            </v:group>
            <v:group style="position:absolute;left:7876;top:-112;width:2205;height:2" coordorigin="7876,-112" coordsize="2205,2">
              <v:shape style="position:absolute;left:7876;top:-112;width:2205;height:2" coordorigin="7876,-112" coordsize="2205,0" path="m7876,-112l10080,-112e" filled="false" stroked="true" strokeweight=".72pt" strokecolor="#000000">
                <v:path arrowok="t"/>
              </v:shape>
            </v:group>
            <w10:wrap type="none"/>
          </v:group>
        </w:pict>
      </w:r>
      <w:r>
        <w:rPr>
          <w:rFonts w:ascii="宋体" w:hAnsi="宋体" w:cs="宋体" w:eastAsia="宋体" w:hint="default"/>
          <w:sz w:val="21"/>
          <w:szCs w:val="21"/>
        </w:rPr>
        <w:t>应付利息年末数比年初数增加</w:t>
      </w:r>
      <w:r>
        <w:rPr>
          <w:rFonts w:ascii="宋体" w:hAnsi="宋体" w:cs="宋体" w:eastAsia="宋体" w:hint="default"/>
          <w:spacing w:val="-58"/>
          <w:sz w:val="21"/>
          <w:szCs w:val="21"/>
        </w:rPr>
        <w:t> </w:t>
      </w:r>
      <w:r>
        <w:rPr>
          <w:rFonts w:ascii="宋体" w:hAnsi="宋体" w:cs="宋体" w:eastAsia="宋体" w:hint="default"/>
          <w:sz w:val="21"/>
          <w:szCs w:val="21"/>
        </w:rPr>
        <w:t>7,939,038.41</w:t>
      </w:r>
      <w:r>
        <w:rPr>
          <w:rFonts w:ascii="宋体" w:hAnsi="宋体" w:cs="宋体" w:eastAsia="宋体" w:hint="default"/>
          <w:spacing w:val="-57"/>
          <w:sz w:val="21"/>
          <w:szCs w:val="21"/>
        </w:rPr>
        <w:t> </w:t>
      </w:r>
      <w:r>
        <w:rPr>
          <w:rFonts w:ascii="宋体" w:hAnsi="宋体" w:cs="宋体" w:eastAsia="宋体" w:hint="default"/>
          <w:spacing w:val="-11"/>
          <w:sz w:val="21"/>
          <w:szCs w:val="21"/>
        </w:rPr>
        <w:t>元，增加比例为</w:t>
      </w:r>
      <w:r>
        <w:rPr>
          <w:rFonts w:ascii="宋体" w:hAnsi="宋体" w:cs="宋体" w:eastAsia="宋体" w:hint="default"/>
          <w:spacing w:val="-58"/>
          <w:sz w:val="21"/>
          <w:szCs w:val="21"/>
        </w:rPr>
        <w:t> </w:t>
      </w:r>
      <w:r>
        <w:rPr>
          <w:rFonts w:ascii="宋体" w:hAnsi="宋体" w:cs="宋体" w:eastAsia="宋体" w:hint="default"/>
          <w:spacing w:val="-5"/>
          <w:sz w:val="21"/>
          <w:szCs w:val="21"/>
        </w:rPr>
        <w:t>2,051.21％，增加原因为：</w:t>
      </w:r>
      <w:r>
        <w:rPr>
          <w:rFonts w:ascii="宋体" w:hAnsi="宋体" w:cs="宋体" w:eastAsia="宋体" w:hint="default"/>
          <w:sz w:val="21"/>
          <w:szCs w:val="21"/>
        </w:rPr>
        <w:t> 本年借款增加所致。</w:t>
      </w:r>
    </w:p>
    <w:p>
      <w:pPr>
        <w:spacing w:before="15"/>
        <w:ind w:left="1119" w:right="6363" w:firstLine="0"/>
        <w:jc w:val="left"/>
        <w:rPr>
          <w:rFonts w:ascii="宋体" w:hAnsi="宋体" w:cs="宋体" w:eastAsia="宋体" w:hint="default"/>
          <w:sz w:val="21"/>
          <w:szCs w:val="21"/>
        </w:rPr>
      </w:pPr>
      <w:r>
        <w:rPr/>
        <w:pict>
          <v:group style="position:absolute;margin-left:214.080002pt;margin-top:101.87397pt;width:281.3pt;height:.75pt;mso-position-horizontal-relative:page;mso-position-vertical-relative:paragraph;z-index:-623656" coordorigin="4282,2037" coordsize="5626,15">
            <v:group style="position:absolute;left:4289;top:2045;width:2813;height:2" coordorigin="4289,2045" coordsize="2813,2">
              <v:shape style="position:absolute;left:4289;top:2045;width:2813;height:2" coordorigin="4289,2045" coordsize="2813,0" path="m4289,2045l7102,2045e" filled="false" stroked="true" strokeweight=".72pt" strokecolor="#000000">
                <v:path arrowok="t"/>
              </v:shape>
            </v:group>
            <v:group style="position:absolute;left:7087;top:2045;width:105;height:2" coordorigin="7087,2045" coordsize="105,2">
              <v:shape style="position:absolute;left:7087;top:2045;width:105;height:2" coordorigin="7087,2045" coordsize="105,0" path="m7087,2045l7192,2045e" filled="false" stroked="true" strokeweight=".72pt" strokecolor="#000000">
                <v:path arrowok="t"/>
              </v:shape>
            </v:group>
            <v:group style="position:absolute;left:7192;top:2045;width:2709;height:2" coordorigin="7192,2045" coordsize="2709,2">
              <v:shape style="position:absolute;left:7192;top:2045;width:2709;height:2" coordorigin="7192,2045" coordsize="2709,0" path="m7192,2045l9900,2045e" filled="false" stroked="true" strokeweight=".72pt" strokecolor="#000000">
                <v:path arrowok="t"/>
              </v:shape>
            </v:group>
            <w10:wrap type="none"/>
          </v:group>
        </w:pict>
      </w:r>
      <w:r>
        <w:rPr>
          <w:rFonts w:ascii="宋体" w:hAnsi="宋体" w:cs="宋体" w:eastAsia="宋体" w:hint="default"/>
          <w:b/>
          <w:bCs/>
          <w:sz w:val="21"/>
          <w:szCs w:val="21"/>
        </w:rPr>
        <w:t>（二十四）其他应付款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437" w:type="dxa"/>
        <w:tblLayout w:type="fixed"/>
        <w:tblCellMar>
          <w:top w:w="0" w:type="dxa"/>
          <w:left w:w="0" w:type="dxa"/>
          <w:bottom w:w="0" w:type="dxa"/>
          <w:right w:w="0" w:type="dxa"/>
        </w:tblCellMar>
        <w:tblLook w:val="01E0"/>
      </w:tblPr>
      <w:tblGrid>
        <w:gridCol w:w="1638"/>
        <w:gridCol w:w="3579"/>
        <w:gridCol w:w="2018"/>
      </w:tblGrid>
      <w:tr>
        <w:trPr>
          <w:trHeight w:val="705" w:hRule="exact"/>
        </w:trPr>
        <w:tc>
          <w:tcPr>
            <w:tcW w:w="163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1752" w:right="0"/>
              <w:jc w:val="left"/>
              <w:rPr>
                <w:rFonts w:ascii="Times New Roman" w:hAnsi="Times New Roman" w:cs="Times New Roman" w:eastAsia="Times New Roman" w:hint="default"/>
                <w:sz w:val="18"/>
                <w:szCs w:val="18"/>
              </w:rPr>
            </w:pPr>
            <w:r>
              <w:rPr>
                <w:rFonts w:ascii="Times New Roman"/>
                <w:sz w:val="18"/>
              </w:rPr>
              <w:t>2,480,723.26</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6,816,287.82</w:t>
            </w:r>
          </w:p>
        </w:tc>
      </w:tr>
      <w:tr>
        <w:trPr>
          <w:trHeight w:val="340"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79"/>
              <w:jc w:val="right"/>
              <w:rPr>
                <w:rFonts w:ascii="Times New Roman" w:hAnsi="Times New Roman" w:cs="Times New Roman" w:eastAsia="Times New Roman" w:hint="default"/>
                <w:sz w:val="18"/>
                <w:szCs w:val="18"/>
              </w:rPr>
            </w:pPr>
            <w:r>
              <w:rPr>
                <w:rFonts w:ascii="Times New Roman"/>
                <w:spacing w:val="-1"/>
                <w:sz w:val="18"/>
              </w:rPr>
              <w:t>1,167,961.24</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10,060,872.15</w:t>
            </w:r>
          </w:p>
        </w:tc>
      </w:tr>
      <w:tr>
        <w:trPr>
          <w:trHeight w:val="302" w:hRule="exact"/>
        </w:trPr>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7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879"/>
              <w:jc w:val="right"/>
              <w:rPr>
                <w:rFonts w:ascii="Times New Roman" w:hAnsi="Times New Roman" w:cs="Times New Roman" w:eastAsia="Times New Roman" w:hint="default"/>
                <w:sz w:val="18"/>
                <w:szCs w:val="18"/>
              </w:rPr>
            </w:pPr>
            <w:r>
              <w:rPr>
                <w:rFonts w:ascii="Times New Roman"/>
                <w:spacing w:val="-1"/>
                <w:sz w:val="18"/>
              </w:rPr>
              <w:t>6,782,874.27</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1638"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879"/>
              <w:jc w:val="right"/>
              <w:rPr>
                <w:rFonts w:ascii="Times New Roman" w:hAnsi="Times New Roman" w:cs="Times New Roman" w:eastAsia="Times New Roman" w:hint="default"/>
                <w:sz w:val="18"/>
                <w:szCs w:val="18"/>
              </w:rPr>
            </w:pPr>
            <w:r>
              <w:rPr>
                <w:rFonts w:ascii="Times New Roman"/>
                <w:spacing w:val="-1"/>
                <w:sz w:val="18"/>
              </w:rPr>
              <w:t>10,431,558.77</w:t>
            </w: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16,877,159.97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220" w:right="980"/>
        </w:sectPr>
      </w:pPr>
    </w:p>
    <w:p>
      <w:pPr>
        <w:spacing w:line="240" w:lineRule="auto" w:before="5"/>
        <w:rPr>
          <w:rFonts w:ascii="宋体" w:hAnsi="宋体" w:cs="宋体" w:eastAsia="宋体" w:hint="default"/>
          <w:b/>
          <w:bCs/>
          <w:sz w:val="21"/>
          <w:szCs w:val="21"/>
        </w:rPr>
      </w:pPr>
    </w:p>
    <w:p>
      <w:pPr>
        <w:spacing w:line="104" w:lineRule="exact"/>
        <w:ind w:left="3201"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281.350pt;height:5.25pt;mso-position-horizontal-relative:char;mso-position-vertical-relative:line" coordorigin="0,0" coordsize="5627,105">
            <v:group style="position:absolute;left:15;top:7;width:2799;height:2" coordorigin="15,7" coordsize="2799,2">
              <v:shape style="position:absolute;left:15;top:7;width:2799;height:2" coordorigin="15,7" coordsize="2799,0" path="m15,7l2813,7e" filled="false" stroked="true" strokeweight=".72003pt" strokecolor="#000000">
                <v:path arrowok="t"/>
              </v:shape>
            </v:group>
            <v:group style="position:absolute;left:15;top:89;width:2799;height:2" coordorigin="15,89" coordsize="2799,2">
              <v:shape style="position:absolute;left:15;top:89;width:2799;height:2" coordorigin="15,89" coordsize="2799,0" path="m15,89l2813,89e" filled="false" stroked="true" strokeweight="1.5pt" strokecolor="#000000">
                <v:path arrowok="t"/>
              </v:shape>
            </v:group>
            <v:group style="position:absolute;left:2813;top:7;width:105;height:2" coordorigin="2813,7" coordsize="105,2">
              <v:shape style="position:absolute;left:2813;top:7;width:105;height:2" coordorigin="2813,7" coordsize="105,0" path="m2813,7l2918,7e" filled="false" stroked="true" strokeweight=".72003pt" strokecolor="#000000">
                <v:path arrowok="t"/>
              </v:shape>
            </v:group>
            <v:group style="position:absolute;left:2813;top:89;width:105;height:2" coordorigin="2813,89" coordsize="105,2">
              <v:shape style="position:absolute;left:2813;top:89;width:105;height:2" coordorigin="2813,89" coordsize="105,0" path="m2813,89l2918,89e" filled="false" stroked="true" strokeweight="1.5pt" strokecolor="#000000">
                <v:path arrowok="t"/>
              </v:shape>
            </v:group>
            <v:group style="position:absolute;left:2918;top:7;width:2694;height:2" coordorigin="2918,7" coordsize="2694,2">
              <v:shape style="position:absolute;left:2918;top:7;width:2694;height:2" coordorigin="2918,7" coordsize="2694,0" path="m2918,7l5612,7e" filled="false" stroked="true" strokeweight=".72003pt" strokecolor="#000000">
                <v:path arrowok="t"/>
              </v:shape>
            </v:group>
            <v:group style="position:absolute;left:2918;top:89;width:2694;height:2" coordorigin="2918,89" coordsize="2694,2">
              <v:shape style="position:absolute;left:2918;top:89;width:2694;height:2" coordorigin="2918,89" coordsize="2694,0" path="m2918,89l5612,89e" filled="false" stroked="true" strokeweight="1.5pt" strokecolor="#000000">
                <v:path arrowok="t"/>
              </v:shape>
            </v:group>
          </v:group>
        </w:pict>
      </w:r>
      <w:r>
        <w:rPr>
          <w:rFonts w:ascii="宋体" w:hAnsi="宋体" w:cs="宋体" w:eastAsia="宋体" w:hint="default"/>
          <w:position w:val="-1"/>
          <w:sz w:val="10"/>
          <w:szCs w:val="10"/>
        </w:rPr>
      </w:r>
    </w:p>
    <w:p>
      <w:pPr>
        <w:tabs>
          <w:tab w:pos="4293" w:val="left" w:leader="none"/>
          <w:tab w:pos="7091" w:val="left" w:leader="none"/>
        </w:tabs>
        <w:spacing w:before="63"/>
        <w:ind w:left="0" w:right="221"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其中：预提费用</w:t>
        <w:tab/>
      </w:r>
      <w:r>
        <w:rPr>
          <w:rFonts w:ascii="Times New Roman" w:hAnsi="Times New Roman" w:cs="Times New Roman" w:eastAsia="Times New Roman" w:hint="default"/>
          <w:sz w:val="18"/>
          <w:szCs w:val="18"/>
        </w:rPr>
        <w:t>645,670.79</w:t>
        <w:tab/>
        <w:t>648,536.64</w:t>
      </w:r>
    </w:p>
    <w:p>
      <w:pPr>
        <w:spacing w:before="55"/>
        <w:ind w:left="1140" w:right="0" w:firstLine="0"/>
        <w:jc w:val="left"/>
        <w:rPr>
          <w:rFonts w:ascii="宋体" w:hAnsi="宋体" w:cs="宋体" w:eastAsia="宋体" w:hint="default"/>
          <w:sz w:val="21"/>
          <w:szCs w:val="21"/>
        </w:rPr>
      </w:pPr>
      <w:r>
        <w:rPr>
          <w:rFonts w:ascii="宋体" w:hAnsi="宋体" w:cs="宋体" w:eastAsia="宋体" w:hint="default"/>
          <w:sz w:val="21"/>
          <w:szCs w:val="21"/>
        </w:rPr>
        <w:t>1、年末余额中无欠持本公司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5％）表决权股份的股东单位款项。</w:t>
      </w:r>
    </w:p>
    <w:p>
      <w:pPr>
        <w:spacing w:before="64"/>
        <w:ind w:left="1140" w:right="0" w:firstLine="0"/>
        <w:jc w:val="left"/>
        <w:rPr>
          <w:rFonts w:ascii="宋体" w:hAnsi="宋体" w:cs="宋体" w:eastAsia="宋体" w:hint="default"/>
          <w:sz w:val="21"/>
          <w:szCs w:val="21"/>
        </w:rPr>
      </w:pPr>
      <w:r>
        <w:rPr>
          <w:rFonts w:ascii="宋体" w:hAnsi="宋体" w:cs="宋体" w:eastAsia="宋体" w:hint="default"/>
          <w:sz w:val="21"/>
          <w:szCs w:val="21"/>
        </w:rPr>
        <w:t>2、年末余额中无欠关联方款项。</w:t>
      </w:r>
    </w:p>
    <w:p>
      <w:pPr>
        <w:spacing w:before="66"/>
        <w:ind w:left="1140" w:right="0" w:firstLine="0"/>
        <w:jc w:val="left"/>
        <w:rPr>
          <w:rFonts w:ascii="宋体" w:hAnsi="宋体" w:cs="宋体" w:eastAsia="宋体" w:hint="default"/>
          <w:sz w:val="21"/>
          <w:szCs w:val="21"/>
        </w:rPr>
      </w:pPr>
      <w:r>
        <w:rPr>
          <w:rFonts w:ascii="宋体" w:hAnsi="宋体" w:cs="宋体" w:eastAsia="宋体" w:hint="default"/>
          <w:sz w:val="21"/>
          <w:szCs w:val="21"/>
        </w:rPr>
        <w:t>3、账龄超过一年的大额其他应付款</w:t>
      </w:r>
    </w:p>
    <w:p>
      <w:pPr>
        <w:tabs>
          <w:tab w:pos="2654" w:val="left" w:leader="none"/>
          <w:tab w:pos="3104" w:val="left" w:leader="none"/>
          <w:tab w:pos="5399" w:val="left" w:leader="none"/>
        </w:tabs>
        <w:spacing w:before="100"/>
        <w:ind w:left="0" w:right="384"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未偿还原因</w:t>
      </w:r>
      <w:r>
        <w:rPr>
          <w:rFonts w:ascii="宋体" w:hAnsi="宋体" w:cs="宋体" w:eastAsia="宋体" w:hint="default"/>
          <w:sz w:val="18"/>
          <w:szCs w:val="18"/>
        </w:rPr>
      </w:r>
    </w:p>
    <w:p>
      <w:pPr>
        <w:tabs>
          <w:tab w:pos="4025" w:val="left" w:leader="none"/>
          <w:tab w:pos="7018" w:val="left" w:leader="none"/>
        </w:tabs>
        <w:spacing w:before="104"/>
        <w:ind w:left="1348" w:right="0" w:firstLine="0"/>
        <w:jc w:val="left"/>
        <w:rPr>
          <w:rFonts w:ascii="宋体" w:hAnsi="宋体" w:cs="宋体" w:eastAsia="宋体" w:hint="default"/>
          <w:sz w:val="18"/>
          <w:szCs w:val="18"/>
        </w:rPr>
      </w:pPr>
      <w:r>
        <w:rPr>
          <w:rFonts w:ascii="宋体" w:hAnsi="宋体" w:cs="宋体" w:eastAsia="宋体" w:hint="default"/>
          <w:sz w:val="18"/>
          <w:szCs w:val="18"/>
        </w:rPr>
        <w:t>无锡市国土局</w:t>
        <w:tab/>
      </w:r>
      <w:r>
        <w:rPr>
          <w:rFonts w:ascii="Times New Roman" w:hAnsi="Times New Roman" w:cs="Times New Roman" w:eastAsia="Times New Roman" w:hint="default"/>
          <w:spacing w:val="-1"/>
          <w:sz w:val="18"/>
          <w:szCs w:val="18"/>
        </w:rPr>
        <w:t>6,259,130.00</w:t>
        <w:tab/>
      </w:r>
      <w:r>
        <w:rPr>
          <w:rFonts w:ascii="宋体" w:hAnsi="宋体" w:cs="宋体" w:eastAsia="宋体" w:hint="default"/>
          <w:sz w:val="18"/>
          <w:szCs w:val="18"/>
        </w:rPr>
        <w:t>尚未支付</w:t>
      </w:r>
    </w:p>
    <w:p>
      <w:pPr>
        <w:tabs>
          <w:tab w:pos="4025" w:val="left" w:leader="none"/>
          <w:tab w:pos="7108" w:val="left" w:leader="none"/>
        </w:tabs>
        <w:spacing w:line="295" w:lineRule="auto" w:before="91"/>
        <w:ind w:left="1140" w:right="2093" w:hanging="152"/>
        <w:jc w:val="left"/>
        <w:rPr>
          <w:rFonts w:ascii="宋体" w:hAnsi="宋体" w:cs="宋体" w:eastAsia="宋体" w:hint="default"/>
          <w:sz w:val="21"/>
          <w:szCs w:val="21"/>
        </w:rPr>
      </w:pPr>
      <w:r>
        <w:rPr>
          <w:rFonts w:ascii="宋体" w:hAnsi="宋体" w:cs="宋体" w:eastAsia="宋体" w:hint="default"/>
          <w:sz w:val="18"/>
          <w:szCs w:val="18"/>
        </w:rPr>
        <w:t>美亚电子科技有限公司</w:t>
        <w:tab/>
      </w:r>
      <w:r>
        <w:rPr>
          <w:rFonts w:ascii="Times New Roman" w:hAnsi="Times New Roman" w:cs="Times New Roman" w:eastAsia="Times New Roman" w:hint="default"/>
          <w:spacing w:val="-1"/>
          <w:sz w:val="18"/>
          <w:szCs w:val="18"/>
        </w:rPr>
        <w:t>1,056,322.97</w:t>
        <w:tab/>
      </w:r>
      <w:r>
        <w:rPr>
          <w:rFonts w:ascii="宋体" w:hAnsi="宋体" w:cs="宋体" w:eastAsia="宋体" w:hint="default"/>
          <w:sz w:val="18"/>
          <w:szCs w:val="18"/>
        </w:rPr>
        <w:t>未到期 </w:t>
      </w:r>
      <w:r>
        <w:rPr>
          <w:rFonts w:ascii="宋体" w:hAnsi="宋体" w:cs="宋体" w:eastAsia="宋体" w:hint="default"/>
          <w:sz w:val="21"/>
          <w:szCs w:val="21"/>
        </w:rPr>
        <w:t>账龄超过一年的大额其他应付款情况的其他说明：</w:t>
      </w:r>
      <w:r>
        <w:rPr>
          <w:rFonts w:ascii="宋体" w:hAnsi="宋体" w:cs="宋体" w:eastAsia="宋体" w:hint="default"/>
          <w:sz w:val="21"/>
          <w:szCs w:val="21"/>
        </w:rPr>
        <w:t> 4、金额较大的其他应付款</w:t>
      </w:r>
    </w:p>
    <w:tbl>
      <w:tblPr>
        <w:tblW w:w="0" w:type="auto"/>
        <w:jc w:val="left"/>
        <w:tblInd w:w="895" w:type="dxa"/>
        <w:tblLayout w:type="fixed"/>
        <w:tblCellMar>
          <w:top w:w="0" w:type="dxa"/>
          <w:left w:w="0" w:type="dxa"/>
          <w:bottom w:w="0" w:type="dxa"/>
          <w:right w:w="0" w:type="dxa"/>
        </w:tblCellMar>
        <w:tblLook w:val="01E0"/>
      </w:tblPr>
      <w:tblGrid>
        <w:gridCol w:w="4576"/>
        <w:gridCol w:w="1384"/>
        <w:gridCol w:w="1596"/>
      </w:tblGrid>
      <w:tr>
        <w:trPr>
          <w:trHeight w:val="691"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903" w:val="left" w:leader="none"/>
                <w:tab w:pos="3353" w:val="left" w:leader="none"/>
              </w:tabs>
              <w:spacing w:line="240" w:lineRule="auto" w:before="44"/>
              <w:ind w:left="20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p>
            <w:pPr>
              <w:pStyle w:val="TableParagraph"/>
              <w:tabs>
                <w:tab w:pos="2902" w:val="left" w:leader="none"/>
              </w:tabs>
              <w:spacing w:line="240" w:lineRule="auto" w:before="104"/>
              <w:ind w:left="18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无锡市国土局</w:t>
              <w:tab/>
            </w:r>
            <w:r>
              <w:rPr>
                <w:rFonts w:ascii="Times New Roman" w:hAnsi="Times New Roman" w:cs="Times New Roman" w:eastAsia="Times New Roman" w:hint="default"/>
                <w:sz w:val="18"/>
                <w:szCs w:val="18"/>
              </w:rPr>
              <w:t>6,259,130.00</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345" w:lineRule="auto" w:before="44"/>
              <w:ind w:left="208" w:right="48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r>
              <w:rPr>
                <w:rFonts w:ascii="宋体" w:hAnsi="宋体" w:cs="宋体" w:eastAsia="宋体" w:hint="default"/>
                <w:sz w:val="18"/>
                <w:szCs w:val="18"/>
              </w:rPr>
              <w:t> 土地出让金</w:t>
            </w:r>
          </w:p>
        </w:tc>
      </w:tr>
      <w:tr>
        <w:trPr>
          <w:trHeight w:val="340"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266" w:val="left" w:leader="none"/>
              </w:tabs>
              <w:spacing w:line="281"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21"/>
                <w:szCs w:val="21"/>
              </w:rPr>
              <w:t>美亚电子科技有限公司</w:t>
              <w:tab/>
            </w:r>
            <w:r>
              <w:rPr>
                <w:rFonts w:ascii="Times New Roman" w:hAnsi="Times New Roman" w:cs="Times New Roman" w:eastAsia="Times New Roman" w:hint="default"/>
                <w:sz w:val="18"/>
                <w:szCs w:val="18"/>
              </w:rPr>
              <w:t>1,056,322.97</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8"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350"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73" w:lineRule="exact"/>
              <w:ind w:left="245" w:right="0"/>
              <w:jc w:val="left"/>
              <w:rPr>
                <w:rFonts w:ascii="宋体" w:hAnsi="宋体" w:cs="宋体" w:eastAsia="宋体" w:hint="default"/>
                <w:sz w:val="21"/>
                <w:szCs w:val="21"/>
              </w:rPr>
            </w:pPr>
            <w:r>
              <w:rPr>
                <w:rFonts w:ascii="宋体" w:hAnsi="宋体" w:cs="宋体" w:eastAsia="宋体" w:hint="default"/>
                <w:sz w:val="21"/>
                <w:szCs w:val="21"/>
              </w:rPr>
              <w:t>5、按费用类别列示预提费用</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r>
        <w:trPr>
          <w:trHeight w:val="337"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965" w:val="left" w:leader="none"/>
              </w:tabs>
              <w:spacing w:line="240" w:lineRule="auto" w:before="22"/>
              <w:ind w:left="2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费用类别</w:t>
            </w:r>
            <w:r>
              <w:rPr>
                <w:rFonts w:ascii="宋体" w:hAnsi="宋体" w:cs="宋体" w:eastAsia="宋体" w:hint="default"/>
                <w:sz w:val="18"/>
                <w:szCs w:val="18"/>
              </w:rPr>
              <w:tab/>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年末结余原因</w:t>
            </w:r>
            <w:r>
              <w:rPr>
                <w:rFonts w:ascii="宋体" w:hAnsi="宋体" w:cs="宋体" w:eastAsia="宋体" w:hint="default"/>
                <w:sz w:val="18"/>
                <w:szCs w:val="18"/>
              </w:rPr>
            </w:r>
          </w:p>
        </w:tc>
      </w:tr>
      <w:tr>
        <w:trPr>
          <w:trHeight w:val="345"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40" w:lineRule="auto" w:before="24"/>
              <w:ind w:left="3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  费</w:t>
              <w:tab/>
            </w:r>
            <w:r>
              <w:rPr>
                <w:rFonts w:ascii="Times New Roman" w:hAnsi="Times New Roman" w:cs="Times New Roman" w:eastAsia="Times New Roman" w:hint="default"/>
                <w:sz w:val="18"/>
                <w:szCs w:val="18"/>
              </w:rPr>
              <w:t>275,611.52</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6"/>
              <w:jc w:val="right"/>
              <w:rPr>
                <w:rFonts w:ascii="Times New Roman" w:hAnsi="Times New Roman" w:cs="Times New Roman" w:eastAsia="Times New Roman" w:hint="default"/>
                <w:sz w:val="18"/>
                <w:szCs w:val="18"/>
              </w:rPr>
            </w:pPr>
            <w:r>
              <w:rPr>
                <w:rFonts w:ascii="Times New Roman"/>
                <w:sz w:val="18"/>
              </w:rPr>
              <w:t>526,450.97</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hAnsi="宋体" w:cs="宋体" w:eastAsia="宋体" w:hint="default"/>
                <w:sz w:val="18"/>
                <w:szCs w:val="18"/>
              </w:rPr>
              <w:t>先计提后支付</w:t>
            </w:r>
          </w:p>
        </w:tc>
      </w:tr>
      <w:tr>
        <w:trPr>
          <w:trHeight w:val="340"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784" w:val="left" w:leader="none"/>
              </w:tabs>
              <w:spacing w:line="240" w:lineRule="auto" w:before="20"/>
              <w:ind w:left="3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  租</w:t>
              <w:tab/>
            </w:r>
            <w:r>
              <w:rPr>
                <w:rFonts w:ascii="Times New Roman" w:hAnsi="Times New Roman" w:cs="Times New Roman" w:eastAsia="Times New Roman" w:hint="default"/>
                <w:sz w:val="18"/>
                <w:szCs w:val="18"/>
              </w:rPr>
              <w:t>12,697.77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7"/>
              <w:jc w:val="right"/>
              <w:rPr>
                <w:rFonts w:ascii="Times New Roman" w:hAnsi="Times New Roman" w:cs="Times New Roman" w:eastAsia="Times New Roman" w:hint="default"/>
                <w:sz w:val="18"/>
                <w:szCs w:val="18"/>
              </w:rPr>
            </w:pPr>
            <w:r>
              <w:rPr>
                <w:rFonts w:ascii="Times New Roman"/>
                <w:sz w:val="18"/>
              </w:rPr>
              <w:t>12,697.77</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hAnsi="宋体" w:cs="宋体" w:eastAsia="宋体" w:hint="default"/>
                <w:sz w:val="18"/>
                <w:szCs w:val="18"/>
              </w:rPr>
              <w:t>先计提后支付</w:t>
            </w:r>
          </w:p>
        </w:tc>
      </w:tr>
      <w:tr>
        <w:trPr>
          <w:trHeight w:val="340"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40" w:lineRule="auto" w:before="19"/>
              <w:ind w:left="3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厂车费</w:t>
              <w:tab/>
            </w:r>
            <w:r>
              <w:rPr>
                <w:rFonts w:ascii="Times New Roman" w:hAnsi="Times New Roman" w:cs="Times New Roman" w:eastAsia="Times New Roman" w:hint="default"/>
                <w:sz w:val="18"/>
                <w:szCs w:val="18"/>
              </w:rPr>
              <w:t>170,310.00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sz w:val="18"/>
              </w:rPr>
              <w:t>40,527.60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先计提后支付</w:t>
            </w:r>
          </w:p>
        </w:tc>
      </w:tr>
      <w:tr>
        <w:trPr>
          <w:trHeight w:val="340"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3325" w:val="left" w:leader="none"/>
              </w:tabs>
              <w:spacing w:line="240" w:lineRule="auto" w:before="19"/>
              <w:ind w:left="3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  息</w:t>
              <w:tab/>
            </w:r>
            <w:r>
              <w:rPr>
                <w:rFonts w:ascii="Times New Roman" w:hAnsi="Times New Roman" w:cs="Times New Roman" w:eastAsia="Times New Roman" w:hint="default"/>
                <w:sz w:val="18"/>
                <w:szCs w:val="18"/>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8"/>
                <w:szCs w:val="18"/>
              </w:rPr>
            </w:pPr>
            <w:r>
              <w:rPr>
                <w:rFonts w:ascii="Times New Roman"/>
                <w:sz w:val="18"/>
              </w:rPr>
              <w:t>68,860.30</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30" w:right="0"/>
              <w:jc w:val="lef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4576" w:type="dxa"/>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40" w:lineRule="auto" w:before="20"/>
              <w:ind w:left="3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餐  费</w:t>
              <w:tab/>
            </w:r>
            <w:r>
              <w:rPr>
                <w:rFonts w:ascii="Times New Roman" w:hAnsi="Times New Roman" w:cs="Times New Roman" w:eastAsia="Times New Roman" w:hint="default"/>
                <w:sz w:val="18"/>
                <w:szCs w:val="18"/>
              </w:rPr>
              <w:t>187,051.50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6"/>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hAnsi="宋体" w:cs="宋体" w:eastAsia="宋体" w:hint="default"/>
                <w:sz w:val="18"/>
                <w:szCs w:val="18"/>
              </w:rPr>
              <w:t>先计提后支付</w:t>
            </w:r>
          </w:p>
        </w:tc>
      </w:tr>
    </w:tbl>
    <w:p>
      <w:pPr>
        <w:spacing w:line="258" w:lineRule="exact" w:before="0"/>
        <w:ind w:left="1140" w:right="0" w:firstLine="0"/>
        <w:jc w:val="left"/>
        <w:rPr>
          <w:rFonts w:ascii="宋体" w:hAnsi="宋体" w:cs="宋体" w:eastAsia="宋体" w:hint="default"/>
          <w:sz w:val="21"/>
          <w:szCs w:val="21"/>
        </w:rPr>
      </w:pPr>
      <w:r>
        <w:rPr>
          <w:rFonts w:ascii="宋体" w:hAnsi="宋体" w:cs="宋体" w:eastAsia="宋体" w:hint="default"/>
          <w:sz w:val="21"/>
          <w:szCs w:val="21"/>
        </w:rPr>
        <w:t>6、其他应付款年末数与年初数减少</w:t>
      </w:r>
      <w:r>
        <w:rPr>
          <w:rFonts w:ascii="宋体" w:hAnsi="宋体" w:cs="宋体" w:eastAsia="宋体" w:hint="default"/>
          <w:spacing w:val="-62"/>
          <w:sz w:val="21"/>
          <w:szCs w:val="21"/>
        </w:rPr>
        <w:t> </w:t>
      </w:r>
      <w:r>
        <w:rPr>
          <w:rFonts w:ascii="宋体" w:hAnsi="宋体" w:cs="宋体" w:eastAsia="宋体" w:hint="default"/>
          <w:sz w:val="21"/>
          <w:szCs w:val="21"/>
        </w:rPr>
        <w:t>6,445,601.20</w:t>
      </w:r>
      <w:r>
        <w:rPr>
          <w:rFonts w:ascii="宋体" w:hAnsi="宋体" w:cs="宋体" w:eastAsia="宋体" w:hint="default"/>
          <w:spacing w:val="-62"/>
          <w:sz w:val="21"/>
          <w:szCs w:val="21"/>
        </w:rPr>
        <w:t> </w:t>
      </w:r>
      <w:r>
        <w:rPr>
          <w:rFonts w:ascii="宋体" w:hAnsi="宋体" w:cs="宋体" w:eastAsia="宋体" w:hint="default"/>
          <w:spacing w:val="-3"/>
          <w:sz w:val="21"/>
          <w:szCs w:val="21"/>
        </w:rPr>
        <w:t>元，减少比例为</w:t>
      </w:r>
      <w:r>
        <w:rPr>
          <w:rFonts w:ascii="宋体" w:hAnsi="宋体" w:cs="宋体" w:eastAsia="宋体" w:hint="default"/>
          <w:spacing w:val="-62"/>
          <w:sz w:val="21"/>
          <w:szCs w:val="21"/>
        </w:rPr>
        <w:t> </w:t>
      </w:r>
      <w:r>
        <w:rPr>
          <w:rFonts w:ascii="宋体" w:hAnsi="宋体" w:cs="宋体" w:eastAsia="宋体" w:hint="default"/>
          <w:sz w:val="21"/>
          <w:szCs w:val="21"/>
        </w:rPr>
        <w:t>38.19％，减少原因</w:t>
      </w:r>
    </w:p>
    <w:p>
      <w:pPr>
        <w:spacing w:before="64"/>
        <w:ind w:left="0" w:right="3892" w:firstLine="0"/>
        <w:jc w:val="center"/>
        <w:rPr>
          <w:rFonts w:ascii="宋体" w:hAnsi="宋体" w:cs="宋体" w:eastAsia="宋体" w:hint="default"/>
          <w:sz w:val="21"/>
          <w:szCs w:val="21"/>
        </w:rPr>
      </w:pPr>
      <w:r>
        <w:rPr>
          <w:rFonts w:ascii="宋体" w:hAnsi="宋体" w:cs="宋体" w:eastAsia="宋体" w:hint="default"/>
          <w:sz w:val="21"/>
          <w:szCs w:val="21"/>
        </w:rPr>
        <w:t>为：本年偿还和支付部分公司的往来款项所致。</w:t>
      </w:r>
    </w:p>
    <w:p>
      <w:pPr>
        <w:spacing w:before="66"/>
        <w:ind w:left="1142" w:right="0" w:firstLine="0"/>
        <w:jc w:val="left"/>
        <w:rPr>
          <w:rFonts w:ascii="宋体" w:hAnsi="宋体" w:cs="宋体" w:eastAsia="宋体" w:hint="default"/>
          <w:sz w:val="21"/>
          <w:szCs w:val="21"/>
        </w:rPr>
      </w:pPr>
      <w:r>
        <w:rPr>
          <w:rFonts w:ascii="宋体" w:hAnsi="宋体" w:cs="宋体" w:eastAsia="宋体" w:hint="default"/>
          <w:b/>
          <w:bCs/>
          <w:sz w:val="21"/>
          <w:szCs w:val="21"/>
        </w:rPr>
        <w:t>（二十五）一年内到期的非流动负债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105" w:type="dxa"/>
        <w:tblLayout w:type="fixed"/>
        <w:tblCellMar>
          <w:top w:w="0" w:type="dxa"/>
          <w:left w:w="0" w:type="dxa"/>
          <w:bottom w:w="0" w:type="dxa"/>
          <w:right w:w="0" w:type="dxa"/>
        </w:tblCellMar>
        <w:tblLook w:val="01E0"/>
      </w:tblPr>
      <w:tblGrid>
        <w:gridCol w:w="1768"/>
        <w:gridCol w:w="1057"/>
        <w:gridCol w:w="1788"/>
        <w:gridCol w:w="1339"/>
        <w:gridCol w:w="1936"/>
      </w:tblGrid>
      <w:tr>
        <w:trPr>
          <w:trHeight w:val="720" w:hRule="exact"/>
        </w:trPr>
        <w:tc>
          <w:tcPr>
            <w:tcW w:w="1768"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345" w:lineRule="auto" w:before="60"/>
              <w:ind w:left="333" w:right="71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长期借款</w:t>
            </w:r>
          </w:p>
        </w:tc>
        <w:tc>
          <w:tcPr>
            <w:tcW w:w="28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22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229" w:right="0"/>
              <w:jc w:val="center"/>
              <w:rPr>
                <w:rFonts w:ascii="Times New Roman" w:hAnsi="Times New Roman" w:cs="Times New Roman" w:eastAsia="Times New Roman" w:hint="default"/>
                <w:sz w:val="18"/>
                <w:szCs w:val="18"/>
              </w:rPr>
            </w:pPr>
            <w:r>
              <w:rPr>
                <w:rFonts w:ascii="Times New Roman"/>
                <w:sz w:val="18"/>
              </w:rPr>
              <w:t>---</w:t>
            </w:r>
          </w:p>
        </w:tc>
        <w:tc>
          <w:tcPr>
            <w:tcW w:w="3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28"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p>
            <w:pPr>
              <w:pStyle w:val="TableParagraph"/>
              <w:spacing w:line="240" w:lineRule="auto" w:before="142"/>
              <w:ind w:left="229" w:right="0"/>
              <w:jc w:val="center"/>
              <w:rPr>
                <w:rFonts w:ascii="Times New Roman" w:hAnsi="Times New Roman" w:cs="Times New Roman" w:eastAsia="Times New Roman" w:hint="default"/>
                <w:sz w:val="18"/>
                <w:szCs w:val="18"/>
              </w:rPr>
            </w:pPr>
            <w:r>
              <w:rPr>
                <w:rFonts w:ascii="Times New Roman"/>
                <w:sz w:val="18"/>
              </w:rPr>
              <w:t>---</w:t>
            </w:r>
          </w:p>
        </w:tc>
      </w:tr>
      <w:tr>
        <w:trPr>
          <w:trHeight w:val="333"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3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29" w:right="0"/>
              <w:jc w:val="center"/>
              <w:rPr>
                <w:rFonts w:ascii="Times New Roman" w:hAnsi="Times New Roman" w:cs="Times New Roman" w:eastAsia="Times New Roman" w:hint="default"/>
                <w:sz w:val="18"/>
                <w:szCs w:val="18"/>
              </w:rPr>
            </w:pPr>
            <w:r>
              <w:rPr>
                <w:rFonts w:ascii="Times New Roman"/>
                <w:sz w:val="18"/>
              </w:rPr>
              <w:t>---</w:t>
            </w:r>
          </w:p>
        </w:tc>
        <w:tc>
          <w:tcPr>
            <w:tcW w:w="3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29" w:right="0"/>
              <w:jc w:val="center"/>
              <w:rPr>
                <w:rFonts w:ascii="Times New Roman" w:hAnsi="Times New Roman" w:cs="Times New Roman" w:eastAsia="Times New Roman" w:hint="default"/>
                <w:sz w:val="18"/>
                <w:szCs w:val="18"/>
              </w:rPr>
            </w:pPr>
            <w:r>
              <w:rPr>
                <w:rFonts w:ascii="Times New Roman"/>
                <w:sz w:val="18"/>
              </w:rPr>
              <w:t>---</w:t>
            </w:r>
          </w:p>
        </w:tc>
      </w:tr>
      <w:tr>
        <w:trPr>
          <w:trHeight w:val="309"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4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0"/>
              <w:ind w:left="985" w:right="0"/>
              <w:jc w:val="left"/>
              <w:rPr>
                <w:rFonts w:ascii="Times New Roman" w:hAnsi="Times New Roman" w:cs="Times New Roman" w:eastAsia="Times New Roman" w:hint="default"/>
                <w:sz w:val="21"/>
                <w:szCs w:val="21"/>
              </w:rPr>
            </w:pPr>
            <w:r>
              <w:rPr>
                <w:rFonts w:ascii="Times New Roman"/>
                <w:sz w:val="21"/>
              </w:rPr>
              <w:t>1,673,017.81</w:t>
            </w:r>
          </w:p>
        </w:tc>
        <w:tc>
          <w:tcPr>
            <w:tcW w:w="32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8"/>
              <w:ind w:left="229" w:right="0"/>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768"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240" w:lineRule="auto" w:before="67"/>
              <w:ind w:left="33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4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064" w:right="0"/>
              <w:jc w:val="left"/>
              <w:rPr>
                <w:rFonts w:ascii="Times New Roman" w:hAnsi="Times New Roman" w:cs="Times New Roman" w:eastAsia="Times New Roman" w:hint="default"/>
                <w:sz w:val="18"/>
                <w:szCs w:val="18"/>
              </w:rPr>
            </w:pPr>
            <w:r>
              <w:rPr>
                <w:rFonts w:ascii="Times New Roman"/>
                <w:sz w:val="18"/>
              </w:rPr>
              <w:t>1,673,017.81</w:t>
            </w:r>
          </w:p>
        </w:tc>
        <w:tc>
          <w:tcPr>
            <w:tcW w:w="327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28" w:right="0"/>
              <w:jc w:val="center"/>
              <w:rPr>
                <w:rFonts w:ascii="Times New Roman" w:hAnsi="Times New Roman" w:cs="Times New Roman" w:eastAsia="Times New Roman" w:hint="default"/>
                <w:sz w:val="18"/>
                <w:szCs w:val="18"/>
              </w:rPr>
            </w:pPr>
            <w:r>
              <w:rPr>
                <w:rFonts w:ascii="Times New Roman"/>
                <w:sz w:val="18"/>
              </w:rPr>
              <w:t>---</w:t>
            </w:r>
          </w:p>
        </w:tc>
      </w:tr>
      <w:tr>
        <w:trPr>
          <w:trHeight w:val="725" w:hRule="exact"/>
        </w:trPr>
        <w:tc>
          <w:tcPr>
            <w:tcW w:w="2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p>
            <w:pPr>
              <w:pStyle w:val="TableParagraph"/>
              <w:tabs>
                <w:tab w:pos="1939" w:val="left" w:leader="none"/>
              </w:tabs>
              <w:spacing w:line="240" w:lineRule="auto" w:before="101"/>
              <w:ind w:left="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债权单位</w:t>
            </w:r>
            <w:r>
              <w:rPr>
                <w:rFonts w:ascii="宋体" w:hAnsi="宋体" w:cs="宋体" w:eastAsia="宋体" w:hint="default"/>
                <w:sz w:val="18"/>
                <w:szCs w:val="18"/>
              </w:rPr>
              <w:tab/>
            </w:r>
            <w:r>
              <w:rPr>
                <w:rFonts w:ascii="宋体" w:hAnsi="宋体" w:cs="宋体" w:eastAsia="宋体" w:hint="default"/>
                <w:sz w:val="18"/>
                <w:szCs w:val="18"/>
                <w:u w:val="single" w:color="000000"/>
              </w:rPr>
              <w:t>期限</w:t>
            </w:r>
            <w:r>
              <w:rPr>
                <w:rFonts w:ascii="宋体" w:hAnsi="宋体" w:cs="宋体" w:eastAsia="宋体" w:hint="default"/>
                <w:sz w:val="18"/>
                <w:szCs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7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利率（</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9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702" w:hRule="exact"/>
        </w:trPr>
        <w:tc>
          <w:tcPr>
            <w:tcW w:w="176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大新银行</w:t>
            </w:r>
          </w:p>
          <w:p>
            <w:pPr>
              <w:pStyle w:val="TableParagraph"/>
              <w:spacing w:line="240" w:lineRule="auto" w:before="64"/>
              <w:ind w:left="37" w:right="0"/>
              <w:jc w:val="left"/>
              <w:rPr>
                <w:rFonts w:ascii="宋体" w:hAnsi="宋体" w:cs="宋体" w:eastAsia="宋体" w:hint="default"/>
                <w:sz w:val="21"/>
                <w:szCs w:val="21"/>
              </w:rPr>
            </w:pPr>
            <w:r>
              <w:rPr>
                <w:rFonts w:ascii="宋体" w:hAnsi="宋体" w:cs="宋体" w:eastAsia="宋体" w:hint="default"/>
                <w:b/>
                <w:bCs/>
                <w:sz w:val="21"/>
                <w:szCs w:val="21"/>
              </w:rPr>
              <w:t>（二十六）股本</w:t>
            </w:r>
            <w:r>
              <w:rPr>
                <w:rFonts w:ascii="宋体" w:hAnsi="宋体" w:cs="宋体" w:eastAsia="宋体" w:hint="default"/>
                <w:sz w:val="21"/>
                <w:szCs w:val="21"/>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1" w:right="0"/>
              <w:jc w:val="center"/>
              <w:rPr>
                <w:rFonts w:ascii="Times New Roman" w:hAnsi="Times New Roman" w:cs="Times New Roman" w:eastAsia="Times New Roman" w:hint="default"/>
                <w:sz w:val="18"/>
                <w:szCs w:val="18"/>
              </w:rPr>
            </w:pPr>
            <w:r>
              <w:rPr>
                <w:rFonts w:ascii="Times New Roman"/>
                <w:sz w:val="18"/>
              </w:rPr>
              <w:t>8,881,810.95</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2" w:right="0"/>
              <w:jc w:val="center"/>
              <w:rPr>
                <w:rFonts w:ascii="Times New Roman" w:hAnsi="Times New Roman" w:cs="Times New Roman" w:eastAsia="Times New Roman" w:hint="default"/>
                <w:sz w:val="18"/>
                <w:szCs w:val="18"/>
              </w:rPr>
            </w:pPr>
            <w:r>
              <w:rPr>
                <w:rFonts w:ascii="Times New Roman"/>
                <w:sz w:val="18"/>
              </w:rPr>
              <w:t>8.28</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97" w:right="0"/>
              <w:jc w:val="center"/>
              <w:rPr>
                <w:rFonts w:ascii="Times New Roman" w:hAnsi="Times New Roman" w:cs="Times New Roman" w:eastAsia="Times New Roman" w:hint="default"/>
                <w:sz w:val="18"/>
                <w:szCs w:val="18"/>
              </w:rPr>
            </w:pPr>
            <w:r>
              <w:rPr>
                <w:rFonts w:ascii="Times New Roman"/>
                <w:sz w:val="18"/>
              </w:rPr>
              <w:t>1,673,017.81</w:t>
            </w:r>
          </w:p>
        </w:tc>
      </w:tr>
    </w:tbl>
    <w:p>
      <w:pPr>
        <w:spacing w:line="250" w:lineRule="exact" w:before="0"/>
        <w:ind w:left="0" w:right="4102" w:firstLine="0"/>
        <w:jc w:val="center"/>
        <w:rPr>
          <w:rFonts w:ascii="宋体" w:hAnsi="宋体" w:cs="宋体" w:eastAsia="宋体" w:hint="default"/>
          <w:sz w:val="21"/>
          <w:szCs w:val="21"/>
        </w:rPr>
      </w:pPr>
      <w:r>
        <w:rPr/>
        <w:pict>
          <v:group style="position:absolute;margin-left:196.919998pt;margin-top:-75.856712pt;width:307.45pt;height:.75pt;mso-position-horizontal-relative:page;mso-position-vertical-relative:paragraph;z-index:-623488" coordorigin="3938,-1517" coordsize="6149,15">
            <v:group style="position:absolute;left:3946;top:-1510;width:3075;height:2" coordorigin="3946,-1510" coordsize="3075,2">
              <v:shape style="position:absolute;left:3946;top:-1510;width:3075;height:2" coordorigin="3946,-1510" coordsize="3075,0" path="m3946,-1510l7020,-1510e" filled="false" stroked="true" strokeweight=".72pt" strokecolor="#000000">
                <v:path arrowok="t"/>
              </v:shape>
            </v:group>
            <v:group style="position:absolute;left:7006;top:-1510;width:105;height:2" coordorigin="7006,-1510" coordsize="105,2">
              <v:shape style="position:absolute;left:7006;top:-1510;width:105;height:2" coordorigin="7006,-1510" coordsize="105,0" path="m7006,-1510l7110,-1510e" filled="false" stroked="true" strokeweight=".72pt" strokecolor="#000000">
                <v:path arrowok="t"/>
              </v:shape>
            </v:group>
            <v:group style="position:absolute;left:7110;top:-1510;width:2970;height:2" coordorigin="7110,-1510" coordsize="2970,2">
              <v:shape style="position:absolute;left:7110;top:-1510;width:2970;height:2" coordorigin="7110,-1510" coordsize="2970,0" path="m7110,-1510l10080,-1510e" filled="false" stroked="true" strokeweight=".72pt" strokecolor="#000000">
                <v:path arrowok="t"/>
              </v:shape>
            </v:group>
            <w10:wrap type="none"/>
          </v:group>
        </w:pict>
      </w:r>
      <w:r>
        <w:rPr>
          <w:rFonts w:ascii="宋体" w:hAnsi="宋体" w:cs="宋体" w:eastAsia="宋体" w:hint="default"/>
          <w:sz w:val="21"/>
          <w:szCs w:val="21"/>
        </w:rPr>
        <w:t>本公司已注册发行及实收股本如下：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184" w:val="left" w:leader="none"/>
        </w:tabs>
        <w:spacing w:before="151"/>
        <w:ind w:left="2720" w:right="0" w:firstLine="0"/>
        <w:jc w:val="center"/>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4"/>
        <w:rPr>
          <w:rFonts w:ascii="宋体" w:hAnsi="宋体" w:cs="宋体" w:eastAsia="宋体" w:hint="default"/>
          <w:sz w:val="3"/>
          <w:szCs w:val="3"/>
        </w:rPr>
      </w:pPr>
    </w:p>
    <w:p>
      <w:pPr>
        <w:spacing w:line="20" w:lineRule="exact"/>
        <w:ind w:left="2688" w:right="0" w:firstLine="0"/>
        <w:rPr>
          <w:rFonts w:ascii="宋体" w:hAnsi="宋体" w:cs="宋体" w:eastAsia="宋体" w:hint="default"/>
          <w:sz w:val="2"/>
          <w:szCs w:val="2"/>
        </w:rPr>
      </w:pPr>
      <w:r>
        <w:rPr>
          <w:rFonts w:ascii="宋体" w:hAnsi="宋体" w:cs="宋体" w:eastAsia="宋体" w:hint="default"/>
          <w:sz w:val="2"/>
          <w:szCs w:val="2"/>
        </w:rPr>
        <w:pict>
          <v:group style="width:346.95pt;height:.5pt;mso-position-horizontal-relative:char;mso-position-vertical-relative:line" coordorigin="0,0" coordsize="6939,10">
            <v:group style="position:absolute;left:5;top:5;width:6929;height:2" coordorigin="5,5" coordsize="6929,2">
              <v:shape style="position:absolute;left:5;top:5;width:6929;height:2" coordorigin="5,5" coordsize="6929,0" path="m5,5l6934,5e" filled="false" stroked="true" strokeweight=".48001pt" strokecolor="#000000">
                <v:path arrowok="t"/>
              </v:shape>
            </v:group>
          </v:group>
        </w:pict>
      </w:r>
      <w:r>
        <w:rPr>
          <w:rFonts w:ascii="宋体" w:hAnsi="宋体" w:cs="宋体" w:eastAsia="宋体" w:hint="default"/>
          <w:sz w:val="2"/>
          <w:szCs w:val="2"/>
        </w:rPr>
      </w:r>
    </w:p>
    <w:p>
      <w:pPr>
        <w:tabs>
          <w:tab w:pos="3004" w:val="left" w:leader="none"/>
          <w:tab w:pos="4429" w:val="left" w:leader="none"/>
          <w:tab w:pos="6139" w:val="left" w:leader="none"/>
          <w:tab w:pos="7804" w:val="left" w:leader="none"/>
        </w:tabs>
        <w:spacing w:before="16"/>
        <w:ind w:left="2584" w:right="0" w:firstLine="0"/>
        <w:jc w:val="center"/>
        <w:rPr>
          <w:rFonts w:ascii="宋体" w:hAnsi="宋体" w:cs="宋体" w:eastAsia="宋体" w:hint="default"/>
          <w:sz w:val="18"/>
          <w:szCs w:val="18"/>
        </w:rPr>
      </w:pPr>
      <w:r>
        <w:rPr>
          <w:rFonts w:ascii="宋体" w:hAnsi="宋体" w:cs="宋体" w:eastAsia="宋体" w:hint="default"/>
          <w:sz w:val="21"/>
          <w:szCs w:val="21"/>
        </w:rPr>
        <w:t>股</w:t>
        <w:tab/>
        <w:t>数</w:t>
        <w:tab/>
      </w:r>
      <w:r>
        <w:rPr>
          <w:rFonts w:ascii="宋体" w:hAnsi="宋体" w:cs="宋体" w:eastAsia="宋体" w:hint="default"/>
          <w:sz w:val="18"/>
          <w:szCs w:val="18"/>
        </w:rPr>
        <w:t>金  额</w:t>
        <w:tab/>
        <w:t>股  数</w:t>
        <w:tab/>
        <w:t>金  额</w:t>
      </w:r>
    </w:p>
    <w:p>
      <w:pPr>
        <w:tabs>
          <w:tab w:pos="5125" w:val="left" w:leader="none"/>
          <w:tab w:pos="6835" w:val="left" w:leader="none"/>
          <w:tab w:pos="8499" w:val="left" w:leader="none"/>
        </w:tabs>
        <w:spacing w:line="20" w:lineRule="exact"/>
        <w:ind w:left="3279" w:right="0" w:firstLine="0"/>
        <w:rPr>
          <w:rFonts w:ascii="宋体" w:hAnsi="宋体" w:cs="宋体" w:eastAsia="宋体" w:hint="default"/>
          <w:sz w:val="2"/>
          <w:szCs w:val="2"/>
        </w:rPr>
      </w:pPr>
      <w:r>
        <w:rPr>
          <w:rFonts w:ascii="宋体"/>
          <w:sz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001pt" strokecolor="#000000">
                <v:path arrowok="t"/>
              </v:shape>
            </v:group>
          </v:group>
        </w:pict>
      </w:r>
      <w:r>
        <w:rPr>
          <w:rFonts w:ascii="宋体"/>
          <w:sz w:val="2"/>
        </w:rPr>
      </w:r>
    </w:p>
    <w:p>
      <w:pPr>
        <w:tabs>
          <w:tab w:pos="3148" w:val="left" w:leader="none"/>
          <w:tab w:pos="4837" w:val="left" w:leader="none"/>
          <w:tab w:pos="6658" w:val="left" w:leader="none"/>
          <w:tab w:pos="8211" w:val="left" w:leader="none"/>
        </w:tabs>
        <w:spacing w:before="81"/>
        <w:ind w:left="10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tab/>
        <w:t>200,100,000</w:t>
        <w:tab/>
      </w:r>
      <w:r>
        <w:rPr>
          <w:rFonts w:ascii="Times New Roman" w:hAnsi="Times New Roman" w:cs="Times New Roman" w:eastAsia="Times New Roman" w:hint="default"/>
          <w:spacing w:val="-1"/>
          <w:sz w:val="18"/>
          <w:szCs w:val="18"/>
        </w:rPr>
        <w:t>200,100,000.00</w:t>
        <w:tab/>
      </w:r>
      <w:r>
        <w:rPr>
          <w:rFonts w:ascii="Times New Roman" w:hAnsi="Times New Roman" w:cs="Times New Roman" w:eastAsia="Times New Roman" w:hint="default"/>
          <w:sz w:val="18"/>
          <w:szCs w:val="18"/>
        </w:rPr>
        <w:t>133,400,000</w:t>
        <w:tab/>
      </w:r>
      <w:r>
        <w:rPr>
          <w:rFonts w:ascii="Times New Roman" w:hAnsi="Times New Roman" w:cs="Times New Roman" w:eastAsia="Times New Roman" w:hint="default"/>
          <w:spacing w:val="-1"/>
          <w:sz w:val="18"/>
          <w:szCs w:val="18"/>
        </w:rPr>
        <w:t>133,400,000.00</w:t>
      </w:r>
    </w:p>
    <w:p>
      <w:pPr>
        <w:spacing w:before="56"/>
        <w:ind w:left="0" w:right="4102" w:firstLine="0"/>
        <w:jc w:val="center"/>
        <w:rPr>
          <w:rFonts w:ascii="宋体" w:hAnsi="宋体" w:cs="宋体" w:eastAsia="宋体" w:hint="default"/>
          <w:sz w:val="21"/>
          <w:szCs w:val="21"/>
        </w:rPr>
      </w:pPr>
      <w:r>
        <w:rPr>
          <w:rFonts w:ascii="宋体" w:hAnsi="宋体" w:cs="宋体" w:eastAsia="宋体" w:hint="default"/>
          <w:sz w:val="21"/>
          <w:szCs w:val="21"/>
        </w:rPr>
        <w:t>本年本公司股本变动金额如下：</w:t>
      </w:r>
    </w:p>
    <w:p>
      <w:pPr>
        <w:spacing w:after="0"/>
        <w:jc w:val="center"/>
        <w:rPr>
          <w:rFonts w:ascii="宋体" w:hAnsi="宋体" w:cs="宋体" w:eastAsia="宋体" w:hint="default"/>
          <w:sz w:val="21"/>
          <w:szCs w:val="21"/>
        </w:rPr>
        <w:sectPr>
          <w:pgSz w:w="11910" w:h="16840"/>
          <w:pgMar w:header="918" w:footer="950" w:top="1160" w:bottom="1140" w:left="108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1728"/>
        <w:gridCol w:w="1260"/>
        <w:gridCol w:w="720"/>
        <w:gridCol w:w="966"/>
        <w:gridCol w:w="582"/>
        <w:gridCol w:w="1027"/>
        <w:gridCol w:w="568"/>
        <w:gridCol w:w="1079"/>
        <w:gridCol w:w="1120"/>
        <w:gridCol w:w="721"/>
      </w:tblGrid>
      <w:tr>
        <w:trPr>
          <w:trHeight w:val="350" w:hRule="exact"/>
        </w:trPr>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1009" w:val="left" w:leader="none"/>
              </w:tabs>
              <w:spacing w:line="240" w:lineRule="auto"/>
              <w:ind w:left="559"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年初数</w:t>
            </w:r>
          </w:p>
        </w:tc>
        <w:tc>
          <w:tcPr>
            <w:tcW w:w="42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38" w:right="0"/>
              <w:jc w:val="left"/>
              <w:rPr>
                <w:rFonts w:ascii="宋体" w:hAnsi="宋体" w:cs="宋体" w:eastAsia="宋体" w:hint="default"/>
                <w:sz w:val="15"/>
                <w:szCs w:val="15"/>
              </w:rPr>
            </w:pPr>
            <w:r>
              <w:rPr>
                <w:rFonts w:ascii="宋体" w:hAnsi="宋体" w:cs="宋体" w:eastAsia="宋体" w:hint="default"/>
                <w:sz w:val="15"/>
                <w:szCs w:val="15"/>
              </w:rPr>
              <w:t>本年变动增（</w:t>
            </w:r>
            <w:r>
              <w:rPr>
                <w:rFonts w:ascii="Times New Roman" w:hAnsi="Times New Roman" w:cs="Times New Roman" w:eastAsia="Times New Roman" w:hint="default"/>
                <w:sz w:val="15"/>
                <w:szCs w:val="15"/>
              </w:rPr>
              <w:t>+</w:t>
            </w:r>
            <w:r>
              <w:rPr>
                <w:rFonts w:ascii="宋体" w:hAnsi="宋体" w:cs="宋体" w:eastAsia="宋体" w:hint="default"/>
                <w:sz w:val="15"/>
                <w:szCs w:val="15"/>
              </w:rPr>
              <w:t>）减（－）</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350" w:hRule="exact"/>
        </w:trPr>
        <w:tc>
          <w:tcPr>
            <w:tcW w:w="172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9" w:right="0"/>
              <w:jc w:val="left"/>
              <w:rPr>
                <w:rFonts w:ascii="宋体" w:hAnsi="宋体" w:cs="宋体" w:eastAsia="宋体" w:hint="default"/>
                <w:sz w:val="15"/>
                <w:szCs w:val="15"/>
              </w:rPr>
            </w:pPr>
            <w:r>
              <w:rPr>
                <w:rFonts w:ascii="宋体" w:hAnsi="宋体" w:cs="宋体" w:eastAsia="宋体" w:hint="default"/>
                <w:sz w:val="15"/>
                <w:szCs w:val="15"/>
              </w:rPr>
              <w:t>金  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发行新股</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送股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3"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小计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0"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、有限售条件股份</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74.96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50,000,000.00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50,000,000.00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150,000,000.00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74.96</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97,000,000.00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72.71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48,500,000.00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48,500,000.00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145,500,000.00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72.71</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3,000,000.00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2.25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1,500,000.0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1,500,000.0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4,500,000.00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2.25</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6"/>
              <w:jc w:val="right"/>
              <w:rPr>
                <w:rFonts w:ascii="Times New Roman" w:hAnsi="Times New Roman" w:cs="Times New Roman" w:eastAsia="Times New Roman" w:hint="default"/>
                <w:sz w:val="15"/>
                <w:szCs w:val="15"/>
              </w:rPr>
            </w:pPr>
            <w:r>
              <w:rPr>
                <w:rFonts w:ascii="Times New Roman"/>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74.96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50,000,000.00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50,000,000.00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150,000,000.00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74.96</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pacing w:val="-63"/>
                <w:sz w:val="15"/>
                <w:szCs w:val="15"/>
              </w:rPr>
              <w:t>、</w:t>
            </w:r>
            <w:r>
              <w:rPr>
                <w:rFonts w:ascii="宋体" w:hAnsi="宋体" w:cs="宋体" w:eastAsia="宋体" w:hint="default"/>
                <w:sz w:val="15"/>
                <w:szCs w:val="15"/>
              </w:rPr>
              <w:t>无限售条件流</w:t>
            </w:r>
            <w:r>
              <w:rPr>
                <w:rFonts w:ascii="宋体" w:hAnsi="宋体" w:cs="宋体" w:eastAsia="宋体" w:hint="default"/>
                <w:spacing w:val="-2"/>
                <w:sz w:val="15"/>
                <w:szCs w:val="15"/>
              </w:rPr>
              <w:t>通</w:t>
            </w:r>
            <w:r>
              <w:rPr>
                <w:rFonts w:ascii="宋体" w:hAnsi="宋体" w:cs="宋体" w:eastAsia="宋体" w:hint="default"/>
                <w:sz w:val="15"/>
                <w:szCs w:val="15"/>
              </w:rPr>
              <w:t>股份</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33,400,000.00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25.04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16,700,000.00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16,700,000.00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50,100,000.00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25.04</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729" w:val="left" w:leader="none"/>
              </w:tabs>
              <w:spacing w:line="240" w:lineRule="auto" w:before="9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w:t>
              <w:tab/>
              <w:t>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z w:val="15"/>
              </w:rPr>
              <w:t>---</w:t>
            </w:r>
          </w:p>
        </w:tc>
      </w:tr>
      <w:tr>
        <w:trPr>
          <w:trHeight w:val="69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ind w:left="103" w:right="101"/>
              <w:jc w:val="left"/>
              <w:rPr>
                <w:rFonts w:ascii="宋体" w:hAnsi="宋体" w:cs="宋体" w:eastAsia="宋体" w:hint="default"/>
                <w:sz w:val="15"/>
                <w:szCs w:val="15"/>
              </w:rPr>
            </w:pPr>
            <w:r>
              <w:rPr>
                <w:rFonts w:ascii="宋体" w:hAnsi="宋体" w:cs="宋体" w:eastAsia="宋体" w:hint="default"/>
                <w:sz w:val="15"/>
                <w:szCs w:val="15"/>
              </w:rPr>
              <w:t>无限售条件流通股份合</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33,400,000.00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25.04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16,700,000.00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16,700,000.00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50,100,000.00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25.04</w:t>
            </w:r>
          </w:p>
        </w:tc>
      </w:tr>
      <w:tr>
        <w:trPr>
          <w:trHeight w:val="34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1009" w:val="left" w:leader="none"/>
              </w:tabs>
              <w:spacing w:line="240" w:lineRule="auto" w:before="97"/>
              <w:ind w:left="559"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133,400,000.00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1"/>
                <w:sz w:val="15"/>
              </w:rPr>
              <w:t>100.00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6" w:right="0"/>
              <w:jc w:val="center"/>
              <w:rPr>
                <w:rFonts w:ascii="Times New Roman" w:hAnsi="Times New Roman" w:cs="Times New Roman" w:eastAsia="Times New Roman" w:hint="default"/>
                <w:sz w:val="15"/>
                <w:szCs w:val="15"/>
              </w:rPr>
            </w:pPr>
            <w:r>
              <w:rPr>
                <w:rFonts w:ascii="Times New Roman"/>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66,700,000.00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66,700,000.00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5"/>
              <w:jc w:val="right"/>
              <w:rPr>
                <w:rFonts w:ascii="Times New Roman" w:hAnsi="Times New Roman" w:cs="Times New Roman" w:eastAsia="Times New Roman" w:hint="default"/>
                <w:sz w:val="15"/>
                <w:szCs w:val="15"/>
              </w:rPr>
            </w:pPr>
            <w:r>
              <w:rPr>
                <w:rFonts w:ascii="Times New Roman"/>
                <w:spacing w:val="-1"/>
                <w:sz w:val="15"/>
              </w:rPr>
              <w:t>200,100,000.00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28"/>
        <w:ind w:left="1260" w:right="803"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36"/>
          <w:sz w:val="21"/>
          <w:szCs w:val="21"/>
        </w:rPr>
        <w:t> </w:t>
      </w:r>
      <w:r>
        <w:rPr>
          <w:rFonts w:ascii="宋体" w:hAnsi="宋体" w:cs="宋体" w:eastAsia="宋体" w:hint="default"/>
          <w:sz w:val="21"/>
          <w:szCs w:val="21"/>
        </w:rPr>
        <w:t>2008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35"/>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18</w:t>
      </w:r>
      <w:r>
        <w:rPr>
          <w:rFonts w:ascii="宋体" w:hAnsi="宋体" w:cs="宋体" w:eastAsia="宋体" w:hint="default"/>
          <w:spacing w:val="-35"/>
          <w:sz w:val="21"/>
          <w:szCs w:val="21"/>
        </w:rPr>
        <w:t> </w:t>
      </w:r>
      <w:r>
        <w:rPr>
          <w:rFonts w:ascii="宋体" w:hAnsi="宋体" w:cs="宋体" w:eastAsia="宋体" w:hint="default"/>
          <w:sz w:val="21"/>
          <w:szCs w:val="21"/>
        </w:rPr>
        <w:t>日举行的</w:t>
      </w:r>
      <w:r>
        <w:rPr>
          <w:rFonts w:ascii="宋体" w:hAnsi="宋体" w:cs="宋体" w:eastAsia="宋体" w:hint="default"/>
          <w:spacing w:val="-36"/>
          <w:sz w:val="21"/>
          <w:szCs w:val="21"/>
        </w:rPr>
        <w:t> </w:t>
      </w: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年度股东大会审议通过，公司以现有总股本</w:t>
      </w:r>
      <w:r>
        <w:rPr>
          <w:rFonts w:ascii="宋体" w:hAnsi="宋体" w:cs="宋体" w:eastAsia="宋体" w:hint="default"/>
          <w:spacing w:val="-36"/>
          <w:sz w:val="21"/>
          <w:szCs w:val="21"/>
        </w:rPr>
        <w:t> </w:t>
      </w:r>
      <w:r>
        <w:rPr>
          <w:rFonts w:ascii="宋体" w:hAnsi="宋体" w:cs="宋体" w:eastAsia="宋体" w:hint="default"/>
          <w:sz w:val="21"/>
          <w:szCs w:val="21"/>
        </w:rPr>
        <w:t>13,340</w:t>
      </w:r>
    </w:p>
    <w:p>
      <w:pPr>
        <w:spacing w:before="64"/>
        <w:ind w:left="840" w:right="803" w:firstLine="0"/>
        <w:jc w:val="left"/>
        <w:rPr>
          <w:rFonts w:ascii="宋体" w:hAnsi="宋体" w:cs="宋体" w:eastAsia="宋体" w:hint="default"/>
          <w:sz w:val="21"/>
          <w:szCs w:val="21"/>
        </w:rPr>
      </w:pPr>
      <w:r>
        <w:rPr>
          <w:rFonts w:ascii="宋体" w:hAnsi="宋体" w:cs="宋体" w:eastAsia="宋体" w:hint="default"/>
          <w:sz w:val="21"/>
          <w:szCs w:val="21"/>
        </w:rPr>
        <w:t>万股为基数，向全体股东以资本公积金每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股，共计转增</w:t>
      </w:r>
      <w:r>
        <w:rPr>
          <w:rFonts w:ascii="宋体" w:hAnsi="宋体" w:cs="宋体" w:eastAsia="宋体" w:hint="default"/>
          <w:spacing w:val="-52"/>
          <w:sz w:val="21"/>
          <w:szCs w:val="21"/>
        </w:rPr>
        <w:t> </w:t>
      </w:r>
      <w:r>
        <w:rPr>
          <w:rFonts w:ascii="宋体" w:hAnsi="宋体" w:cs="宋体" w:eastAsia="宋体" w:hint="default"/>
          <w:sz w:val="21"/>
          <w:szCs w:val="21"/>
        </w:rPr>
        <w:t>6,670</w:t>
      </w:r>
      <w:r>
        <w:rPr>
          <w:rFonts w:ascii="宋体" w:hAnsi="宋体" w:cs="宋体" w:eastAsia="宋体" w:hint="default"/>
          <w:spacing w:val="-52"/>
          <w:sz w:val="21"/>
          <w:szCs w:val="21"/>
        </w:rPr>
        <w:t> </w:t>
      </w:r>
      <w:r>
        <w:rPr>
          <w:rFonts w:ascii="宋体" w:hAnsi="宋体" w:cs="宋体" w:eastAsia="宋体" w:hint="default"/>
          <w:sz w:val="21"/>
          <w:szCs w:val="21"/>
        </w:rPr>
        <w:t>万股，转增后的</w:t>
      </w:r>
    </w:p>
    <w:p>
      <w:pPr>
        <w:spacing w:line="297" w:lineRule="auto" w:before="66"/>
        <w:ind w:left="840" w:right="803" w:firstLine="0"/>
        <w:jc w:val="left"/>
        <w:rPr>
          <w:rFonts w:ascii="宋体" w:hAnsi="宋体" w:cs="宋体" w:eastAsia="宋体" w:hint="default"/>
          <w:sz w:val="21"/>
          <w:szCs w:val="21"/>
        </w:rPr>
      </w:pPr>
      <w:r>
        <w:rPr>
          <w:rFonts w:ascii="宋体" w:hAnsi="宋体" w:cs="宋体" w:eastAsia="宋体" w:hint="default"/>
          <w:sz w:val="21"/>
          <w:szCs w:val="21"/>
        </w:rPr>
        <w:t>公司总股本增加至</w:t>
      </w:r>
      <w:r>
        <w:rPr>
          <w:rFonts w:ascii="宋体" w:hAnsi="宋体" w:cs="宋体" w:eastAsia="宋体" w:hint="default"/>
          <w:spacing w:val="-63"/>
          <w:sz w:val="21"/>
          <w:szCs w:val="21"/>
        </w:rPr>
        <w:t> </w:t>
      </w:r>
      <w:r>
        <w:rPr>
          <w:rFonts w:ascii="宋体" w:hAnsi="宋体" w:cs="宋体" w:eastAsia="宋体" w:hint="default"/>
          <w:sz w:val="21"/>
          <w:szCs w:val="21"/>
        </w:rPr>
        <w:t>20,010</w:t>
      </w:r>
      <w:r>
        <w:rPr>
          <w:rFonts w:ascii="宋体" w:hAnsi="宋体" w:cs="宋体" w:eastAsia="宋体" w:hint="default"/>
          <w:spacing w:val="-63"/>
          <w:sz w:val="21"/>
          <w:szCs w:val="21"/>
        </w:rPr>
        <w:t> </w:t>
      </w:r>
      <w:r>
        <w:rPr>
          <w:rFonts w:ascii="宋体" w:hAnsi="宋体" w:cs="宋体" w:eastAsia="宋体" w:hint="default"/>
          <w:sz w:val="21"/>
          <w:szCs w:val="21"/>
        </w:rPr>
        <w:t>万股。该股本经北京立信会计师事务所京信（深）验字[2008]13</w:t>
      </w:r>
      <w:r>
        <w:rPr>
          <w:rFonts w:ascii="宋体" w:hAnsi="宋体" w:cs="宋体" w:eastAsia="宋体" w:hint="default"/>
          <w:spacing w:val="-1"/>
          <w:sz w:val="21"/>
          <w:szCs w:val="21"/>
        </w:rPr>
        <w:t> </w:t>
      </w:r>
      <w:r>
        <w:rPr>
          <w:rFonts w:ascii="宋体" w:hAnsi="宋体" w:cs="宋体" w:eastAsia="宋体" w:hint="default"/>
          <w:sz w:val="21"/>
          <w:szCs w:val="21"/>
        </w:rPr>
        <w:t>号验资报告验证。</w:t>
      </w:r>
    </w:p>
    <w:p>
      <w:pPr>
        <w:spacing w:before="14"/>
        <w:ind w:left="1262" w:right="803" w:firstLine="0"/>
        <w:jc w:val="left"/>
        <w:rPr>
          <w:rFonts w:ascii="宋体" w:hAnsi="宋体" w:cs="宋体" w:eastAsia="宋体" w:hint="default"/>
          <w:sz w:val="21"/>
          <w:szCs w:val="21"/>
        </w:rPr>
      </w:pPr>
      <w:r>
        <w:rPr>
          <w:rFonts w:ascii="宋体" w:hAnsi="宋体" w:cs="宋体" w:eastAsia="宋体" w:hint="default"/>
          <w:b/>
          <w:bCs/>
          <w:sz w:val="21"/>
          <w:szCs w:val="21"/>
        </w:rPr>
        <w:t>（二十七）资本公积</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4431"/>
        <w:gridCol w:w="1405"/>
        <w:gridCol w:w="1124"/>
        <w:gridCol w:w="1361"/>
        <w:gridCol w:w="1331"/>
      </w:tblGrid>
      <w:tr>
        <w:trPr>
          <w:trHeight w:val="704" w:hRule="exact"/>
        </w:trPr>
        <w:tc>
          <w:tcPr>
            <w:tcW w:w="443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6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、资本溢价</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6"/>
              <w:ind w:right="101"/>
              <w:jc w:val="center"/>
              <w:rPr>
                <w:rFonts w:ascii="Times New Roman" w:hAnsi="Times New Roman" w:cs="Times New Roman" w:eastAsia="Times New Roman" w:hint="default"/>
                <w:sz w:val="18"/>
                <w:szCs w:val="18"/>
              </w:rPr>
            </w:pPr>
            <w:r>
              <w:rPr>
                <w:rFonts w:ascii="Times New Roman"/>
                <w:sz w:val="18"/>
              </w:rPr>
              <w:t>290,689,200.00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6"/>
              <w:ind w:right="19"/>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46"/>
              <w:ind w:left="101" w:right="0"/>
              <w:jc w:val="center"/>
              <w:rPr>
                <w:rFonts w:ascii="Times New Roman" w:hAnsi="Times New Roman" w:cs="Times New Roman" w:eastAsia="Times New Roman" w:hint="default"/>
                <w:sz w:val="18"/>
                <w:szCs w:val="18"/>
              </w:rPr>
            </w:pPr>
            <w:r>
              <w:rPr>
                <w:rFonts w:ascii="Times New Roman"/>
                <w:sz w:val="18"/>
              </w:rPr>
              <w:t>66,700,000.00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6"/>
              <w:ind w:left="21" w:right="0"/>
              <w:jc w:val="center"/>
              <w:rPr>
                <w:rFonts w:ascii="Times New Roman" w:hAnsi="Times New Roman" w:cs="Times New Roman" w:eastAsia="Times New Roman" w:hint="default"/>
                <w:sz w:val="18"/>
                <w:szCs w:val="18"/>
              </w:rPr>
            </w:pPr>
            <w:r>
              <w:rPr>
                <w:rFonts w:ascii="Times New Roman"/>
                <w:sz w:val="18"/>
              </w:rPr>
              <w:t>223,989,200.00</w:t>
            </w:r>
          </w:p>
        </w:tc>
      </w:tr>
      <w:tr>
        <w:trPr>
          <w:trHeight w:val="3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投资者投入的资本</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center"/>
              <w:rPr>
                <w:rFonts w:ascii="Times New Roman" w:hAnsi="Times New Roman" w:cs="Times New Roman" w:eastAsia="Times New Roman" w:hint="default"/>
                <w:sz w:val="18"/>
                <w:szCs w:val="18"/>
              </w:rPr>
            </w:pPr>
            <w:r>
              <w:rPr>
                <w:rFonts w:ascii="Times New Roman"/>
                <w:sz w:val="18"/>
              </w:rPr>
              <w:t>290,689,200.00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1" w:right="0"/>
              <w:jc w:val="center"/>
              <w:rPr>
                <w:rFonts w:ascii="Times New Roman" w:hAnsi="Times New Roman" w:cs="Times New Roman" w:eastAsia="Times New Roman" w:hint="default"/>
                <w:sz w:val="18"/>
                <w:szCs w:val="18"/>
              </w:rPr>
            </w:pPr>
            <w:r>
              <w:rPr>
                <w:rFonts w:ascii="Times New Roman"/>
                <w:sz w:val="18"/>
              </w:rPr>
              <w:t>66,700,000.00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1" w:right="0"/>
              <w:jc w:val="center"/>
              <w:rPr>
                <w:rFonts w:ascii="Times New Roman" w:hAnsi="Times New Roman" w:cs="Times New Roman" w:eastAsia="Times New Roman" w:hint="default"/>
                <w:sz w:val="18"/>
                <w:szCs w:val="18"/>
              </w:rPr>
            </w:pPr>
            <w:r>
              <w:rPr>
                <w:rFonts w:ascii="Times New Roman"/>
                <w:sz w:val="18"/>
              </w:rPr>
              <w:t>223,989,200.00</w:t>
            </w:r>
          </w:p>
        </w:tc>
      </w:tr>
      <w:tr>
        <w:trPr>
          <w:trHeight w:val="3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同一控制下企业合并的影响</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2"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443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9"/>
              <w:ind w:right="66"/>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1"/>
              <w:jc w:val="center"/>
              <w:rPr>
                <w:rFonts w:ascii="Times New Roman" w:hAnsi="Times New Roman" w:cs="Times New Roman" w:eastAsia="Times New Roman" w:hint="default"/>
                <w:sz w:val="18"/>
                <w:szCs w:val="18"/>
              </w:rPr>
            </w:pPr>
            <w:r>
              <w:rPr>
                <w:rFonts w:ascii="Times New Roman"/>
                <w:sz w:val="18"/>
              </w:rPr>
              <w:t>290,689,200.00</w:t>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9"/>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1" w:right="0"/>
              <w:jc w:val="center"/>
              <w:rPr>
                <w:rFonts w:ascii="Times New Roman" w:hAnsi="Times New Roman" w:cs="Times New Roman" w:eastAsia="Times New Roman" w:hint="default"/>
                <w:sz w:val="18"/>
                <w:szCs w:val="18"/>
              </w:rPr>
            </w:pPr>
            <w:r>
              <w:rPr>
                <w:rFonts w:ascii="Times New Roman"/>
                <w:sz w:val="18"/>
              </w:rPr>
              <w:t>66,700,000.00</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1" w:right="0"/>
              <w:jc w:val="center"/>
              <w:rPr>
                <w:rFonts w:ascii="Times New Roman" w:hAnsi="Times New Roman" w:cs="Times New Roman" w:eastAsia="Times New Roman" w:hint="default"/>
                <w:sz w:val="18"/>
                <w:szCs w:val="18"/>
              </w:rPr>
            </w:pPr>
            <w:r>
              <w:rPr>
                <w:rFonts w:ascii="Times New Roman"/>
                <w:sz w:val="18"/>
              </w:rPr>
              <w:t>223,989,200.00</w:t>
            </w:r>
          </w:p>
        </w:tc>
      </w:tr>
      <w:tr>
        <w:trPr>
          <w:trHeight w:val="388"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01"/>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18"/>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102"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67"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被投资单位除净损益外所有者权益其他变动</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2"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可供出售金融资产公允价值变动产生的利得或损失</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2"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328" w:hRule="exact"/>
        </w:trPr>
        <w:tc>
          <w:tcPr>
            <w:tcW w:w="443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5"/>
              <w:ind w:right="64"/>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1"/>
              <w:jc w:val="center"/>
              <w:rPr>
                <w:rFonts w:ascii="Times New Roman" w:hAnsi="Times New Roman" w:cs="Times New Roman" w:eastAsia="Times New Roman" w:hint="default"/>
                <w:sz w:val="18"/>
                <w:szCs w:val="18"/>
              </w:rPr>
            </w:pPr>
            <w:r>
              <w:rPr>
                <w:rFonts w:ascii="Times New Roman"/>
                <w:sz w:val="18"/>
              </w:rPr>
              <w:t>---</w:t>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8"/>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02" w:right="0"/>
              <w:jc w:val="center"/>
              <w:rPr>
                <w:rFonts w:ascii="Times New Roman" w:hAnsi="Times New Roman" w:cs="Times New Roman" w:eastAsia="Times New Roman" w:hint="default"/>
                <w:sz w:val="18"/>
                <w:szCs w:val="18"/>
              </w:rPr>
            </w:pPr>
            <w:r>
              <w:rPr>
                <w:rFonts w:ascii="Times New Roman"/>
                <w:sz w:val="18"/>
              </w:rPr>
              <w:t>---</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443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4"/>
              <w:jc w:val="center"/>
              <w:rPr>
                <w:rFonts w:ascii="Times New Roman" w:hAnsi="Times New Roman" w:cs="Times New Roman" w:eastAsia="Times New Roman" w:hint="default"/>
                <w:sz w:val="18"/>
                <w:szCs w:val="18"/>
              </w:rPr>
            </w:pPr>
            <w:r>
              <w:rPr>
                <w:rFonts w:ascii="Times New Roman"/>
                <w:sz w:val="18"/>
              </w:rPr>
              <w:t>290,689,200.00</w:t>
            </w:r>
          </w:p>
        </w:tc>
        <w:tc>
          <w:tcPr>
            <w:tcW w:w="11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9"/>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98" w:right="0"/>
              <w:jc w:val="center"/>
              <w:rPr>
                <w:rFonts w:ascii="Times New Roman" w:hAnsi="Times New Roman" w:cs="Times New Roman" w:eastAsia="Times New Roman" w:hint="default"/>
                <w:sz w:val="18"/>
                <w:szCs w:val="18"/>
              </w:rPr>
            </w:pPr>
            <w:r>
              <w:rPr>
                <w:rFonts w:ascii="Times New Roman"/>
                <w:sz w:val="18"/>
              </w:rPr>
              <w:t>66,700,000.00</w:t>
            </w: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9" w:right="0"/>
              <w:jc w:val="center"/>
              <w:rPr>
                <w:rFonts w:ascii="Times New Roman" w:hAnsi="Times New Roman" w:cs="Times New Roman" w:eastAsia="Times New Roman" w:hint="default"/>
                <w:sz w:val="18"/>
                <w:szCs w:val="18"/>
              </w:rPr>
            </w:pPr>
            <w:r>
              <w:rPr>
                <w:rFonts w:ascii="Times New Roman"/>
                <w:sz w:val="18"/>
              </w:rPr>
              <w:t>223,989,200.00</w:t>
            </w:r>
          </w:p>
        </w:tc>
      </w:tr>
    </w:tbl>
    <w:p>
      <w:pPr>
        <w:spacing w:line="297" w:lineRule="auto" w:before="12"/>
        <w:ind w:left="840" w:right="803" w:firstLine="420"/>
        <w:jc w:val="left"/>
        <w:rPr>
          <w:rFonts w:ascii="宋体" w:hAnsi="宋体" w:cs="宋体" w:eastAsia="宋体" w:hint="default"/>
          <w:sz w:val="21"/>
          <w:szCs w:val="21"/>
        </w:rPr>
      </w:pPr>
      <w:r>
        <w:rPr/>
        <w:pict>
          <v:group style="position:absolute;margin-left:277.920013pt;margin-top:-5.976027pt;width:262.45pt;height:.75pt;mso-position-horizontal-relative:page;mso-position-vertical-relative:paragraph;z-index:-623464" coordorigin="5558,-120" coordsize="5249,15">
            <v:group style="position:absolute;left:5566;top:-112;width:1320;height:2" coordorigin="5566,-112" coordsize="1320,2">
              <v:shape style="position:absolute;left:5566;top:-112;width:1320;height:2" coordorigin="5566,-112" coordsize="1320,0" path="m5566,-112l6886,-112e" filled="false" stroked="true" strokeweight=".72pt" strokecolor="#000000">
                <v:path arrowok="t"/>
              </v:shape>
            </v:group>
            <v:group style="position:absolute;left:6871;top:-112;width:105;height:2" coordorigin="6871,-112" coordsize="105,2">
              <v:shape style="position:absolute;left:6871;top:-112;width:105;height:2" coordorigin="6871,-112" coordsize="105,0" path="m6871,-112l6976,-112e" filled="false" stroked="true" strokeweight=".72pt" strokecolor="#000000">
                <v:path arrowok="t"/>
              </v:shape>
            </v:group>
            <v:group style="position:absolute;left:6976;top:-112;width:1215;height:2" coordorigin="6976,-112" coordsize="1215,2">
              <v:shape style="position:absolute;left:6976;top:-112;width:1215;height:2" coordorigin="6976,-112" coordsize="1215,0" path="m6976,-112l8190,-112e" filled="false" stroked="true" strokeweight=".72pt" strokecolor="#000000">
                <v:path arrowok="t"/>
              </v:shape>
            </v:group>
            <v:group style="position:absolute;left:8176;top:-112;width:105;height:2" coordorigin="8176,-112" coordsize="105,2">
              <v:shape style="position:absolute;left:8176;top:-112;width:105;height:2" coordorigin="8176,-112" coordsize="105,0" path="m8176,-112l8280,-112e" filled="false" stroked="true" strokeweight=".72pt" strokecolor="#000000">
                <v:path arrowok="t"/>
              </v:shape>
            </v:group>
            <v:group style="position:absolute;left:8280;top:-112;width:1216;height:2" coordorigin="8280,-112" coordsize="1216,2">
              <v:shape style="position:absolute;left:8280;top:-112;width:1216;height:2" coordorigin="8280,-112" coordsize="1216,0" path="m8280,-112l9496,-112e" filled="false" stroked="true" strokeweight=".72pt" strokecolor="#000000">
                <v:path arrowok="t"/>
              </v:shape>
            </v:group>
            <v:group style="position:absolute;left:9481;top:-112;width:105;height:2" coordorigin="9481,-112" coordsize="105,2">
              <v:shape style="position:absolute;left:9481;top:-112;width:105;height:2" coordorigin="9481,-112" coordsize="105,0" path="m9481,-112l9586,-112e" filled="false" stroked="true" strokeweight=".72pt" strokecolor="#000000">
                <v:path arrowok="t"/>
              </v:shape>
            </v:group>
            <v:group style="position:absolute;left:9586;top:-112;width:1215;height:2" coordorigin="9586,-112" coordsize="1215,2">
              <v:shape style="position:absolute;left:9586;top:-112;width:1215;height:2" coordorigin="9586,-112" coordsize="1215,0" path="m9586,-112l10800,-112e" filled="false" stroked="true" strokeweight=".72pt" strokecolor="#000000">
                <v:path arrowok="t"/>
              </v:shape>
            </v:group>
            <w10:wrap type="none"/>
          </v:group>
        </w:pict>
      </w:r>
      <w:r>
        <w:rPr>
          <w:rFonts w:ascii="宋体" w:hAnsi="宋体" w:cs="宋体" w:eastAsia="宋体" w:hint="default"/>
          <w:sz w:val="21"/>
          <w:szCs w:val="21"/>
        </w:rPr>
        <w:t>资本公积年末数比年初数减少</w:t>
      </w:r>
      <w:r>
        <w:rPr>
          <w:rFonts w:ascii="宋体" w:hAnsi="宋体" w:cs="宋体" w:eastAsia="宋体" w:hint="default"/>
          <w:spacing w:val="-55"/>
          <w:sz w:val="21"/>
          <w:szCs w:val="21"/>
        </w:rPr>
        <w:t> </w:t>
      </w:r>
      <w:r>
        <w:rPr>
          <w:rFonts w:ascii="宋体" w:hAnsi="宋体" w:cs="宋体" w:eastAsia="宋体" w:hint="default"/>
          <w:sz w:val="21"/>
          <w:szCs w:val="21"/>
        </w:rPr>
        <w:t>66,700,000.00</w:t>
      </w:r>
      <w:r>
        <w:rPr>
          <w:rFonts w:ascii="宋体" w:hAnsi="宋体" w:cs="宋体" w:eastAsia="宋体" w:hint="default"/>
          <w:spacing w:val="-54"/>
          <w:sz w:val="21"/>
          <w:szCs w:val="21"/>
        </w:rPr>
        <w:t> </w:t>
      </w:r>
      <w:r>
        <w:rPr>
          <w:rFonts w:ascii="宋体" w:hAnsi="宋体" w:cs="宋体" w:eastAsia="宋体" w:hint="default"/>
          <w:sz w:val="21"/>
          <w:szCs w:val="21"/>
        </w:rPr>
        <w:t>元，减少比例为</w:t>
      </w:r>
      <w:r>
        <w:rPr>
          <w:rFonts w:ascii="宋体" w:hAnsi="宋体" w:cs="宋体" w:eastAsia="宋体" w:hint="default"/>
          <w:spacing w:val="-55"/>
          <w:sz w:val="21"/>
          <w:szCs w:val="21"/>
        </w:rPr>
        <w:t> </w:t>
      </w:r>
      <w:r>
        <w:rPr>
          <w:rFonts w:ascii="宋体" w:hAnsi="宋体" w:cs="宋体" w:eastAsia="宋体" w:hint="default"/>
          <w:sz w:val="21"/>
          <w:szCs w:val="21"/>
        </w:rPr>
        <w:t>22.95％，减少原因为：</w:t>
      </w:r>
      <w:r>
        <w:rPr>
          <w:rFonts w:ascii="宋体" w:hAnsi="宋体" w:cs="宋体" w:eastAsia="宋体" w:hint="default"/>
          <w:sz w:val="21"/>
          <w:szCs w:val="21"/>
        </w:rPr>
        <w:t> 本年资本公积转增股本所致。本年资本公积变动情况详见本附注（二十六）</w:t>
      </w:r>
    </w:p>
    <w:p>
      <w:pPr>
        <w:spacing w:after="0" w:line="297" w:lineRule="auto"/>
        <w:jc w:val="left"/>
        <w:rPr>
          <w:rFonts w:ascii="宋体" w:hAnsi="宋体" w:cs="宋体" w:eastAsia="宋体" w:hint="default"/>
          <w:sz w:val="21"/>
          <w:szCs w:val="21"/>
        </w:rPr>
        <w:sectPr>
          <w:pgSz w:w="11910" w:h="16840"/>
          <w:pgMar w:header="918" w:footer="950" w:top="1160" w:bottom="1140" w:left="960" w:right="940"/>
        </w:sectPr>
      </w:pPr>
    </w:p>
    <w:p>
      <w:pPr>
        <w:spacing w:line="240" w:lineRule="auto" w:before="10"/>
        <w:rPr>
          <w:rFonts w:ascii="宋体" w:hAnsi="宋体" w:cs="宋体" w:eastAsia="宋体" w:hint="default"/>
          <w:sz w:val="20"/>
          <w:szCs w:val="20"/>
        </w:rPr>
      </w:pPr>
    </w:p>
    <w:p>
      <w:pPr>
        <w:spacing w:before="35"/>
        <w:ind w:left="1542" w:right="0" w:firstLine="0"/>
        <w:jc w:val="left"/>
        <w:rPr>
          <w:rFonts w:ascii="宋体" w:hAnsi="宋体" w:cs="宋体" w:eastAsia="宋体" w:hint="default"/>
          <w:sz w:val="21"/>
          <w:szCs w:val="21"/>
        </w:rPr>
      </w:pPr>
      <w:r>
        <w:rPr>
          <w:rFonts w:ascii="宋体" w:hAnsi="宋体" w:cs="宋体" w:eastAsia="宋体" w:hint="default"/>
          <w:b/>
          <w:bCs/>
          <w:sz w:val="21"/>
          <w:szCs w:val="21"/>
        </w:rPr>
        <w:t>（二十八）盈余公积</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1384" w:type="dxa"/>
        <w:tblLayout w:type="fixed"/>
        <w:tblCellMar>
          <w:top w:w="0" w:type="dxa"/>
          <w:left w:w="0" w:type="dxa"/>
          <w:bottom w:w="0" w:type="dxa"/>
          <w:right w:w="0" w:type="dxa"/>
        </w:tblCellMar>
        <w:tblLook w:val="01E0"/>
      </w:tblPr>
      <w:tblGrid>
        <w:gridCol w:w="1351"/>
        <w:gridCol w:w="1692"/>
        <w:gridCol w:w="1700"/>
        <w:gridCol w:w="1529"/>
        <w:gridCol w:w="1736"/>
      </w:tblGrid>
      <w:tr>
        <w:trPr>
          <w:trHeight w:val="718" w:hRule="exact"/>
        </w:trPr>
        <w:tc>
          <w:tcPr>
            <w:tcW w:w="1351"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48" w:lineRule="auto" w:before="44"/>
              <w:ind w:left="35" w:right="234" w:firstLine="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法定盈余公积</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147"/>
              <w:ind w:right="12"/>
              <w:jc w:val="center"/>
              <w:rPr>
                <w:rFonts w:ascii="Times New Roman" w:hAnsi="Times New Roman" w:cs="Times New Roman" w:eastAsia="Times New Roman" w:hint="default"/>
                <w:sz w:val="18"/>
                <w:szCs w:val="18"/>
              </w:rPr>
            </w:pPr>
            <w:r>
              <w:rPr>
                <w:rFonts w:ascii="Times New Roman"/>
                <w:sz w:val="18"/>
              </w:rPr>
              <w:t>11,636,416.41</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7"/>
              <w:ind w:right="75"/>
              <w:jc w:val="center"/>
              <w:rPr>
                <w:rFonts w:ascii="Times New Roman" w:hAnsi="Times New Roman" w:cs="Times New Roman" w:eastAsia="Times New Roman" w:hint="default"/>
                <w:sz w:val="18"/>
                <w:szCs w:val="18"/>
              </w:rPr>
            </w:pPr>
            <w:r>
              <w:rPr>
                <w:rFonts w:ascii="Times New Roman"/>
                <w:sz w:val="18"/>
              </w:rPr>
              <w:t>2,869,047.78</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47"/>
              <w:ind w:left="22"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147"/>
              <w:ind w:left="85" w:right="0"/>
              <w:jc w:val="center"/>
              <w:rPr>
                <w:rFonts w:ascii="Times New Roman" w:hAnsi="Times New Roman" w:cs="Times New Roman" w:eastAsia="Times New Roman" w:hint="default"/>
                <w:sz w:val="18"/>
                <w:szCs w:val="18"/>
              </w:rPr>
            </w:pPr>
            <w:r>
              <w:rPr>
                <w:rFonts w:ascii="Times New Roman"/>
                <w:sz w:val="18"/>
              </w:rPr>
              <w:t>14,505,464.19</w:t>
            </w:r>
          </w:p>
        </w:tc>
      </w:tr>
      <w:tr>
        <w:trPr>
          <w:trHeight w:val="384" w:hRule="exact"/>
        </w:trPr>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9"/>
              <w:jc w:val="center"/>
              <w:rPr>
                <w:rFonts w:ascii="宋体" w:hAnsi="宋体" w:cs="宋体" w:eastAsia="宋体" w:hint="default"/>
                <w:sz w:val="18"/>
                <w:szCs w:val="18"/>
              </w:rPr>
            </w:pPr>
            <w:r>
              <w:rPr>
                <w:rFonts w:ascii="宋体" w:hAnsi="宋体" w:cs="宋体" w:eastAsia="宋体" w:hint="default"/>
                <w:sz w:val="18"/>
                <w:szCs w:val="18"/>
              </w:rPr>
              <w:t>任意盈余公积</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2"/>
              <w:jc w:val="center"/>
              <w:rPr>
                <w:rFonts w:ascii="Times New Roman" w:hAnsi="Times New Roman" w:cs="Times New Roman" w:eastAsia="Times New Roman" w:hint="default"/>
                <w:sz w:val="21"/>
                <w:szCs w:val="21"/>
              </w:rPr>
            </w:pPr>
            <w:r>
              <w:rPr>
                <w:rFonts w:ascii="Times New Roman"/>
                <w:sz w:val="21"/>
              </w:rPr>
              <w:t>---</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75"/>
              <w:jc w:val="center"/>
              <w:rPr>
                <w:rFonts w:ascii="Times New Roman" w:hAnsi="Times New Roman" w:cs="Times New Roman" w:eastAsia="Times New Roman" w:hint="default"/>
                <w:sz w:val="18"/>
                <w:szCs w:val="18"/>
              </w:rPr>
            </w:pPr>
            <w:r>
              <w:rPr>
                <w:rFonts w:ascii="Times New Roman"/>
                <w:sz w:val="18"/>
              </w:rPr>
              <w:t>---</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661"/>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84" w:right="0"/>
              <w:jc w:val="center"/>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351"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19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2"/>
              <w:jc w:val="center"/>
              <w:rPr>
                <w:rFonts w:ascii="Times New Roman" w:hAnsi="Times New Roman" w:cs="Times New Roman" w:eastAsia="Times New Roman" w:hint="default"/>
                <w:sz w:val="18"/>
                <w:szCs w:val="18"/>
              </w:rPr>
            </w:pPr>
            <w:r>
              <w:rPr>
                <w:rFonts w:ascii="Times New Roman"/>
                <w:sz w:val="18"/>
              </w:rPr>
              <w:t>11,636,416.41</w:t>
            </w: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75"/>
              <w:jc w:val="center"/>
              <w:rPr>
                <w:rFonts w:ascii="Times New Roman" w:hAnsi="Times New Roman" w:cs="Times New Roman" w:eastAsia="Times New Roman" w:hint="default"/>
                <w:sz w:val="18"/>
                <w:szCs w:val="18"/>
              </w:rPr>
            </w:pPr>
            <w:r>
              <w:rPr>
                <w:rFonts w:ascii="Times New Roman"/>
                <w:sz w:val="18"/>
              </w:rPr>
              <w:t>2,869,047.78</w:t>
            </w: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661"/>
              <w:jc w:val="right"/>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85" w:right="0"/>
              <w:jc w:val="center"/>
              <w:rPr>
                <w:rFonts w:ascii="Times New Roman" w:hAnsi="Times New Roman" w:cs="Times New Roman" w:eastAsia="Times New Roman" w:hint="default"/>
                <w:sz w:val="18"/>
                <w:szCs w:val="18"/>
              </w:rPr>
            </w:pPr>
            <w:r>
              <w:rPr>
                <w:rFonts w:ascii="Times New Roman"/>
                <w:sz w:val="18"/>
              </w:rPr>
              <w:t>14,505,464.19</w:t>
            </w:r>
          </w:p>
        </w:tc>
      </w:tr>
    </w:tbl>
    <w:p>
      <w:pPr>
        <w:spacing w:before="12"/>
        <w:ind w:left="1540" w:right="0" w:firstLine="0"/>
        <w:jc w:val="left"/>
        <w:rPr>
          <w:rFonts w:ascii="宋体" w:hAnsi="宋体" w:cs="宋体" w:eastAsia="宋体" w:hint="default"/>
          <w:sz w:val="21"/>
          <w:szCs w:val="21"/>
        </w:rPr>
      </w:pPr>
      <w:r>
        <w:rPr/>
        <w:pict>
          <v:group style="position:absolute;margin-left:170.099991pt;margin-top:-5.97607pt;width:334.3pt;height:.75pt;mso-position-horizontal-relative:page;mso-position-vertical-relative:paragraph;z-index:-623392" coordorigin="3402,-120" coordsize="6686,15">
            <v:group style="position:absolute;left:3409;top:-112;width:1679;height:2" coordorigin="3409,-112" coordsize="1679,2">
              <v:shape style="position:absolute;left:3409;top:-112;width:1679;height:2" coordorigin="3409,-112" coordsize="1679,0" path="m3409,-112l5088,-112e" filled="false" stroked="true" strokeweight=".72003pt" strokecolor="#000000">
                <v:path arrowok="t"/>
              </v:shape>
            </v:group>
            <v:group style="position:absolute;left:5074;top:-112;width:105;height:2" coordorigin="5074,-112" coordsize="105,2">
              <v:shape style="position:absolute;left:5074;top:-112;width:105;height:2" coordorigin="5074,-112" coordsize="105,0" path="m5074,-112l5178,-112e" filled="false" stroked="true" strokeweight=".72003pt" strokecolor="#000000">
                <v:path arrowok="t"/>
              </v:shape>
            </v:group>
            <v:group style="position:absolute;left:5178;top:-112;width:1575;height:2" coordorigin="5178,-112" coordsize="1575,2">
              <v:shape style="position:absolute;left:5178;top:-112;width:1575;height:2" coordorigin="5178,-112" coordsize="1575,0" path="m5178,-112l6752,-112e" filled="false" stroked="true" strokeweight=".72003pt" strokecolor="#000000">
                <v:path arrowok="t"/>
              </v:shape>
            </v:group>
            <v:group style="position:absolute;left:6738;top:-112;width:105;height:2" coordorigin="6738,-112" coordsize="105,2">
              <v:shape style="position:absolute;left:6738;top:-112;width:105;height:2" coordorigin="6738,-112" coordsize="105,0" path="m6738,-112l6842,-112e" filled="false" stroked="true" strokeweight=".72003pt" strokecolor="#000000">
                <v:path arrowok="t"/>
              </v:shape>
            </v:group>
            <v:group style="position:absolute;left:6842;top:-112;width:1574;height:2" coordorigin="6842,-112" coordsize="1574,2">
              <v:shape style="position:absolute;left:6842;top:-112;width:1574;height:2" coordorigin="6842,-112" coordsize="1574,0" path="m6842,-112l8416,-112e" filled="false" stroked="true" strokeweight=".72003pt" strokecolor="#000000">
                <v:path arrowok="t"/>
              </v:shape>
            </v:group>
            <v:group style="position:absolute;left:8401;top:-112;width:105;height:2" coordorigin="8401,-112" coordsize="105,2">
              <v:shape style="position:absolute;left:8401;top:-112;width:105;height:2" coordorigin="8401,-112" coordsize="105,0" path="m8401,-112l8506,-112e" filled="false" stroked="true" strokeweight=".72003pt" strokecolor="#000000">
                <v:path arrowok="t"/>
              </v:shape>
            </v:group>
            <v:group style="position:absolute;left:8506;top:-112;width:1575;height:2" coordorigin="8506,-112" coordsize="1575,2">
              <v:shape style="position:absolute;left:8506;top:-112;width:1575;height:2" coordorigin="8506,-112" coordsize="1575,0" path="m8506,-112l10080,-112e" filled="false" stroked="true" strokeweight=".72003pt" strokecolor="#000000">
                <v:path arrowok="t"/>
              </v:shape>
            </v:group>
            <w10:wrap type="none"/>
          </v:group>
        </w:pict>
      </w:r>
      <w:r>
        <w:rPr>
          <w:rFonts w:ascii="宋体" w:hAnsi="宋体" w:cs="宋体" w:eastAsia="宋体" w:hint="default"/>
          <w:sz w:val="21"/>
          <w:szCs w:val="21"/>
        </w:rPr>
        <w:t>根据公司法和本公司章程的规定，本公司按净利润的</w:t>
      </w:r>
      <w:r>
        <w:rPr>
          <w:rFonts w:ascii="宋体" w:hAnsi="宋体" w:cs="宋体" w:eastAsia="宋体" w:hint="default"/>
          <w:spacing w:val="-55"/>
          <w:sz w:val="21"/>
          <w:szCs w:val="21"/>
        </w:rPr>
        <w:t> </w:t>
      </w:r>
      <w:r>
        <w:rPr>
          <w:rFonts w:ascii="宋体" w:hAnsi="宋体" w:cs="宋体" w:eastAsia="宋体" w:hint="default"/>
          <w:sz w:val="21"/>
          <w:szCs w:val="21"/>
        </w:rPr>
        <w:t>10%提取法定盈余公积金。</w:t>
      </w:r>
    </w:p>
    <w:p>
      <w:pPr>
        <w:spacing w:before="64"/>
        <w:ind w:left="1542" w:right="0" w:firstLine="0"/>
        <w:jc w:val="left"/>
        <w:rPr>
          <w:rFonts w:ascii="宋体" w:hAnsi="宋体" w:cs="宋体" w:eastAsia="宋体" w:hint="default"/>
          <w:sz w:val="21"/>
          <w:szCs w:val="21"/>
        </w:rPr>
      </w:pPr>
      <w:r>
        <w:rPr>
          <w:rFonts w:ascii="宋体" w:hAnsi="宋体" w:cs="宋体" w:eastAsia="宋体" w:hint="default"/>
          <w:b/>
          <w:bCs/>
          <w:sz w:val="21"/>
          <w:szCs w:val="21"/>
        </w:rPr>
        <w:t>（二十九）未分配利润</w:t>
      </w:r>
      <w:r>
        <w:rPr>
          <w:rFonts w:ascii="宋体" w:hAnsi="宋体" w:cs="宋体" w:eastAsia="宋体" w:hint="default"/>
          <w:sz w:val="21"/>
          <w:szCs w:val="21"/>
        </w:rPr>
      </w:r>
    </w:p>
    <w:p>
      <w:pPr>
        <w:tabs>
          <w:tab w:pos="3276" w:val="left" w:leader="none"/>
          <w:tab w:pos="5886" w:val="left" w:leader="none"/>
          <w:tab w:pos="6096" w:val="left" w:leader="none"/>
          <w:tab w:pos="7686" w:val="left" w:leader="none"/>
        </w:tabs>
        <w:spacing w:line="348" w:lineRule="auto" w:before="100"/>
        <w:ind w:left="1231" w:right="1897" w:firstLine="1504"/>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tab/>
      </w:r>
      <w:r>
        <w:rPr>
          <w:rFonts w:ascii="宋体" w:hAnsi="宋体" w:cs="宋体" w:eastAsia="宋体" w:hint="default"/>
          <w:sz w:val="18"/>
          <w:szCs w:val="18"/>
          <w:u w:val="single" w:color="000000"/>
        </w:rPr>
        <w:t>提取或分配比例</w:t>
      </w:r>
      <w:r>
        <w:rPr>
          <w:rFonts w:ascii="宋体" w:hAnsi="宋体" w:cs="宋体" w:eastAsia="宋体" w:hint="default"/>
          <w:sz w:val="18"/>
          <w:szCs w:val="18"/>
        </w:rPr>
      </w:r>
      <w:r>
        <w:rPr>
          <w:rFonts w:ascii="宋体" w:hAnsi="宋体" w:cs="宋体" w:eastAsia="宋体" w:hint="default"/>
          <w:sz w:val="18"/>
          <w:szCs w:val="18"/>
        </w:rPr>
        <w:t> 上年年末余额</w:t>
        <w:tab/>
        <w:tab/>
        <w:tab/>
      </w:r>
      <w:r>
        <w:rPr>
          <w:rFonts w:ascii="Times New Roman" w:hAnsi="Times New Roman" w:cs="Times New Roman" w:eastAsia="Times New Roman" w:hint="default"/>
          <w:sz w:val="18"/>
          <w:szCs w:val="18"/>
        </w:rPr>
        <w:t>78,516,789.08</w:t>
      </w:r>
    </w:p>
    <w:p>
      <w:pPr>
        <w:tabs>
          <w:tab w:pos="6951" w:val="left" w:leader="none"/>
        </w:tabs>
        <w:spacing w:before="0"/>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加：会计政策变更</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0"/>
        <w:ind w:left="16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前期差错更正</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096" w:val="left" w:leader="none"/>
        </w:tabs>
        <w:spacing w:before="91"/>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本年年初余额</w:t>
        <w:tab/>
      </w:r>
      <w:r>
        <w:rPr>
          <w:rFonts w:ascii="Times New Roman" w:hAnsi="Times New Roman" w:cs="Times New Roman" w:eastAsia="Times New Roman" w:hint="default"/>
          <w:sz w:val="18"/>
          <w:szCs w:val="18"/>
        </w:rPr>
        <w:t>78,516,789.08</w:t>
      </w:r>
    </w:p>
    <w:p>
      <w:pPr>
        <w:tabs>
          <w:tab w:pos="6096" w:val="left" w:leader="none"/>
        </w:tabs>
        <w:spacing w:before="90"/>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 本年归属于母公司的净利润</w:t>
        <w:tab/>
      </w:r>
      <w:r>
        <w:rPr>
          <w:rFonts w:ascii="Times New Roman" w:hAnsi="Times New Roman" w:cs="Times New Roman" w:eastAsia="Times New Roman" w:hint="default"/>
          <w:sz w:val="18"/>
          <w:szCs w:val="18"/>
        </w:rPr>
        <w:t>33,771,516.39</w:t>
      </w:r>
    </w:p>
    <w:p>
      <w:pPr>
        <w:tabs>
          <w:tab w:pos="6186" w:val="left" w:leader="none"/>
        </w:tabs>
        <w:spacing w:before="90"/>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减：提取法定盈余公积</w:t>
        <w:tab/>
      </w:r>
      <w:r>
        <w:rPr>
          <w:rFonts w:ascii="Times New Roman" w:hAnsi="Times New Roman" w:cs="Times New Roman" w:eastAsia="Times New Roman" w:hint="default"/>
          <w:sz w:val="18"/>
          <w:szCs w:val="18"/>
        </w:rPr>
        <w:t>2,869,047.78</w:t>
      </w:r>
    </w:p>
    <w:p>
      <w:pPr>
        <w:tabs>
          <w:tab w:pos="6951" w:val="left" w:leader="none"/>
        </w:tabs>
        <w:spacing w:before="91"/>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提取任意盈余公积</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0"/>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提取储备基金</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0"/>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提取企业发展基金</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1"/>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提取职工奖福基金</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096" w:val="left" w:leader="none"/>
        </w:tabs>
        <w:spacing w:before="90"/>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应付普通股股利</w:t>
        <w:tab/>
      </w:r>
      <w:r>
        <w:rPr>
          <w:rFonts w:ascii="Times New Roman" w:hAnsi="Times New Roman" w:cs="Times New Roman" w:eastAsia="Times New Roman" w:hint="default"/>
          <w:sz w:val="18"/>
          <w:szCs w:val="18"/>
        </w:rPr>
        <w:t>40,020,000.00</w:t>
      </w:r>
    </w:p>
    <w:p>
      <w:pPr>
        <w:tabs>
          <w:tab w:pos="6951" w:val="left" w:leader="none"/>
        </w:tabs>
        <w:spacing w:before="90"/>
        <w:ind w:left="159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转作股本的普通股股利</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1"/>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加：其他转入</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951" w:val="left" w:leader="none"/>
        </w:tabs>
        <w:spacing w:before="90"/>
        <w:ind w:left="158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盈余公积弥补亏损</w:t>
        <w:tab/>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tabs>
          <w:tab w:pos="6096" w:val="left" w:leader="none"/>
        </w:tabs>
        <w:spacing w:before="90"/>
        <w:ind w:left="123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本年年末余额</w:t>
        <w:tab/>
      </w:r>
      <w:r>
        <w:rPr>
          <w:rFonts w:ascii="Times New Roman" w:hAnsi="Times New Roman" w:cs="Times New Roman" w:eastAsia="Times New Roman" w:hint="default"/>
          <w:sz w:val="18"/>
          <w:szCs w:val="18"/>
        </w:rPr>
        <w:t>69,399,257.69</w:t>
      </w:r>
    </w:p>
    <w:p>
      <w:pPr>
        <w:spacing w:before="56"/>
        <w:ind w:left="1540" w:right="0" w:firstLine="0"/>
        <w:jc w:val="left"/>
        <w:rPr>
          <w:rFonts w:ascii="宋体" w:hAnsi="宋体" w:cs="宋体" w:eastAsia="宋体" w:hint="default"/>
          <w:sz w:val="21"/>
          <w:szCs w:val="21"/>
        </w:rPr>
      </w:pPr>
      <w:r>
        <w:rPr>
          <w:rFonts w:ascii="宋体" w:hAnsi="宋体" w:cs="宋体" w:eastAsia="宋体" w:hint="default"/>
          <w:sz w:val="21"/>
          <w:szCs w:val="21"/>
        </w:rPr>
        <w:t>本公司股东大会通过的利润分配方案为:母公司 2007 年度实现净利润 68,494,371.78</w:t>
      </w:r>
    </w:p>
    <w:p>
      <w:pPr>
        <w:spacing w:before="64"/>
        <w:ind w:left="1120" w:right="0" w:firstLine="0"/>
        <w:jc w:val="left"/>
        <w:rPr>
          <w:rFonts w:ascii="宋体" w:hAnsi="宋体" w:cs="宋体" w:eastAsia="宋体" w:hint="default"/>
          <w:sz w:val="21"/>
          <w:szCs w:val="21"/>
        </w:rPr>
      </w:pPr>
      <w:r>
        <w:rPr>
          <w:rFonts w:ascii="宋体" w:hAnsi="宋体" w:cs="宋体" w:eastAsia="宋体" w:hint="default"/>
          <w:sz w:val="21"/>
          <w:szCs w:val="21"/>
        </w:rPr>
        <w:t>元，按照</w:t>
      </w:r>
      <w:r>
        <w:rPr>
          <w:rFonts w:ascii="宋体" w:hAnsi="宋体" w:cs="宋体" w:eastAsia="宋体" w:hint="default"/>
          <w:spacing w:val="-13"/>
          <w:sz w:val="21"/>
          <w:szCs w:val="21"/>
        </w:rPr>
        <w:t> </w:t>
      </w:r>
      <w:r>
        <w:rPr>
          <w:rFonts w:ascii="宋体" w:hAnsi="宋体" w:cs="宋体" w:eastAsia="宋体" w:hint="default"/>
          <w:sz w:val="21"/>
          <w:szCs w:val="21"/>
        </w:rPr>
        <w:t>10%计提法定公积金</w:t>
      </w:r>
      <w:r>
        <w:rPr>
          <w:rFonts w:ascii="宋体" w:hAnsi="宋体" w:cs="宋体" w:eastAsia="宋体" w:hint="default"/>
          <w:spacing w:val="-13"/>
          <w:sz w:val="21"/>
          <w:szCs w:val="21"/>
        </w:rPr>
        <w:t> </w:t>
      </w:r>
      <w:r>
        <w:rPr>
          <w:rFonts w:ascii="宋体" w:hAnsi="宋体" w:cs="宋体" w:eastAsia="宋体" w:hint="default"/>
          <w:sz w:val="21"/>
          <w:szCs w:val="21"/>
        </w:rPr>
        <w:t>6,849,437.18</w:t>
      </w:r>
      <w:r>
        <w:rPr>
          <w:rFonts w:ascii="宋体" w:hAnsi="宋体" w:cs="宋体" w:eastAsia="宋体" w:hint="default"/>
          <w:spacing w:val="-2"/>
          <w:sz w:val="21"/>
          <w:szCs w:val="21"/>
        </w:rPr>
        <w:t> </w:t>
      </w:r>
      <w:r>
        <w:rPr>
          <w:rFonts w:ascii="宋体" w:hAnsi="宋体" w:cs="宋体" w:eastAsia="宋体" w:hint="default"/>
          <w:sz w:val="21"/>
          <w:szCs w:val="21"/>
        </w:rPr>
        <w:t>元；以本公司</w:t>
      </w:r>
      <w:r>
        <w:rPr>
          <w:rFonts w:ascii="宋体" w:hAnsi="宋体" w:cs="宋体" w:eastAsia="宋体" w:hint="default"/>
          <w:spacing w:val="-13"/>
          <w:sz w:val="21"/>
          <w:szCs w:val="21"/>
        </w:rPr>
        <w:t> </w:t>
      </w:r>
      <w:r>
        <w:rPr>
          <w:rFonts w:ascii="宋体" w:hAnsi="宋体" w:cs="宋体" w:eastAsia="宋体" w:hint="default"/>
          <w:sz w:val="21"/>
          <w:szCs w:val="21"/>
        </w:rPr>
        <w:t>2007</w:t>
      </w:r>
      <w:r>
        <w:rPr>
          <w:rFonts w:ascii="宋体" w:hAnsi="宋体" w:cs="宋体" w:eastAsia="宋体"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z w:val="21"/>
          <w:szCs w:val="21"/>
        </w:rPr>
        <w:t>12</w:t>
      </w:r>
      <w:r>
        <w:rPr>
          <w:rFonts w:ascii="宋体" w:hAnsi="宋体" w:cs="宋体" w:eastAsia="宋体"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14"/>
          <w:sz w:val="21"/>
          <w:szCs w:val="21"/>
        </w:rPr>
        <w:t> </w:t>
      </w:r>
      <w:r>
        <w:rPr>
          <w:rFonts w:ascii="宋体" w:hAnsi="宋体" w:cs="宋体" w:eastAsia="宋体" w:hint="default"/>
          <w:sz w:val="21"/>
          <w:szCs w:val="21"/>
        </w:rPr>
        <w:t>31</w:t>
      </w:r>
      <w:r>
        <w:rPr>
          <w:rFonts w:ascii="宋体" w:hAnsi="宋体" w:cs="宋体" w:eastAsia="宋体" w:hint="default"/>
          <w:spacing w:val="-12"/>
          <w:sz w:val="21"/>
          <w:szCs w:val="21"/>
        </w:rPr>
        <w:t> </w:t>
      </w:r>
      <w:r>
        <w:rPr>
          <w:rFonts w:ascii="宋体" w:hAnsi="宋体" w:cs="宋体" w:eastAsia="宋体" w:hint="default"/>
          <w:sz w:val="21"/>
          <w:szCs w:val="21"/>
        </w:rPr>
        <w:t>日股本总数</w:t>
      </w:r>
    </w:p>
    <w:p>
      <w:pPr>
        <w:spacing w:before="64"/>
        <w:ind w:left="1119" w:right="0" w:firstLine="0"/>
        <w:jc w:val="left"/>
        <w:rPr>
          <w:rFonts w:ascii="宋体" w:hAnsi="宋体" w:cs="宋体" w:eastAsia="宋体" w:hint="default"/>
          <w:sz w:val="21"/>
          <w:szCs w:val="21"/>
        </w:rPr>
      </w:pPr>
      <w:r>
        <w:rPr>
          <w:rFonts w:ascii="宋体" w:hAnsi="宋体" w:cs="宋体" w:eastAsia="宋体" w:hint="default"/>
          <w:sz w:val="21"/>
          <w:szCs w:val="21"/>
        </w:rPr>
        <w:t>133,400,000</w:t>
      </w:r>
      <w:r>
        <w:rPr>
          <w:rFonts w:ascii="宋体" w:hAnsi="宋体" w:cs="宋体" w:eastAsia="宋体" w:hint="default"/>
          <w:spacing w:val="-69"/>
          <w:sz w:val="21"/>
          <w:szCs w:val="21"/>
        </w:rPr>
        <w:t> </w:t>
      </w:r>
      <w:r>
        <w:rPr>
          <w:rFonts w:ascii="宋体" w:hAnsi="宋体" w:cs="宋体" w:eastAsia="宋体" w:hint="default"/>
          <w:sz w:val="21"/>
          <w:szCs w:val="21"/>
        </w:rPr>
        <w:t>股为基数</w:t>
      </w:r>
      <w:r>
        <w:rPr>
          <w:rFonts w:ascii="宋体" w:hAnsi="宋体" w:cs="宋体" w:eastAsia="宋体" w:hint="default"/>
          <w:spacing w:val="-105"/>
          <w:sz w:val="21"/>
          <w:szCs w:val="21"/>
        </w:rPr>
        <w:t>，</w:t>
      </w:r>
      <w:r>
        <w:rPr>
          <w:rFonts w:ascii="宋体" w:hAnsi="宋体" w:cs="宋体" w:eastAsia="宋体" w:hint="default"/>
          <w:sz w:val="21"/>
          <w:szCs w:val="21"/>
        </w:rPr>
        <w:t>每</w:t>
      </w:r>
      <w:r>
        <w:rPr>
          <w:rFonts w:ascii="宋体" w:hAnsi="宋体" w:cs="宋体" w:eastAsia="宋体" w:hint="default"/>
          <w:spacing w:val="-69"/>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股派发</w:t>
      </w:r>
      <w:r>
        <w:rPr>
          <w:rFonts w:ascii="宋体" w:hAnsi="宋体" w:cs="宋体" w:eastAsia="宋体" w:hint="default"/>
          <w:spacing w:val="-2"/>
          <w:sz w:val="21"/>
          <w:szCs w:val="21"/>
        </w:rPr>
        <w:t>现</w:t>
      </w:r>
      <w:r>
        <w:rPr>
          <w:rFonts w:ascii="宋体" w:hAnsi="宋体" w:cs="宋体" w:eastAsia="宋体" w:hint="default"/>
          <w:sz w:val="21"/>
          <w:szCs w:val="21"/>
        </w:rPr>
        <w:t>金股利</w:t>
      </w:r>
      <w:r>
        <w:rPr>
          <w:rFonts w:ascii="宋体" w:hAnsi="宋体" w:cs="宋体" w:eastAsia="宋体" w:hint="default"/>
          <w:spacing w:val="-68"/>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pacing w:val="-106"/>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共</w:t>
      </w:r>
      <w:r>
        <w:rPr>
          <w:rFonts w:ascii="宋体" w:hAnsi="宋体" w:cs="宋体" w:eastAsia="宋体" w:hint="default"/>
          <w:spacing w:val="-2"/>
          <w:sz w:val="21"/>
          <w:szCs w:val="21"/>
        </w:rPr>
        <w:t>计</w:t>
      </w:r>
      <w:r>
        <w:rPr>
          <w:rFonts w:ascii="宋体" w:hAnsi="宋体" w:cs="宋体" w:eastAsia="宋体" w:hint="default"/>
          <w:sz w:val="21"/>
          <w:szCs w:val="21"/>
        </w:rPr>
        <w:t>分配现金股利</w:t>
      </w:r>
      <w:r>
        <w:rPr>
          <w:rFonts w:ascii="宋体" w:hAnsi="宋体" w:cs="宋体" w:eastAsia="宋体" w:hint="default"/>
          <w:spacing w:val="-68"/>
          <w:sz w:val="21"/>
          <w:szCs w:val="21"/>
        </w:rPr>
        <w:t> </w:t>
      </w:r>
      <w:r>
        <w:rPr>
          <w:rFonts w:ascii="宋体" w:hAnsi="宋体" w:cs="宋体" w:eastAsia="宋体" w:hint="default"/>
          <w:sz w:val="21"/>
          <w:szCs w:val="21"/>
        </w:rPr>
        <w:t>40,020,000.00</w:t>
      </w:r>
    </w:p>
    <w:p>
      <w:pPr>
        <w:spacing w:before="66"/>
        <w:ind w:left="1119" w:right="0" w:firstLine="0"/>
        <w:jc w:val="left"/>
        <w:rPr>
          <w:rFonts w:ascii="宋体" w:hAnsi="宋体" w:cs="宋体" w:eastAsia="宋体" w:hint="default"/>
          <w:sz w:val="21"/>
          <w:szCs w:val="21"/>
        </w:rPr>
      </w:pPr>
      <w:r>
        <w:rPr>
          <w:rFonts w:ascii="宋体" w:hAnsi="宋体" w:cs="宋体" w:eastAsia="宋体" w:hint="default"/>
          <w:spacing w:val="-24"/>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pacing w:val="-24"/>
          <w:sz w:val="21"/>
          <w:szCs w:val="21"/>
        </w:rPr>
        <w:t>；</w:t>
      </w:r>
      <w:r>
        <w:rPr>
          <w:rFonts w:ascii="宋体" w:hAnsi="宋体" w:cs="宋体" w:eastAsia="宋体" w:hint="default"/>
          <w:sz w:val="21"/>
          <w:szCs w:val="21"/>
        </w:rPr>
        <w:t>同时</w:t>
      </w:r>
      <w:r>
        <w:rPr>
          <w:rFonts w:ascii="宋体" w:hAnsi="宋体" w:cs="宋体" w:eastAsia="宋体" w:hint="default"/>
          <w:spacing w:val="-24"/>
          <w:sz w:val="21"/>
          <w:szCs w:val="21"/>
        </w:rPr>
        <w:t>，</w:t>
      </w: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日股本总数</w:t>
      </w:r>
      <w:r>
        <w:rPr>
          <w:rFonts w:ascii="宋体" w:hAnsi="宋体" w:cs="宋体" w:eastAsia="宋体" w:hint="default"/>
          <w:spacing w:val="-53"/>
          <w:sz w:val="21"/>
          <w:szCs w:val="21"/>
        </w:rPr>
        <w:t> </w:t>
      </w:r>
      <w:r>
        <w:rPr>
          <w:rFonts w:ascii="宋体" w:hAnsi="宋体" w:cs="宋体" w:eastAsia="宋体" w:hint="default"/>
          <w:sz w:val="21"/>
          <w:szCs w:val="21"/>
        </w:rPr>
        <w:t>133,400,000</w:t>
      </w:r>
      <w:r>
        <w:rPr>
          <w:rFonts w:ascii="宋体" w:hAnsi="宋体" w:cs="宋体" w:eastAsia="宋体" w:hint="default"/>
          <w:spacing w:val="-53"/>
          <w:sz w:val="21"/>
          <w:szCs w:val="21"/>
        </w:rPr>
        <w:t> </w:t>
      </w:r>
      <w:r>
        <w:rPr>
          <w:rFonts w:ascii="宋体" w:hAnsi="宋体" w:cs="宋体" w:eastAsia="宋体" w:hint="default"/>
          <w:sz w:val="21"/>
          <w:szCs w:val="21"/>
        </w:rPr>
        <w:t>股为基数</w:t>
      </w:r>
      <w:r>
        <w:rPr>
          <w:rFonts w:ascii="宋体" w:hAnsi="宋体" w:cs="宋体" w:eastAsia="宋体" w:hint="default"/>
          <w:spacing w:val="-24"/>
          <w:sz w:val="21"/>
          <w:szCs w:val="21"/>
        </w:rPr>
        <w:t>，</w:t>
      </w:r>
      <w:r>
        <w:rPr>
          <w:rFonts w:ascii="宋体" w:hAnsi="宋体" w:cs="宋体" w:eastAsia="宋体" w:hint="default"/>
          <w:sz w:val="21"/>
          <w:szCs w:val="21"/>
        </w:rPr>
        <w:t>用资本公积转增</w:t>
      </w:r>
    </w:p>
    <w:p>
      <w:pPr>
        <w:spacing w:before="64"/>
        <w:ind w:left="1119" w:right="0" w:firstLine="0"/>
        <w:jc w:val="left"/>
        <w:rPr>
          <w:rFonts w:ascii="宋体" w:hAnsi="宋体" w:cs="宋体" w:eastAsia="宋体" w:hint="default"/>
          <w:sz w:val="21"/>
          <w:szCs w:val="21"/>
        </w:rPr>
      </w:pPr>
      <w:r>
        <w:rPr>
          <w:rFonts w:ascii="宋体" w:hAnsi="宋体" w:cs="宋体" w:eastAsia="宋体" w:hint="default"/>
          <w:sz w:val="21"/>
          <w:szCs w:val="21"/>
        </w:rPr>
        <w:t>股本，每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股转增</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股，共计增加</w:t>
      </w:r>
      <w:r>
        <w:rPr>
          <w:rFonts w:ascii="宋体" w:hAnsi="宋体" w:cs="宋体" w:eastAsia="宋体" w:hint="default"/>
          <w:spacing w:val="-60"/>
          <w:sz w:val="21"/>
          <w:szCs w:val="21"/>
        </w:rPr>
        <w:t> </w:t>
      </w:r>
      <w:r>
        <w:rPr>
          <w:rFonts w:ascii="宋体" w:hAnsi="宋体" w:cs="宋体" w:eastAsia="宋体" w:hint="default"/>
          <w:sz w:val="21"/>
          <w:szCs w:val="21"/>
        </w:rPr>
        <w:t>66,700,000</w:t>
      </w:r>
      <w:r>
        <w:rPr>
          <w:rFonts w:ascii="宋体" w:hAnsi="宋体" w:cs="宋体" w:eastAsia="宋体" w:hint="default"/>
          <w:spacing w:val="-59"/>
          <w:sz w:val="21"/>
          <w:szCs w:val="21"/>
        </w:rPr>
        <w:t> </w:t>
      </w:r>
      <w:r>
        <w:rPr>
          <w:rFonts w:ascii="宋体" w:hAnsi="宋体" w:cs="宋体" w:eastAsia="宋体" w:hint="default"/>
          <w:sz w:val="21"/>
          <w:szCs w:val="21"/>
        </w:rPr>
        <w:t>股。该利润分配方案已经实施完毕。</w:t>
      </w:r>
    </w:p>
    <w:p>
      <w:pPr>
        <w:spacing w:before="64"/>
        <w:ind w:left="1542" w:right="0" w:firstLine="0"/>
        <w:jc w:val="left"/>
        <w:rPr>
          <w:rFonts w:ascii="宋体" w:hAnsi="宋体" w:cs="宋体" w:eastAsia="宋体" w:hint="default"/>
          <w:sz w:val="21"/>
          <w:szCs w:val="21"/>
        </w:rPr>
      </w:pPr>
      <w:r>
        <w:rPr/>
        <w:pict>
          <v:group style="position:absolute;margin-left:143.639999pt;margin-top:36.105305pt;width:387pt;height:.1pt;mso-position-horizontal-relative:page;mso-position-vertical-relative:paragraph;z-index:-623368" coordorigin="2873,722" coordsize="7740,2">
            <v:shape style="position:absolute;left:2873;top:722;width:7740;height:2" coordorigin="2873,722" coordsize="7740,0" path="m2873,722l10613,722e" filled="false" stroked="true" strokeweight=".48001pt" strokecolor="#000000">
              <v:path arrowok="t"/>
            </v:shape>
            <w10:wrap type="none"/>
          </v:group>
        </w:pict>
      </w:r>
      <w:r>
        <w:rPr/>
        <w:pict>
          <v:group style="position:absolute;margin-left:143.279999pt;margin-top:105.285309pt;width:81.75pt;height:.1pt;mso-position-horizontal-relative:page;mso-position-vertical-relative:paragraph;z-index:-623344" coordorigin="2866,2106" coordsize="1635,2">
            <v:shape style="position:absolute;left:2866;top:2106;width:1635;height:2" coordorigin="2866,2106" coordsize="1635,0" path="m2866,2106l4500,2106e" filled="false" stroked="true" strokeweight=".72pt" strokecolor="#000000">
              <v:path arrowok="t"/>
            </v:shape>
            <w10:wrap type="none"/>
          </v:group>
        </w:pict>
      </w:r>
      <w:r>
        <w:rPr/>
        <w:pict>
          <v:group style="position:absolute;margin-left:235.740005pt;margin-top:104.925308pt;width:178.65pt;height:.75pt;mso-position-horizontal-relative:page;mso-position-vertical-relative:paragraph;z-index:-623320" coordorigin="4715,2099" coordsize="3573,15">
            <v:group style="position:absolute;left:4722;top:2106;width:1758;height:2" coordorigin="4722,2106" coordsize="1758,2">
              <v:shape style="position:absolute;left:4722;top:2106;width:1758;height:2" coordorigin="4722,2106" coordsize="1758,0" path="m4722,2106l6480,2106e" filled="false" stroked="true" strokeweight=".72pt" strokecolor="#000000">
                <v:path arrowok="t"/>
              </v:shape>
            </v:group>
            <v:group style="position:absolute;left:6466;top:2106;width:105;height:2" coordorigin="6466,2106" coordsize="105,2">
              <v:shape style="position:absolute;left:6466;top:2106;width:105;height:2" coordorigin="6466,2106" coordsize="105,0" path="m6466,2106l6570,2106e" filled="false" stroked="true" strokeweight=".72pt" strokecolor="#000000">
                <v:path arrowok="t"/>
              </v:shape>
            </v:group>
            <v:group style="position:absolute;left:6570;top:2106;width:1710;height:2" coordorigin="6570,2106" coordsize="1710,2">
              <v:shape style="position:absolute;left:6570;top:2106;width:1710;height:2" coordorigin="6570,2106" coordsize="1710,0" path="m6570,2106l8280,2106e" filled="false" stroked="true" strokeweight=".72pt" strokecolor="#000000">
                <v:path arrowok="t"/>
              </v:shape>
            </v:group>
            <w10:wrap type="none"/>
          </v:group>
        </w:pict>
      </w:r>
      <w:r>
        <w:rPr/>
        <w:pict>
          <v:group style="position:absolute;margin-left:431.279999pt;margin-top:105.285309pt;width:99.75pt;height:.1pt;mso-position-horizontal-relative:page;mso-position-vertical-relative:paragraph;z-index:-623296" coordorigin="8626,2106" coordsize="1995,2">
            <v:shape style="position:absolute;left:8626;top:2106;width:1995;height:2" coordorigin="8626,2106" coordsize="1995,0" path="m8626,2106l10620,2106e" filled="false" stroked="true" strokeweight=".72pt" strokecolor="#000000">
              <v:path arrowok="t"/>
            </v:shape>
            <w10:wrap type="none"/>
          </v:group>
        </w:pict>
      </w:r>
      <w:r>
        <w:rPr>
          <w:rFonts w:ascii="宋体" w:hAnsi="宋体" w:cs="宋体" w:eastAsia="宋体" w:hint="default"/>
          <w:b/>
          <w:bCs/>
          <w:sz w:val="21"/>
          <w:szCs w:val="21"/>
        </w:rPr>
        <w:t>（三十）营业收入及营业成本</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978" w:type="dxa"/>
        <w:tblLayout w:type="fixed"/>
        <w:tblCellMar>
          <w:top w:w="0" w:type="dxa"/>
          <w:left w:w="0" w:type="dxa"/>
          <w:bottom w:w="0" w:type="dxa"/>
          <w:right w:w="0" w:type="dxa"/>
        </w:tblCellMar>
        <w:tblLook w:val="01E0"/>
      </w:tblPr>
      <w:tblGrid>
        <w:gridCol w:w="755"/>
        <w:gridCol w:w="460"/>
        <w:gridCol w:w="2375"/>
        <w:gridCol w:w="1290"/>
        <w:gridCol w:w="2715"/>
        <w:gridCol w:w="1361"/>
      </w:tblGrid>
      <w:tr>
        <w:trPr>
          <w:trHeight w:val="455" w:hRule="exact"/>
        </w:trPr>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tabs>
                <w:tab w:pos="574" w:val="left" w:leader="none"/>
              </w:tabs>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60"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4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290"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45"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361" w:type="dxa"/>
            <w:tcBorders>
              <w:top w:val="nil" w:sz="6" w:space="0" w:color="auto"/>
              <w:left w:val="nil" w:sz="6" w:space="0" w:color="auto"/>
              <w:bottom w:val="nil" w:sz="6" w:space="0" w:color="auto"/>
              <w:right w:val="nil" w:sz="6" w:space="0" w:color="auto"/>
            </w:tcBorders>
          </w:tcPr>
          <w:p>
            <w:pPr/>
          </w:p>
        </w:tc>
      </w:tr>
      <w:tr>
        <w:trPr>
          <w:trHeight w:val="181" w:hRule="exact"/>
        </w:trPr>
        <w:tc>
          <w:tcPr>
            <w:tcW w:w="755" w:type="dxa"/>
            <w:tcBorders>
              <w:top w:val="single" w:sz="4" w:space="0" w:color="000000"/>
              <w:left w:val="nil" w:sz="6" w:space="0" w:color="auto"/>
              <w:bottom w:val="nil" w:sz="6" w:space="0" w:color="auto"/>
              <w:right w:val="nil" w:sz="6" w:space="0" w:color="auto"/>
            </w:tcBorders>
          </w:tcPr>
          <w:p>
            <w:pPr/>
          </w:p>
        </w:tc>
        <w:tc>
          <w:tcPr>
            <w:tcW w:w="460"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4" w:space="0" w:color="000000"/>
              <w:right w:val="nil" w:sz="6" w:space="0" w:color="auto"/>
            </w:tcBorders>
          </w:tcPr>
          <w:p>
            <w:pPr>
              <w:pStyle w:val="TableParagraph"/>
              <w:spacing w:line="174" w:lineRule="exact"/>
              <w:ind w:left="530"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174" w:lineRule="exact"/>
              <w:ind w:left="74" w:right="0"/>
              <w:jc w:val="left"/>
              <w:rPr>
                <w:rFonts w:ascii="宋体" w:hAnsi="宋体" w:cs="宋体" w:eastAsia="宋体" w:hint="default"/>
                <w:sz w:val="18"/>
                <w:szCs w:val="18"/>
              </w:rPr>
            </w:pPr>
            <w:r>
              <w:rPr>
                <w:rFonts w:ascii="宋体" w:hAnsi="宋体" w:cs="宋体" w:eastAsia="宋体" w:hint="default"/>
                <w:sz w:val="18"/>
                <w:szCs w:val="18"/>
              </w:rPr>
              <w:t>成  本</w:t>
            </w:r>
          </w:p>
        </w:tc>
        <w:tc>
          <w:tcPr>
            <w:tcW w:w="2715" w:type="dxa"/>
            <w:tcBorders>
              <w:top w:val="nil" w:sz="6" w:space="0" w:color="auto"/>
              <w:left w:val="nil" w:sz="6" w:space="0" w:color="auto"/>
              <w:bottom w:val="single" w:sz="4" w:space="0" w:color="000000"/>
              <w:right w:val="nil" w:sz="6" w:space="0" w:color="auto"/>
            </w:tcBorders>
          </w:tcPr>
          <w:p>
            <w:pPr>
              <w:pStyle w:val="TableParagraph"/>
              <w:spacing w:line="174" w:lineRule="exact"/>
              <w:ind w:left="555"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174" w:lineRule="exact"/>
              <w:ind w:left="91" w:right="0"/>
              <w:jc w:val="left"/>
              <w:rPr>
                <w:rFonts w:ascii="宋体" w:hAnsi="宋体" w:cs="宋体" w:eastAsia="宋体" w:hint="default"/>
                <w:sz w:val="18"/>
                <w:szCs w:val="18"/>
              </w:rPr>
            </w:pPr>
            <w:r>
              <w:rPr>
                <w:rFonts w:ascii="宋体" w:hAnsi="宋体" w:cs="宋体" w:eastAsia="宋体" w:hint="default"/>
                <w:sz w:val="18"/>
                <w:szCs w:val="18"/>
              </w:rPr>
              <w:t>成  本</w:t>
            </w:r>
          </w:p>
        </w:tc>
      </w:tr>
      <w:tr>
        <w:trPr>
          <w:trHeight w:val="421"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4"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460" w:type="dxa"/>
            <w:tcBorders>
              <w:top w:val="nil" w:sz="6" w:space="0" w:color="auto"/>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394" w:right="0"/>
              <w:jc w:val="left"/>
              <w:rPr>
                <w:rFonts w:ascii="Times New Roman" w:hAnsi="Times New Roman" w:cs="Times New Roman" w:eastAsia="Times New Roman" w:hint="default"/>
                <w:sz w:val="18"/>
                <w:szCs w:val="18"/>
              </w:rPr>
            </w:pPr>
            <w:r>
              <w:rPr>
                <w:rFonts w:ascii="Times New Roman"/>
                <w:sz w:val="18"/>
              </w:rPr>
              <w:t>882,497,531.13</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0"/>
              <w:jc w:val="left"/>
              <w:rPr>
                <w:rFonts w:ascii="Times New Roman" w:hAnsi="Times New Roman" w:cs="Times New Roman" w:eastAsia="Times New Roman" w:hint="default"/>
                <w:sz w:val="18"/>
                <w:szCs w:val="18"/>
              </w:rPr>
            </w:pPr>
            <w:r>
              <w:rPr>
                <w:rFonts w:ascii="Times New Roman"/>
                <w:sz w:val="18"/>
              </w:rPr>
              <w:t>814,334,887.91</w:t>
            </w:r>
          </w:p>
        </w:tc>
        <w:tc>
          <w:tcPr>
            <w:tcW w:w="271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63" w:right="0"/>
              <w:jc w:val="left"/>
              <w:rPr>
                <w:rFonts w:ascii="Times New Roman" w:hAnsi="Times New Roman" w:cs="Times New Roman" w:eastAsia="Times New Roman" w:hint="default"/>
                <w:sz w:val="21"/>
                <w:szCs w:val="21"/>
              </w:rPr>
            </w:pPr>
            <w:r>
              <w:rPr>
                <w:rFonts w:ascii="Times New Roman"/>
                <w:sz w:val="21"/>
              </w:rPr>
              <w:t>1,202,008,991.75</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0"/>
              <w:jc w:val="left"/>
              <w:rPr>
                <w:rFonts w:ascii="Times New Roman" w:hAnsi="Times New Roman" w:cs="Times New Roman" w:eastAsia="Times New Roman" w:hint="default"/>
                <w:sz w:val="18"/>
                <w:szCs w:val="18"/>
              </w:rPr>
            </w:pPr>
            <w:r>
              <w:rPr>
                <w:rFonts w:ascii="Times New Roman"/>
                <w:sz w:val="18"/>
              </w:rPr>
              <w:t>1,088,234,908.87</w:t>
            </w:r>
          </w:p>
        </w:tc>
      </w:tr>
      <w:tr>
        <w:trPr>
          <w:trHeight w:val="299"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center"/>
              <w:rPr>
                <w:rFonts w:ascii="宋体" w:hAnsi="宋体" w:cs="宋体" w:eastAsia="宋体" w:hint="default"/>
                <w:sz w:val="18"/>
                <w:szCs w:val="18"/>
              </w:rPr>
            </w:pPr>
            <w:r>
              <w:rPr>
                <w:rFonts w:ascii="宋体" w:hAnsi="宋体" w:cs="宋体" w:eastAsia="宋体" w:hint="default"/>
                <w:w w:val="95"/>
                <w:sz w:val="18"/>
                <w:szCs w:val="18"/>
              </w:rPr>
              <w:t>其他业务</w:t>
            </w:r>
          </w:p>
        </w:tc>
        <w:tc>
          <w:tcPr>
            <w:tcW w:w="460"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573" w:right="0"/>
              <w:jc w:val="left"/>
              <w:rPr>
                <w:rFonts w:ascii="Times New Roman" w:hAnsi="Times New Roman" w:cs="Times New Roman" w:eastAsia="Times New Roman" w:hint="default"/>
                <w:sz w:val="18"/>
                <w:szCs w:val="18"/>
              </w:rPr>
            </w:pPr>
            <w:r>
              <w:rPr>
                <w:rFonts w:ascii="Times New Roman"/>
                <w:sz w:val="18"/>
              </w:rPr>
              <w:t>1,090,509.94</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12" w:right="0"/>
              <w:jc w:val="left"/>
              <w:rPr>
                <w:rFonts w:ascii="Times New Roman" w:hAnsi="Times New Roman" w:cs="Times New Roman" w:eastAsia="Times New Roman" w:hint="default"/>
                <w:sz w:val="18"/>
                <w:szCs w:val="18"/>
              </w:rPr>
            </w:pPr>
            <w:r>
              <w:rPr>
                <w:rFonts w:ascii="Times New Roman"/>
                <w:sz w:val="18"/>
              </w:rPr>
              <w:t>558,485.92</w:t>
            </w:r>
          </w:p>
        </w:tc>
        <w:tc>
          <w:tcPr>
            <w:tcW w:w="271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823" w:right="0"/>
              <w:jc w:val="left"/>
              <w:rPr>
                <w:rFonts w:ascii="Times New Roman" w:hAnsi="Times New Roman" w:cs="Times New Roman" w:eastAsia="Times New Roman" w:hint="default"/>
                <w:sz w:val="18"/>
                <w:szCs w:val="18"/>
              </w:rPr>
            </w:pPr>
            <w:r>
              <w:rPr>
                <w:rFonts w:ascii="Times New Roman"/>
                <w:sz w:val="18"/>
              </w:rPr>
              <w:t>694,877.71</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48" w:right="0"/>
              <w:jc w:val="left"/>
              <w:rPr>
                <w:rFonts w:ascii="Times New Roman" w:hAnsi="Times New Roman" w:cs="Times New Roman" w:eastAsia="Times New Roman" w:hint="default"/>
                <w:sz w:val="18"/>
                <w:szCs w:val="18"/>
              </w:rPr>
            </w:pPr>
            <w:r>
              <w:rPr>
                <w:rFonts w:ascii="Times New Roman"/>
                <w:sz w:val="18"/>
              </w:rPr>
              <w:t>298,083.09</w:t>
            </w:r>
          </w:p>
        </w:tc>
      </w:tr>
      <w:tr>
        <w:trPr>
          <w:trHeight w:val="436" w:hRule="exact"/>
        </w:trPr>
        <w:tc>
          <w:tcPr>
            <w:tcW w:w="75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7"/>
              <w:ind w:left="3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460" w:type="dxa"/>
            <w:tcBorders>
              <w:top w:val="nil" w:sz="6" w:space="0" w:color="auto"/>
              <w:left w:val="nil" w:sz="6" w:space="0" w:color="auto"/>
              <w:bottom w:val="nil" w:sz="6" w:space="0" w:color="auto"/>
              <w:right w:val="nil" w:sz="6" w:space="0" w:color="auto"/>
            </w:tcBorders>
          </w:tcPr>
          <w:p>
            <w:pPr/>
          </w:p>
        </w:tc>
        <w:tc>
          <w:tcPr>
            <w:tcW w:w="237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4"/>
              <w:ind w:left="394" w:right="0"/>
              <w:jc w:val="left"/>
              <w:rPr>
                <w:rFonts w:ascii="Times New Roman" w:hAnsi="Times New Roman" w:cs="Times New Roman" w:eastAsia="Times New Roman" w:hint="default"/>
                <w:sz w:val="18"/>
                <w:szCs w:val="18"/>
              </w:rPr>
            </w:pPr>
            <w:r>
              <w:rPr>
                <w:rFonts w:ascii="Times New Roman"/>
                <w:sz w:val="18"/>
              </w:rPr>
              <w:t>883,588,041.07</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left"/>
              <w:rPr>
                <w:rFonts w:ascii="Times New Roman" w:hAnsi="Times New Roman" w:cs="Times New Roman" w:eastAsia="Times New Roman" w:hint="default"/>
                <w:sz w:val="18"/>
                <w:szCs w:val="18"/>
              </w:rPr>
            </w:pPr>
            <w:r>
              <w:rPr>
                <w:rFonts w:ascii="Times New Roman"/>
                <w:sz w:val="18"/>
              </w:rPr>
              <w:t>814,893,373.83</w:t>
            </w:r>
          </w:p>
        </w:tc>
        <w:tc>
          <w:tcPr>
            <w:tcW w:w="27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375" w:right="0"/>
              <w:jc w:val="left"/>
              <w:rPr>
                <w:rFonts w:ascii="Times New Roman" w:hAnsi="Times New Roman" w:cs="Times New Roman" w:eastAsia="Times New Roman" w:hint="default"/>
                <w:sz w:val="18"/>
                <w:szCs w:val="18"/>
              </w:rPr>
            </w:pPr>
            <w:r>
              <w:rPr>
                <w:rFonts w:ascii="Times New Roman"/>
                <w:sz w:val="18"/>
              </w:rPr>
              <w:t>1,202,703,869.46</w:t>
            </w: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left"/>
              <w:rPr>
                <w:rFonts w:ascii="Times New Roman" w:hAnsi="Times New Roman" w:cs="Times New Roman" w:eastAsia="Times New Roman" w:hint="default"/>
                <w:sz w:val="18"/>
                <w:szCs w:val="18"/>
              </w:rPr>
            </w:pPr>
            <w:r>
              <w:rPr>
                <w:rFonts w:ascii="Times New Roman"/>
                <w:sz w:val="18"/>
              </w:rPr>
              <w:t>1,088,532,991.96</w:t>
            </w:r>
          </w:p>
        </w:tc>
      </w:tr>
      <w:tr>
        <w:trPr>
          <w:trHeight w:val="417" w:hRule="exact"/>
        </w:trPr>
        <w:tc>
          <w:tcPr>
            <w:tcW w:w="895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2"/>
              <w:ind w:left="561" w:right="0"/>
              <w:jc w:val="left"/>
              <w:rPr>
                <w:rFonts w:ascii="宋体" w:hAnsi="宋体" w:cs="宋体" w:eastAsia="宋体" w:hint="default"/>
                <w:sz w:val="21"/>
                <w:szCs w:val="21"/>
              </w:rPr>
            </w:pPr>
            <w:r>
              <w:rPr>
                <w:rFonts w:ascii="宋体" w:hAnsi="宋体" w:cs="宋体" w:eastAsia="宋体" w:hint="default"/>
                <w:sz w:val="21"/>
                <w:szCs w:val="21"/>
              </w:rPr>
              <w:t>1、按业务类别列示主营业务收入、主营业务成本</w:t>
            </w:r>
          </w:p>
        </w:tc>
      </w:tr>
    </w:tbl>
    <w:p>
      <w:pPr>
        <w:spacing w:line="240" w:lineRule="auto" w:before="2"/>
        <w:rPr>
          <w:rFonts w:ascii="宋体" w:hAnsi="宋体" w:cs="宋体" w:eastAsia="宋体" w:hint="default"/>
          <w:b/>
          <w:bCs/>
          <w:sz w:val="21"/>
          <w:szCs w:val="21"/>
        </w:rPr>
      </w:pPr>
    </w:p>
    <w:p>
      <w:pPr>
        <w:spacing w:line="20" w:lineRule="exact"/>
        <w:ind w:left="2906" w:right="0" w:firstLine="0"/>
        <w:rPr>
          <w:rFonts w:ascii="宋体" w:hAnsi="宋体" w:cs="宋体" w:eastAsia="宋体" w:hint="default"/>
          <w:sz w:val="2"/>
          <w:szCs w:val="2"/>
        </w:rPr>
      </w:pPr>
      <w:r>
        <w:rPr>
          <w:rFonts w:ascii="宋体" w:hAnsi="宋体" w:cs="宋体" w:eastAsia="宋体" w:hint="default"/>
          <w:sz w:val="2"/>
          <w:szCs w:val="2"/>
        </w:rPr>
        <w:pict>
          <v:group style="width:391.5pt;height:.5pt;mso-position-horizontal-relative:char;mso-position-vertical-relative:line" coordorigin="0,0" coordsize="7830,10">
            <v:group style="position:absolute;left:5;top:5;width:7821;height:2" coordorigin="5,5" coordsize="7821,2">
              <v:shape style="position:absolute;left:5;top:5;width:7821;height:2" coordorigin="5,5" coordsize="7821,0" path="m5,5l7825,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tabs>
          <w:tab w:pos="4433" w:val="left" w:leader="none"/>
          <w:tab w:pos="6413" w:val="left" w:leader="none"/>
          <w:tab w:pos="8510" w:val="left" w:leader="none"/>
          <w:tab w:pos="10451" w:val="left" w:leader="none"/>
        </w:tabs>
        <w:spacing w:before="44"/>
        <w:ind w:left="147" w:right="0" w:firstLine="0"/>
        <w:jc w:val="left"/>
        <w:rPr>
          <w:rFonts w:ascii="Times New Roman" w:hAnsi="Times New Roman" w:cs="Times New Roman" w:eastAsia="Times New Roman" w:hint="default"/>
          <w:sz w:val="18"/>
          <w:szCs w:val="18"/>
        </w:rPr>
      </w:pPr>
      <w:r>
        <w:rPr/>
        <w:pict>
          <v:shape style="position:absolute;margin-left:39.650002pt;margin-top:-68.542656pt;width:530.2pt;height:71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5"/>
                    <w:gridCol w:w="761"/>
                    <w:gridCol w:w="420"/>
                    <w:gridCol w:w="1381"/>
                    <w:gridCol w:w="1994"/>
                    <w:gridCol w:w="1936"/>
                    <w:gridCol w:w="2048"/>
                    <w:gridCol w:w="1459"/>
                  </w:tblGrid>
                  <w:tr>
                    <w:trPr>
                      <w:trHeight w:val="459" w:hRule="exact"/>
                    </w:trPr>
                    <w:tc>
                      <w:tcPr>
                        <w:tcW w:w="605" w:type="dxa"/>
                        <w:vMerge w:val="restart"/>
                        <w:tcBorders>
                          <w:top w:val="nil" w:sz="6" w:space="0" w:color="auto"/>
                          <w:left w:val="nil" w:sz="6" w:space="0" w:color="auto"/>
                          <w:right w:val="nil" w:sz="6" w:space="0" w:color="auto"/>
                        </w:tcBorders>
                      </w:tcPr>
                      <w:p>
                        <w:pPr/>
                      </w:p>
                    </w:tc>
                    <w:tc>
                      <w:tcPr>
                        <w:tcW w:w="76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项</w:t>
                        </w:r>
                      </w:p>
                    </w:tc>
                    <w:tc>
                      <w:tcPr>
                        <w:tcW w:w="42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38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36"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59"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459" w:type="dxa"/>
                        <w:tcBorders>
                          <w:top w:val="nil" w:sz="6" w:space="0" w:color="auto"/>
                          <w:left w:val="nil" w:sz="6" w:space="0" w:color="auto"/>
                          <w:bottom w:val="nil" w:sz="6" w:space="0" w:color="auto"/>
                          <w:right w:val="nil" w:sz="6" w:space="0" w:color="auto"/>
                        </w:tcBorders>
                      </w:tcPr>
                      <w:p>
                        <w:pPr/>
                      </w:p>
                    </w:tc>
                  </w:tr>
                  <w:tr>
                    <w:trPr>
                      <w:trHeight w:val="177" w:hRule="exact"/>
                    </w:trPr>
                    <w:tc>
                      <w:tcPr>
                        <w:tcW w:w="605" w:type="dxa"/>
                        <w:vMerge/>
                        <w:tcBorders>
                          <w:left w:val="nil" w:sz="6" w:space="0" w:color="auto"/>
                          <w:bottom w:val="nil" w:sz="6" w:space="0" w:color="auto"/>
                          <w:right w:val="nil" w:sz="6" w:space="0" w:color="auto"/>
                        </w:tcBorders>
                      </w:tcPr>
                      <w:p>
                        <w:pPr/>
                      </w:p>
                    </w:tc>
                    <w:tc>
                      <w:tcPr>
                        <w:tcW w:w="761" w:type="dxa"/>
                        <w:tcBorders>
                          <w:top w:val="single" w:sz="4" w:space="0" w:color="000000"/>
                          <w:left w:val="nil" w:sz="6" w:space="0" w:color="auto"/>
                          <w:bottom w:val="nil" w:sz="6" w:space="0" w:color="auto"/>
                          <w:right w:val="nil" w:sz="6" w:space="0" w:color="auto"/>
                        </w:tcBorders>
                      </w:tcPr>
                      <w:p>
                        <w:pPr/>
                      </w:p>
                    </w:tc>
                    <w:tc>
                      <w:tcPr>
                        <w:tcW w:w="420" w:type="dxa"/>
                        <w:tcBorders>
                          <w:top w:val="single" w:sz="4" w:space="0" w:color="000000"/>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170" w:lineRule="exact"/>
                          <w:ind w:left="1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048"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170" w:lineRule="exact"/>
                          <w:ind w:left="8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8"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42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208" w:right="0"/>
                          <w:jc w:val="left"/>
                          <w:rPr>
                            <w:rFonts w:ascii="Times New Roman" w:hAnsi="Times New Roman" w:cs="Times New Roman" w:eastAsia="Times New Roman" w:hint="default"/>
                            <w:sz w:val="18"/>
                            <w:szCs w:val="18"/>
                          </w:rPr>
                        </w:pPr>
                        <w:r>
                          <w:rPr>
                            <w:rFonts w:ascii="Times New Roman"/>
                            <w:sz w:val="18"/>
                          </w:rPr>
                          <w:t>882,497,531.13</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614"/>
                          <w:jc w:val="right"/>
                          <w:rPr>
                            <w:rFonts w:ascii="Times New Roman" w:hAnsi="Times New Roman" w:cs="Times New Roman" w:eastAsia="Times New Roman" w:hint="default"/>
                            <w:sz w:val="18"/>
                            <w:szCs w:val="18"/>
                          </w:rPr>
                        </w:pPr>
                        <w:r>
                          <w:rPr>
                            <w:rFonts w:ascii="Times New Roman"/>
                            <w:spacing w:val="-1"/>
                            <w:sz w:val="18"/>
                          </w:rPr>
                          <w:t>814,334,887.91</w:t>
                        </w: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220" w:right="0"/>
                          <w:jc w:val="left"/>
                          <w:rPr>
                            <w:rFonts w:ascii="Times New Roman" w:hAnsi="Times New Roman" w:cs="Times New Roman" w:eastAsia="Times New Roman" w:hint="default"/>
                            <w:sz w:val="18"/>
                            <w:szCs w:val="18"/>
                          </w:rPr>
                        </w:pPr>
                        <w:r>
                          <w:rPr>
                            <w:rFonts w:ascii="Times New Roman"/>
                            <w:sz w:val="18"/>
                          </w:rPr>
                          <w:t>1,202,008,991.75</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13" w:right="0"/>
                          <w:jc w:val="left"/>
                          <w:rPr>
                            <w:rFonts w:ascii="Times New Roman" w:hAnsi="Times New Roman" w:cs="Times New Roman" w:eastAsia="Times New Roman" w:hint="default"/>
                            <w:sz w:val="18"/>
                            <w:szCs w:val="18"/>
                          </w:rPr>
                        </w:pPr>
                        <w:r>
                          <w:rPr>
                            <w:rFonts w:ascii="Times New Roman"/>
                            <w:sz w:val="18"/>
                          </w:rPr>
                          <w:t>1,088,234,908.87</w:t>
                        </w:r>
                      </w:p>
                    </w:tc>
                  </w:tr>
                  <w:tr>
                    <w:trPr>
                      <w:trHeight w:val="365"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商</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42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3" w:right="0"/>
                          <w:jc w:val="left"/>
                          <w:rPr>
                            <w:rFonts w:ascii="Times New Roman" w:hAnsi="Times New Roman" w:cs="Times New Roman" w:eastAsia="Times New Roman" w:hint="default"/>
                            <w:sz w:val="18"/>
                            <w:szCs w:val="18"/>
                          </w:rPr>
                        </w:pPr>
                        <w:r>
                          <w:rPr>
                            <w:rFonts w:ascii="Times New Roman"/>
                            <w:sz w:val="18"/>
                          </w:rPr>
                          <w:t>---</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14"/>
                          <w:jc w:val="right"/>
                          <w:rPr>
                            <w:rFonts w:ascii="Times New Roman" w:hAnsi="Times New Roman" w:cs="Times New Roman" w:eastAsia="Times New Roman" w:hint="default"/>
                            <w:sz w:val="18"/>
                            <w:szCs w:val="18"/>
                          </w:rPr>
                        </w:pPr>
                        <w:r>
                          <w:rPr>
                            <w:rFonts w:ascii="Times New Roman"/>
                            <w:sz w:val="18"/>
                          </w:rPr>
                          <w:t>---</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00" w:right="0"/>
                          <w:jc w:val="left"/>
                          <w:rPr>
                            <w:rFonts w:ascii="Times New Roman" w:hAnsi="Times New Roman" w:cs="Times New Roman" w:eastAsia="Times New Roman" w:hint="default"/>
                            <w:sz w:val="18"/>
                            <w:szCs w:val="18"/>
                          </w:rPr>
                        </w:pPr>
                        <w:r>
                          <w:rPr>
                            <w:rFonts w:ascii="Times New Roman"/>
                            <w:sz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3"/>
                          <w:jc w:val="righ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tab/>
      </w:r>
      <w:r>
        <w:rPr>
          <w:rFonts w:ascii="Times New Roman" w:hAnsi="Times New Roman" w:cs="Times New Roman" w:eastAsia="Times New Roman" w:hint="default"/>
          <w:sz w:val="18"/>
          <w:szCs w:val="18"/>
        </w:rPr>
        <w:t>---</w:t>
        <w:tab/>
        <w:t>---</w:t>
        <w:tab/>
        <w:t>---</w:t>
        <w:tab/>
        <w:t>---</w:t>
      </w:r>
    </w:p>
    <w:p>
      <w:pPr>
        <w:spacing w:after="0"/>
        <w:jc w:val="left"/>
        <w:rPr>
          <w:rFonts w:ascii="Times New Roman" w:hAnsi="Times New Roman" w:cs="Times New Roman" w:eastAsia="Times New Roman" w:hint="default"/>
          <w:sz w:val="18"/>
          <w:szCs w:val="18"/>
        </w:rPr>
        <w:sectPr>
          <w:pgSz w:w="11910" w:h="16840"/>
          <w:pgMar w:header="918" w:footer="950" w:top="1160" w:bottom="1140" w:left="680" w:right="380"/>
        </w:sectPr>
      </w:pPr>
    </w:p>
    <w:p>
      <w:pPr>
        <w:spacing w:line="240" w:lineRule="auto" w:before="10"/>
        <w:rPr>
          <w:rFonts w:ascii="Times New Roman" w:hAnsi="Times New Roman" w:cs="Times New Roman" w:eastAsia="Times New Roman" w:hint="default"/>
          <w:sz w:val="25"/>
          <w:szCs w:val="25"/>
        </w:rPr>
      </w:pPr>
      <w:r>
        <w:rPr/>
        <w:pict>
          <v:group style="position:absolute;margin-left:303.359985pt;margin-top:594.539978pt;width:201pt;height:.75pt;mso-position-horizontal-relative:page;mso-position-vertical-relative:page;z-index:-623008" coordorigin="6067,11891" coordsize="4020,15">
            <v:group style="position:absolute;left:6074;top:11898;width:2010;height:2" coordorigin="6074,11898" coordsize="2010,2">
              <v:shape style="position:absolute;left:6074;top:11898;width:2010;height:2" coordorigin="6074,11898" coordsize="2010,0" path="m6074,11898l8084,11898e" filled="false" stroked="true" strokeweight=".72pt" strokecolor="#000000">
                <v:path arrowok="t"/>
              </v:shape>
            </v:group>
            <v:group style="position:absolute;left:8070;top:11898;width:105;height:2" coordorigin="8070,11898" coordsize="105,2">
              <v:shape style="position:absolute;left:8070;top:11898;width:105;height:2" coordorigin="8070,11898" coordsize="105,0" path="m8070,11898l8174,11898e" filled="false" stroked="true" strokeweight=".72pt" strokecolor="#000000">
                <v:path arrowok="t"/>
              </v:shape>
            </v:group>
            <v:group style="position:absolute;left:8174;top:11898;width:1906;height:2" coordorigin="8174,11898" coordsize="1906,2">
              <v:shape style="position:absolute;left:8174;top:11898;width:1906;height:2" coordorigin="8174,11898" coordsize="1906,0" path="m8174,11898l10080,11898e" filled="false" stroked="true" strokeweight=".72pt" strokecolor="#000000">
                <v:path arrowok="t"/>
              </v:shape>
            </v:group>
            <w10:wrap type="none"/>
          </v:group>
        </w:pict>
      </w:r>
    </w:p>
    <w:p>
      <w:pPr>
        <w:tabs>
          <w:tab w:pos="4393" w:val="left" w:leader="none"/>
          <w:tab w:pos="6373" w:val="left" w:leader="none"/>
          <w:tab w:pos="8470" w:val="left" w:leader="none"/>
          <w:tab w:pos="10411" w:val="left" w:leader="none"/>
        </w:tabs>
        <w:spacing w:before="44"/>
        <w:ind w:left="108"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(4)</w:t>
      </w:r>
      <w:r>
        <w:rPr>
          <w:rFonts w:ascii="宋体" w:hAnsi="宋体" w:cs="宋体" w:eastAsia="宋体" w:hint="default"/>
          <w:w w:val="95"/>
          <w:sz w:val="18"/>
          <w:szCs w:val="18"/>
        </w:rPr>
        <w:t>旅游饮食服务业</w:t>
        <w:tab/>
      </w:r>
      <w:r>
        <w:rPr>
          <w:rFonts w:ascii="Times New Roman" w:hAnsi="Times New Roman" w:cs="Times New Roman" w:eastAsia="Times New Roman" w:hint="default"/>
          <w:sz w:val="18"/>
          <w:szCs w:val="18"/>
        </w:rPr>
        <w:t>---</w:t>
        <w:tab/>
        <w:t>---</w:t>
        <w:tab/>
        <w:t>---</w:t>
        <w:tab/>
        <w:t>---</w:t>
      </w:r>
    </w:p>
    <w:p>
      <w:pPr>
        <w:tabs>
          <w:tab w:pos="1618" w:val="left" w:leader="none"/>
          <w:tab w:pos="3448" w:val="left" w:leader="none"/>
          <w:tab w:pos="5428" w:val="left" w:leader="none"/>
          <w:tab w:pos="7390" w:val="left" w:leader="none"/>
          <w:tab w:pos="9331" w:val="left" w:leader="none"/>
        </w:tabs>
        <w:spacing w:before="90"/>
        <w:ind w:left="10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w:t>
        <w:tab/>
        <w:t>计</w:t>
        <w:tab/>
      </w:r>
      <w:r>
        <w:rPr>
          <w:rFonts w:ascii="Times New Roman" w:hAnsi="Times New Roman" w:cs="Times New Roman" w:eastAsia="Times New Roman" w:hint="default"/>
          <w:spacing w:val="-1"/>
          <w:sz w:val="18"/>
          <w:szCs w:val="18"/>
        </w:rPr>
        <w:t>882,497,531.13</w:t>
        <w:tab/>
        <w:t>814,334,887.91</w:t>
        <w:tab/>
        <w:t>1,202,008,991.75</w:t>
        <w:tab/>
        <w:t>1,088,234,908.87</w:t>
      </w:r>
    </w:p>
    <w:p>
      <w:pPr>
        <w:spacing w:line="240" w:lineRule="auto" w:before="6"/>
        <w:rPr>
          <w:rFonts w:ascii="Times New Roman" w:hAnsi="Times New Roman" w:cs="Times New Roman" w:eastAsia="Times New Roman" w:hint="default"/>
          <w:sz w:val="2"/>
          <w:szCs w:val="2"/>
        </w:rPr>
      </w:pPr>
    </w:p>
    <w:p>
      <w:pPr>
        <w:tabs>
          <w:tab w:pos="4905" w:val="left" w:leader="none"/>
          <w:tab w:pos="8982" w:val="left" w:leader="none"/>
        </w:tabs>
        <w:spacing w:line="20" w:lineRule="exact"/>
        <w:ind w:left="2866" w:right="0" w:firstLine="0"/>
        <w:rPr>
          <w:rFonts w:ascii="Times New Roman" w:hAnsi="Times New Roman" w:cs="Times New Roman" w:eastAsia="Times New Roman" w:hint="default"/>
          <w:sz w:val="2"/>
          <w:szCs w:val="2"/>
        </w:rPr>
      </w:pPr>
      <w:r>
        <w:rPr>
          <w:rFonts w:ascii="Times New Roman"/>
          <w:sz w:val="2"/>
        </w:rPr>
        <w:pict>
          <v:group style="width:90.6pt;height:.5pt;mso-position-horizontal-relative:char;mso-position-vertical-relative:line" coordorigin="0,0" coordsize="1812,10">
            <v:group style="position:absolute;left:5;top:5;width:1803;height:2" coordorigin="5,5" coordsize="1803,2">
              <v:shape style="position:absolute;left:5;top:5;width:1803;height:2" coordorigin="5,5" coordsize="1803,0" path="m5,5l1807,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192.5pt;height:.5pt;mso-position-horizontal-relative:char;mso-position-vertical-relative:line" coordorigin="0,0" coordsize="3850,10">
            <v:group style="position:absolute;left:5;top:5;width:3840;height:2" coordorigin="5,5" coordsize="3840,2">
              <v:shape style="position:absolute;left:5;top:5;width:3840;height:2" coordorigin="5,5" coordsize="3840,0" path="m5,5l3845,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85.75pt;height:.5pt;mso-position-horizontal-relative:char;mso-position-vertical-relative:line" coordorigin="0,0" coordsize="1715,10">
            <v:group style="position:absolute;left:5;top:5;width:1706;height:2" coordorigin="5,5" coordsize="1706,2">
              <v:shape style="position:absolute;left:5;top:5;width:1706;height:2" coordorigin="5,5" coordsize="1706,0" path="m5,5l1710,5e" filled="false" stroked="true" strokeweight=".48004pt" strokecolor="#000000">
                <v:path arrowok="t"/>
              </v:shape>
            </v:group>
          </v:group>
        </w:pict>
      </w:r>
      <w:r>
        <w:rPr>
          <w:rFonts w:ascii="Times New Roman"/>
          <w:sz w:val="2"/>
        </w:rPr>
      </w:r>
    </w:p>
    <w:p>
      <w:pPr>
        <w:tabs>
          <w:tab w:pos="4393" w:val="left" w:leader="none"/>
          <w:tab w:pos="6373" w:val="left" w:leader="none"/>
          <w:tab w:pos="8470" w:val="left" w:leader="none"/>
          <w:tab w:pos="10411" w:val="left" w:leader="none"/>
        </w:tabs>
        <w:spacing w:before="51"/>
        <w:ind w:left="1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公司内各业务分部相互抵销</w:t>
        <w:tab/>
      </w:r>
      <w:r>
        <w:rPr>
          <w:rFonts w:ascii="Times New Roman" w:hAnsi="Times New Roman" w:cs="Times New Roman" w:eastAsia="Times New Roman" w:hint="default"/>
          <w:sz w:val="18"/>
          <w:szCs w:val="18"/>
        </w:rPr>
        <w:t>---</w:t>
        <w:tab/>
        <w:t>---</w:t>
        <w:tab/>
        <w:t>---</w:t>
        <w:tab/>
        <w:t>---</w:t>
      </w:r>
    </w:p>
    <w:p>
      <w:pPr>
        <w:tabs>
          <w:tab w:pos="1618" w:val="left" w:leader="none"/>
          <w:tab w:pos="3448" w:val="left" w:leader="none"/>
          <w:tab w:pos="5428" w:val="left" w:leader="none"/>
          <w:tab w:pos="7390" w:val="left" w:leader="none"/>
          <w:tab w:pos="9331" w:val="left" w:leader="none"/>
        </w:tabs>
        <w:spacing w:before="90"/>
        <w:ind w:left="10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882,497,531.13</w:t>
        <w:tab/>
        <w:t>814,334,887.91</w:t>
        <w:tab/>
        <w:t>1,202,008,991.75</w:t>
        <w:tab/>
        <w:t>1,088,234,908.87</w:t>
      </w:r>
    </w:p>
    <w:p>
      <w:pPr>
        <w:spacing w:line="240" w:lineRule="auto" w:before="6"/>
        <w:rPr>
          <w:rFonts w:ascii="Times New Roman" w:hAnsi="Times New Roman" w:cs="Times New Roman" w:eastAsia="Times New Roman" w:hint="default"/>
          <w:sz w:val="2"/>
          <w:szCs w:val="2"/>
        </w:rPr>
      </w:pPr>
    </w:p>
    <w:p>
      <w:pPr>
        <w:tabs>
          <w:tab w:pos="4888" w:val="left" w:leader="none"/>
          <w:tab w:pos="8964" w:val="left" w:leader="none"/>
        </w:tabs>
        <w:spacing w:line="104" w:lineRule="exact"/>
        <w:ind w:left="2849" w:right="0" w:firstLine="0"/>
        <w:rPr>
          <w:rFonts w:ascii="Times New Roman" w:hAnsi="Times New Roman" w:cs="Times New Roman" w:eastAsia="Times New Roman" w:hint="default"/>
          <w:sz w:val="10"/>
          <w:szCs w:val="10"/>
        </w:rPr>
      </w:pPr>
      <w:r>
        <w:rPr>
          <w:rFonts w:ascii="Times New Roman"/>
          <w:position w:val="-1"/>
          <w:sz w:val="10"/>
        </w:rPr>
        <w:pict>
          <v:group style="width:92.35pt;height:5.25pt;mso-position-horizontal-relative:char;mso-position-vertical-relative:line" coordorigin="0,0" coordsize="1847,105">
            <v:group style="position:absolute;left:15;top:89;width:1817;height:2" coordorigin="15,89" coordsize="1817,2">
              <v:shape style="position:absolute;left:15;top:89;width:1817;height:2" coordorigin="15,89" coordsize="1817,0" path="m15,89l1832,89e" filled="false" stroked="true" strokeweight="1.5pt" strokecolor="#000000">
                <v:path arrowok="t"/>
              </v:shape>
            </v:group>
            <v:group style="position:absolute;left:15;top:7;width:1817;height:2" coordorigin="15,7" coordsize="1817,2">
              <v:shape style="position:absolute;left:15;top:7;width:1817;height:2" coordorigin="15,7" coordsize="1817,0" path="m15,7l1832,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194.25pt;height:5.25pt;mso-position-horizontal-relative:char;mso-position-vertical-relative:line" coordorigin="0,0" coordsize="3885,105">
            <v:group style="position:absolute;left:15;top:89;width:1758;height:2" coordorigin="15,89" coordsize="1758,2">
              <v:shape style="position:absolute;left:15;top:89;width:1758;height:2" coordorigin="15,89" coordsize="1758,0" path="m15,89l1773,89e" filled="false" stroked="true" strokeweight="1.5pt" strokecolor="#000000">
                <v:path arrowok="t"/>
              </v:shape>
            </v:group>
            <v:group style="position:absolute;left:15;top:7;width:1758;height:2" coordorigin="15,7" coordsize="1758,2">
              <v:shape style="position:absolute;left:15;top:7;width:1758;height:2" coordorigin="15,7" coordsize="1758,0" path="m15,7l1773,7e" filled="false" stroked="true" strokeweight=".72003pt" strokecolor="#000000">
                <v:path arrowok="t"/>
              </v:shape>
            </v:group>
            <v:group style="position:absolute;left:1759;top:7;width:105;height:2" coordorigin="1759,7" coordsize="105,2">
              <v:shape style="position:absolute;left:1759;top:7;width:105;height:2" coordorigin="1759,7" coordsize="105,0" path="m1759,7l1863,7e" filled="false" stroked="true" strokeweight=".72003pt" strokecolor="#000000">
                <v:path arrowok="t"/>
              </v:shape>
            </v:group>
            <v:group style="position:absolute;left:1759;top:89;width:2111;height:2" coordorigin="1759,89" coordsize="2111,2">
              <v:shape style="position:absolute;left:1759;top:89;width:2111;height:2" coordorigin="1759,89" coordsize="2111,0" path="m1759,89l3869,89e" filled="false" stroked="true" strokeweight="1.5pt" strokecolor="#000000">
                <v:path arrowok="t"/>
              </v:shape>
            </v:group>
            <v:group style="position:absolute;left:1863;top:7;width:2007;height:2" coordorigin="1863,7" coordsize="2007,2">
              <v:shape style="position:absolute;left:1863;top:7;width:2007;height:2" coordorigin="1863,7" coordsize="2007,0" path="m1863,7l3869,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87.5pt;height:5.25pt;mso-position-horizontal-relative:char;mso-position-vertical-relative:line" coordorigin="0,0" coordsize="1750,105">
            <v:group style="position:absolute;left:15;top:89;width:1720;height:2" coordorigin="15,89" coordsize="1720,2">
              <v:shape style="position:absolute;left:15;top:89;width:1720;height:2" coordorigin="15,89" coordsize="1720,0" path="m15,89l1735,89e" filled="false" stroked="true" strokeweight="1.5pt" strokecolor="#000000">
                <v:path arrowok="t"/>
              </v:shape>
            </v:group>
            <v:group style="position:absolute;left:15;top:7;width:1720;height:2" coordorigin="15,7" coordsize="1720,2">
              <v:shape style="position:absolute;left:15;top:7;width:1720;height:2" coordorigin="15,7" coordsize="1720,0" path="m15,7l1735,7e" filled="false" stroked="true" strokeweight=".72003pt" strokecolor="#000000">
                <v:path arrowok="t"/>
              </v:shape>
            </v:group>
          </v:group>
        </w:pict>
      </w:r>
      <w:r>
        <w:rPr>
          <w:rFonts w:ascii="Times New Roman"/>
          <w:position w:val="-1"/>
          <w:sz w:val="10"/>
        </w:rPr>
      </w:r>
    </w:p>
    <w:p>
      <w:pPr>
        <w:spacing w:before="27"/>
        <w:ind w:left="1500" w:right="0" w:firstLine="0"/>
        <w:jc w:val="left"/>
        <w:rPr>
          <w:rFonts w:ascii="宋体" w:hAnsi="宋体" w:cs="宋体" w:eastAsia="宋体" w:hint="default"/>
          <w:sz w:val="21"/>
          <w:szCs w:val="21"/>
        </w:rPr>
      </w:pPr>
      <w:r>
        <w:rPr>
          <w:rFonts w:ascii="宋体" w:hAnsi="宋体" w:cs="宋体" w:eastAsia="宋体" w:hint="default"/>
          <w:sz w:val="21"/>
          <w:szCs w:val="21"/>
        </w:rPr>
        <w:t>2、按地区类别列示主营业务收入、主营业务成本</w:t>
      </w:r>
    </w:p>
    <w:p>
      <w:pPr>
        <w:tabs>
          <w:tab w:pos="8098" w:val="left" w:leader="none"/>
        </w:tabs>
        <w:spacing w:before="101"/>
        <w:ind w:left="4405" w:right="0" w:firstLine="0"/>
        <w:jc w:val="left"/>
        <w:rPr>
          <w:rFonts w:ascii="宋体" w:hAnsi="宋体" w:cs="宋体" w:eastAsia="宋体" w:hint="default"/>
          <w:sz w:val="18"/>
          <w:szCs w:val="18"/>
        </w:rPr>
      </w:pPr>
      <w:r>
        <w:rPr/>
        <w:pict>
          <v:shape style="position:absolute;margin-left:103.07pt;margin-top:15.298262pt;width:454.55pt;height:89.85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
                    <w:gridCol w:w="419"/>
                    <w:gridCol w:w="830"/>
                    <w:gridCol w:w="278"/>
                    <w:gridCol w:w="1345"/>
                    <w:gridCol w:w="235"/>
                    <w:gridCol w:w="338"/>
                    <w:gridCol w:w="1717"/>
                    <w:gridCol w:w="1375"/>
                    <w:gridCol w:w="294"/>
                    <w:gridCol w:w="368"/>
                    <w:gridCol w:w="1433"/>
                  </w:tblGrid>
                  <w:tr>
                    <w:trPr>
                      <w:trHeight w:val="210" w:hRule="exact"/>
                    </w:trPr>
                    <w:tc>
                      <w:tcPr>
                        <w:tcW w:w="456" w:type="dxa"/>
                        <w:tcBorders>
                          <w:top w:val="nil" w:sz="6" w:space="0" w:color="auto"/>
                          <w:left w:val="nil" w:sz="6" w:space="0" w:color="auto"/>
                          <w:bottom w:val="single" w:sz="4" w:space="0" w:color="000000"/>
                          <w:right w:val="nil" w:sz="6" w:space="0" w:color="auto"/>
                        </w:tcBorders>
                      </w:tcPr>
                      <w:p>
                        <w:pPr>
                          <w:pStyle w:val="TableParagraph"/>
                          <w:spacing w:line="210" w:lineRule="exact"/>
                          <w:ind w:right="208"/>
                          <w:jc w:val="right"/>
                          <w:rPr>
                            <w:rFonts w:ascii="宋体" w:hAnsi="宋体" w:cs="宋体" w:eastAsia="宋体" w:hint="default"/>
                            <w:sz w:val="21"/>
                            <w:szCs w:val="21"/>
                          </w:rPr>
                        </w:pPr>
                        <w:r>
                          <w:rPr>
                            <w:rFonts w:ascii="宋体" w:hAnsi="宋体" w:cs="宋体" w:eastAsia="宋体" w:hint="default"/>
                            <w:sz w:val="21"/>
                            <w:szCs w:val="21"/>
                          </w:rPr>
                          <w:t>项</w:t>
                        </w:r>
                      </w:p>
                    </w:tc>
                    <w:tc>
                      <w:tcPr>
                        <w:tcW w:w="419" w:type="dxa"/>
                        <w:tcBorders>
                          <w:top w:val="nil" w:sz="6" w:space="0" w:color="auto"/>
                          <w:left w:val="nil" w:sz="6" w:space="0" w:color="auto"/>
                          <w:bottom w:val="single" w:sz="4" w:space="0" w:color="000000"/>
                          <w:right w:val="nil" w:sz="6" w:space="0" w:color="auto"/>
                        </w:tcBorders>
                      </w:tcPr>
                      <w:p>
                        <w:pPr>
                          <w:pStyle w:val="TableParagraph"/>
                          <w:spacing w:line="210" w:lineRule="exact"/>
                          <w:ind w:left="209" w:right="0"/>
                          <w:jc w:val="left"/>
                          <w:rPr>
                            <w:rFonts w:ascii="宋体" w:hAnsi="宋体" w:cs="宋体" w:eastAsia="宋体" w:hint="default"/>
                            <w:sz w:val="21"/>
                            <w:szCs w:val="21"/>
                          </w:rPr>
                        </w:pPr>
                        <w:r>
                          <w:rPr>
                            <w:rFonts w:ascii="宋体" w:hAnsi="宋体" w:cs="宋体" w:eastAsia="宋体" w:hint="default"/>
                            <w:sz w:val="21"/>
                            <w:szCs w:val="21"/>
                          </w:rPr>
                          <w:t>目</w:t>
                        </w:r>
                      </w:p>
                    </w:tc>
                    <w:tc>
                      <w:tcPr>
                        <w:tcW w:w="8215" w:type="dxa"/>
                        <w:gridSpan w:val="10"/>
                        <w:tcBorders>
                          <w:top w:val="nil" w:sz="6" w:space="0" w:color="auto"/>
                          <w:left w:val="nil" w:sz="6" w:space="0" w:color="auto"/>
                          <w:bottom w:val="nil" w:sz="6" w:space="0" w:color="auto"/>
                          <w:right w:val="nil" w:sz="6" w:space="0" w:color="auto"/>
                        </w:tcBorders>
                      </w:tcPr>
                      <w:p>
                        <w:pPr/>
                      </w:p>
                    </w:tc>
                  </w:tr>
                  <w:tr>
                    <w:trPr>
                      <w:trHeight w:val="177" w:hRule="exact"/>
                    </w:trPr>
                    <w:tc>
                      <w:tcPr>
                        <w:tcW w:w="456" w:type="dxa"/>
                        <w:tcBorders>
                          <w:top w:val="single" w:sz="4" w:space="0" w:color="000000"/>
                          <w:left w:val="nil" w:sz="6" w:space="0" w:color="auto"/>
                          <w:bottom w:val="nil" w:sz="6" w:space="0" w:color="auto"/>
                          <w:right w:val="nil" w:sz="6" w:space="0" w:color="auto"/>
                        </w:tcBorders>
                      </w:tcPr>
                      <w:p>
                        <w:pPr/>
                      </w:p>
                    </w:tc>
                    <w:tc>
                      <w:tcPr>
                        <w:tcW w:w="419" w:type="dxa"/>
                        <w:tcBorders>
                          <w:top w:val="single" w:sz="4" w:space="0" w:color="000000"/>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5"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4" w:type="dxa"/>
                        <w:tcBorders>
                          <w:top w:val="nil" w:sz="6" w:space="0" w:color="auto"/>
                          <w:left w:val="nil" w:sz="6" w:space="0" w:color="auto"/>
                          <w:bottom w:val="nil" w:sz="6" w:space="0" w:color="auto"/>
                          <w:right w:val="nil" w:sz="6" w:space="0" w:color="auto"/>
                        </w:tcBorders>
                      </w:tcPr>
                      <w:p>
                        <w:pPr/>
                      </w:p>
                    </w:tc>
                    <w:tc>
                      <w:tcPr>
                        <w:tcW w:w="36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8" w:hRule="exact"/>
                    </w:trPr>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8"/>
                          <w:jc w:val="right"/>
                          <w:rPr>
                            <w:rFonts w:ascii="宋体" w:hAnsi="宋体" w:cs="宋体" w:eastAsia="宋体" w:hint="default"/>
                            <w:sz w:val="18"/>
                            <w:szCs w:val="18"/>
                          </w:rPr>
                        </w:pPr>
                        <w:r>
                          <w:rPr>
                            <w:rFonts w:ascii="宋体" w:hAnsi="宋体" w:cs="宋体" w:eastAsia="宋体" w:hint="default"/>
                            <w:sz w:val="18"/>
                            <w:szCs w:val="18"/>
                          </w:rPr>
                          <w:t>深</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9" w:right="0"/>
                          <w:jc w:val="left"/>
                          <w:rPr>
                            <w:rFonts w:ascii="宋体" w:hAnsi="宋体" w:cs="宋体" w:eastAsia="宋体" w:hint="default"/>
                            <w:sz w:val="18"/>
                            <w:szCs w:val="18"/>
                          </w:rPr>
                        </w:pPr>
                        <w:r>
                          <w:rPr>
                            <w:rFonts w:ascii="宋体" w:hAnsi="宋体" w:cs="宋体" w:eastAsia="宋体" w:hint="default"/>
                            <w:sz w:val="18"/>
                            <w:szCs w:val="18"/>
                          </w:rPr>
                          <w:t>圳</w:t>
                        </w:r>
                      </w:p>
                    </w:tc>
                    <w:tc>
                      <w:tcPr>
                        <w:tcW w:w="83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97"/>
                          <w:jc w:val="right"/>
                          <w:rPr>
                            <w:rFonts w:ascii="Times New Roman" w:hAnsi="Times New Roman" w:cs="Times New Roman" w:eastAsia="Times New Roman" w:hint="default"/>
                            <w:sz w:val="18"/>
                            <w:szCs w:val="18"/>
                          </w:rPr>
                        </w:pPr>
                        <w:r>
                          <w:rPr>
                            <w:rFonts w:ascii="Times New Roman"/>
                            <w:spacing w:val="-1"/>
                            <w:sz w:val="18"/>
                          </w:rPr>
                          <w:t>842,618,676.45</w:t>
                        </w:r>
                      </w:p>
                    </w:tc>
                    <w:tc>
                      <w:tcPr>
                        <w:tcW w:w="235"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410"/>
                          <w:jc w:val="right"/>
                          <w:rPr>
                            <w:rFonts w:ascii="Times New Roman" w:hAnsi="Times New Roman" w:cs="Times New Roman" w:eastAsia="Times New Roman" w:hint="default"/>
                            <w:sz w:val="18"/>
                            <w:szCs w:val="18"/>
                          </w:rPr>
                        </w:pPr>
                        <w:r>
                          <w:rPr>
                            <w:rFonts w:ascii="Times New Roman"/>
                            <w:spacing w:val="-1"/>
                            <w:sz w:val="18"/>
                          </w:rPr>
                          <w:t>767,687,255.19</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5" w:right="0"/>
                          <w:jc w:val="left"/>
                          <w:rPr>
                            <w:rFonts w:ascii="Times New Roman" w:hAnsi="Times New Roman" w:cs="Times New Roman" w:eastAsia="Times New Roman" w:hint="default"/>
                            <w:sz w:val="18"/>
                            <w:szCs w:val="18"/>
                          </w:rPr>
                        </w:pPr>
                        <w:r>
                          <w:rPr>
                            <w:rFonts w:ascii="Times New Roman"/>
                            <w:sz w:val="18"/>
                          </w:rPr>
                          <w:t>1,197,428,515.25</w:t>
                        </w:r>
                      </w:p>
                    </w:tc>
                    <w:tc>
                      <w:tcPr>
                        <w:tcW w:w="294" w:type="dxa"/>
                        <w:tcBorders>
                          <w:top w:val="nil" w:sz="6" w:space="0" w:color="auto"/>
                          <w:left w:val="nil" w:sz="6" w:space="0" w:color="auto"/>
                          <w:bottom w:val="nil" w:sz="6" w:space="0" w:color="auto"/>
                          <w:right w:val="nil" w:sz="6" w:space="0" w:color="auto"/>
                        </w:tcBorders>
                      </w:tcPr>
                      <w:p>
                        <w:pPr/>
                      </w:p>
                    </w:tc>
                    <w:tc>
                      <w:tcPr>
                        <w:tcW w:w="368"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97"/>
                          <w:jc w:val="right"/>
                          <w:rPr>
                            <w:rFonts w:ascii="Times New Roman" w:hAnsi="Times New Roman" w:cs="Times New Roman" w:eastAsia="Times New Roman" w:hint="default"/>
                            <w:sz w:val="18"/>
                            <w:szCs w:val="18"/>
                          </w:rPr>
                        </w:pPr>
                        <w:r>
                          <w:rPr>
                            <w:rFonts w:ascii="Times New Roman"/>
                            <w:spacing w:val="-1"/>
                            <w:sz w:val="18"/>
                          </w:rPr>
                          <w:t>1,082,612,848.33</w:t>
                        </w:r>
                      </w:p>
                    </w:tc>
                  </w:tr>
                  <w:tr>
                    <w:trPr>
                      <w:trHeight w:val="340" w:hRule="exact"/>
                    </w:trPr>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8"/>
                          <w:jc w:val="right"/>
                          <w:rPr>
                            <w:rFonts w:ascii="宋体" w:hAnsi="宋体" w:cs="宋体" w:eastAsia="宋体" w:hint="default"/>
                            <w:sz w:val="18"/>
                            <w:szCs w:val="18"/>
                          </w:rPr>
                        </w:pPr>
                        <w:r>
                          <w:rPr>
                            <w:rFonts w:ascii="宋体" w:hAnsi="宋体" w:cs="宋体" w:eastAsia="宋体" w:hint="default"/>
                            <w:sz w:val="18"/>
                            <w:szCs w:val="18"/>
                          </w:rPr>
                          <w:t>无</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9" w:right="0"/>
                          <w:jc w:val="left"/>
                          <w:rPr>
                            <w:rFonts w:ascii="宋体" w:hAnsi="宋体" w:cs="宋体" w:eastAsia="宋体" w:hint="default"/>
                            <w:sz w:val="18"/>
                            <w:szCs w:val="18"/>
                          </w:rPr>
                        </w:pPr>
                        <w:r>
                          <w:rPr>
                            <w:rFonts w:ascii="宋体" w:hAnsi="宋体" w:cs="宋体" w:eastAsia="宋体" w:hint="default"/>
                            <w:sz w:val="18"/>
                            <w:szCs w:val="18"/>
                          </w:rPr>
                          <w:t>锡</w:t>
                        </w:r>
                      </w:p>
                    </w:tc>
                    <w:tc>
                      <w:tcPr>
                        <w:tcW w:w="83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41,004,778.77</w:t>
                        </w:r>
                      </w:p>
                    </w:tc>
                    <w:tc>
                      <w:tcPr>
                        <w:tcW w:w="235"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1"/>
                          <w:jc w:val="right"/>
                          <w:rPr>
                            <w:rFonts w:ascii="Times New Roman" w:hAnsi="Times New Roman" w:cs="Times New Roman" w:eastAsia="Times New Roman" w:hint="default"/>
                            <w:sz w:val="18"/>
                            <w:szCs w:val="18"/>
                          </w:rPr>
                        </w:pPr>
                        <w:r>
                          <w:rPr>
                            <w:rFonts w:ascii="Times New Roman"/>
                            <w:spacing w:val="-1"/>
                            <w:sz w:val="18"/>
                          </w:rPr>
                          <w:t>47,773,556.81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5,045,708.28</w:t>
                        </w:r>
                      </w:p>
                    </w:tc>
                    <w:tc>
                      <w:tcPr>
                        <w:tcW w:w="294" w:type="dxa"/>
                        <w:tcBorders>
                          <w:top w:val="nil" w:sz="6" w:space="0" w:color="auto"/>
                          <w:left w:val="nil" w:sz="6" w:space="0" w:color="auto"/>
                          <w:bottom w:val="nil" w:sz="6" w:space="0" w:color="auto"/>
                          <w:right w:val="nil" w:sz="6" w:space="0" w:color="auto"/>
                        </w:tcBorders>
                      </w:tcPr>
                      <w:p>
                        <w:pPr/>
                      </w:p>
                    </w:tc>
                    <w:tc>
                      <w:tcPr>
                        <w:tcW w:w="36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10,488,871.99</w:t>
                        </w:r>
                      </w:p>
                    </w:tc>
                  </w:tr>
                  <w:tr>
                    <w:trPr>
                      <w:trHeight w:val="340" w:hRule="exact"/>
                    </w:trPr>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8"/>
                          <w:jc w:val="right"/>
                          <w:rPr>
                            <w:rFonts w:ascii="宋体" w:hAnsi="宋体" w:cs="宋体" w:eastAsia="宋体" w:hint="default"/>
                            <w:sz w:val="18"/>
                            <w:szCs w:val="18"/>
                          </w:rPr>
                        </w:pPr>
                        <w:r>
                          <w:rPr>
                            <w:rFonts w:ascii="宋体" w:hAnsi="宋体" w:cs="宋体" w:eastAsia="宋体" w:hint="default"/>
                            <w:sz w:val="18"/>
                            <w:szCs w:val="18"/>
                          </w:rPr>
                          <w:t>香</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9" w:right="0"/>
                          <w:jc w:val="left"/>
                          <w:rPr>
                            <w:rFonts w:ascii="宋体" w:hAnsi="宋体" w:cs="宋体" w:eastAsia="宋体" w:hint="default"/>
                            <w:sz w:val="18"/>
                            <w:szCs w:val="18"/>
                          </w:rPr>
                        </w:pPr>
                        <w:r>
                          <w:rPr>
                            <w:rFonts w:ascii="宋体" w:hAnsi="宋体" w:cs="宋体" w:eastAsia="宋体" w:hint="default"/>
                            <w:sz w:val="18"/>
                            <w:szCs w:val="18"/>
                          </w:rPr>
                          <w:t>港</w:t>
                        </w:r>
                      </w:p>
                    </w:tc>
                    <w:tc>
                      <w:tcPr>
                        <w:tcW w:w="83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4,044,955.91</w:t>
                        </w:r>
                      </w:p>
                    </w:tc>
                    <w:tc>
                      <w:tcPr>
                        <w:tcW w:w="235"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4,299,629.90</w:t>
                        </w:r>
                      </w:p>
                    </w:tc>
                    <w:tc>
                      <w:tcPr>
                        <w:tcW w:w="294" w:type="dxa"/>
                        <w:tcBorders>
                          <w:top w:val="nil" w:sz="6" w:space="0" w:color="auto"/>
                          <w:left w:val="nil" w:sz="6" w:space="0" w:color="auto"/>
                          <w:bottom w:val="nil" w:sz="6" w:space="0" w:color="auto"/>
                          <w:right w:val="nil" w:sz="6" w:space="0" w:color="auto"/>
                        </w:tcBorders>
                      </w:tcPr>
                      <w:p>
                        <w:pPr/>
                      </w:p>
                    </w:tc>
                    <w:tc>
                      <w:tcPr>
                        <w:tcW w:w="368"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302" w:hRule="exact"/>
                    </w:trPr>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宋体" w:hAnsi="宋体" w:cs="宋体" w:eastAsia="宋体" w:hint="default"/>
                            <w:sz w:val="18"/>
                            <w:szCs w:val="18"/>
                          </w:rPr>
                        </w:pPr>
                        <w:r>
                          <w:rPr>
                            <w:rFonts w:ascii="宋体" w:hAnsi="宋体" w:cs="宋体" w:eastAsia="宋体" w:hint="default"/>
                            <w:sz w:val="18"/>
                            <w:szCs w:val="18"/>
                          </w:rPr>
                          <w:t>小</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83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single" w:sz="4" w:space="0" w:color="000000"/>
                          <w:right w:val="nil" w:sz="6" w:space="0" w:color="auto"/>
                        </w:tcBorders>
                      </w:tcPr>
                      <w:p>
                        <w:pP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887,668,411.13</w:t>
                        </w:r>
                      </w:p>
                    </w:tc>
                    <w:tc>
                      <w:tcPr>
                        <w:tcW w:w="235" w:type="dxa"/>
                        <w:tcBorders>
                          <w:top w:val="nil" w:sz="6" w:space="0" w:color="auto"/>
                          <w:left w:val="nil" w:sz="6" w:space="0" w:color="auto"/>
                          <w:bottom w:val="nil" w:sz="6" w:space="0" w:color="auto"/>
                          <w:right w:val="nil" w:sz="6" w:space="0" w:color="auto"/>
                        </w:tcBorders>
                      </w:tcPr>
                      <w:p>
                        <w:pPr/>
                      </w:p>
                    </w:tc>
                    <w:tc>
                      <w:tcPr>
                        <w:tcW w:w="338" w:type="dxa"/>
                        <w:tcBorders>
                          <w:top w:val="nil" w:sz="6" w:space="0" w:color="auto"/>
                          <w:left w:val="nil" w:sz="6" w:space="0" w:color="auto"/>
                          <w:bottom w:val="single" w:sz="4" w:space="0" w:color="000000"/>
                          <w:right w:val="nil" w:sz="6" w:space="0" w:color="auto"/>
                        </w:tcBorders>
                      </w:tcPr>
                      <w:p>
                        <w:pP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10"/>
                          <w:jc w:val="right"/>
                          <w:rPr>
                            <w:rFonts w:ascii="Times New Roman" w:hAnsi="Times New Roman" w:cs="Times New Roman" w:eastAsia="Times New Roman" w:hint="default"/>
                            <w:sz w:val="18"/>
                            <w:szCs w:val="18"/>
                          </w:rPr>
                        </w:pPr>
                        <w:r>
                          <w:rPr>
                            <w:rFonts w:ascii="Times New Roman"/>
                            <w:spacing w:val="-1"/>
                            <w:sz w:val="18"/>
                          </w:rPr>
                          <w:t>815,460,812.00</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5" w:right="0"/>
                          <w:jc w:val="left"/>
                          <w:rPr>
                            <w:rFonts w:ascii="Times New Roman" w:hAnsi="Times New Roman" w:cs="Times New Roman" w:eastAsia="Times New Roman" w:hint="default"/>
                            <w:sz w:val="18"/>
                            <w:szCs w:val="18"/>
                          </w:rPr>
                        </w:pPr>
                        <w:r>
                          <w:rPr>
                            <w:rFonts w:ascii="Times New Roman"/>
                            <w:sz w:val="18"/>
                          </w:rPr>
                          <w:t>1,206,773,853.43</w:t>
                        </w:r>
                      </w:p>
                    </w:tc>
                    <w:tc>
                      <w:tcPr>
                        <w:tcW w:w="294" w:type="dxa"/>
                        <w:tcBorders>
                          <w:top w:val="nil" w:sz="6" w:space="0" w:color="auto"/>
                          <w:left w:val="nil" w:sz="6" w:space="0" w:color="auto"/>
                          <w:bottom w:val="nil" w:sz="6" w:space="0" w:color="auto"/>
                          <w:right w:val="nil" w:sz="6" w:space="0" w:color="auto"/>
                        </w:tcBorders>
                      </w:tcPr>
                      <w:p>
                        <w:pPr/>
                      </w:p>
                    </w:tc>
                    <w:tc>
                      <w:tcPr>
                        <w:tcW w:w="368" w:type="dxa"/>
                        <w:tcBorders>
                          <w:top w:val="nil" w:sz="6" w:space="0" w:color="auto"/>
                          <w:left w:val="nil" w:sz="6" w:space="0" w:color="auto"/>
                          <w:bottom w:val="single" w:sz="4" w:space="0" w:color="000000"/>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1,093,101,720.32</w:t>
                        </w:r>
                      </w:p>
                    </w:tc>
                  </w:tr>
                </w:tbl>
                <w:p>
                  <w:pPr/>
                </w:p>
              </w:txbxContent>
            </v:textbox>
            <w10:wrap type="none"/>
          </v:shape>
        </w:pict>
      </w:r>
      <w:r>
        <w:rPr>
          <w:rFonts w:ascii="宋体" w:hAnsi="宋体" w:cs="宋体" w:eastAsia="宋体" w:hint="default"/>
          <w:sz w:val="18"/>
          <w:szCs w:val="18"/>
        </w:rPr>
        <w:t>本年发生额</w:t>
        <w:tab/>
        <w:t>上年发生额</w:t>
      </w:r>
    </w:p>
    <w:p>
      <w:pPr>
        <w:spacing w:line="240" w:lineRule="auto" w:before="3"/>
        <w:rPr>
          <w:rFonts w:ascii="宋体" w:hAnsi="宋体" w:cs="宋体" w:eastAsia="宋体" w:hint="default"/>
          <w:sz w:val="3"/>
          <w:szCs w:val="3"/>
        </w:rPr>
      </w:pPr>
    </w:p>
    <w:p>
      <w:pPr>
        <w:spacing w:line="20" w:lineRule="exact"/>
        <w:ind w:left="3042" w:right="0" w:firstLine="0"/>
        <w:rPr>
          <w:rFonts w:ascii="宋体" w:hAnsi="宋体" w:cs="宋体" w:eastAsia="宋体" w:hint="default"/>
          <w:sz w:val="2"/>
          <w:szCs w:val="2"/>
        </w:rPr>
      </w:pPr>
      <w:r>
        <w:rPr>
          <w:rFonts w:ascii="宋体" w:hAnsi="宋体" w:cs="宋体" w:eastAsia="宋体" w:hint="default"/>
          <w:sz w:val="2"/>
          <w:szCs w:val="2"/>
        </w:rPr>
        <w:pict>
          <v:group style="width:369.75pt;height:.5pt;mso-position-horizontal-relative:char;mso-position-vertical-relative:line" coordorigin="0,0" coordsize="7395,10">
            <v:group style="position:absolute;left:5;top:5;width:3614;height:2" coordorigin="5,5" coordsize="3614,2">
              <v:shape style="position:absolute;left:5;top:5;width:3614;height:2" coordorigin="5,5" coordsize="3614,0" path="m5,5l3618,5e" filled="false" stroked="true" strokeweight=".47998pt" strokecolor="#000000">
                <v:path arrowok="t"/>
              </v:shape>
            </v:group>
            <v:group style="position:absolute;left:3618;top:5;width:1677;height:2" coordorigin="3618,5" coordsize="1677,2">
              <v:shape style="position:absolute;left:3618;top:5;width:1677;height:2" coordorigin="3618,5" coordsize="1677,0" path="m3618,5l5294,5e" filled="false" stroked="true" strokeweight=".48pt" strokecolor="#000000">
                <v:path arrowok="t"/>
              </v:shape>
            </v:group>
            <v:group style="position:absolute;left:5294;top:5;width:2096;height:2" coordorigin="5294,5" coordsize="2096,2">
              <v:shape style="position:absolute;left:5294;top:5;width:2096;height:2" coordorigin="5294,5" coordsize="2096,0" path="m5294,5l7390,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tabs>
          <w:tab w:pos="3623" w:val="left" w:leader="none"/>
          <w:tab w:pos="5602" w:val="left" w:leader="none"/>
          <w:tab w:pos="7290" w:val="left" w:leader="none"/>
          <w:tab w:pos="9386" w:val="left" w:leader="none"/>
        </w:tabs>
        <w:spacing w:before="0"/>
        <w:ind w:left="64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公司内各业务分部相互抵销</w:t>
        <w:tab/>
      </w:r>
      <w:r>
        <w:rPr>
          <w:rFonts w:ascii="Times New Roman" w:hAnsi="Times New Roman" w:cs="Times New Roman" w:eastAsia="Times New Roman" w:hint="default"/>
          <w:spacing w:val="-1"/>
          <w:sz w:val="18"/>
          <w:szCs w:val="18"/>
        </w:rPr>
        <w:t>5,170,880.00</w:t>
        <w:tab/>
        <w:t>1,125,924.09</w:t>
        <w:tab/>
        <w:t>4,764,861.68</w:t>
        <w:tab/>
        <w:t>4,866,811.45</w:t>
      </w:r>
    </w:p>
    <w:p>
      <w:pPr>
        <w:tabs>
          <w:tab w:pos="1931" w:val="left" w:leader="none"/>
          <w:tab w:pos="3445" w:val="left" w:leader="none"/>
          <w:tab w:pos="5423" w:val="left" w:leader="none"/>
          <w:tab w:pos="6976" w:val="left" w:leader="none"/>
          <w:tab w:pos="9071" w:val="left" w:leader="none"/>
        </w:tabs>
        <w:spacing w:before="91"/>
        <w:ind w:left="148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882,497,531.13</w:t>
        <w:tab/>
        <w:t>814,334,887.91</w:t>
        <w:tab/>
        <w:t>1,202,008,991.75</w:t>
        <w:tab/>
        <w:t>1,088,234,908.87</w:t>
      </w:r>
    </w:p>
    <w:p>
      <w:pPr>
        <w:spacing w:line="240" w:lineRule="auto" w:before="5"/>
        <w:rPr>
          <w:rFonts w:ascii="Times New Roman" w:hAnsi="Times New Roman" w:cs="Times New Roman" w:eastAsia="Times New Roman" w:hint="default"/>
          <w:sz w:val="2"/>
          <w:szCs w:val="2"/>
        </w:rPr>
      </w:pPr>
    </w:p>
    <w:p>
      <w:pPr>
        <w:tabs>
          <w:tab w:pos="4883" w:val="left" w:leader="none"/>
          <w:tab w:pos="8608" w:val="left" w:leader="none"/>
        </w:tabs>
        <w:spacing w:line="104" w:lineRule="exact"/>
        <w:ind w:left="3024" w:right="0" w:firstLine="0"/>
        <w:rPr>
          <w:rFonts w:ascii="Times New Roman" w:hAnsi="Times New Roman" w:cs="Times New Roman" w:eastAsia="Times New Roman" w:hint="default"/>
          <w:sz w:val="10"/>
          <w:szCs w:val="10"/>
        </w:rPr>
      </w:pPr>
      <w:r>
        <w:rPr>
          <w:rFonts w:ascii="Times New Roman"/>
          <w:position w:val="-1"/>
          <w:sz w:val="10"/>
        </w:rPr>
        <w:pict>
          <v:group style="width:83.4pt;height:5.25pt;mso-position-horizontal-relative:char;mso-position-vertical-relative:line" coordorigin="0,0" coordsize="1668,105">
            <v:group style="position:absolute;left:15;top:89;width:1638;height:2" coordorigin="15,89" coordsize="1638,2">
              <v:shape style="position:absolute;left:15;top:89;width:1638;height:2" coordorigin="15,89" coordsize="1638,0" path="m15,89l1653,89e" filled="false" stroked="true" strokeweight="1.5pt" strokecolor="#000000">
                <v:path arrowok="t"/>
              </v:shape>
            </v:group>
            <v:group style="position:absolute;left:15;top:7;width:1638;height:2" coordorigin="15,7" coordsize="1638,2">
              <v:shape style="position:absolute;left:15;top:7;width:1638;height:2" coordorigin="15,7" coordsize="1638,0" path="m15,7l1653,7e" filled="false" stroked="true" strokeweight=".72003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173.8pt;height:5.25pt;mso-position-horizontal-relative:char;mso-position-vertical-relative:line" coordorigin="0,0" coordsize="3476,105">
            <v:group style="position:absolute;left:15;top:89;width:1760;height:2" coordorigin="15,89" coordsize="1760,2">
              <v:shape style="position:absolute;left:15;top:89;width:1760;height:2" coordorigin="15,89" coordsize="1760,0" path="m15,89l1774,89e" filled="false" stroked="true" strokeweight="1.5pt" strokecolor="#000000">
                <v:path arrowok="t"/>
              </v:shape>
            </v:group>
            <v:group style="position:absolute;left:15;top:7;width:1760;height:2" coordorigin="15,7" coordsize="1760,2">
              <v:shape style="position:absolute;left:15;top:7;width:1760;height:2" coordorigin="15,7" coordsize="1760,0" path="m15,7l1774,7e" filled="false" stroked="true" strokeweight=".72003pt" strokecolor="#000000">
                <v:path arrowok="t"/>
              </v:shape>
            </v:group>
            <v:group style="position:absolute;left:1760;top:7;width:105;height:2" coordorigin="1760,7" coordsize="105,2">
              <v:shape style="position:absolute;left:1760;top:7;width:105;height:2" coordorigin="1760,7" coordsize="105,0" path="m1760,7l1864,7e" filled="false" stroked="true" strokeweight=".72003pt" strokecolor="#000000">
                <v:path arrowok="t"/>
              </v:shape>
            </v:group>
            <v:group style="position:absolute;left:1760;top:89;width:105;height:2" coordorigin="1760,89" coordsize="105,2">
              <v:shape style="position:absolute;left:1760;top:89;width:105;height:2" coordorigin="1760,89" coordsize="105,0" path="m1760,89l1864,89e" filled="false" stroked="true" strokeweight="1.5pt" strokecolor="#000000">
                <v:path arrowok="t"/>
              </v:shape>
            </v:group>
            <v:group style="position:absolute;left:1864;top:89;width:1596;height:2" coordorigin="1864,89" coordsize="1596,2">
              <v:shape style="position:absolute;left:1864;top:89;width:1596;height:2" coordorigin="1864,89" coordsize="1596,0" path="m1864,89l3460,89e" filled="false" stroked="true" strokeweight="1.5pt" strokecolor="#000000">
                <v:path arrowok="t"/>
              </v:shape>
            </v:group>
            <v:group style="position:absolute;left:1864;top:7;width:1596;height:2" coordorigin="1864,7" coordsize="1596,2">
              <v:shape style="position:absolute;left:1864;top:7;width:1596;height:2" coordorigin="1864,7" coordsize="1596,0" path="m1864,7l3460,7e" filled="false" stroked="true" strokeweight=".72pt" strokecolor="#000000">
                <v:path arrowok="t"/>
              </v:shape>
            </v:group>
          </v:group>
        </w:pict>
      </w:r>
      <w:r>
        <w:rPr>
          <w:rFonts w:ascii="Times New Roman"/>
          <w:position w:val="-1"/>
          <w:sz w:val="10"/>
        </w:rPr>
      </w:r>
      <w:r>
        <w:rPr>
          <w:rFonts w:ascii="Times New Roman"/>
          <w:position w:val="-1"/>
          <w:sz w:val="10"/>
        </w:rPr>
        <w:tab/>
      </w:r>
      <w:r>
        <w:rPr>
          <w:rFonts w:ascii="Times New Roman"/>
          <w:position w:val="-1"/>
          <w:sz w:val="10"/>
        </w:rPr>
        <w:pict>
          <v:group style="width:92.3pt;height:5.25pt;mso-position-horizontal-relative:char;mso-position-vertical-relative:line" coordorigin="0,0" coordsize="1846,105">
            <v:group style="position:absolute;left:15;top:89;width:1816;height:2" coordorigin="15,89" coordsize="1816,2">
              <v:shape style="position:absolute;left:15;top:89;width:1816;height:2" coordorigin="15,89" coordsize="1816,0" path="m15,89l1831,89e" filled="false" stroked="true" strokeweight="1.5pt" strokecolor="#000000">
                <v:path arrowok="t"/>
              </v:shape>
            </v:group>
            <v:group style="position:absolute;left:15;top:7;width:1816;height:2" coordorigin="15,7" coordsize="1816,2">
              <v:shape style="position:absolute;left:15;top:7;width:1816;height:2" coordorigin="15,7" coordsize="1816,0" path="m15,7l1831,7e" filled="false" stroked="true" strokeweight=".72003pt" strokecolor="#000000">
                <v:path arrowok="t"/>
              </v:shape>
            </v:group>
          </v:group>
        </w:pict>
      </w:r>
      <w:r>
        <w:rPr>
          <w:rFonts w:ascii="Times New Roman"/>
          <w:position w:val="-1"/>
          <w:sz w:val="10"/>
        </w:rPr>
      </w:r>
    </w:p>
    <w:p>
      <w:pPr>
        <w:spacing w:before="27"/>
        <w:ind w:left="1500" w:right="0" w:firstLine="0"/>
        <w:jc w:val="left"/>
        <w:rPr>
          <w:rFonts w:ascii="宋体" w:hAnsi="宋体" w:cs="宋体" w:eastAsia="宋体" w:hint="default"/>
          <w:sz w:val="21"/>
          <w:szCs w:val="21"/>
        </w:rPr>
      </w:pPr>
      <w:r>
        <w:rPr>
          <w:rFonts w:ascii="宋体" w:hAnsi="宋体" w:cs="宋体" w:eastAsia="宋体" w:hint="default"/>
          <w:sz w:val="21"/>
          <w:szCs w:val="21"/>
        </w:rPr>
        <w:t>3、公司向前五名客户的主营业务收入情况</w:t>
      </w:r>
    </w:p>
    <w:p>
      <w:pPr>
        <w:spacing w:line="240" w:lineRule="auto" w:before="4"/>
        <w:rPr>
          <w:rFonts w:ascii="宋体" w:hAnsi="宋体" w:cs="宋体" w:eastAsia="宋体" w:hint="default"/>
          <w:sz w:val="4"/>
          <w:szCs w:val="4"/>
        </w:rPr>
      </w:pPr>
    </w:p>
    <w:tbl>
      <w:tblPr>
        <w:tblW w:w="0" w:type="auto"/>
        <w:jc w:val="left"/>
        <w:tblInd w:w="612" w:type="dxa"/>
        <w:tblLayout w:type="fixed"/>
        <w:tblCellMar>
          <w:top w:w="0" w:type="dxa"/>
          <w:left w:w="0" w:type="dxa"/>
          <w:bottom w:w="0" w:type="dxa"/>
          <w:right w:w="0" w:type="dxa"/>
        </w:tblCellMar>
        <w:tblLook w:val="01E0"/>
      </w:tblPr>
      <w:tblGrid>
        <w:gridCol w:w="3618"/>
        <w:gridCol w:w="3096"/>
        <w:gridCol w:w="2788"/>
      </w:tblGrid>
      <w:tr>
        <w:trPr>
          <w:trHeight w:val="709"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1095" w:firstLine="122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客户名称或排名</w:t>
            </w:r>
            <w:r>
              <w:rPr>
                <w:rFonts w:ascii="宋体" w:hAnsi="宋体" w:cs="宋体" w:eastAsia="宋体" w:hint="default"/>
                <w:sz w:val="18"/>
                <w:szCs w:val="18"/>
              </w:rPr>
            </w:r>
            <w:r>
              <w:rPr>
                <w:rFonts w:ascii="宋体" w:hAnsi="宋体" w:cs="宋体" w:eastAsia="宋体" w:hint="default"/>
                <w:sz w:val="18"/>
                <w:szCs w:val="18"/>
              </w:rPr>
              <w:t> 飞利浦电子（香港）有限公司</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8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主营业务收入总额</w:t>
            </w:r>
            <w:r>
              <w:rPr>
                <w:rFonts w:ascii="宋体" w:hAnsi="宋体" w:cs="宋体" w:eastAsia="宋体" w:hint="default"/>
                <w:sz w:val="18"/>
                <w:szCs w:val="18"/>
              </w:rPr>
            </w:r>
          </w:p>
          <w:p>
            <w:pPr>
              <w:pStyle w:val="TableParagraph"/>
              <w:spacing w:line="240" w:lineRule="auto" w:before="146"/>
              <w:ind w:left="1736" w:right="0"/>
              <w:jc w:val="left"/>
              <w:rPr>
                <w:rFonts w:ascii="Times New Roman" w:hAnsi="Times New Roman" w:cs="Times New Roman" w:eastAsia="Times New Roman" w:hint="default"/>
                <w:sz w:val="18"/>
                <w:szCs w:val="18"/>
              </w:rPr>
            </w:pPr>
            <w:r>
              <w:rPr>
                <w:rFonts w:ascii="Times New Roman"/>
                <w:sz w:val="18"/>
              </w:rPr>
              <w:t>317,690,656.80</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占公司全部主营业务收入的比例</w:t>
            </w:r>
            <w:r>
              <w:rPr>
                <w:rFonts w:ascii="宋体" w:hAnsi="宋体" w:cs="宋体" w:eastAsia="宋体" w:hint="default"/>
                <w:sz w:val="18"/>
                <w:szCs w:val="18"/>
              </w:rPr>
            </w:r>
          </w:p>
          <w:p>
            <w:pPr>
              <w:pStyle w:val="TableParagraph"/>
              <w:spacing w:line="240" w:lineRule="auto" w:before="146"/>
              <w:ind w:left="196" w:right="0"/>
              <w:jc w:val="center"/>
              <w:rPr>
                <w:rFonts w:ascii="Times New Roman" w:hAnsi="Times New Roman" w:cs="Times New Roman" w:eastAsia="Times New Roman" w:hint="default"/>
                <w:sz w:val="18"/>
                <w:szCs w:val="18"/>
              </w:rPr>
            </w:pPr>
            <w:r>
              <w:rPr>
                <w:rFonts w:ascii="Times New Roman"/>
                <w:sz w:val="18"/>
              </w:rPr>
              <w:t>35.95%</w:t>
            </w:r>
          </w:p>
        </w:tc>
      </w:tr>
      <w:tr>
        <w:trPr>
          <w:trHeight w:val="335"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t>Perception Digital (HK)</w:t>
            </w:r>
            <w:r>
              <w:rPr>
                <w:rFonts w:ascii="Times New Roman"/>
                <w:spacing w:val="-2"/>
                <w:sz w:val="18"/>
              </w:rPr>
              <w:t> </w:t>
            </w:r>
            <w:r>
              <w:rPr>
                <w:rFonts w:ascii="Times New Roman"/>
                <w:sz w:val="18"/>
              </w:rPr>
              <w:t>Ltd</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1"/>
              <w:jc w:val="right"/>
              <w:rPr>
                <w:rFonts w:ascii="Times New Roman" w:hAnsi="Times New Roman" w:cs="Times New Roman" w:eastAsia="Times New Roman" w:hint="default"/>
                <w:sz w:val="18"/>
                <w:szCs w:val="18"/>
              </w:rPr>
            </w:pPr>
            <w:r>
              <w:rPr>
                <w:rFonts w:ascii="Times New Roman"/>
                <w:spacing w:val="-1"/>
                <w:sz w:val="18"/>
              </w:rPr>
              <w:t>241,220,585.71</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15"/>
              <w:jc w:val="right"/>
              <w:rPr>
                <w:rFonts w:ascii="Times New Roman" w:hAnsi="Times New Roman" w:cs="Times New Roman" w:eastAsia="Times New Roman" w:hint="default"/>
                <w:sz w:val="18"/>
                <w:szCs w:val="18"/>
              </w:rPr>
            </w:pPr>
            <w:r>
              <w:rPr>
                <w:rFonts w:ascii="Times New Roman"/>
                <w:w w:val="95"/>
                <w:sz w:val="18"/>
              </w:rPr>
              <w:t>27.30%</w:t>
            </w:r>
            <w:r>
              <w:rPr>
                <w:rFonts w:ascii="Times New Roman"/>
                <w:sz w:val="18"/>
              </w:rPr>
            </w:r>
          </w:p>
        </w:tc>
      </w:tr>
      <w:tr>
        <w:trPr>
          <w:trHeight w:val="345"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飞利浦电子（匈牙利）有限公司</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1"/>
              <w:jc w:val="right"/>
              <w:rPr>
                <w:rFonts w:ascii="Times New Roman" w:hAnsi="Times New Roman" w:cs="Times New Roman" w:eastAsia="Times New Roman" w:hint="default"/>
                <w:sz w:val="18"/>
                <w:szCs w:val="18"/>
              </w:rPr>
            </w:pPr>
            <w:r>
              <w:rPr>
                <w:rFonts w:ascii="Times New Roman"/>
                <w:spacing w:val="-1"/>
                <w:sz w:val="18"/>
              </w:rPr>
              <w:t>148,681,718.82</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7"/>
              <w:jc w:val="right"/>
              <w:rPr>
                <w:rFonts w:ascii="Times New Roman" w:hAnsi="Times New Roman" w:cs="Times New Roman" w:eastAsia="Times New Roman" w:hint="default"/>
                <w:sz w:val="18"/>
                <w:szCs w:val="18"/>
              </w:rPr>
            </w:pPr>
            <w:r>
              <w:rPr>
                <w:rFonts w:ascii="Times New Roman"/>
                <w:w w:val="95"/>
                <w:sz w:val="18"/>
              </w:rPr>
              <w:t>16.83%</w:t>
            </w:r>
            <w:r>
              <w:rPr>
                <w:rFonts w:ascii="Times New Roman"/>
                <w:sz w:val="18"/>
              </w:rPr>
            </w:r>
          </w:p>
        </w:tc>
      </w:tr>
      <w:tr>
        <w:trPr>
          <w:trHeight w:val="335"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Times New Roman" w:hAnsi="Times New Roman" w:cs="Times New Roman" w:eastAsia="Times New Roman" w:hint="default"/>
                <w:sz w:val="18"/>
                <w:szCs w:val="18"/>
              </w:rPr>
            </w:pPr>
            <w:r>
              <w:rPr>
                <w:rFonts w:ascii="Times New Roman"/>
                <w:sz w:val="18"/>
              </w:rPr>
              <w:t>ENSEO</w:t>
            </w:r>
            <w:r>
              <w:rPr>
                <w:rFonts w:ascii="Times New Roman"/>
                <w:spacing w:val="-1"/>
                <w:sz w:val="18"/>
              </w:rPr>
              <w:t> </w:t>
            </w:r>
            <w:r>
              <w:rPr>
                <w:rFonts w:ascii="Times New Roman"/>
                <w:sz w:val="18"/>
              </w:rPr>
              <w:t>Inc</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2"/>
              <w:jc w:val="right"/>
              <w:rPr>
                <w:rFonts w:ascii="Times New Roman" w:hAnsi="Times New Roman" w:cs="Times New Roman" w:eastAsia="Times New Roman" w:hint="default"/>
                <w:sz w:val="18"/>
                <w:szCs w:val="18"/>
              </w:rPr>
            </w:pPr>
            <w:r>
              <w:rPr>
                <w:rFonts w:ascii="Times New Roman"/>
                <w:spacing w:val="-1"/>
                <w:sz w:val="18"/>
              </w:rPr>
              <w:t>67,044,769.50</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9"/>
              <w:jc w:val="right"/>
              <w:rPr>
                <w:rFonts w:ascii="Times New Roman" w:hAnsi="Times New Roman" w:cs="Times New Roman" w:eastAsia="Times New Roman" w:hint="default"/>
                <w:sz w:val="18"/>
                <w:szCs w:val="18"/>
              </w:rPr>
            </w:pPr>
            <w:r>
              <w:rPr>
                <w:rFonts w:ascii="Times New Roman"/>
                <w:sz w:val="18"/>
              </w:rPr>
              <w:t>7.59%</w:t>
            </w:r>
          </w:p>
        </w:tc>
      </w:tr>
      <w:tr>
        <w:trPr>
          <w:trHeight w:val="350"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飞利浦照明电子（上海）有限公司</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2"/>
              <w:jc w:val="right"/>
              <w:rPr>
                <w:rFonts w:ascii="Times New Roman" w:hAnsi="Times New Roman" w:cs="Times New Roman" w:eastAsia="Times New Roman" w:hint="default"/>
                <w:sz w:val="18"/>
                <w:szCs w:val="18"/>
              </w:rPr>
            </w:pPr>
            <w:r>
              <w:rPr>
                <w:rFonts w:ascii="Times New Roman"/>
                <w:spacing w:val="-1"/>
                <w:sz w:val="18"/>
              </w:rPr>
              <w:t>23,491,450.13</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0"/>
              <w:jc w:val="right"/>
              <w:rPr>
                <w:rFonts w:ascii="Times New Roman" w:hAnsi="Times New Roman" w:cs="Times New Roman" w:eastAsia="Times New Roman" w:hint="default"/>
                <w:sz w:val="18"/>
                <w:szCs w:val="18"/>
              </w:rPr>
            </w:pPr>
            <w:r>
              <w:rPr>
                <w:rFonts w:ascii="Times New Roman"/>
                <w:sz w:val="18"/>
              </w:rPr>
              <w:t>2.66%</w:t>
            </w:r>
          </w:p>
        </w:tc>
      </w:tr>
    </w:tbl>
    <w:p>
      <w:pPr>
        <w:spacing w:line="250" w:lineRule="exact" w:before="0"/>
        <w:ind w:left="1500" w:right="0" w:firstLine="0"/>
        <w:jc w:val="left"/>
        <w:rPr>
          <w:rFonts w:ascii="宋体" w:hAnsi="宋体" w:cs="宋体" w:eastAsia="宋体" w:hint="default"/>
          <w:sz w:val="21"/>
          <w:szCs w:val="21"/>
        </w:rPr>
      </w:pPr>
      <w:r>
        <w:rPr>
          <w:rFonts w:ascii="宋体" w:hAnsi="宋体" w:cs="宋体" w:eastAsia="宋体" w:hint="default"/>
          <w:sz w:val="21"/>
          <w:szCs w:val="21"/>
        </w:rPr>
        <w:t>4、营业收入本年发生额比上年发生额减少</w:t>
      </w:r>
      <w:r>
        <w:rPr>
          <w:rFonts w:ascii="宋体" w:hAnsi="宋体" w:cs="宋体" w:eastAsia="宋体" w:hint="default"/>
          <w:spacing w:val="-55"/>
          <w:sz w:val="21"/>
          <w:szCs w:val="21"/>
        </w:rPr>
        <w:t> </w:t>
      </w:r>
      <w:r>
        <w:rPr>
          <w:rFonts w:ascii="宋体" w:hAnsi="宋体" w:cs="宋体" w:eastAsia="宋体" w:hint="default"/>
          <w:sz w:val="21"/>
          <w:szCs w:val="21"/>
        </w:rPr>
        <w:t>319,115,828.39</w:t>
      </w:r>
      <w:r>
        <w:rPr>
          <w:rFonts w:ascii="宋体" w:hAnsi="宋体" w:cs="宋体" w:eastAsia="宋体" w:hint="default"/>
          <w:spacing w:val="-54"/>
          <w:sz w:val="21"/>
          <w:szCs w:val="21"/>
        </w:rPr>
        <w:t> </w:t>
      </w:r>
      <w:r>
        <w:rPr>
          <w:rFonts w:ascii="宋体" w:hAnsi="宋体" w:cs="宋体" w:eastAsia="宋体" w:hint="default"/>
          <w:sz w:val="21"/>
          <w:szCs w:val="21"/>
        </w:rPr>
        <w:t>元，减少比例为</w:t>
      </w:r>
      <w:r>
        <w:rPr>
          <w:rFonts w:ascii="宋体" w:hAnsi="宋体" w:cs="宋体" w:eastAsia="宋体" w:hint="default"/>
          <w:spacing w:val="-55"/>
          <w:sz w:val="21"/>
          <w:szCs w:val="21"/>
        </w:rPr>
        <w:t> </w:t>
      </w:r>
      <w:r>
        <w:rPr>
          <w:rFonts w:ascii="宋体" w:hAnsi="宋体" w:cs="宋体" w:eastAsia="宋体" w:hint="default"/>
          <w:sz w:val="21"/>
          <w:szCs w:val="21"/>
        </w:rPr>
        <w:t>26.53％，</w:t>
      </w:r>
    </w:p>
    <w:p>
      <w:pPr>
        <w:spacing w:before="64"/>
        <w:ind w:left="1080" w:right="0" w:firstLine="0"/>
        <w:jc w:val="left"/>
        <w:rPr>
          <w:rFonts w:ascii="宋体" w:hAnsi="宋体" w:cs="宋体" w:eastAsia="宋体" w:hint="default"/>
          <w:sz w:val="21"/>
          <w:szCs w:val="21"/>
        </w:rPr>
      </w:pPr>
      <w:r>
        <w:rPr>
          <w:rFonts w:ascii="宋体" w:hAnsi="宋体" w:cs="宋体" w:eastAsia="宋体" w:hint="default"/>
          <w:sz w:val="21"/>
          <w:szCs w:val="21"/>
        </w:rPr>
        <w:t>减少原因为：本年由于金融危机的影响，飞利浦订单减少所致。</w:t>
      </w:r>
    </w:p>
    <w:p>
      <w:pPr>
        <w:spacing w:before="64"/>
        <w:ind w:left="1502" w:right="0" w:firstLine="0"/>
        <w:jc w:val="left"/>
        <w:rPr>
          <w:rFonts w:ascii="宋体" w:hAnsi="宋体" w:cs="宋体" w:eastAsia="宋体" w:hint="default"/>
          <w:sz w:val="21"/>
          <w:szCs w:val="21"/>
        </w:rPr>
      </w:pPr>
      <w:r>
        <w:rPr>
          <w:rFonts w:ascii="宋体" w:hAnsi="宋体" w:cs="宋体" w:eastAsia="宋体" w:hint="default"/>
          <w:b/>
          <w:bCs/>
          <w:sz w:val="21"/>
          <w:szCs w:val="21"/>
        </w:rPr>
        <w:t>（三十一）营业税金及附加</w:t>
      </w:r>
      <w:r>
        <w:rPr>
          <w:rFonts w:ascii="宋体" w:hAnsi="宋体" w:cs="宋体" w:eastAsia="宋体" w:hint="default"/>
          <w:sz w:val="21"/>
          <w:szCs w:val="21"/>
        </w:rPr>
      </w:r>
    </w:p>
    <w:p>
      <w:pPr>
        <w:spacing w:line="240" w:lineRule="auto" w:before="1"/>
        <w:rPr>
          <w:rFonts w:ascii="宋体" w:hAnsi="宋体" w:cs="宋体" w:eastAsia="宋体" w:hint="default"/>
          <w:b/>
          <w:bCs/>
          <w:sz w:val="3"/>
          <w:szCs w:val="3"/>
        </w:rPr>
      </w:pPr>
    </w:p>
    <w:tbl>
      <w:tblPr>
        <w:tblW w:w="0" w:type="auto"/>
        <w:jc w:val="left"/>
        <w:tblInd w:w="1153" w:type="dxa"/>
        <w:tblLayout w:type="fixed"/>
        <w:tblCellMar>
          <w:top w:w="0" w:type="dxa"/>
          <w:left w:w="0" w:type="dxa"/>
          <w:bottom w:w="0" w:type="dxa"/>
          <w:right w:w="0" w:type="dxa"/>
        </w:tblCellMar>
        <w:tblLook w:val="01E0"/>
      </w:tblPr>
      <w:tblGrid>
        <w:gridCol w:w="2601"/>
        <w:gridCol w:w="1608"/>
        <w:gridCol w:w="2367"/>
        <w:gridCol w:w="1624"/>
      </w:tblGrid>
      <w:tr>
        <w:trPr>
          <w:trHeight w:val="721"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345" w:lineRule="auto" w:before="61"/>
              <w:ind w:left="804" w:right="125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r>
              <w:rPr>
                <w:rFonts w:ascii="宋体" w:hAnsi="宋体" w:cs="宋体" w:eastAsia="宋体" w:hint="default"/>
                <w:sz w:val="18"/>
                <w:szCs w:val="18"/>
              </w:rPr>
              <w:t> 消费税</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计税标准</w:t>
            </w:r>
            <w:r>
              <w:rPr>
                <w:rFonts w:ascii="宋体" w:hAnsi="宋体" w:cs="宋体" w:eastAsia="宋体" w:hint="default"/>
                <w:sz w:val="18"/>
                <w:szCs w:val="18"/>
              </w:rPr>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7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46"/>
              <w:ind w:right="471"/>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上年发生额</w:t>
            </w:r>
            <w:r>
              <w:rPr>
                <w:rFonts w:ascii="宋体" w:hAnsi="宋体" w:cs="宋体" w:eastAsia="宋体" w:hint="default"/>
                <w:sz w:val="21"/>
                <w:szCs w:val="21"/>
              </w:rPr>
            </w:r>
          </w:p>
          <w:p>
            <w:pPr>
              <w:pStyle w:val="TableParagraph"/>
              <w:spacing w:line="240" w:lineRule="auto" w:before="142"/>
              <w:ind w:right="98"/>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r>
      <w:tr>
        <w:trPr>
          <w:trHeight w:val="340"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0"/>
              <w:jc w:val="center"/>
              <w:rPr>
                <w:rFonts w:ascii="Times New Roman" w:hAnsi="Times New Roman" w:cs="Times New Roman" w:eastAsia="Times New Roman" w:hint="default"/>
                <w:sz w:val="18"/>
                <w:szCs w:val="18"/>
              </w:rPr>
            </w:pPr>
            <w:r>
              <w:rPr>
                <w:rFonts w:ascii="Times New Roman"/>
                <w:sz w:val="18"/>
              </w:rPr>
              <w:t>5%</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71"/>
              <w:jc w:val="right"/>
              <w:rPr>
                <w:rFonts w:ascii="Times New Roman" w:hAnsi="Times New Roman" w:cs="Times New Roman" w:eastAsia="Times New Roman" w:hint="default"/>
                <w:sz w:val="18"/>
                <w:szCs w:val="18"/>
              </w:rPr>
            </w:pPr>
            <w:r>
              <w:rPr>
                <w:rFonts w:ascii="Times New Roman"/>
                <w:sz w:val="18"/>
              </w:rPr>
              <w:t>7,868.75</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5,096.65</w:t>
            </w:r>
          </w:p>
        </w:tc>
      </w:tr>
      <w:tr>
        <w:trPr>
          <w:trHeight w:val="340"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0"/>
              <w:jc w:val="center"/>
              <w:rPr>
                <w:rFonts w:ascii="Times New Roman" w:hAnsi="Times New Roman" w:cs="Times New Roman" w:eastAsia="Times New Roman" w:hint="default"/>
                <w:sz w:val="18"/>
                <w:szCs w:val="18"/>
              </w:rPr>
            </w:pPr>
            <w:r>
              <w:rPr>
                <w:rFonts w:ascii="Times New Roman"/>
                <w:sz w:val="18"/>
              </w:rPr>
              <w:t>1%</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71"/>
              <w:jc w:val="right"/>
              <w:rPr>
                <w:rFonts w:ascii="Times New Roman" w:hAnsi="Times New Roman" w:cs="Times New Roman" w:eastAsia="Times New Roman" w:hint="default"/>
                <w:sz w:val="18"/>
                <w:szCs w:val="18"/>
              </w:rPr>
            </w:pPr>
            <w:r>
              <w:rPr>
                <w:rFonts w:ascii="Times New Roman"/>
                <w:sz w:val="18"/>
              </w:rPr>
              <w:t>9,352.52</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50.97</w:t>
            </w:r>
          </w:p>
        </w:tc>
      </w:tr>
      <w:tr>
        <w:trPr>
          <w:trHeight w:val="642"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345" w:lineRule="auto" w:before="19"/>
              <w:ind w:left="804" w:right="1074" w:hanging="180"/>
              <w:jc w:val="left"/>
              <w:rPr>
                <w:rFonts w:ascii="宋体" w:hAnsi="宋体" w:cs="宋体" w:eastAsia="宋体" w:hint="default"/>
                <w:sz w:val="18"/>
                <w:szCs w:val="18"/>
              </w:rPr>
            </w:pPr>
            <w:r>
              <w:rPr>
                <w:rFonts w:ascii="宋体" w:hAnsi="宋体" w:cs="宋体" w:eastAsia="宋体" w:hint="default"/>
                <w:sz w:val="18"/>
                <w:szCs w:val="18"/>
              </w:rPr>
              <w:t>教育费附加 资源税</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0"/>
              <w:jc w:val="center"/>
              <w:rPr>
                <w:rFonts w:ascii="Times New Roman" w:hAnsi="Times New Roman" w:cs="Times New Roman" w:eastAsia="Times New Roman" w:hint="default"/>
                <w:sz w:val="18"/>
                <w:szCs w:val="18"/>
              </w:rPr>
            </w:pPr>
            <w:r>
              <w:rPr>
                <w:rFonts w:ascii="Times New Roman"/>
                <w:sz w:val="18"/>
              </w:rPr>
              <w:t>3%</w:t>
            </w:r>
          </w:p>
        </w:tc>
        <w:tc>
          <w:tcPr>
            <w:tcW w:w="236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471"/>
              <w:jc w:val="right"/>
              <w:rPr>
                <w:rFonts w:ascii="Times New Roman" w:hAnsi="Times New Roman" w:cs="Times New Roman" w:eastAsia="Times New Roman" w:hint="default"/>
                <w:sz w:val="18"/>
                <w:szCs w:val="18"/>
              </w:rPr>
            </w:pPr>
            <w:r>
              <w:rPr>
                <w:rFonts w:ascii="Times New Roman"/>
                <w:sz w:val="18"/>
              </w:rPr>
              <w:t>32,852.43</w:t>
            </w:r>
          </w:p>
          <w:p>
            <w:pPr>
              <w:pStyle w:val="TableParagraph"/>
              <w:spacing w:line="240" w:lineRule="auto" w:before="132"/>
              <w:ind w:right="471"/>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1,305.12</w:t>
            </w:r>
          </w:p>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r>
      <w:tr>
        <w:trPr>
          <w:trHeight w:val="435"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8" w:type="dxa"/>
            <w:tcBorders>
              <w:top w:val="nil" w:sz="6" w:space="0" w:color="auto"/>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471"/>
              <w:jc w:val="right"/>
              <w:rPr>
                <w:rFonts w:ascii="Times New Roman" w:hAnsi="Times New Roman" w:cs="Times New Roman" w:eastAsia="Times New Roman" w:hint="default"/>
                <w:sz w:val="18"/>
                <w:szCs w:val="18"/>
              </w:rPr>
            </w:pPr>
            <w:r>
              <w:rPr>
                <w:rFonts w:ascii="Times New Roman"/>
                <w:sz w:val="18"/>
              </w:rPr>
              <w:t>50,073.70</w:t>
            </w: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6,452.74</w:t>
            </w:r>
          </w:p>
        </w:tc>
      </w:tr>
      <w:tr>
        <w:trPr>
          <w:trHeight w:val="395"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49" w:right="0"/>
              <w:jc w:val="left"/>
              <w:rPr>
                <w:rFonts w:ascii="宋体" w:hAnsi="宋体" w:cs="宋体" w:eastAsia="宋体" w:hint="default"/>
                <w:sz w:val="21"/>
                <w:szCs w:val="21"/>
              </w:rPr>
            </w:pPr>
            <w:r>
              <w:rPr>
                <w:rFonts w:ascii="宋体" w:hAnsi="宋体" w:cs="宋体" w:eastAsia="宋体" w:hint="default"/>
                <w:b/>
                <w:bCs/>
                <w:sz w:val="21"/>
                <w:szCs w:val="21"/>
              </w:rPr>
              <w:t>（三十二）财务费用</w:t>
            </w:r>
            <w:r>
              <w:rPr>
                <w:rFonts w:ascii="宋体" w:hAnsi="宋体" w:cs="宋体" w:eastAsia="宋体" w:hint="default"/>
                <w:sz w:val="21"/>
                <w:szCs w:val="21"/>
              </w:rPr>
            </w:r>
          </w:p>
        </w:tc>
        <w:tc>
          <w:tcPr>
            <w:tcW w:w="160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338" w:hRule="exact"/>
        </w:trPr>
        <w:tc>
          <w:tcPr>
            <w:tcW w:w="260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7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45"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left="1662" w:right="0"/>
              <w:jc w:val="left"/>
              <w:rPr>
                <w:rFonts w:ascii="Times New Roman" w:hAnsi="Times New Roman" w:cs="Times New Roman" w:eastAsia="Times New Roman" w:hint="default"/>
                <w:sz w:val="18"/>
                <w:szCs w:val="18"/>
              </w:rPr>
            </w:pPr>
            <w:r>
              <w:rPr>
                <w:rFonts w:ascii="Times New Roman"/>
                <w:sz w:val="18"/>
              </w:rPr>
              <w:t>33,396,511.89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6,965,155.60</w:t>
            </w:r>
          </w:p>
        </w:tc>
      </w:tr>
      <w:tr>
        <w:trPr>
          <w:trHeight w:val="340"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662" w:right="0"/>
              <w:jc w:val="left"/>
              <w:rPr>
                <w:rFonts w:ascii="Times New Roman" w:hAnsi="Times New Roman" w:cs="Times New Roman" w:eastAsia="Times New Roman" w:hint="default"/>
                <w:sz w:val="18"/>
                <w:szCs w:val="18"/>
              </w:rPr>
            </w:pPr>
            <w:r>
              <w:rPr>
                <w:rFonts w:ascii="Times New Roman"/>
                <w:sz w:val="18"/>
              </w:rPr>
              <w:t>22,087,465.59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1,727,347.01</w:t>
            </w:r>
          </w:p>
        </w:tc>
      </w:tr>
      <w:tr>
        <w:trPr>
          <w:trHeight w:val="340"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603" w:right="0"/>
              <w:jc w:val="left"/>
              <w:rPr>
                <w:rFonts w:ascii="Times New Roman" w:hAnsi="Times New Roman" w:cs="Times New Roman" w:eastAsia="Times New Roman" w:hint="default"/>
                <w:sz w:val="18"/>
                <w:szCs w:val="18"/>
              </w:rPr>
            </w:pPr>
            <w:r>
              <w:rPr>
                <w:rFonts w:ascii="Times New Roman"/>
                <w:sz w:val="18"/>
              </w:rPr>
              <w:t>-10,472,234.37</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988,372.72</w:t>
            </w:r>
          </w:p>
        </w:tc>
      </w:tr>
      <w:tr>
        <w:trPr>
          <w:trHeight w:val="340" w:hRule="exact"/>
        </w:trPr>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752" w:right="0"/>
              <w:jc w:val="left"/>
              <w:rPr>
                <w:rFonts w:ascii="Times New Roman" w:hAnsi="Times New Roman" w:cs="Times New Roman" w:eastAsia="Times New Roman" w:hint="default"/>
                <w:sz w:val="18"/>
                <w:szCs w:val="18"/>
              </w:rPr>
            </w:pPr>
            <w:r>
              <w:rPr>
                <w:rFonts w:ascii="Times New Roman"/>
                <w:sz w:val="18"/>
              </w:rPr>
              <w:t>2,936,737.29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250,057.67</w:t>
            </w:r>
          </w:p>
        </w:tc>
      </w:tr>
      <w:tr>
        <w:trPr>
          <w:trHeight w:val="302" w:hRule="exact"/>
        </w:trPr>
        <w:tc>
          <w:tcPr>
            <w:tcW w:w="260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397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left="2517" w:right="0"/>
              <w:jc w:val="left"/>
              <w:rPr>
                <w:rFonts w:ascii="Times New Roman" w:hAnsi="Times New Roman" w:cs="Times New Roman" w:eastAsia="Times New Roman" w:hint="default"/>
                <w:sz w:val="18"/>
                <w:szCs w:val="18"/>
              </w:rPr>
            </w:pPr>
            <w:r>
              <w:rPr>
                <w:rFonts w:ascii="Times New Roman"/>
                <w:sz w:val="18"/>
              </w:rPr>
              <w:t>---</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260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97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752" w:right="0"/>
              <w:jc w:val="left"/>
              <w:rPr>
                <w:rFonts w:ascii="Times New Roman" w:hAnsi="Times New Roman" w:cs="Times New Roman" w:eastAsia="Times New Roman" w:hint="default"/>
                <w:sz w:val="18"/>
                <w:szCs w:val="18"/>
              </w:rPr>
            </w:pPr>
            <w:r>
              <w:rPr>
                <w:rFonts w:ascii="Times New Roman"/>
                <w:sz w:val="18"/>
              </w:rPr>
              <w:t>3,773,549.22</w:t>
            </w: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6,476,238.98</w:t>
            </w:r>
          </w:p>
        </w:tc>
      </w:tr>
    </w:tbl>
    <w:p>
      <w:pPr>
        <w:spacing w:before="12"/>
        <w:ind w:left="1502" w:right="0" w:firstLine="0"/>
        <w:jc w:val="left"/>
        <w:rPr>
          <w:rFonts w:ascii="宋体" w:hAnsi="宋体" w:cs="宋体" w:eastAsia="宋体" w:hint="default"/>
          <w:sz w:val="21"/>
          <w:szCs w:val="21"/>
        </w:rPr>
      </w:pPr>
      <w:r>
        <w:rPr/>
        <w:pict>
          <v:group style="position:absolute;margin-left:222.960007pt;margin-top:-5.976029pt;width:281.4pt;height:.75pt;mso-position-horizontal-relative:page;mso-position-vertical-relative:paragraph;z-index:-622984" coordorigin="4459,-120" coordsize="5628,15">
            <v:group style="position:absolute;left:4466;top:-112;width:2814;height:2" coordorigin="4466,-112" coordsize="2814,2">
              <v:shape style="position:absolute;left:4466;top:-112;width:2814;height:2" coordorigin="4466,-112" coordsize="2814,0" path="m4466,-112l7280,-112e" filled="false" stroked="true" strokeweight=".72pt" strokecolor="#000000">
                <v:path arrowok="t"/>
              </v:shape>
            </v:group>
            <v:group style="position:absolute;left:7266;top:-112;width:105;height:2" coordorigin="7266,-112" coordsize="105,2">
              <v:shape style="position:absolute;left:7266;top:-112;width:105;height:2" coordorigin="7266,-112" coordsize="105,0" path="m7266,-112l7370,-112e" filled="false" stroked="true" strokeweight=".72pt" strokecolor="#000000">
                <v:path arrowok="t"/>
              </v:shape>
            </v:group>
            <v:group style="position:absolute;left:7370;top:-112;width:2710;height:2" coordorigin="7370,-112" coordsize="2710,2">
              <v:shape style="position:absolute;left:7370;top:-112;width:2710;height:2" coordorigin="7370,-112" coordsize="2710,0" path="m7370,-112l10080,-112e" filled="false" stroked="true" strokeweight=".72pt" strokecolor="#000000">
                <v:path arrowok="t"/>
              </v:shape>
            </v:group>
            <w10:wrap type="none"/>
          </v:group>
        </w:pict>
      </w:r>
      <w:r>
        <w:rPr>
          <w:rFonts w:ascii="宋体" w:hAnsi="宋体" w:cs="宋体" w:eastAsia="宋体" w:hint="default"/>
          <w:b/>
          <w:bCs/>
          <w:sz w:val="21"/>
          <w:szCs w:val="21"/>
        </w:rPr>
        <w:t>（三十三）资产减值损失</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18" w:footer="950" w:top="1160" w:bottom="1140" w:left="720" w:right="360"/>
        </w:sectPr>
      </w:pPr>
    </w:p>
    <w:p>
      <w:pPr>
        <w:spacing w:line="240" w:lineRule="auto" w:before="9"/>
        <w:rPr>
          <w:rFonts w:ascii="宋体" w:hAnsi="宋体" w:cs="宋体" w:eastAsia="宋体" w:hint="default"/>
          <w:b/>
          <w:bCs/>
          <w:sz w:val="22"/>
          <w:szCs w:val="22"/>
        </w:rPr>
      </w:pPr>
      <w:r>
        <w:rPr/>
        <w:pict>
          <v:group style="position:absolute;margin-left:265.319977pt;margin-top:191.519974pt;width:239.05pt;height:.75pt;mso-position-horizontal-relative:page;mso-position-vertical-relative:page;z-index:-622936" coordorigin="5306,3830" coordsize="4781,15">
            <v:group style="position:absolute;left:5314;top:3838;width:2391;height:2" coordorigin="5314,3838" coordsize="2391,2">
              <v:shape style="position:absolute;left:5314;top:3838;width:2391;height:2" coordorigin="5314,3838" coordsize="2391,0" path="m5314,3838l7704,3838e" filled="false" stroked="true" strokeweight=".72003pt" strokecolor="#000000">
                <v:path arrowok="t"/>
              </v:shape>
            </v:group>
            <v:group style="position:absolute;left:7690;top:3838;width:105;height:2" coordorigin="7690,3838" coordsize="105,2">
              <v:shape style="position:absolute;left:7690;top:3838;width:105;height:2" coordorigin="7690,3838" coordsize="105,0" path="m7690,3838l7794,3838e" filled="false" stroked="true" strokeweight=".72003pt" strokecolor="#000000">
                <v:path arrowok="t"/>
              </v:shape>
            </v:group>
            <v:group style="position:absolute;left:7794;top:3838;width:2286;height:2" coordorigin="7794,3838" coordsize="2286,2">
              <v:shape style="position:absolute;left:7794;top:3838;width:2286;height:2" coordorigin="7794,3838" coordsize="2286,0" path="m7794,3838l10080,3838e" filled="false" stroked="true" strokeweight=".72003pt" strokecolor="#000000">
                <v:path arrowok="t"/>
              </v:shape>
            </v:group>
            <w10:wrap type="none"/>
          </v:group>
        </w:pict>
      </w:r>
    </w:p>
    <w:tbl>
      <w:tblPr>
        <w:tblW w:w="0" w:type="auto"/>
        <w:jc w:val="left"/>
        <w:tblInd w:w="212" w:type="dxa"/>
        <w:tblLayout w:type="fixed"/>
        <w:tblCellMar>
          <w:top w:w="0" w:type="dxa"/>
          <w:left w:w="0" w:type="dxa"/>
          <w:bottom w:w="0" w:type="dxa"/>
          <w:right w:w="0" w:type="dxa"/>
        </w:tblCellMar>
        <w:tblLook w:val="01E0"/>
      </w:tblPr>
      <w:tblGrid>
        <w:gridCol w:w="3448"/>
        <w:gridCol w:w="164"/>
        <w:gridCol w:w="2195"/>
        <w:gridCol w:w="101"/>
        <w:gridCol w:w="2191"/>
        <w:gridCol w:w="101"/>
      </w:tblGrid>
      <w:tr>
        <w:trPr>
          <w:trHeight w:val="287" w:hRule="exact"/>
        </w:trPr>
        <w:tc>
          <w:tcPr>
            <w:tcW w:w="3448" w:type="dxa"/>
            <w:tcBorders>
              <w:top w:val="nil" w:sz="6" w:space="0" w:color="auto"/>
              <w:left w:val="nil" w:sz="6" w:space="0" w:color="auto"/>
              <w:bottom w:val="single" w:sz="4" w:space="0" w:color="000000"/>
              <w:right w:val="nil" w:sz="6" w:space="0" w:color="auto"/>
            </w:tcBorders>
          </w:tcPr>
          <w:p>
            <w:pPr>
              <w:pStyle w:val="TableParagraph"/>
              <w:tabs>
                <w:tab w:pos="539" w:val="left" w:leader="none"/>
              </w:tabs>
              <w:spacing w:line="240" w:lineRule="auto" w:before="44"/>
              <w:ind w:right="6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2"/>
              <w:jc w:val="right"/>
              <w:rPr>
                <w:rFonts w:ascii="宋体" w:hAnsi="宋体" w:cs="宋体" w:eastAsia="宋体" w:hint="default"/>
                <w:sz w:val="18"/>
                <w:szCs w:val="18"/>
              </w:rPr>
            </w:pPr>
            <w:r>
              <w:rPr>
                <w:rFonts w:ascii="宋体" w:hAnsi="宋体" w:cs="宋体" w:eastAsia="宋体" w:hint="default"/>
                <w:sz w:val="18"/>
                <w:szCs w:val="18"/>
              </w:rPr>
              <w:t>本年发生额</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上年发生额</w:t>
            </w:r>
          </w:p>
        </w:tc>
        <w:tc>
          <w:tcPr>
            <w:tcW w:w="101" w:type="dxa"/>
            <w:tcBorders>
              <w:top w:val="nil" w:sz="6" w:space="0" w:color="auto"/>
              <w:left w:val="nil" w:sz="6" w:space="0" w:color="auto"/>
              <w:bottom w:val="nil" w:sz="6" w:space="0" w:color="auto"/>
              <w:right w:val="nil" w:sz="6" w:space="0" w:color="auto"/>
            </w:tcBorders>
          </w:tcPr>
          <w:p>
            <w:pPr/>
          </w:p>
        </w:tc>
      </w:tr>
      <w:tr>
        <w:trPr>
          <w:trHeight w:val="418" w:hRule="exact"/>
        </w:trPr>
        <w:tc>
          <w:tcPr>
            <w:tcW w:w="344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、坏账损失</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82"/>
              <w:jc w:val="right"/>
              <w:rPr>
                <w:rFonts w:ascii="Times New Roman" w:hAnsi="Times New Roman" w:cs="Times New Roman" w:eastAsia="Times New Roman" w:hint="default"/>
                <w:sz w:val="18"/>
                <w:szCs w:val="18"/>
              </w:rPr>
            </w:pPr>
            <w:r>
              <w:rPr>
                <w:rFonts w:ascii="Times New Roman"/>
                <w:spacing w:val="-1"/>
                <w:sz w:val="18"/>
              </w:rPr>
              <w:t>-6,904,710.55</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10,864,609.07</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、存货跌价损失</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z w:val="18"/>
              </w:rPr>
              <w:t>899,845.35</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708,393.85</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、长期股权投资减值损失</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Times New Roman" w:hAnsi="Times New Roman" w:cs="Times New Roman" w:eastAsia="Times New Roman" w:hint="default"/>
                <w:sz w:val="18"/>
                <w:szCs w:val="18"/>
              </w:rPr>
            </w:pPr>
            <w:r>
              <w:rPr>
                <w:rFonts w:ascii="Times New Roman"/>
                <w:spacing w:val="-1"/>
                <w:sz w:val="18"/>
              </w:rPr>
              <w:t>10,775,441.11</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、固定资产减值损失</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02" w:hRule="exact"/>
        </w:trPr>
        <w:tc>
          <w:tcPr>
            <w:tcW w:w="3448"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w:t>
              <w:tab/>
              <w:t>他</w:t>
            </w:r>
          </w:p>
        </w:tc>
        <w:tc>
          <w:tcPr>
            <w:tcW w:w="164" w:type="dxa"/>
            <w:tcBorders>
              <w:top w:val="nil" w:sz="6" w:space="0" w:color="auto"/>
              <w:left w:val="nil" w:sz="6" w:space="0" w:color="auto"/>
              <w:bottom w:val="single" w:sz="4" w:space="0" w:color="000000"/>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single" w:sz="4" w:space="0" w:color="000000"/>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1" w:type="dxa"/>
            <w:tcBorders>
              <w:top w:val="nil" w:sz="6" w:space="0" w:color="auto"/>
              <w:left w:val="nil" w:sz="6" w:space="0" w:color="auto"/>
              <w:bottom w:val="single" w:sz="4" w:space="0" w:color="000000"/>
              <w:right w:val="nil" w:sz="6" w:space="0" w:color="auto"/>
            </w:tcBorders>
          </w:tcPr>
          <w:p>
            <w:pPr/>
          </w:p>
        </w:tc>
      </w:tr>
      <w:tr>
        <w:trPr>
          <w:trHeight w:val="435" w:hRule="exact"/>
        </w:trPr>
        <w:tc>
          <w:tcPr>
            <w:tcW w:w="344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 w:type="dxa"/>
            <w:tcBorders>
              <w:top w:val="single" w:sz="4" w:space="0" w:color="000000"/>
              <w:left w:val="nil" w:sz="6" w:space="0" w:color="auto"/>
              <w:bottom w:val="single" w:sz="12" w:space="0" w:color="000000"/>
              <w:right w:val="nil" w:sz="6" w:space="0" w:color="auto"/>
            </w:tcBorders>
          </w:tcPr>
          <w:p>
            <w:pPr/>
          </w:p>
        </w:tc>
        <w:tc>
          <w:tcPr>
            <w:tcW w:w="21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82"/>
              <w:jc w:val="right"/>
              <w:rPr>
                <w:rFonts w:ascii="Times New Roman" w:hAnsi="Times New Roman" w:cs="Times New Roman" w:eastAsia="Times New Roman" w:hint="default"/>
                <w:sz w:val="18"/>
                <w:szCs w:val="18"/>
              </w:rPr>
            </w:pPr>
            <w:r>
              <w:rPr>
                <w:rFonts w:ascii="Times New Roman"/>
                <w:spacing w:val="-1"/>
                <w:sz w:val="18"/>
              </w:rPr>
              <w:t>4,770,575.91</w:t>
            </w:r>
          </w:p>
        </w:tc>
        <w:tc>
          <w:tcPr>
            <w:tcW w:w="101" w:type="dxa"/>
            <w:tcBorders>
              <w:top w:val="single" w:sz="4" w:space="0" w:color="000000"/>
              <w:left w:val="nil" w:sz="6" w:space="0" w:color="auto"/>
              <w:bottom w:val="single" w:sz="12" w:space="0" w:color="000000"/>
              <w:right w:val="nil" w:sz="6" w:space="0" w:color="auto"/>
            </w:tcBorders>
          </w:tcPr>
          <w:p>
            <w:pPr/>
          </w:p>
        </w:tc>
        <w:tc>
          <w:tcPr>
            <w:tcW w:w="21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11,573,002.92</w:t>
            </w:r>
          </w:p>
        </w:tc>
        <w:tc>
          <w:tcPr>
            <w:tcW w:w="101" w:type="dxa"/>
            <w:tcBorders>
              <w:top w:val="single" w:sz="4" w:space="0" w:color="000000"/>
              <w:left w:val="nil" w:sz="6" w:space="0" w:color="auto"/>
              <w:bottom w:val="single" w:sz="12" w:space="0" w:color="000000"/>
              <w:right w:val="nil" w:sz="6" w:space="0" w:color="auto"/>
            </w:tcBorders>
          </w:tcPr>
          <w:p>
            <w:pPr/>
          </w:p>
        </w:tc>
      </w:tr>
      <w:tr>
        <w:trPr>
          <w:trHeight w:val="735"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97" w:lineRule="auto" w:before="42"/>
              <w:ind w:left="409" w:right="306" w:hanging="60"/>
              <w:jc w:val="left"/>
              <w:rPr>
                <w:rFonts w:ascii="宋体" w:hAnsi="宋体" w:cs="宋体" w:eastAsia="宋体" w:hint="default"/>
                <w:sz w:val="21"/>
                <w:szCs w:val="21"/>
              </w:rPr>
            </w:pPr>
            <w:r>
              <w:rPr>
                <w:rFonts w:ascii="宋体" w:hAnsi="宋体" w:cs="宋体" w:eastAsia="宋体" w:hint="default"/>
                <w:b/>
                <w:bCs/>
                <w:sz w:val="21"/>
                <w:szCs w:val="21"/>
              </w:rPr>
              <w:t>（三十四）公允价值变动收益</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r>
            <w:r>
              <w:rPr>
                <w:rFonts w:ascii="宋体" w:hAnsi="宋体" w:cs="宋体" w:eastAsia="宋体" w:hint="default"/>
                <w:sz w:val="21"/>
                <w:szCs w:val="21"/>
                <w:u w:val="single" w:color="000000"/>
              </w:rPr>
              <w:t>产生公允价值变动收益的来源</w:t>
            </w:r>
            <w:r>
              <w:rPr>
                <w:rFonts w:ascii="宋体" w:hAnsi="宋体" w:cs="宋体" w:eastAsia="宋体" w:hint="default"/>
                <w:sz w:val="21"/>
                <w:szCs w:val="21"/>
              </w:rPr>
            </w:r>
          </w:p>
        </w:tc>
        <w:tc>
          <w:tcPr>
            <w:tcW w:w="164" w:type="dxa"/>
            <w:tcBorders>
              <w:top w:val="single" w:sz="12" w:space="0" w:color="000000"/>
              <w:left w:val="nil" w:sz="6" w:space="0" w:color="auto"/>
              <w:bottom w:val="nil" w:sz="6" w:space="0" w:color="auto"/>
              <w:right w:val="nil" w:sz="6" w:space="0" w:color="auto"/>
            </w:tcBorders>
          </w:tcPr>
          <w:p>
            <w:pPr/>
          </w:p>
        </w:tc>
        <w:tc>
          <w:tcPr>
            <w:tcW w:w="2195"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本年发生额</w:t>
            </w:r>
            <w:r>
              <w:rPr>
                <w:rFonts w:ascii="宋体" w:hAnsi="宋体" w:cs="宋体" w:eastAsia="宋体" w:hint="default"/>
                <w:sz w:val="21"/>
                <w:szCs w:val="21"/>
              </w:rPr>
            </w:r>
          </w:p>
        </w:tc>
        <w:tc>
          <w:tcPr>
            <w:tcW w:w="101" w:type="dxa"/>
            <w:tcBorders>
              <w:top w:val="single" w:sz="12" w:space="0" w:color="000000"/>
              <w:left w:val="nil" w:sz="6" w:space="0" w:color="auto"/>
              <w:bottom w:val="nil" w:sz="6" w:space="0" w:color="auto"/>
              <w:right w:val="nil" w:sz="6" w:space="0" w:color="auto"/>
            </w:tcBorders>
          </w:tcPr>
          <w:p>
            <w:pPr/>
          </w:p>
        </w:tc>
        <w:tc>
          <w:tcPr>
            <w:tcW w:w="2191"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101" w:type="dxa"/>
            <w:tcBorders>
              <w:top w:val="single" w:sz="12" w:space="0" w:color="000000"/>
              <w:left w:val="nil" w:sz="6" w:space="0" w:color="auto"/>
              <w:bottom w:val="nil" w:sz="6" w:space="0" w:color="auto"/>
              <w:right w:val="nil" w:sz="6" w:space="0" w:color="auto"/>
            </w:tcBorders>
          </w:tcPr>
          <w:p>
            <w:pPr/>
          </w:p>
        </w:tc>
      </w:tr>
      <w:tr>
        <w:trPr>
          <w:trHeight w:val="342"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25,762,370.96</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0"/>
              <w:jc w:val="right"/>
              <w:rPr>
                <w:rFonts w:ascii="宋体" w:hAnsi="宋体" w:cs="宋体" w:eastAsia="宋体" w:hint="default"/>
                <w:sz w:val="18"/>
                <w:szCs w:val="18"/>
              </w:rPr>
            </w:pPr>
            <w:r>
              <w:rPr>
                <w:rFonts w:ascii="宋体" w:hAnsi="宋体" w:cs="宋体" w:eastAsia="宋体" w:hint="default"/>
                <w:sz w:val="18"/>
                <w:szCs w:val="18"/>
              </w:rPr>
              <w:t>交易性金融负债</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-4,353,176.99</w:t>
            </w:r>
          </w:p>
        </w:tc>
        <w:tc>
          <w:tcPr>
            <w:tcW w:w="101"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02"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3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w w:val="95"/>
                <w:sz w:val="18"/>
              </w:rPr>
              <w:t>---</w:t>
            </w:r>
            <w:r>
              <w:rPr>
                <w:rFonts w:ascii="Times New Roman"/>
                <w:sz w:val="18"/>
              </w:rPr>
            </w:r>
          </w:p>
        </w:tc>
        <w:tc>
          <w:tcPr>
            <w:tcW w:w="101" w:type="dxa"/>
            <w:tcBorders>
              <w:top w:val="nil" w:sz="6" w:space="0" w:color="auto"/>
              <w:left w:val="nil" w:sz="6" w:space="0" w:color="auto"/>
              <w:bottom w:val="single" w:sz="4" w:space="0" w:color="000000"/>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435" w:hRule="exact"/>
        </w:trPr>
        <w:tc>
          <w:tcPr>
            <w:tcW w:w="3448" w:type="dxa"/>
            <w:tcBorders>
              <w:top w:val="nil" w:sz="6" w:space="0" w:color="auto"/>
              <w:left w:val="nil" w:sz="6" w:space="0" w:color="auto"/>
              <w:bottom w:val="nil" w:sz="6" w:space="0" w:color="auto"/>
              <w:right w:val="nil" w:sz="6" w:space="0" w:color="auto"/>
            </w:tcBorders>
          </w:tcPr>
          <w:p>
            <w:pPr>
              <w:pStyle w:val="TableParagraph"/>
              <w:tabs>
                <w:tab w:pos="548" w:val="left" w:leader="none"/>
              </w:tabs>
              <w:spacing w:line="240" w:lineRule="auto" w:before="67"/>
              <w:ind w:left="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 w:type="dxa"/>
            <w:tcBorders>
              <w:top w:val="nil" w:sz="6" w:space="0" w:color="auto"/>
              <w:left w:val="nil" w:sz="6" w:space="0" w:color="auto"/>
              <w:bottom w:val="nil" w:sz="6" w:space="0" w:color="auto"/>
              <w:right w:val="nil" w:sz="6" w:space="0" w:color="auto"/>
            </w:tcBorders>
          </w:tcPr>
          <w:p>
            <w:pPr/>
          </w:p>
        </w:tc>
        <w:tc>
          <w:tcPr>
            <w:tcW w:w="21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21,409,193.97</w:t>
            </w:r>
          </w:p>
        </w:tc>
        <w:tc>
          <w:tcPr>
            <w:tcW w:w="101" w:type="dxa"/>
            <w:tcBorders>
              <w:top w:val="single" w:sz="4" w:space="0" w:color="000000"/>
              <w:left w:val="nil" w:sz="6" w:space="0" w:color="auto"/>
              <w:bottom w:val="single" w:sz="12" w:space="0" w:color="000000"/>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1" w:type="dxa"/>
            <w:tcBorders>
              <w:top w:val="nil" w:sz="6" w:space="0" w:color="auto"/>
              <w:left w:val="nil" w:sz="6" w:space="0" w:color="auto"/>
              <w:bottom w:val="nil" w:sz="6" w:space="0" w:color="auto"/>
              <w:right w:val="nil" w:sz="6" w:space="0" w:color="auto"/>
            </w:tcBorders>
          </w:tcPr>
          <w:p>
            <w:pPr/>
          </w:p>
        </w:tc>
      </w:tr>
    </w:tbl>
    <w:p>
      <w:pPr>
        <w:spacing w:before="12"/>
        <w:ind w:left="562" w:right="5472" w:firstLine="0"/>
        <w:jc w:val="left"/>
        <w:rPr>
          <w:rFonts w:ascii="宋体" w:hAnsi="宋体" w:cs="宋体" w:eastAsia="宋体" w:hint="default"/>
          <w:sz w:val="21"/>
          <w:szCs w:val="21"/>
        </w:rPr>
      </w:pPr>
      <w:r>
        <w:rPr/>
        <w:pict>
          <v:group style="position:absolute;margin-left:274.079987pt;margin-top:-5.616033pt;width:115.35pt;height:.1pt;mso-position-horizontal-relative:page;mso-position-vertical-relative:paragraph;z-index:-622912" coordorigin="5482,-112" coordsize="2307,2">
            <v:shape style="position:absolute;left:5482;top:-112;width:2307;height:2" coordorigin="5482,-112" coordsize="2307,0" path="m5482,-112l7788,-112e" filled="false" stroked="true" strokeweight=".72003pt" strokecolor="#000000">
              <v:path arrowok="t"/>
            </v:shape>
            <w10:wrap type="none"/>
          </v:group>
        </w:pict>
      </w:r>
      <w:r>
        <w:rPr>
          <w:rFonts w:ascii="宋体" w:hAnsi="宋体" w:cs="宋体" w:eastAsia="宋体" w:hint="default"/>
          <w:b/>
          <w:bCs/>
          <w:sz w:val="21"/>
          <w:szCs w:val="21"/>
        </w:rPr>
        <w:t>（三十五）投资收益</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212" w:type="dxa"/>
        <w:tblLayout w:type="fixed"/>
        <w:tblCellMar>
          <w:top w:w="0" w:type="dxa"/>
          <w:left w:w="0" w:type="dxa"/>
          <w:bottom w:w="0" w:type="dxa"/>
          <w:right w:w="0" w:type="dxa"/>
        </w:tblCellMar>
        <w:tblLook w:val="01E0"/>
      </w:tblPr>
      <w:tblGrid>
        <w:gridCol w:w="4960"/>
        <w:gridCol w:w="1653"/>
        <w:gridCol w:w="1587"/>
      </w:tblGrid>
      <w:tr>
        <w:trPr>
          <w:trHeight w:val="706" w:hRule="exact"/>
        </w:trPr>
        <w:tc>
          <w:tcPr>
            <w:tcW w:w="496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6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、金融资产投资收益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）持有交易性金融资产期间取得的投资收益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）持有持有至到期投资期间取得的投资收益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）持有可供出售金融资产期间取得的投资收益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）处置交易性金融资产取得的投资收益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Times New Roman" w:hAnsi="Times New Roman" w:cs="Times New Roman" w:eastAsia="Times New Roman" w:hint="default"/>
                <w:sz w:val="18"/>
                <w:szCs w:val="18"/>
              </w:rPr>
            </w:pPr>
            <w:r>
              <w:rPr>
                <w:rFonts w:ascii="Times New Roman"/>
                <w:spacing w:val="-1"/>
                <w:sz w:val="18"/>
              </w:rPr>
              <w:t>-3,502,025.00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）处置持有至到期投资取得的投资收益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）处置可供出售金融资产取得的投资收益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、长期股权投资收益</w:t>
            </w:r>
          </w:p>
        </w:tc>
        <w:tc>
          <w:tcPr>
            <w:tcW w:w="16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）按成本法核算确认的长期股权投资收益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）按权益法核算确认的长期股权投资收益</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
              <w:jc w:val="center"/>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496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）处置长期股权投资产生的投资收益</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496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31"/>
              <w:jc w:val="right"/>
              <w:rPr>
                <w:rFonts w:ascii="Times New Roman" w:hAnsi="Times New Roman" w:cs="Times New Roman" w:eastAsia="Times New Roman" w:hint="default"/>
                <w:sz w:val="18"/>
                <w:szCs w:val="18"/>
              </w:rPr>
            </w:pPr>
            <w:r>
              <w:rPr>
                <w:rFonts w:ascii="Times New Roman"/>
                <w:spacing w:val="-1"/>
                <w:sz w:val="18"/>
              </w:rPr>
              <w:t>-3,502,025.00</w:t>
            </w:r>
          </w:p>
        </w:tc>
        <w:tc>
          <w:tcPr>
            <w:tcW w:w="158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7"/>
              <w:jc w:val="center"/>
              <w:rPr>
                <w:rFonts w:ascii="Times New Roman" w:hAnsi="Times New Roman" w:cs="Times New Roman" w:eastAsia="Times New Roman" w:hint="default"/>
                <w:sz w:val="18"/>
                <w:szCs w:val="18"/>
              </w:rPr>
            </w:pPr>
            <w:r>
              <w:rPr>
                <w:rFonts w:ascii="Times New Roman"/>
                <w:sz w:val="18"/>
              </w:rPr>
              <w:t>---</w:t>
            </w:r>
          </w:p>
        </w:tc>
      </w:tr>
    </w:tbl>
    <w:p>
      <w:pPr>
        <w:spacing w:line="280" w:lineRule="auto" w:before="12"/>
        <w:ind w:left="140" w:right="125" w:firstLine="420"/>
        <w:jc w:val="left"/>
        <w:rPr>
          <w:rFonts w:ascii="宋体" w:hAnsi="宋体" w:cs="宋体" w:eastAsia="宋体" w:hint="default"/>
          <w:sz w:val="21"/>
          <w:szCs w:val="21"/>
        </w:rPr>
      </w:pPr>
      <w:r>
        <w:rPr/>
        <w:pict>
          <v:group style="position:absolute;margin-left:340.920013pt;margin-top:-5.976017pt;width:163.450pt;height:.75pt;mso-position-horizontal-relative:page;mso-position-vertical-relative:paragraph;z-index:-622888" coordorigin="6818,-120" coordsize="3269,15">
            <v:group style="position:absolute;left:6826;top:-112;width:1635;height:2" coordorigin="6826,-112" coordsize="1635,2">
              <v:shape style="position:absolute;left:6826;top:-112;width:1635;height:2" coordorigin="6826,-112" coordsize="1635,0" path="m6826,-112l8460,-112e" filled="false" stroked="true" strokeweight=".72pt" strokecolor="#000000">
                <v:path arrowok="t"/>
              </v:shape>
            </v:group>
            <v:group style="position:absolute;left:8446;top:-112;width:105;height:2" coordorigin="8446,-112" coordsize="105,2">
              <v:shape style="position:absolute;left:8446;top:-112;width:105;height:2" coordorigin="8446,-112" coordsize="105,0" path="m8446,-112l8550,-112e" filled="false" stroked="true" strokeweight=".72pt" strokecolor="#000000">
                <v:path arrowok="t"/>
              </v:shape>
            </v:group>
            <v:group style="position:absolute;left:8550;top:-112;width:1530;height:2" coordorigin="8550,-112" coordsize="1530,2">
              <v:shape style="position:absolute;left:8550;top:-112;width:1530;height:2" coordorigin="8550,-112" coordsize="1530,0" path="m8550,-112l10080,-112e" filled="false" stroked="true" strokeweight=".72pt" strokecolor="#000000">
                <v:path arrowok="t"/>
              </v:shape>
            </v:group>
            <w10:wrap type="none"/>
          </v:group>
        </w:pict>
      </w:r>
      <w:r>
        <w:rPr>
          <w:rFonts w:ascii="宋体" w:hAnsi="宋体" w:cs="宋体" w:eastAsia="宋体" w:hint="default"/>
          <w:sz w:val="21"/>
          <w:szCs w:val="21"/>
        </w:rPr>
        <w:t>投资收益本年发生额比上年发生额减少 </w:t>
      </w:r>
      <w:r>
        <w:rPr>
          <w:rFonts w:ascii="Times New Roman" w:hAnsi="Times New Roman" w:cs="Times New Roman" w:eastAsia="Times New Roman" w:hint="default"/>
          <w:sz w:val="21"/>
          <w:szCs w:val="21"/>
        </w:rPr>
        <w:t>3,502,025.00</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元，减少原因为：本年投资外汇远</w:t>
      </w:r>
      <w:r>
        <w:rPr>
          <w:rFonts w:ascii="宋体" w:hAnsi="宋体" w:cs="宋体" w:eastAsia="宋体" w:hint="default"/>
          <w:sz w:val="21"/>
          <w:szCs w:val="21"/>
        </w:rPr>
        <w:t> 期结售汇交易产生损失。</w:t>
      </w:r>
    </w:p>
    <w:p>
      <w:pPr>
        <w:spacing w:before="29"/>
        <w:ind w:left="557" w:right="5472" w:firstLine="0"/>
        <w:jc w:val="left"/>
        <w:rPr>
          <w:rFonts w:ascii="宋体" w:hAnsi="宋体" w:cs="宋体" w:eastAsia="宋体" w:hint="default"/>
          <w:sz w:val="21"/>
          <w:szCs w:val="21"/>
        </w:rPr>
      </w:pPr>
      <w:r>
        <w:rPr>
          <w:rFonts w:ascii="宋体" w:hAnsi="宋体" w:cs="宋体" w:eastAsia="宋体" w:hint="default"/>
          <w:b/>
          <w:bCs/>
          <w:sz w:val="21"/>
          <w:szCs w:val="21"/>
        </w:rPr>
        <w:t>（三十六）营业外收入</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p>
    <w:tbl>
      <w:tblPr>
        <w:tblW w:w="0" w:type="auto"/>
        <w:jc w:val="left"/>
        <w:tblInd w:w="212" w:type="dxa"/>
        <w:tblLayout w:type="fixed"/>
        <w:tblCellMar>
          <w:top w:w="0" w:type="dxa"/>
          <w:left w:w="0" w:type="dxa"/>
          <w:bottom w:w="0" w:type="dxa"/>
          <w:right w:w="0" w:type="dxa"/>
        </w:tblCellMar>
        <w:tblLook w:val="01E0"/>
      </w:tblPr>
      <w:tblGrid>
        <w:gridCol w:w="3357"/>
        <w:gridCol w:w="3061"/>
        <w:gridCol w:w="1790"/>
      </w:tblGrid>
      <w:tr>
        <w:trPr>
          <w:trHeight w:val="704" w:hRule="exact"/>
        </w:trPr>
        <w:tc>
          <w:tcPr>
            <w:tcW w:w="335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5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46"/>
              <w:ind w:right="7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、税收返还</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34"/>
              <w:jc w:val="right"/>
              <w:rPr>
                <w:rFonts w:ascii="Times New Roman" w:hAnsi="Times New Roman" w:cs="Times New Roman" w:eastAsia="Times New Roman" w:hint="default"/>
                <w:sz w:val="18"/>
                <w:szCs w:val="18"/>
              </w:rPr>
            </w:pPr>
            <w:r>
              <w:rPr>
                <w:rFonts w:ascii="Times New Roman"/>
                <w:sz w:val="18"/>
              </w:rPr>
              <w:t>34,779.42</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、全年无意外工伤奖励</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34"/>
              <w:jc w:val="right"/>
              <w:rPr>
                <w:rFonts w:ascii="Times New Roman" w:hAnsi="Times New Roman" w:cs="Times New Roman" w:eastAsia="Times New Roman" w:hint="default"/>
                <w:sz w:val="18"/>
                <w:szCs w:val="18"/>
              </w:rPr>
            </w:pPr>
            <w:r>
              <w:rPr>
                <w:rFonts w:ascii="Times New Roman"/>
                <w:sz w:val="18"/>
              </w:rPr>
              <w:t>10,000.00</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、接受捐赠利得</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34"/>
              <w:jc w:val="right"/>
              <w:rPr>
                <w:rFonts w:ascii="Times New Roman" w:hAnsi="Times New Roman" w:cs="Times New Roman" w:eastAsia="Times New Roman" w:hint="default"/>
                <w:sz w:val="18"/>
                <w:szCs w:val="18"/>
              </w:rPr>
            </w:pPr>
            <w:r>
              <w:rPr>
                <w:rFonts w:ascii="Times New Roman"/>
                <w:sz w:val="18"/>
              </w:rPr>
              <w:t>20,997.00</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、政府补助</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34"/>
              <w:jc w:val="right"/>
              <w:rPr>
                <w:rFonts w:ascii="Times New Roman" w:hAnsi="Times New Roman" w:cs="Times New Roman" w:eastAsia="Times New Roman" w:hint="default"/>
                <w:sz w:val="18"/>
                <w:szCs w:val="18"/>
              </w:rPr>
            </w:pPr>
            <w:r>
              <w:rPr>
                <w:rFonts w:ascii="Times New Roman"/>
                <w:spacing w:val="-1"/>
                <w:sz w:val="18"/>
              </w:rPr>
              <w:t>1,000,000.00</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40" w:hRule="exact"/>
        </w:trPr>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、盘盈利得</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2" w:hRule="exact"/>
        </w:trPr>
        <w:tc>
          <w:tcPr>
            <w:tcW w:w="3357"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w:t>
              <w:tab/>
              <w:t>他</w:t>
            </w:r>
          </w:p>
        </w:tc>
        <w:tc>
          <w:tcPr>
            <w:tcW w:w="306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34"/>
              <w:jc w:val="right"/>
              <w:rPr>
                <w:rFonts w:ascii="Times New Roman" w:hAnsi="Times New Roman" w:cs="Times New Roman" w:eastAsia="Times New Roman" w:hint="default"/>
                <w:sz w:val="18"/>
                <w:szCs w:val="18"/>
              </w:rPr>
            </w:pPr>
            <w:r>
              <w:rPr>
                <w:rFonts w:ascii="Times New Roman"/>
                <w:sz w:val="18"/>
              </w:rPr>
              <w:t>7,037.45</w:t>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33,050.00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660" w:right="1660"/>
        </w:sectPr>
      </w:pPr>
    </w:p>
    <w:p>
      <w:pPr>
        <w:spacing w:line="240" w:lineRule="auto" w:before="5"/>
        <w:rPr>
          <w:rFonts w:ascii="宋体" w:hAnsi="宋体" w:cs="宋体" w:eastAsia="宋体" w:hint="default"/>
          <w:b/>
          <w:bCs/>
          <w:sz w:val="21"/>
          <w:szCs w:val="21"/>
        </w:rPr>
      </w:pPr>
      <w:r>
        <w:rPr/>
        <w:pict>
          <v:group style="position:absolute;margin-left:268.5pt;margin-top:634.26001pt;width:235.9pt;height:.75pt;mso-position-horizontal-relative:page;mso-position-vertical-relative:page;z-index:-622768" coordorigin="5370,12685" coordsize="4718,15">
            <v:group style="position:absolute;left:5377;top:12692;width:2360;height:2" coordorigin="5377,12692" coordsize="2360,2">
              <v:shape style="position:absolute;left:5377;top:12692;width:2360;height:2" coordorigin="5377,12692" coordsize="2360,0" path="m5377,12692l7736,12692e" filled="false" stroked="true" strokeweight=".72pt" strokecolor="#000000">
                <v:path arrowok="t"/>
              </v:shape>
            </v:group>
            <v:group style="position:absolute;left:7722;top:12692;width:105;height:2" coordorigin="7722,12692" coordsize="105,2">
              <v:shape style="position:absolute;left:7722;top:12692;width:105;height:2" coordorigin="7722,12692" coordsize="105,0" path="m7722,12692l7826,12692e" filled="false" stroked="true" strokeweight=".72pt" strokecolor="#000000">
                <v:path arrowok="t"/>
              </v:shape>
            </v:group>
            <v:group style="position:absolute;left:7826;top:12692;width:2254;height:2" coordorigin="7826,12692" coordsize="2254,2">
              <v:shape style="position:absolute;left:7826;top:12692;width:2254;height:2" coordorigin="7826,12692" coordsize="2254,0" path="m7826,12692l10080,12692e" filled="false" stroked="true" strokeweight=".72pt" strokecolor="#000000">
                <v:path arrowok="t"/>
              </v:shape>
            </v:group>
            <w10:wrap type="none"/>
          </v:group>
        </w:pict>
      </w:r>
    </w:p>
    <w:p>
      <w:pPr>
        <w:spacing w:line="20" w:lineRule="exact"/>
        <w:ind w:left="3572" w:right="0" w:firstLine="0"/>
        <w:rPr>
          <w:rFonts w:ascii="宋体" w:hAnsi="宋体" w:cs="宋体" w:eastAsia="宋体" w:hint="default"/>
          <w:sz w:val="2"/>
          <w:szCs w:val="2"/>
        </w:rPr>
      </w:pPr>
      <w:r>
        <w:rPr>
          <w:rFonts w:ascii="宋体" w:hAnsi="宋体" w:cs="宋体" w:eastAsia="宋体" w:hint="default"/>
          <w:sz w:val="2"/>
          <w:szCs w:val="2"/>
        </w:rPr>
        <w:pict>
          <v:group style="width:242.3pt;height:.5pt;mso-position-horizontal-relative:char;mso-position-vertical-relative:line" coordorigin="0,0" coordsize="4846,10">
            <v:group style="position:absolute;left:5;top:5;width:4836;height:2" coordorigin="5,5" coordsize="4836,2">
              <v:shape style="position:absolute;left:5;top:5;width:4836;height:2" coordorigin="5,5" coordsize="4836,0" path="m5,5l4841,5e" filled="false" stroked="true" strokeweight=".48004pt" strokecolor="#000000">
                <v:path arrowok="t"/>
              </v:shape>
            </v:group>
          </v:group>
        </w:pict>
      </w:r>
      <w:r>
        <w:rPr>
          <w:rFonts w:ascii="宋体" w:hAnsi="宋体" w:cs="宋体" w:eastAsia="宋体" w:hint="default"/>
          <w:sz w:val="2"/>
          <w:szCs w:val="2"/>
        </w:rPr>
      </w:r>
    </w:p>
    <w:p>
      <w:pPr>
        <w:tabs>
          <w:tab w:pos="2041" w:val="left" w:leader="none"/>
          <w:tab w:pos="4948" w:val="left" w:leader="none"/>
          <w:tab w:pos="7366" w:val="left" w:leader="none"/>
        </w:tabs>
        <w:spacing w:before="51"/>
        <w:ind w:left="1502" w:right="12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pacing w:val="-1"/>
          <w:sz w:val="18"/>
          <w:szCs w:val="18"/>
        </w:rPr>
        <w:t>1,072,813.87</w:t>
        <w:tab/>
        <w:t>2,433,050.00</w:t>
      </w:r>
    </w:p>
    <w:p>
      <w:pPr>
        <w:spacing w:line="240" w:lineRule="auto" w:before="6"/>
        <w:rPr>
          <w:rFonts w:ascii="Times New Roman" w:hAnsi="Times New Roman" w:cs="Times New Roman" w:eastAsia="Times New Roman" w:hint="default"/>
          <w:sz w:val="2"/>
          <w:szCs w:val="2"/>
        </w:rPr>
      </w:pPr>
    </w:p>
    <w:p>
      <w:pPr>
        <w:spacing w:line="104" w:lineRule="exact"/>
        <w:ind w:left="3554" w:right="0" w:firstLine="0"/>
        <w:rPr>
          <w:rFonts w:ascii="Times New Roman" w:hAnsi="Times New Roman" w:cs="Times New Roman" w:eastAsia="Times New Roman" w:hint="default"/>
          <w:sz w:val="10"/>
          <w:szCs w:val="10"/>
        </w:rPr>
      </w:pPr>
      <w:r>
        <w:rPr>
          <w:rFonts w:ascii="Times New Roman" w:hAnsi="Times New Roman" w:cs="Times New Roman" w:eastAsia="Times New Roman" w:hint="default"/>
          <w:position w:val="-1"/>
          <w:sz w:val="10"/>
          <w:szCs w:val="10"/>
        </w:rPr>
        <w:pict>
          <v:group style="width:244.05pt;height:5.25pt;mso-position-horizontal-relative:char;mso-position-vertical-relative:line" coordorigin="0,0" coordsize="4881,105">
            <v:group style="position:absolute;left:15;top:89;width:2433;height:2" coordorigin="15,89" coordsize="2433,2">
              <v:shape style="position:absolute;left:15;top:89;width:2433;height:2" coordorigin="15,89" coordsize="2433,0" path="m15,89l2447,89e" filled="false" stroked="true" strokeweight="1.5pt" strokecolor="#000000">
                <v:path arrowok="t"/>
              </v:shape>
            </v:group>
            <v:group style="position:absolute;left:15;top:7;width:2433;height:2" coordorigin="15,7" coordsize="2433,2">
              <v:shape style="position:absolute;left:15;top:7;width:2433;height:2" coordorigin="15,7" coordsize="2433,0" path="m15,7l2447,7e" filled="false" stroked="true" strokeweight=".72003pt" strokecolor="#000000">
                <v:path arrowok="t"/>
              </v:shape>
            </v:group>
            <v:group style="position:absolute;left:2433;top:7;width:105;height:2" coordorigin="2433,7" coordsize="105,2">
              <v:shape style="position:absolute;left:2433;top:7;width:105;height:2" coordorigin="2433,7" coordsize="105,0" path="m2433,7l2537,7e" filled="false" stroked="true" strokeweight=".72003pt" strokecolor="#000000">
                <v:path arrowok="t"/>
              </v:shape>
            </v:group>
            <v:group style="position:absolute;left:2433;top:89;width:2433;height:2" coordorigin="2433,89" coordsize="2433,2">
              <v:shape style="position:absolute;left:2433;top:89;width:2433;height:2" coordorigin="2433,89" coordsize="2433,0" path="m2433,89l4865,89e" filled="false" stroked="true" strokeweight="1.5pt" strokecolor="#000000">
                <v:path arrowok="t"/>
              </v:shape>
            </v:group>
            <v:group style="position:absolute;left:2537;top:7;width:2328;height:2" coordorigin="2537,7" coordsize="2328,2">
              <v:shape style="position:absolute;left:2537;top:7;width:2328;height:2" coordorigin="2537,7" coordsize="2328,0" path="m2537,7l4865,7e" filled="false" stroked="true" strokeweight=".72003pt" strokecolor="#000000">
                <v:path arrowok="t"/>
              </v:shape>
            </v:group>
          </v:group>
        </w:pict>
      </w:r>
      <w:r>
        <w:rPr>
          <w:rFonts w:ascii="Times New Roman" w:hAnsi="Times New Roman" w:cs="Times New Roman" w:eastAsia="Times New Roman" w:hint="default"/>
          <w:position w:val="-1"/>
          <w:sz w:val="10"/>
          <w:szCs w:val="10"/>
        </w:rPr>
      </w:r>
    </w:p>
    <w:p>
      <w:pPr>
        <w:spacing w:line="297" w:lineRule="auto" w:before="27"/>
        <w:ind w:left="140" w:right="126" w:firstLine="420"/>
        <w:jc w:val="left"/>
        <w:rPr>
          <w:rFonts w:ascii="宋体" w:hAnsi="宋体" w:cs="宋体" w:eastAsia="宋体" w:hint="default"/>
          <w:sz w:val="21"/>
          <w:szCs w:val="21"/>
        </w:rPr>
      </w:pPr>
      <w:r>
        <w:rPr>
          <w:rFonts w:ascii="宋体" w:hAnsi="宋体" w:cs="宋体" w:eastAsia="宋体" w:hint="default"/>
          <w:sz w:val="21"/>
          <w:szCs w:val="21"/>
        </w:rPr>
        <w:t>营业外收入本年发生额比上年发生额减少</w:t>
      </w:r>
      <w:r>
        <w:rPr>
          <w:rFonts w:ascii="宋体" w:hAnsi="宋体" w:cs="宋体" w:eastAsia="宋体" w:hint="default"/>
          <w:spacing w:val="-34"/>
          <w:sz w:val="21"/>
          <w:szCs w:val="21"/>
        </w:rPr>
        <w:t> </w:t>
      </w:r>
      <w:r>
        <w:rPr>
          <w:rFonts w:ascii="宋体" w:hAnsi="宋体" w:cs="宋体" w:eastAsia="宋体" w:hint="default"/>
          <w:sz w:val="21"/>
          <w:szCs w:val="21"/>
        </w:rPr>
        <w:t>1,360,236.13</w:t>
      </w:r>
      <w:r>
        <w:rPr>
          <w:rFonts w:ascii="宋体" w:hAnsi="宋体" w:cs="宋体" w:eastAsia="宋体" w:hint="default"/>
          <w:spacing w:val="-34"/>
          <w:sz w:val="21"/>
          <w:szCs w:val="21"/>
        </w:rPr>
        <w:t> </w:t>
      </w:r>
      <w:r>
        <w:rPr>
          <w:rFonts w:ascii="宋体" w:hAnsi="宋体" w:cs="宋体" w:eastAsia="宋体" w:hint="default"/>
          <w:sz w:val="21"/>
          <w:szCs w:val="21"/>
        </w:rPr>
        <w:t>元，减少比例为</w:t>
      </w:r>
      <w:r>
        <w:rPr>
          <w:rFonts w:ascii="宋体" w:hAnsi="宋体" w:cs="宋体" w:eastAsia="宋体" w:hint="default"/>
          <w:spacing w:val="-34"/>
          <w:sz w:val="21"/>
          <w:szCs w:val="21"/>
        </w:rPr>
        <w:t> </w:t>
      </w:r>
      <w:r>
        <w:rPr>
          <w:rFonts w:ascii="宋体" w:hAnsi="宋体" w:cs="宋体" w:eastAsia="宋体" w:hint="default"/>
          <w:sz w:val="21"/>
          <w:szCs w:val="21"/>
        </w:rPr>
        <w:t>55.91％，减</w:t>
      </w:r>
      <w:r>
        <w:rPr>
          <w:rFonts w:ascii="宋体" w:hAnsi="宋体" w:cs="宋体" w:eastAsia="宋体" w:hint="default"/>
          <w:sz w:val="21"/>
          <w:szCs w:val="21"/>
        </w:rPr>
        <w:t> 少原因为：本年收到的政府补助减少所致。</w:t>
      </w:r>
    </w:p>
    <w:p>
      <w:pPr>
        <w:spacing w:before="14"/>
        <w:ind w:left="562" w:right="5472" w:firstLine="0"/>
        <w:jc w:val="left"/>
        <w:rPr>
          <w:rFonts w:ascii="宋体" w:hAnsi="宋体" w:cs="宋体" w:eastAsia="宋体" w:hint="default"/>
          <w:sz w:val="21"/>
          <w:szCs w:val="21"/>
        </w:rPr>
      </w:pPr>
      <w:r>
        <w:rPr>
          <w:rFonts w:ascii="宋体" w:hAnsi="宋体" w:cs="宋体" w:eastAsia="宋体" w:hint="default"/>
          <w:b/>
          <w:bCs/>
          <w:sz w:val="21"/>
          <w:szCs w:val="21"/>
        </w:rPr>
        <w:t>（三十七）营业外支出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212" w:type="dxa"/>
        <w:tblLayout w:type="fixed"/>
        <w:tblCellMar>
          <w:top w:w="0" w:type="dxa"/>
          <w:left w:w="0" w:type="dxa"/>
          <w:bottom w:w="0" w:type="dxa"/>
          <w:right w:w="0" w:type="dxa"/>
        </w:tblCellMar>
        <w:tblLook w:val="01E0"/>
      </w:tblPr>
      <w:tblGrid>
        <w:gridCol w:w="3427"/>
        <w:gridCol w:w="3028"/>
        <w:gridCol w:w="1744"/>
      </w:tblGrid>
      <w:tr>
        <w:trPr>
          <w:trHeight w:val="706" w:hRule="exact"/>
        </w:trPr>
        <w:tc>
          <w:tcPr>
            <w:tcW w:w="342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pStyle w:val="TableParagraph"/>
              <w:spacing w:line="240" w:lineRule="auto" w:before="10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47"/>
              <w:ind w:left="1473" w:right="0"/>
              <w:jc w:val="left"/>
              <w:rPr>
                <w:rFonts w:ascii="Times New Roman" w:hAnsi="Times New Roman" w:cs="Times New Roman" w:eastAsia="Times New Roman" w:hint="default"/>
                <w:sz w:val="18"/>
                <w:szCs w:val="18"/>
              </w:rPr>
            </w:pPr>
            <w:r>
              <w:rPr>
                <w:rFonts w:ascii="Times New Roman"/>
                <w:sz w:val="18"/>
              </w:rPr>
              <w:t>534,997.40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147"/>
              <w:ind w:left="821" w:right="0"/>
              <w:jc w:val="center"/>
              <w:rPr>
                <w:rFonts w:ascii="Times New Roman" w:hAnsi="Times New Roman" w:cs="Times New Roman" w:eastAsia="Times New Roman" w:hint="default"/>
                <w:sz w:val="18"/>
                <w:szCs w:val="18"/>
              </w:rPr>
            </w:pPr>
            <w:r>
              <w:rPr>
                <w:rFonts w:ascii="Times New Roman"/>
                <w:sz w:val="18"/>
              </w:rPr>
              <w:t>50,364.58</w:t>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sz w:val="18"/>
              </w:rPr>
              <w:t>534,997.40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50,364.58</w:t>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、非货币性资产交换损失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156,258.06</w:t>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、债务重组损失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、对外捐赠支出</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sz w:val="18"/>
              </w:rPr>
              <w:t>1,779.30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1"/>
              <w:jc w:val="right"/>
              <w:rPr>
                <w:rFonts w:ascii="Times New Roman" w:hAnsi="Times New Roman" w:cs="Times New Roman" w:eastAsia="Times New Roman" w:hint="default"/>
                <w:sz w:val="18"/>
                <w:szCs w:val="18"/>
              </w:rPr>
            </w:pPr>
            <w:r>
              <w:rPr>
                <w:rFonts w:ascii="Times New Roman"/>
                <w:sz w:val="18"/>
              </w:rPr>
              <w:t>1,779.30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、非常损失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sz w:val="18"/>
              </w:rPr>
              <w:t>170,550.01</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、盘亏损失</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2" w:hRule="exact"/>
        </w:trPr>
        <w:tc>
          <w:tcPr>
            <w:tcW w:w="3427"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w:t>
              <w:tab/>
              <w:t>他</w:t>
            </w:r>
          </w:p>
        </w:tc>
        <w:tc>
          <w:tcPr>
            <w:tcW w:w="302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41"/>
              <w:jc w:val="right"/>
              <w:rPr>
                <w:rFonts w:ascii="Times New Roman" w:hAnsi="Times New Roman" w:cs="Times New Roman" w:eastAsia="Times New Roman" w:hint="default"/>
                <w:sz w:val="18"/>
                <w:szCs w:val="18"/>
              </w:rPr>
            </w:pPr>
            <w:r>
              <w:rPr>
                <w:rFonts w:ascii="Times New Roman"/>
                <w:sz w:val="18"/>
              </w:rPr>
              <w:t>340,220.13</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13,062.00</w:t>
            </w:r>
          </w:p>
        </w:tc>
      </w:tr>
      <w:tr>
        <w:trPr>
          <w:trHeight w:val="435" w:hRule="exact"/>
        </w:trPr>
        <w:tc>
          <w:tcPr>
            <w:tcW w:w="342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741"/>
              <w:jc w:val="right"/>
              <w:rPr>
                <w:rFonts w:ascii="Times New Roman" w:hAnsi="Times New Roman" w:cs="Times New Roman" w:eastAsia="Times New Roman" w:hint="default"/>
                <w:sz w:val="18"/>
                <w:szCs w:val="18"/>
              </w:rPr>
            </w:pPr>
            <w:r>
              <w:rPr>
                <w:rFonts w:ascii="Times New Roman"/>
                <w:spacing w:val="-1"/>
                <w:sz w:val="18"/>
              </w:rPr>
              <w:t>1,047,546.84</w:t>
            </w:r>
          </w:p>
        </w:tc>
        <w:tc>
          <w:tcPr>
            <w:tcW w:w="17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219,684.64</w:t>
            </w:r>
          </w:p>
        </w:tc>
      </w:tr>
    </w:tbl>
    <w:p>
      <w:pPr>
        <w:spacing w:line="297" w:lineRule="auto" w:before="12"/>
        <w:ind w:left="140" w:right="129" w:firstLine="420"/>
        <w:jc w:val="left"/>
        <w:rPr>
          <w:rFonts w:ascii="宋体" w:hAnsi="宋体" w:cs="宋体" w:eastAsia="宋体" w:hint="default"/>
          <w:sz w:val="21"/>
          <w:szCs w:val="21"/>
        </w:rPr>
      </w:pPr>
      <w:r>
        <w:rPr/>
        <w:pict>
          <v:group style="position:absolute;margin-left:264.299988pt;margin-top:-5.976018pt;width:240.1pt;height:.75pt;mso-position-horizontal-relative:page;mso-position-vertical-relative:paragraph;z-index:-622816" coordorigin="5286,-120" coordsize="4802,15">
            <v:group style="position:absolute;left:5293;top:-112;width:2400;height:2" coordorigin="5293,-112" coordsize="2400,2">
              <v:shape style="position:absolute;left:5293;top:-112;width:2400;height:2" coordorigin="5293,-112" coordsize="2400,0" path="m5293,-112l7693,-112e" filled="false" stroked="true" strokeweight=".72pt" strokecolor="#000000">
                <v:path arrowok="t"/>
              </v:shape>
            </v:group>
            <v:group style="position:absolute;left:7679;top:-112;width:105;height:2" coordorigin="7679,-112" coordsize="105,2">
              <v:shape style="position:absolute;left:7679;top:-112;width:105;height:2" coordorigin="7679,-112" coordsize="105,0" path="m7679,-112l7783,-112e" filled="false" stroked="true" strokeweight=".72pt" strokecolor="#000000">
                <v:path arrowok="t"/>
              </v:shape>
            </v:group>
            <v:group style="position:absolute;left:7783;top:-112;width:2297;height:2" coordorigin="7783,-112" coordsize="2297,2">
              <v:shape style="position:absolute;left:7783;top:-112;width:2297;height:2" coordorigin="7783,-112" coordsize="2297,0" path="m7783,-112l10080,-112e" filled="false" stroked="true" strokeweight=".72pt" strokecolor="#000000">
                <v:path arrowok="t"/>
              </v:shape>
            </v:group>
            <w10:wrap type="none"/>
          </v:group>
        </w:pict>
      </w:r>
      <w:r>
        <w:rPr>
          <w:rFonts w:ascii="宋体" w:hAnsi="宋体" w:cs="宋体" w:eastAsia="宋体" w:hint="default"/>
          <w:sz w:val="21"/>
          <w:szCs w:val="21"/>
        </w:rPr>
        <w:t>营业外支出本年发生额比上年发生额增加</w:t>
      </w:r>
      <w:r>
        <w:rPr>
          <w:rFonts w:ascii="宋体" w:hAnsi="宋体" w:cs="宋体" w:eastAsia="宋体" w:hint="default"/>
          <w:spacing w:val="-60"/>
          <w:sz w:val="21"/>
          <w:szCs w:val="21"/>
        </w:rPr>
        <w:t> </w:t>
      </w:r>
      <w:r>
        <w:rPr>
          <w:rFonts w:ascii="宋体" w:hAnsi="宋体" w:cs="宋体" w:eastAsia="宋体" w:hint="default"/>
          <w:sz w:val="21"/>
          <w:szCs w:val="21"/>
        </w:rPr>
        <w:t>827,862.20</w:t>
      </w:r>
      <w:r>
        <w:rPr>
          <w:rFonts w:ascii="宋体" w:hAnsi="宋体" w:cs="宋体" w:eastAsia="宋体" w:hint="default"/>
          <w:spacing w:val="-59"/>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60"/>
          <w:sz w:val="21"/>
          <w:szCs w:val="21"/>
        </w:rPr>
        <w:t> </w:t>
      </w:r>
      <w:r>
        <w:rPr>
          <w:rFonts w:ascii="宋体" w:hAnsi="宋体" w:cs="宋体" w:eastAsia="宋体" w:hint="default"/>
          <w:spacing w:val="-3"/>
          <w:sz w:val="21"/>
          <w:szCs w:val="21"/>
        </w:rPr>
        <w:t>376.84％，增加</w:t>
      </w:r>
      <w:r>
        <w:rPr>
          <w:rFonts w:ascii="宋体" w:hAnsi="宋体" w:cs="宋体" w:eastAsia="宋体" w:hint="default"/>
          <w:spacing w:val="-1"/>
          <w:sz w:val="21"/>
          <w:szCs w:val="21"/>
        </w:rPr>
        <w:t> </w:t>
      </w:r>
      <w:r>
        <w:rPr>
          <w:rFonts w:ascii="宋体" w:hAnsi="宋体" w:cs="宋体" w:eastAsia="宋体" w:hint="default"/>
          <w:sz w:val="21"/>
          <w:szCs w:val="21"/>
        </w:rPr>
        <w:t>原因为：本年处置固定资产所致。</w:t>
      </w:r>
    </w:p>
    <w:p>
      <w:pPr>
        <w:spacing w:before="15"/>
        <w:ind w:left="562" w:right="5472" w:firstLine="0"/>
        <w:jc w:val="left"/>
        <w:rPr>
          <w:rFonts w:ascii="宋体" w:hAnsi="宋体" w:cs="宋体" w:eastAsia="宋体" w:hint="default"/>
          <w:sz w:val="21"/>
          <w:szCs w:val="21"/>
        </w:rPr>
      </w:pPr>
      <w:r>
        <w:rPr/>
        <w:pict>
          <v:group style="position:absolute;margin-left:243.720001pt;margin-top:84.893959pt;width:260.6500pt;height:.75pt;mso-position-horizontal-relative:page;mso-position-vertical-relative:paragraph;z-index:-622792" coordorigin="4874,1698" coordsize="5213,15">
            <v:group style="position:absolute;left:4882;top:1705;width:2607;height:2" coordorigin="4882,1705" coordsize="2607,2">
              <v:shape style="position:absolute;left:4882;top:1705;width:2607;height:2" coordorigin="4882,1705" coordsize="2607,0" path="m4882,1705l7488,1705e" filled="false" stroked="true" strokeweight=".72pt" strokecolor="#000000">
                <v:path arrowok="t"/>
              </v:shape>
            </v:group>
            <v:group style="position:absolute;left:7474;top:1705;width:105;height:2" coordorigin="7474,1705" coordsize="105,2">
              <v:shape style="position:absolute;left:7474;top:1705;width:105;height:2" coordorigin="7474,1705" coordsize="105,0" path="m7474,1705l7578,1705e" filled="false" stroked="true" strokeweight=".72pt" strokecolor="#000000">
                <v:path arrowok="t"/>
              </v:shape>
            </v:group>
            <v:group style="position:absolute;left:7578;top:1705;width:2502;height:2" coordorigin="7578,1705" coordsize="2502,2">
              <v:shape style="position:absolute;left:7578;top:1705;width:2502;height:2" coordorigin="7578,1705" coordsize="2502,0" path="m7578,1705l10080,1705e" filled="false" stroked="true" strokeweight=".72pt" strokecolor="#000000">
                <v:path arrowok="t"/>
              </v:shape>
            </v:group>
            <w10:wrap type="none"/>
          </v:group>
        </w:pict>
      </w:r>
      <w:r>
        <w:rPr>
          <w:rFonts w:ascii="宋体" w:hAnsi="宋体" w:cs="宋体" w:eastAsia="宋体" w:hint="default"/>
          <w:b/>
          <w:bCs/>
          <w:sz w:val="21"/>
          <w:szCs w:val="21"/>
        </w:rPr>
        <w:t>（三十八）所得税费用</w:t>
      </w:r>
      <w:r>
        <w:rPr>
          <w:rFonts w:ascii="宋体" w:hAnsi="宋体" w:cs="宋体" w:eastAsia="宋体" w:hint="default"/>
          <w:sz w:val="21"/>
          <w:szCs w:val="21"/>
        </w:rPr>
      </w:r>
    </w:p>
    <w:p>
      <w:pPr>
        <w:spacing w:line="240" w:lineRule="auto" w:before="3"/>
        <w:rPr>
          <w:rFonts w:ascii="宋体" w:hAnsi="宋体" w:cs="宋体" w:eastAsia="宋体" w:hint="default"/>
          <w:b/>
          <w:bCs/>
          <w:sz w:val="4"/>
          <w:szCs w:val="4"/>
        </w:rPr>
      </w:pPr>
    </w:p>
    <w:tbl>
      <w:tblPr>
        <w:tblW w:w="0" w:type="auto"/>
        <w:jc w:val="left"/>
        <w:tblInd w:w="212" w:type="dxa"/>
        <w:tblLayout w:type="fixed"/>
        <w:tblCellMar>
          <w:top w:w="0" w:type="dxa"/>
          <w:left w:w="0" w:type="dxa"/>
          <w:bottom w:w="0" w:type="dxa"/>
          <w:right w:w="0" w:type="dxa"/>
        </w:tblCellMar>
        <w:tblLook w:val="01E0"/>
      </w:tblPr>
      <w:tblGrid>
        <w:gridCol w:w="3016"/>
        <w:gridCol w:w="496"/>
        <w:gridCol w:w="541"/>
        <w:gridCol w:w="1994"/>
        <w:gridCol w:w="2161"/>
      </w:tblGrid>
      <w:tr>
        <w:trPr>
          <w:trHeight w:val="698" w:hRule="exact"/>
        </w:trPr>
        <w:tc>
          <w:tcPr>
            <w:tcW w:w="3016" w:type="dxa"/>
            <w:tcBorders>
              <w:top w:val="nil" w:sz="6" w:space="0" w:color="auto"/>
              <w:left w:val="nil" w:sz="6" w:space="0" w:color="auto"/>
              <w:bottom w:val="nil" w:sz="6" w:space="0" w:color="auto"/>
              <w:right w:val="nil" w:sz="6" w:space="0" w:color="auto"/>
            </w:tcBorders>
          </w:tcPr>
          <w:p>
            <w:pPr>
              <w:pStyle w:val="TableParagraph"/>
              <w:tabs>
                <w:tab w:pos="1654" w:val="left" w:leader="none"/>
              </w:tabs>
              <w:spacing w:line="345" w:lineRule="auto" w:before="44"/>
              <w:ind w:left="845" w:right="908" w:firstLine="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当期所得税费用</w:t>
            </w:r>
          </w:p>
        </w:tc>
        <w:tc>
          <w:tcPr>
            <w:tcW w:w="30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15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46"/>
              <w:ind w:left="1545" w:right="0"/>
              <w:jc w:val="left"/>
              <w:rPr>
                <w:rFonts w:ascii="Times New Roman" w:hAnsi="Times New Roman" w:cs="Times New Roman" w:eastAsia="Times New Roman" w:hint="default"/>
                <w:sz w:val="18"/>
                <w:szCs w:val="18"/>
              </w:rPr>
            </w:pPr>
            <w:r>
              <w:rPr>
                <w:rFonts w:ascii="Times New Roman"/>
                <w:sz w:val="18"/>
              </w:rPr>
              <w:t>7,173,788.75</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p>
            <w:pPr>
              <w:pStyle w:val="TableParagraph"/>
              <w:spacing w:line="240" w:lineRule="auto" w:before="146"/>
              <w:ind w:left="1107" w:right="0"/>
              <w:jc w:val="left"/>
              <w:rPr>
                <w:rFonts w:ascii="Times New Roman" w:hAnsi="Times New Roman" w:cs="Times New Roman" w:eastAsia="Times New Roman" w:hint="default"/>
                <w:sz w:val="18"/>
                <w:szCs w:val="18"/>
              </w:rPr>
            </w:pPr>
            <w:r>
              <w:rPr>
                <w:rFonts w:ascii="Times New Roman"/>
                <w:sz w:val="18"/>
              </w:rPr>
              <w:t>6,129,514.85</w:t>
            </w:r>
          </w:p>
        </w:tc>
      </w:tr>
      <w:tr>
        <w:trPr>
          <w:trHeight w:val="309"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4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03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41"/>
              <w:ind w:left="1318" w:right="0"/>
              <w:jc w:val="left"/>
              <w:rPr>
                <w:rFonts w:ascii="Times New Roman" w:hAnsi="Times New Roman" w:cs="Times New Roman" w:eastAsia="Times New Roman" w:hint="default"/>
                <w:sz w:val="21"/>
                <w:szCs w:val="21"/>
              </w:rPr>
            </w:pPr>
            <w:r>
              <w:rPr>
                <w:rFonts w:ascii="Times New Roman"/>
                <w:sz w:val="21"/>
              </w:rPr>
              <w:t>-1,710,554.74</w:t>
            </w: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18"/>
                <w:szCs w:val="18"/>
              </w:rPr>
            </w:pPr>
            <w:r>
              <w:rPr>
                <w:rFonts w:ascii="Times New Roman"/>
                <w:spacing w:val="-1"/>
                <w:sz w:val="18"/>
              </w:rPr>
              <w:t>-1,132,664.70</w:t>
            </w:r>
          </w:p>
        </w:tc>
      </w:tr>
      <w:tr>
        <w:trPr>
          <w:trHeight w:val="435" w:hRule="exact"/>
        </w:trPr>
        <w:tc>
          <w:tcPr>
            <w:tcW w:w="301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30"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545" w:right="0"/>
              <w:jc w:val="left"/>
              <w:rPr>
                <w:rFonts w:ascii="Times New Roman" w:hAnsi="Times New Roman" w:cs="Times New Roman" w:eastAsia="Times New Roman" w:hint="default"/>
                <w:sz w:val="18"/>
                <w:szCs w:val="18"/>
              </w:rPr>
            </w:pPr>
            <w:r>
              <w:rPr>
                <w:rFonts w:ascii="Times New Roman"/>
                <w:sz w:val="18"/>
              </w:rPr>
              <w:t>5,463,234.01</w:t>
            </w:r>
          </w:p>
        </w:tc>
        <w:tc>
          <w:tcPr>
            <w:tcW w:w="21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spacing w:val="-1"/>
                <w:sz w:val="18"/>
              </w:rPr>
              <w:t>4,996,850.15</w:t>
            </w:r>
          </w:p>
        </w:tc>
      </w:tr>
      <w:tr>
        <w:trPr>
          <w:trHeight w:val="382"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49" w:right="0"/>
              <w:jc w:val="left"/>
              <w:rPr>
                <w:rFonts w:ascii="宋体" w:hAnsi="宋体" w:cs="宋体" w:eastAsia="宋体" w:hint="default"/>
                <w:sz w:val="21"/>
                <w:szCs w:val="21"/>
              </w:rPr>
            </w:pPr>
            <w:r>
              <w:rPr>
                <w:rFonts w:ascii="宋体" w:hAnsi="宋体" w:cs="宋体" w:eastAsia="宋体" w:hint="default"/>
                <w:b/>
                <w:bCs/>
                <w:sz w:val="21"/>
                <w:szCs w:val="21"/>
              </w:rPr>
              <w:t>（三十九）政府补助</w:t>
            </w:r>
            <w:r>
              <w:rPr>
                <w:rFonts w:ascii="宋体" w:hAnsi="宋体" w:cs="宋体" w:eastAsia="宋体" w:hint="default"/>
                <w:sz w:val="21"/>
                <w:szCs w:val="21"/>
              </w:rPr>
            </w:r>
          </w:p>
        </w:tc>
        <w:tc>
          <w:tcPr>
            <w:tcW w:w="3030" w:type="dxa"/>
            <w:gridSpan w:val="3"/>
            <w:tcBorders>
              <w:top w:val="nil" w:sz="6" w:space="0" w:color="auto"/>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
        </w:tc>
      </w:tr>
      <w:tr>
        <w:trPr>
          <w:trHeight w:val="346"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政府补助的种类及项目</w:t>
            </w:r>
            <w:r>
              <w:rPr>
                <w:rFonts w:ascii="宋体" w:hAnsi="宋体" w:cs="宋体" w:eastAsia="宋体" w:hint="default"/>
                <w:sz w:val="21"/>
                <w:szCs w:val="21"/>
              </w:rPr>
            </w:r>
          </w:p>
        </w:tc>
        <w:tc>
          <w:tcPr>
            <w:tcW w:w="2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7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r>
      <w:tr>
        <w:trPr>
          <w:trHeight w:val="352"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、收到的与资产相关的政府补助</w:t>
            </w:r>
          </w:p>
        </w:tc>
        <w:tc>
          <w:tcPr>
            <w:tcW w:w="2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right="175"/>
              <w:jc w:val="center"/>
              <w:rPr>
                <w:rFonts w:ascii="Times New Roman" w:hAnsi="Times New Roman" w:cs="Times New Roman" w:eastAsia="Times New Roman" w:hint="default"/>
                <w:sz w:val="21"/>
                <w:szCs w:val="21"/>
              </w:rPr>
            </w:pPr>
            <w:r>
              <w:rPr>
                <w:rFonts w:ascii="Times New Roman"/>
                <w:sz w:val="21"/>
              </w:rPr>
              <w:t>---</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00"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6"/>
              <w:ind w:right="65"/>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53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8"/>
              <w:ind w:right="175"/>
              <w:jc w:val="center"/>
              <w:rPr>
                <w:rFonts w:ascii="Times New Roman" w:hAnsi="Times New Roman" w:cs="Times New Roman" w:eastAsia="Times New Roman" w:hint="default"/>
                <w:sz w:val="18"/>
                <w:szCs w:val="18"/>
              </w:rPr>
            </w:pPr>
            <w:r>
              <w:rPr>
                <w:rFonts w:ascii="Times New Roman"/>
                <w:sz w:val="18"/>
              </w:rPr>
              <w:t>---</w:t>
            </w: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87"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、收到的与收益相关的政府补助</w:t>
            </w:r>
          </w:p>
        </w:tc>
        <w:tc>
          <w:tcPr>
            <w:tcW w:w="2535" w:type="dxa"/>
            <w:gridSpan w:val="2"/>
            <w:tcBorders>
              <w:top w:val="single" w:sz="4" w:space="0" w:color="000000"/>
              <w:left w:val="nil" w:sz="6" w:space="0" w:color="auto"/>
              <w:bottom w:val="nil" w:sz="6" w:space="0" w:color="auto"/>
              <w:right w:val="nil" w:sz="6" w:space="0" w:color="auto"/>
            </w:tcBorders>
          </w:tcPr>
          <w:p>
            <w:pPr/>
          </w:p>
        </w:tc>
        <w:tc>
          <w:tcPr>
            <w:tcW w:w="2161" w:type="dxa"/>
            <w:tcBorders>
              <w:top w:val="single" w:sz="4" w:space="0" w:color="000000"/>
              <w:left w:val="nil" w:sz="6" w:space="0" w:color="auto"/>
              <w:bottom w:val="nil" w:sz="6" w:space="0" w:color="auto"/>
              <w:right w:val="nil" w:sz="6" w:space="0" w:color="auto"/>
            </w:tcBorders>
          </w:tcPr>
          <w:p>
            <w:pPr/>
          </w:p>
        </w:tc>
      </w:tr>
      <w:tr>
        <w:trPr>
          <w:trHeight w:val="341"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）科研经费补助</w:t>
            </w:r>
          </w:p>
        </w:tc>
        <w:tc>
          <w:tcPr>
            <w:tcW w:w="2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175"/>
              <w:jc w:val="center"/>
              <w:rPr>
                <w:rFonts w:ascii="Times New Roman" w:hAnsi="Times New Roman" w:cs="Times New Roman" w:eastAsia="Times New Roman" w:hint="default"/>
                <w:sz w:val="18"/>
                <w:szCs w:val="18"/>
              </w:rPr>
            </w:pPr>
            <w:r>
              <w:rPr>
                <w:rFonts w:ascii="Times New Roman"/>
                <w:sz w:val="18"/>
              </w:rPr>
              <w:t>---</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z w:val="18"/>
              </w:rPr>
              <w:t>400,000.00</w:t>
            </w:r>
          </w:p>
        </w:tc>
      </w:tr>
      <w:tr>
        <w:trPr>
          <w:trHeight w:val="340"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）创新型企业资助</w:t>
            </w:r>
          </w:p>
        </w:tc>
        <w:tc>
          <w:tcPr>
            <w:tcW w:w="25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705" w:right="0"/>
              <w:jc w:val="left"/>
              <w:rPr>
                <w:rFonts w:ascii="Times New Roman" w:hAnsi="Times New Roman" w:cs="Times New Roman" w:eastAsia="Times New Roman" w:hint="default"/>
                <w:sz w:val="18"/>
                <w:szCs w:val="18"/>
              </w:rPr>
            </w:pPr>
            <w:r>
              <w:rPr>
                <w:rFonts w:ascii="Times New Roman"/>
                <w:sz w:val="18"/>
              </w:rPr>
              <w:t>1,000,000.00</w:t>
            </w: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02"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9"/>
              <w:ind w:right="65"/>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53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right="175"/>
              <w:jc w:val="center"/>
              <w:rPr>
                <w:rFonts w:ascii="Times New Roman" w:hAnsi="Times New Roman" w:cs="Times New Roman" w:eastAsia="Times New Roman" w:hint="default"/>
                <w:sz w:val="18"/>
                <w:szCs w:val="18"/>
              </w:rPr>
            </w:pPr>
            <w:r>
              <w:rPr>
                <w:rFonts w:ascii="Times New Roman"/>
                <w:sz w:val="18"/>
              </w:rPr>
              <w:t>---</w:t>
            </w:r>
          </w:p>
        </w:tc>
        <w:tc>
          <w:tcPr>
            <w:tcW w:w="216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35" w:hRule="exact"/>
        </w:trPr>
        <w:tc>
          <w:tcPr>
            <w:tcW w:w="3511" w:type="dxa"/>
            <w:gridSpan w:val="2"/>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65"/>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35"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705" w:right="0"/>
              <w:jc w:val="left"/>
              <w:rPr>
                <w:rFonts w:ascii="Times New Roman" w:hAnsi="Times New Roman" w:cs="Times New Roman" w:eastAsia="Times New Roman" w:hint="default"/>
                <w:sz w:val="18"/>
                <w:szCs w:val="18"/>
              </w:rPr>
            </w:pPr>
            <w:r>
              <w:rPr>
                <w:rFonts w:ascii="Times New Roman"/>
                <w:sz w:val="18"/>
              </w:rPr>
              <w:t>1,000,000.00</w:t>
            </w:r>
          </w:p>
        </w:tc>
        <w:tc>
          <w:tcPr>
            <w:tcW w:w="21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1075" w:hRule="exact"/>
        </w:trPr>
        <w:tc>
          <w:tcPr>
            <w:tcW w:w="4053" w:type="dxa"/>
            <w:gridSpan w:val="3"/>
            <w:tcBorders>
              <w:top w:val="nil" w:sz="6" w:space="0" w:color="auto"/>
              <w:left w:val="nil" w:sz="6" w:space="0" w:color="auto"/>
              <w:bottom w:val="nil" w:sz="6" w:space="0" w:color="auto"/>
              <w:right w:val="nil" w:sz="6" w:space="0" w:color="auto"/>
            </w:tcBorders>
          </w:tcPr>
          <w:p>
            <w:pPr>
              <w:pStyle w:val="TableParagraph"/>
              <w:spacing w:line="297" w:lineRule="auto" w:before="42"/>
              <w:ind w:left="347" w:right="239" w:firstLine="2"/>
              <w:jc w:val="left"/>
              <w:rPr>
                <w:rFonts w:ascii="宋体" w:hAnsi="宋体" w:cs="宋体" w:eastAsia="宋体" w:hint="default"/>
                <w:sz w:val="21"/>
                <w:szCs w:val="21"/>
              </w:rPr>
            </w:pPr>
            <w:r>
              <w:rPr>
                <w:rFonts w:ascii="宋体" w:hAnsi="宋体" w:cs="宋体" w:eastAsia="宋体" w:hint="default"/>
                <w:b/>
                <w:bCs/>
                <w:sz w:val="21"/>
                <w:szCs w:val="21"/>
              </w:rPr>
              <w:t>（四十）现金流量表附注</w:t>
            </w:r>
            <w:r>
              <w:rPr>
                <w:rFonts w:ascii="宋体" w:hAnsi="宋体" w:cs="宋体" w:eastAsia="宋体" w:hint="default"/>
                <w:b/>
                <w:bCs/>
                <w:w w:val="99"/>
                <w:sz w:val="21"/>
                <w:szCs w:val="21"/>
              </w:rPr>
              <w:t> </w:t>
            </w:r>
            <w:r>
              <w:rPr>
                <w:rFonts w:ascii="宋体" w:hAnsi="宋体" w:cs="宋体" w:eastAsia="宋体" w:hint="default"/>
                <w:sz w:val="21"/>
                <w:szCs w:val="21"/>
              </w:rPr>
              <w:t>1、收到的其他与经营活动有关的现金</w:t>
            </w:r>
          </w:p>
          <w:p>
            <w:pPr>
              <w:pStyle w:val="TableParagraph"/>
              <w:spacing w:line="240" w:lineRule="auto" w:before="49"/>
              <w:ind w:right="4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15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本年发生额</w:t>
            </w:r>
            <w:r>
              <w:rPr>
                <w:rFonts w:ascii="宋体" w:hAnsi="宋体" w:cs="宋体" w:eastAsia="宋体" w:hint="default"/>
                <w:sz w:val="21"/>
                <w:szCs w:val="21"/>
              </w:rPr>
            </w:r>
          </w:p>
        </w:tc>
      </w:tr>
      <w:tr>
        <w:trPr>
          <w:trHeight w:val="343" w:hRule="exact"/>
        </w:trPr>
        <w:tc>
          <w:tcPr>
            <w:tcW w:w="40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right="42"/>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4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9,515,424.00</w:t>
            </w:r>
          </w:p>
        </w:tc>
      </w:tr>
      <w:tr>
        <w:trPr>
          <w:trHeight w:val="340" w:hRule="exact"/>
        </w:trPr>
        <w:tc>
          <w:tcPr>
            <w:tcW w:w="40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right="42"/>
              <w:jc w:val="center"/>
              <w:rPr>
                <w:rFonts w:ascii="宋体" w:hAnsi="宋体" w:cs="宋体" w:eastAsia="宋体" w:hint="default"/>
                <w:sz w:val="18"/>
                <w:szCs w:val="18"/>
              </w:rPr>
            </w:pPr>
            <w:r>
              <w:rPr>
                <w:rFonts w:ascii="宋体" w:hAnsi="宋体" w:cs="宋体" w:eastAsia="宋体" w:hint="default"/>
                <w:sz w:val="18"/>
                <w:szCs w:val="18"/>
              </w:rPr>
              <w:t>存款质押金</w:t>
            </w:r>
          </w:p>
        </w:tc>
        <w:tc>
          <w:tcPr>
            <w:tcW w:w="4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4,503,243.51</w:t>
            </w:r>
          </w:p>
        </w:tc>
      </w:tr>
      <w:tr>
        <w:trPr>
          <w:trHeight w:val="340" w:hRule="exact"/>
        </w:trPr>
        <w:tc>
          <w:tcPr>
            <w:tcW w:w="40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right="42"/>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41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03" w:hRule="exact"/>
        </w:trPr>
        <w:tc>
          <w:tcPr>
            <w:tcW w:w="40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right="4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415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24,404,788.54</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660" w:right="1660"/>
        </w:sectPr>
      </w:pPr>
    </w:p>
    <w:p>
      <w:pPr>
        <w:spacing w:line="240" w:lineRule="auto" w:before="5"/>
        <w:rPr>
          <w:rFonts w:ascii="宋体" w:hAnsi="宋体" w:cs="宋体" w:eastAsia="宋体" w:hint="default"/>
          <w:b/>
          <w:bCs/>
          <w:sz w:val="21"/>
          <w:szCs w:val="21"/>
        </w:rPr>
      </w:pPr>
      <w:r>
        <w:rPr/>
        <w:pict>
          <v:group style="position:absolute;margin-left:296.279999pt;margin-top:89.879982pt;width:207.75pt;height:.1pt;mso-position-horizontal-relative:page;mso-position-vertical-relative:page;z-index:-622720" coordorigin="5926,1798" coordsize="4155,2">
            <v:shape style="position:absolute;left:5926;top:1798;width:4155;height:2" coordorigin="5926,1798" coordsize="4155,0" path="m5926,1798l10080,1798e" filled="false" stroked="true" strokeweight=".72003pt" strokecolor="#000000">
              <v:path arrowok="t"/>
            </v:shape>
            <w10:wrap type="none"/>
          </v:group>
        </w:pict>
      </w:r>
    </w:p>
    <w:p>
      <w:pPr>
        <w:spacing w:line="20" w:lineRule="exact"/>
        <w:ind w:left="4268" w:right="0" w:firstLine="0"/>
        <w:rPr>
          <w:rFonts w:ascii="宋体" w:hAnsi="宋体" w:cs="宋体" w:eastAsia="宋体" w:hint="default"/>
          <w:sz w:val="2"/>
          <w:szCs w:val="2"/>
        </w:rPr>
      </w:pPr>
      <w:r>
        <w:rPr>
          <w:rFonts w:ascii="宋体" w:hAnsi="宋体" w:cs="宋体" w:eastAsia="宋体" w:hint="default"/>
          <w:sz w:val="2"/>
          <w:szCs w:val="2"/>
        </w:rPr>
        <w:pict>
          <v:group style="width:207.5pt;height:.5pt;mso-position-horizontal-relative:char;mso-position-vertical-relative:line" coordorigin="0,0" coordsize="4150,10">
            <v:group style="position:absolute;left:5;top:5;width:4140;height:2" coordorigin="5,5" coordsize="4140,2">
              <v:shape style="position:absolute;left:5;top:5;width:4140;height:2" coordorigin="5,5" coordsize="4140,0" path="m5,5l4145,5e" filled="false" stroked="true" strokeweight=".48004pt" strokecolor="#000000">
                <v:path arrowok="t"/>
              </v:shape>
            </v:group>
          </v:group>
        </w:pict>
      </w:r>
      <w:r>
        <w:rPr>
          <w:rFonts w:ascii="宋体" w:hAnsi="宋体" w:cs="宋体" w:eastAsia="宋体" w:hint="default"/>
          <w:sz w:val="2"/>
          <w:szCs w:val="2"/>
        </w:rPr>
      </w:r>
    </w:p>
    <w:tbl>
      <w:tblPr>
        <w:tblW w:w="0" w:type="auto"/>
        <w:jc w:val="left"/>
        <w:tblInd w:w="525" w:type="dxa"/>
        <w:tblLayout w:type="fixed"/>
        <w:tblCellMar>
          <w:top w:w="0" w:type="dxa"/>
          <w:left w:w="0" w:type="dxa"/>
          <w:bottom w:w="0" w:type="dxa"/>
          <w:right w:w="0" w:type="dxa"/>
        </w:tblCellMar>
        <w:tblLook w:val="01E0"/>
      </w:tblPr>
      <w:tblGrid>
        <w:gridCol w:w="3741"/>
        <w:gridCol w:w="4154"/>
      </w:tblGrid>
      <w:tr>
        <w:trPr>
          <w:trHeight w:val="412"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4"/>
              <w:jc w:val="center"/>
              <w:rPr>
                <w:rFonts w:ascii="宋体" w:hAnsi="宋体" w:cs="宋体" w:eastAsia="宋体" w:hint="default"/>
                <w:sz w:val="18"/>
                <w:szCs w:val="18"/>
              </w:rPr>
            </w:pPr>
            <w:r>
              <w:rPr>
                <w:rFonts w:ascii="宋体" w:hAnsi="宋体" w:cs="宋体" w:eastAsia="宋体" w:hint="default"/>
                <w:sz w:val="18"/>
                <w:szCs w:val="18"/>
              </w:rPr>
              <w:t>合  计</w:t>
            </w:r>
          </w:p>
        </w:tc>
        <w:tc>
          <w:tcPr>
            <w:tcW w:w="4154" w:type="dxa"/>
            <w:tcBorders>
              <w:top w:val="nil" w:sz="6" w:space="0" w:color="auto"/>
              <w:left w:val="nil" w:sz="6" w:space="0" w:color="auto"/>
              <w:bottom w:val="single" w:sz="12"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39,423,456.05</w:t>
            </w:r>
          </w:p>
        </w:tc>
      </w:tr>
      <w:tr>
        <w:trPr>
          <w:trHeight w:val="395"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2、支付的其他与经营活动有关的现金</w:t>
            </w:r>
          </w:p>
        </w:tc>
        <w:tc>
          <w:tcPr>
            <w:tcW w:w="4154" w:type="dxa"/>
            <w:tcBorders>
              <w:top w:val="single" w:sz="12" w:space="0" w:color="000000"/>
              <w:left w:val="nil" w:sz="6" w:space="0" w:color="auto"/>
              <w:bottom w:val="nil" w:sz="6" w:space="0" w:color="auto"/>
              <w:right w:val="nil" w:sz="6" w:space="0" w:color="auto"/>
            </w:tcBorders>
          </w:tcPr>
          <w:p>
            <w:pPr/>
          </w:p>
        </w:tc>
      </w:tr>
      <w:tr>
        <w:trPr>
          <w:trHeight w:val="338"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6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r>
      <w:tr>
        <w:trPr>
          <w:trHeight w:val="345"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68"/>
              <w:jc w:val="center"/>
              <w:rPr>
                <w:rFonts w:ascii="宋体" w:hAnsi="宋体" w:cs="宋体" w:eastAsia="宋体" w:hint="default"/>
                <w:sz w:val="18"/>
                <w:szCs w:val="18"/>
              </w:rPr>
            </w:pPr>
            <w:r>
              <w:rPr>
                <w:rFonts w:ascii="宋体" w:hAnsi="宋体" w:cs="宋体" w:eastAsia="宋体" w:hint="default"/>
                <w:sz w:val="18"/>
                <w:szCs w:val="18"/>
              </w:rPr>
              <w:t>付现费用</w:t>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8"/>
                <w:szCs w:val="18"/>
              </w:rPr>
            </w:pPr>
            <w:r>
              <w:rPr>
                <w:rFonts w:ascii="Times New Roman"/>
                <w:spacing w:val="-1"/>
                <w:sz w:val="18"/>
              </w:rPr>
              <w:t>36,169,993.66</w:t>
            </w:r>
          </w:p>
        </w:tc>
      </w:tr>
      <w:tr>
        <w:trPr>
          <w:trHeight w:val="340"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35"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170,865.00</w:t>
            </w:r>
          </w:p>
        </w:tc>
      </w:tr>
      <w:tr>
        <w:trPr>
          <w:trHeight w:val="302"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8"/>
              <w:jc w:val="center"/>
              <w:rPr>
                <w:rFonts w:ascii="宋体" w:hAnsi="宋体" w:cs="宋体" w:eastAsia="宋体" w:hint="default"/>
                <w:sz w:val="18"/>
                <w:szCs w:val="18"/>
              </w:rPr>
            </w:pPr>
            <w:r>
              <w:rPr>
                <w:rFonts w:ascii="宋体" w:hAnsi="宋体" w:cs="宋体" w:eastAsia="宋体" w:hint="default"/>
                <w:sz w:val="18"/>
                <w:szCs w:val="18"/>
              </w:rPr>
              <w:t>往来款</w:t>
            </w:r>
          </w:p>
        </w:tc>
        <w:tc>
          <w:tcPr>
            <w:tcW w:w="415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25,810,348.24</w:t>
            </w:r>
          </w:p>
        </w:tc>
      </w:tr>
      <w:tr>
        <w:trPr>
          <w:trHeight w:val="435"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8"/>
              <w:jc w:val="center"/>
              <w:rPr>
                <w:rFonts w:ascii="宋体" w:hAnsi="宋体" w:cs="宋体" w:eastAsia="宋体" w:hint="default"/>
                <w:sz w:val="18"/>
                <w:szCs w:val="18"/>
              </w:rPr>
            </w:pPr>
            <w:r>
              <w:rPr>
                <w:rFonts w:ascii="宋体" w:hAnsi="宋体" w:cs="宋体" w:eastAsia="宋体" w:hint="default"/>
                <w:sz w:val="18"/>
                <w:szCs w:val="18"/>
              </w:rPr>
              <w:t>合  计</w:t>
            </w:r>
          </w:p>
        </w:tc>
        <w:tc>
          <w:tcPr>
            <w:tcW w:w="4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spacing w:val="-1"/>
                <w:sz w:val="18"/>
              </w:rPr>
              <w:t>62,151,206.90</w:t>
            </w:r>
          </w:p>
        </w:tc>
      </w:tr>
    </w:tbl>
    <w:p>
      <w:pPr>
        <w:spacing w:before="19"/>
        <w:ind w:left="560" w:right="129" w:firstLine="0"/>
        <w:jc w:val="left"/>
        <w:rPr>
          <w:rFonts w:ascii="宋体" w:hAnsi="宋体" w:cs="宋体" w:eastAsia="宋体" w:hint="default"/>
          <w:sz w:val="21"/>
          <w:szCs w:val="21"/>
        </w:rPr>
      </w:pPr>
      <w:r>
        <w:rPr/>
        <w:pict>
          <v:group style="position:absolute;margin-left:296.279999pt;margin-top:-5.266033pt;width:207.75pt;height:.1pt;mso-position-horizontal-relative:page;mso-position-vertical-relative:paragraph;z-index:-622696" coordorigin="5926,-105" coordsize="4155,2">
            <v:shape style="position:absolute;left:5926;top:-105;width:4155;height:2" coordorigin="5926,-105" coordsize="4155,0" path="m5926,-105l10080,-105e" filled="false" stroked="true" strokeweight=".72003pt" strokecolor="#000000">
              <v:path arrowok="t"/>
            </v:shape>
            <w10:wrap type="none"/>
          </v:group>
        </w:pict>
      </w:r>
      <w:r>
        <w:rPr>
          <w:rFonts w:ascii="Times New Roman" w:hAnsi="Times New Roman" w:cs="Times New Roman" w:eastAsia="Times New Roman" w:hint="default"/>
          <w:sz w:val="21"/>
          <w:szCs w:val="21"/>
        </w:rPr>
        <w:t>3</w:t>
      </w:r>
      <w:r>
        <w:rPr>
          <w:rFonts w:ascii="宋体" w:hAnsi="宋体" w:cs="宋体" w:eastAsia="宋体" w:hint="default"/>
          <w:sz w:val="21"/>
          <w:szCs w:val="21"/>
        </w:rPr>
        <w:t>、支付的其他与投资活动有关的现金</w:t>
      </w:r>
    </w:p>
    <w:p>
      <w:pPr>
        <w:tabs>
          <w:tab w:pos="2343" w:val="left" w:leader="none"/>
          <w:tab w:pos="5899" w:val="left" w:leader="none"/>
        </w:tabs>
        <w:spacing w:before="84"/>
        <w:ind w:left="1803" w:right="12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tabs>
          <w:tab w:pos="5831" w:val="left" w:leader="none"/>
        </w:tabs>
        <w:spacing w:before="105"/>
        <w:ind w:left="1353" w:right="12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外汇投资履约保证金</w:t>
        <w:tab/>
      </w:r>
      <w:r>
        <w:rPr>
          <w:rFonts w:ascii="Times New Roman" w:hAnsi="Times New Roman" w:cs="Times New Roman" w:eastAsia="Times New Roman" w:hint="default"/>
          <w:sz w:val="18"/>
          <w:szCs w:val="18"/>
        </w:rPr>
        <w:t>34,106,859.18</w:t>
      </w:r>
    </w:p>
    <w:p>
      <w:pPr>
        <w:spacing w:before="55"/>
        <w:ind w:left="560" w:right="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、支付的其他与筹资活动有关的现金</w:t>
      </w:r>
    </w:p>
    <w:p>
      <w:pPr>
        <w:spacing w:line="240" w:lineRule="auto" w:before="0"/>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3748"/>
        <w:gridCol w:w="2577"/>
        <w:gridCol w:w="1563"/>
      </w:tblGrid>
      <w:tr>
        <w:trPr>
          <w:trHeight w:val="706" w:hRule="exact"/>
        </w:trPr>
        <w:tc>
          <w:tcPr>
            <w:tcW w:w="3748"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348" w:lineRule="auto" w:before="44"/>
              <w:ind w:left="1235" w:right="1610"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借款保证金</w:t>
            </w:r>
          </w:p>
        </w:tc>
        <w:tc>
          <w:tcPr>
            <w:tcW w:w="2577"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p>
            <w:pPr>
              <w:pStyle w:val="TableParagraph"/>
              <w:spacing w:line="240" w:lineRule="auto" w:before="147"/>
              <w:ind w:left="337" w:right="0"/>
              <w:jc w:val="left"/>
              <w:rPr>
                <w:rFonts w:ascii="Times New Roman" w:hAnsi="Times New Roman" w:cs="Times New Roman" w:eastAsia="Times New Roman" w:hint="default"/>
                <w:sz w:val="18"/>
                <w:szCs w:val="18"/>
              </w:rPr>
            </w:pPr>
            <w:r>
              <w:rPr>
                <w:rFonts w:ascii="Times New Roman"/>
                <w:sz w:val="18"/>
              </w:rPr>
              <w:t>523,495,610.00</w:t>
            </w:r>
          </w:p>
        </w:tc>
      </w:tr>
      <w:tr>
        <w:trPr>
          <w:trHeight w:val="302"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35" w:right="0"/>
              <w:jc w:val="left"/>
              <w:rPr>
                <w:rFonts w:ascii="宋体" w:hAnsi="宋体" w:cs="宋体" w:eastAsia="宋体" w:hint="default"/>
                <w:sz w:val="18"/>
                <w:szCs w:val="18"/>
              </w:rPr>
            </w:pPr>
            <w:r>
              <w:rPr>
                <w:rFonts w:ascii="宋体" w:hAnsi="宋体" w:cs="宋体" w:eastAsia="宋体" w:hint="default"/>
                <w:sz w:val="18"/>
                <w:szCs w:val="18"/>
              </w:rPr>
              <w:t>借款手续费</w:t>
            </w:r>
          </w:p>
        </w:tc>
        <w:tc>
          <w:tcPr>
            <w:tcW w:w="2577" w:type="dxa"/>
            <w:tcBorders>
              <w:top w:val="nil" w:sz="6" w:space="0" w:color="auto"/>
              <w:left w:val="nil" w:sz="6" w:space="0" w:color="auto"/>
              <w:bottom w:val="single" w:sz="4" w:space="0" w:color="000000"/>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pacing w:val="-1"/>
                <w:sz w:val="18"/>
              </w:rPr>
              <w:t>2,337,553.86</w:t>
            </w:r>
          </w:p>
        </w:tc>
      </w:tr>
      <w:tr>
        <w:trPr>
          <w:trHeight w:val="436" w:hRule="exact"/>
        </w:trPr>
        <w:tc>
          <w:tcPr>
            <w:tcW w:w="3748"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67"/>
              <w:ind w:left="13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77" w:type="dxa"/>
            <w:tcBorders>
              <w:top w:val="single" w:sz="4" w:space="0" w:color="000000"/>
              <w:left w:val="nil" w:sz="6" w:space="0" w:color="auto"/>
              <w:bottom w:val="single" w:sz="12" w:space="0" w:color="000000"/>
              <w:right w:val="nil" w:sz="6" w:space="0" w:color="auto"/>
            </w:tcBorders>
          </w:tcPr>
          <w:p>
            <w:pPr/>
          </w:p>
        </w:tc>
        <w:tc>
          <w:tcPr>
            <w:tcW w:w="15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525,833,163.86</w:t>
            </w:r>
          </w:p>
        </w:tc>
      </w:tr>
      <w:tr>
        <w:trPr>
          <w:trHeight w:val="752" w:hRule="exact"/>
        </w:trPr>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、现金流量表补充资料</w:t>
            </w:r>
          </w:p>
          <w:p>
            <w:pPr>
              <w:pStyle w:val="TableParagraph"/>
              <w:tabs>
                <w:tab w:pos="702" w:val="left" w:leader="none"/>
              </w:tabs>
              <w:spacing w:line="240" w:lineRule="auto" w:before="84"/>
              <w:ind w:left="16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57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56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上年发生数</w:t>
            </w:r>
            <w:r>
              <w:rPr>
                <w:rFonts w:ascii="宋体" w:hAnsi="宋体" w:cs="宋体" w:eastAsia="宋体" w:hint="default"/>
                <w:sz w:val="18"/>
                <w:szCs w:val="18"/>
              </w:rPr>
            </w:r>
          </w:p>
        </w:tc>
      </w:tr>
    </w:tbl>
    <w:p>
      <w:pPr>
        <w:spacing w:before="4"/>
        <w:ind w:left="248" w:right="129" w:firstLine="0"/>
        <w:jc w:val="left"/>
        <w:rPr>
          <w:rFonts w:ascii="宋体" w:hAnsi="宋体" w:cs="宋体" w:eastAsia="宋体" w:hint="default"/>
          <w:sz w:val="18"/>
          <w:szCs w:val="18"/>
        </w:rPr>
      </w:pPr>
      <w:r>
        <w:rPr/>
        <w:pict>
          <v:group style="position:absolute;margin-left:296.279999pt;margin-top:-41.727978pt;width:207.75pt;height:.1pt;mso-position-horizontal-relative:page;mso-position-vertical-relative:paragraph;z-index:-622672" coordorigin="5926,-835" coordsize="4155,2">
            <v:shape style="position:absolute;left:5926;top:-835;width:4155;height:2" coordorigin="5926,-835" coordsize="4155,0" path="m5926,-835l10080,-835e" filled="false" stroked="true" strokeweight=".71997pt" strokecolor="#000000">
              <v:path arrowok="t"/>
            </v:shape>
            <w10:wrap type="none"/>
          </v:group>
        </w:pict>
      </w:r>
      <w:r>
        <w:rPr>
          <w:rFonts w:ascii="宋体" w:hAnsi="宋体" w:cs="宋体" w:eastAsia="宋体" w:hint="default"/>
          <w:sz w:val="18"/>
          <w:szCs w:val="18"/>
        </w:rPr>
        <w:t>一、将净利润调节为经营活动现金流量</w:t>
      </w:r>
    </w:p>
    <w:p>
      <w:pPr>
        <w:spacing w:line="240" w:lineRule="auto" w:before="8"/>
        <w:rPr>
          <w:rFonts w:ascii="宋体" w:hAnsi="宋体" w:cs="宋体" w:eastAsia="宋体" w:hint="default"/>
          <w:sz w:val="4"/>
          <w:szCs w:val="4"/>
        </w:rPr>
      </w:pPr>
    </w:p>
    <w:tbl>
      <w:tblPr>
        <w:tblW w:w="0" w:type="auto"/>
        <w:jc w:val="left"/>
        <w:tblInd w:w="247" w:type="dxa"/>
        <w:tblLayout w:type="fixed"/>
        <w:tblCellMar>
          <w:top w:w="0" w:type="dxa"/>
          <w:left w:w="0" w:type="dxa"/>
          <w:bottom w:w="0" w:type="dxa"/>
          <w:right w:w="0" w:type="dxa"/>
        </w:tblCellMar>
        <w:tblLook w:val="01E0"/>
      </w:tblPr>
      <w:tblGrid>
        <w:gridCol w:w="4572"/>
        <w:gridCol w:w="2000"/>
        <w:gridCol w:w="1528"/>
      </w:tblGrid>
      <w:tr>
        <w:trPr>
          <w:trHeight w:val="365"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6"/>
              <w:jc w:val="right"/>
              <w:rPr>
                <w:rFonts w:ascii="Times New Roman" w:hAnsi="Times New Roman" w:cs="Times New Roman" w:eastAsia="Times New Roman" w:hint="default"/>
                <w:sz w:val="18"/>
                <w:szCs w:val="18"/>
              </w:rPr>
            </w:pPr>
            <w:r>
              <w:rPr>
                <w:rFonts w:ascii="Times New Roman"/>
                <w:spacing w:val="-1"/>
                <w:sz w:val="18"/>
              </w:rPr>
              <w:t>27,675,291.69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57,388,985.34</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pacing w:val="-1"/>
                <w:sz w:val="18"/>
              </w:rPr>
              <w:t>4,770,575.91</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pacing w:val="-1"/>
                <w:sz w:val="18"/>
              </w:rPr>
              <w:t>11,573,002.92</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固定资产折旧、油气资产折耗、生产性生物资产折旧</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pacing w:val="-1"/>
                <w:sz w:val="18"/>
              </w:rPr>
              <w:t>17,720,334.52</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pacing w:val="-1"/>
                <w:sz w:val="18"/>
              </w:rPr>
              <w:t>15,741,844.75</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Times New Roman"/>
                <w:spacing w:val="-1"/>
                <w:sz w:val="18"/>
              </w:rPr>
              <w:t>1,198,549.77</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1,181,255.23</w:t>
            </w:r>
          </w:p>
        </w:tc>
      </w:tr>
      <w:tr>
        <w:trPr>
          <w:trHeight w:val="332"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z w:val="18"/>
              </w:rPr>
              <w:t>602,272.44</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z w:val="18"/>
              </w:rPr>
              <w:t>848,877.84</w:t>
            </w:r>
          </w:p>
        </w:tc>
      </w:tr>
      <w:tr>
        <w:trPr>
          <w:trHeight w:val="27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Times New Roman" w:hAnsi="Times New Roman" w:cs="Times New Roman" w:eastAsia="Times New Roman" w:hint="default"/>
                <w:sz w:val="21"/>
                <w:szCs w:val="21"/>
              </w:rPr>
            </w:pPr>
            <w:r>
              <w:rPr>
                <w:rFonts w:ascii="Times New Roman"/>
                <w:sz w:val="21"/>
              </w:rPr>
              <w:t>534,997.40</w:t>
            </w:r>
          </w:p>
        </w:tc>
        <w:tc>
          <w:tcPr>
            <w:tcW w:w="1528" w:type="dxa"/>
            <w:tcBorders>
              <w:top w:val="nil" w:sz="6" w:space="0" w:color="auto"/>
              <w:left w:val="nil" w:sz="6" w:space="0" w:color="auto"/>
              <w:bottom w:val="nil" w:sz="6" w:space="0" w:color="auto"/>
              <w:right w:val="nil" w:sz="6" w:space="0" w:color="auto"/>
            </w:tcBorders>
          </w:tcPr>
          <w:p>
            <w:pPr/>
          </w:p>
        </w:tc>
      </w:tr>
      <w:tr>
        <w:trPr>
          <w:trHeight w:val="332"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176" w:lineRule="exact"/>
              <w:ind w:right="34"/>
              <w:jc w:val="right"/>
              <w:rPr>
                <w:rFonts w:ascii="Times New Roman" w:hAnsi="Times New Roman" w:cs="Times New Roman" w:eastAsia="Times New Roman" w:hint="default"/>
                <w:sz w:val="18"/>
                <w:szCs w:val="18"/>
              </w:rPr>
            </w:pPr>
            <w:r>
              <w:rPr>
                <w:rFonts w:ascii="Times New Roman"/>
                <w:sz w:val="18"/>
              </w:rPr>
              <w:t>206,622.64</w:t>
            </w:r>
          </w:p>
        </w:tc>
      </w:tr>
      <w:tr>
        <w:trPr>
          <w:trHeight w:val="425"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6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5"/>
              <w:jc w:val="right"/>
              <w:rPr>
                <w:rFonts w:ascii="Times New Roman" w:hAnsi="Times New Roman" w:cs="Times New Roman" w:eastAsia="Times New Roman" w:hint="default"/>
                <w:sz w:val="18"/>
                <w:szCs w:val="18"/>
              </w:rPr>
            </w:pPr>
            <w:r>
              <w:rPr>
                <w:rFonts w:ascii="Times New Roman"/>
                <w:spacing w:val="-1"/>
                <w:sz w:val="18"/>
              </w:rPr>
              <w:t>-21,409,193.97</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Times New Roman"/>
                <w:spacing w:val="-1"/>
                <w:sz w:val="18"/>
              </w:rPr>
              <w:t>9,112,925.75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6,965,155.60</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pacing w:val="-1"/>
                <w:sz w:val="18"/>
              </w:rPr>
              <w:t>3,502,025.00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pacing w:val="-1"/>
                <w:sz w:val="18"/>
              </w:rPr>
              <w:t>-1,785,654.18</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pacing w:val="-1"/>
                <w:sz w:val="18"/>
              </w:rPr>
              <w:t>-1,132,664.70</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Times New Roman"/>
                <w:sz w:val="18"/>
              </w:rPr>
              <w:t>101,120.00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spacing w:val="-1"/>
                <w:sz w:val="18"/>
              </w:rPr>
              <w:t>48,982,226.03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-34,498,337.98</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5"/>
              <w:jc w:val="right"/>
              <w:rPr>
                <w:rFonts w:ascii="Times New Roman" w:hAnsi="Times New Roman" w:cs="Times New Roman" w:eastAsia="Times New Roman" w:hint="default"/>
                <w:sz w:val="18"/>
                <w:szCs w:val="18"/>
              </w:rPr>
            </w:pPr>
            <w:r>
              <w:rPr>
                <w:rFonts w:ascii="Times New Roman"/>
                <w:spacing w:val="-1"/>
                <w:sz w:val="18"/>
              </w:rPr>
              <w:t>136,504,831.45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-251,437,017.90</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5"/>
              <w:jc w:val="right"/>
              <w:rPr>
                <w:rFonts w:ascii="Times New Roman" w:hAnsi="Times New Roman" w:cs="Times New Roman" w:eastAsia="Times New Roman" w:hint="default"/>
                <w:sz w:val="18"/>
                <w:szCs w:val="18"/>
              </w:rPr>
            </w:pPr>
            <w:r>
              <w:rPr>
                <w:rFonts w:ascii="Times New Roman"/>
                <w:spacing w:val="-1"/>
                <w:sz w:val="18"/>
              </w:rPr>
              <w:t>-89,517,777.71</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spacing w:val="-1"/>
                <w:sz w:val="18"/>
              </w:rPr>
              <w:t>34,129,646.17</w:t>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65"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5"/>
              <w:jc w:val="right"/>
              <w:rPr>
                <w:rFonts w:ascii="Times New Roman" w:hAnsi="Times New Roman" w:cs="Times New Roman" w:eastAsia="Times New Roman" w:hint="default"/>
                <w:sz w:val="18"/>
                <w:szCs w:val="18"/>
              </w:rPr>
            </w:pPr>
            <w:r>
              <w:rPr>
                <w:rFonts w:ascii="Times New Roman"/>
                <w:spacing w:val="-1"/>
                <w:sz w:val="18"/>
              </w:rPr>
              <w:t>137,992,524.10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-159,032,630.09</w:t>
            </w:r>
          </w:p>
        </w:tc>
      </w:tr>
      <w:tr>
        <w:trPr>
          <w:trHeight w:val="411"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p>
        </w:tc>
        <w:tc>
          <w:tcPr>
            <w:tcW w:w="2000"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r>
      <w:tr>
        <w:trPr>
          <w:trHeight w:val="345"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6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5" w:hRule="exact"/>
        </w:trPr>
        <w:tc>
          <w:tcPr>
            <w:tcW w:w="45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660" w:right="1660"/>
        </w:sectPr>
      </w:pPr>
    </w:p>
    <w:p>
      <w:pPr>
        <w:spacing w:line="240" w:lineRule="auto" w:before="9"/>
        <w:rPr>
          <w:rFonts w:ascii="宋体" w:hAnsi="宋体" w:cs="宋体" w:eastAsia="宋体" w:hint="default"/>
          <w:sz w:val="22"/>
          <w:szCs w:val="22"/>
        </w:rPr>
      </w:pPr>
    </w:p>
    <w:p>
      <w:pPr>
        <w:tabs>
          <w:tab w:pos="3379" w:val="left" w:leader="none"/>
          <w:tab w:pos="6331" w:val="left" w:leader="none"/>
          <w:tab w:pos="8131" w:val="left" w:leader="none"/>
        </w:tabs>
        <w:spacing w:line="345" w:lineRule="auto" w:before="44"/>
        <w:ind w:left="968" w:right="1550" w:firstLine="1872"/>
        <w:jc w:val="left"/>
        <w:rPr>
          <w:rFonts w:ascii="宋体" w:hAnsi="宋体" w:cs="宋体" w:eastAsia="宋体" w:hint="default"/>
          <w:sz w:val="18"/>
          <w:szCs w:val="18"/>
        </w:rPr>
      </w:pPr>
      <w:r>
        <w:rPr/>
        <w:pict>
          <v:group style="position:absolute;margin-left:189pt;margin-top:14.331703pt;width:36pt;height:.1pt;mso-position-horizontal-relative:page;mso-position-vertical-relative:paragraph;z-index:-622528" coordorigin="3780,287" coordsize="720,2">
            <v:shape style="position:absolute;left:3780;top:287;width:720;height:2" coordorigin="3780,287" coordsize="720,0" path="m3780,287l4500,287e" filled="false" stroked="true" strokeweight=".48004pt" strokecolor="#000000">
              <v:path arrowok="t"/>
            </v:shape>
            <w10:wrap type="none"/>
          </v:group>
        </w:pict>
      </w:r>
      <w:r>
        <w:rPr/>
        <w:pict>
          <v:group style="position:absolute;margin-left:363.600006pt;margin-top:14.331703pt;width:45pt;height:.1pt;mso-position-horizontal-relative:page;mso-position-vertical-relative:paragraph;z-index:-622504" coordorigin="7272,287" coordsize="900,2">
            <v:shape style="position:absolute;left:7272;top:287;width:900;height:2" coordorigin="7272,287" coordsize="900,0" path="m7272,287l8172,287e" filled="false" stroked="true" strokeweight=".48004pt" strokecolor="#000000">
              <v:path arrowok="t"/>
            </v:shape>
            <w10:wrap type="none"/>
          </v:group>
        </w:pict>
      </w:r>
      <w:r>
        <w:rPr/>
        <w:pict>
          <v:group style="position:absolute;margin-left:453.600006pt;margin-top:14.331703pt;width:45pt;height:.1pt;mso-position-horizontal-relative:page;mso-position-vertical-relative:paragraph;z-index:-622480" coordorigin="9072,287" coordsize="900,2">
            <v:shape style="position:absolute;left:9072;top:287;width:900;height:2" coordorigin="9072,287" coordsize="900,0" path="m9072,287l9972,287e" filled="false" stroked="true" strokeweight=".48004pt" strokecolor="#000000">
              <v:path arrowok="t"/>
            </v:shape>
            <w10:wrap type="none"/>
          </v:group>
        </w:pict>
      </w:r>
      <w:r>
        <w:rPr>
          <w:rFonts w:ascii="宋体" w:hAnsi="宋体" w:cs="宋体" w:eastAsia="宋体" w:hint="default"/>
          <w:sz w:val="18"/>
          <w:szCs w:val="18"/>
        </w:rPr>
        <w:t>项</w:t>
        <w:tab/>
        <w:t>目</w:t>
        <w:tab/>
        <w:t>本年发生额</w:t>
        <w:tab/>
        <w:t>上年发生数 三、现金及现金等价物净变动情况</w:t>
      </w:r>
    </w:p>
    <w:tbl>
      <w:tblPr>
        <w:tblW w:w="0" w:type="auto"/>
        <w:jc w:val="left"/>
        <w:tblInd w:w="932" w:type="dxa"/>
        <w:tblLayout w:type="fixed"/>
        <w:tblCellMar>
          <w:top w:w="0" w:type="dxa"/>
          <w:left w:w="0" w:type="dxa"/>
          <w:bottom w:w="0" w:type="dxa"/>
          <w:right w:w="0" w:type="dxa"/>
        </w:tblCellMar>
        <w:tblLook w:val="01E0"/>
      </w:tblPr>
      <w:tblGrid>
        <w:gridCol w:w="4967"/>
        <w:gridCol w:w="1766"/>
        <w:gridCol w:w="1430"/>
      </w:tblGrid>
      <w:tr>
        <w:trPr>
          <w:trHeight w:val="365"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96" w:right="0"/>
              <w:jc w:val="left"/>
              <w:rPr>
                <w:rFonts w:ascii="Times New Roman" w:hAnsi="Times New Roman" w:cs="Times New Roman" w:eastAsia="Times New Roman" w:hint="default"/>
                <w:sz w:val="18"/>
                <w:szCs w:val="18"/>
              </w:rPr>
            </w:pPr>
            <w:r>
              <w:rPr>
                <w:rFonts w:ascii="Times New Roman"/>
                <w:sz w:val="18"/>
              </w:rPr>
              <w:t>59,742,401.95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0"/>
              <w:jc w:val="right"/>
              <w:rPr>
                <w:rFonts w:ascii="Times New Roman" w:hAnsi="Times New Roman" w:cs="Times New Roman" w:eastAsia="Times New Roman" w:hint="default"/>
                <w:sz w:val="18"/>
                <w:szCs w:val="18"/>
              </w:rPr>
            </w:pPr>
            <w:r>
              <w:rPr>
                <w:rFonts w:ascii="Times New Roman"/>
                <w:spacing w:val="-1"/>
                <w:sz w:val="18"/>
              </w:rPr>
              <w:t>215,389,554.24</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7" w:right="0"/>
              <w:jc w:val="left"/>
              <w:rPr>
                <w:rFonts w:ascii="Times New Roman" w:hAnsi="Times New Roman" w:cs="Times New Roman" w:eastAsia="Times New Roman" w:hint="default"/>
                <w:sz w:val="18"/>
                <w:szCs w:val="18"/>
              </w:rPr>
            </w:pPr>
            <w:r>
              <w:rPr>
                <w:rFonts w:ascii="Times New Roman"/>
                <w:sz w:val="18"/>
              </w:rPr>
              <w:t>215,389,554.24</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
              <w:jc w:val="right"/>
              <w:rPr>
                <w:rFonts w:ascii="Times New Roman" w:hAnsi="Times New Roman" w:cs="Times New Roman" w:eastAsia="Times New Roman" w:hint="default"/>
                <w:sz w:val="18"/>
                <w:szCs w:val="18"/>
              </w:rPr>
            </w:pPr>
            <w:r>
              <w:rPr>
                <w:rFonts w:ascii="Times New Roman"/>
                <w:spacing w:val="-1"/>
                <w:sz w:val="18"/>
              </w:rPr>
              <w:t>72,462,653.46</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2" w:right="0"/>
              <w:jc w:val="left"/>
              <w:rPr>
                <w:rFonts w:ascii="Times New Roman" w:hAnsi="Times New Roman" w:cs="Times New Roman" w:eastAsia="Times New Roman" w:hint="default"/>
                <w:sz w:val="18"/>
                <w:szCs w:val="18"/>
              </w:rPr>
            </w:pPr>
            <w:r>
              <w:rPr>
                <w:rFonts w:ascii="Times New Roman"/>
                <w:sz w:val="18"/>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52" w:right="0"/>
              <w:jc w:val="left"/>
              <w:rPr>
                <w:rFonts w:ascii="Times New Roman" w:hAnsi="Times New Roman" w:cs="Times New Roman" w:eastAsia="Times New Roman" w:hint="default"/>
                <w:sz w:val="18"/>
                <w:szCs w:val="18"/>
              </w:rPr>
            </w:pPr>
            <w:r>
              <w:rPr>
                <w:rFonts w:ascii="Times New Roman"/>
                <w:sz w:val="18"/>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Times New Roman" w:hAnsi="Times New Roman" w:cs="Times New Roman" w:eastAsia="Times New Roman" w:hint="default"/>
                <w:sz w:val="18"/>
                <w:szCs w:val="18"/>
              </w:rPr>
            </w:pPr>
            <w:r>
              <w:rPr>
                <w:rFonts w:ascii="Times New Roman"/>
                <w:sz w:val="18"/>
              </w:rPr>
              <w:t>---</w:t>
            </w:r>
          </w:p>
        </w:tc>
      </w:tr>
      <w:tr>
        <w:trPr>
          <w:trHeight w:val="677"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p>
            <w:pPr>
              <w:pStyle w:val="TableParagraph"/>
              <w:spacing w:line="240" w:lineRule="auto" w:before="69"/>
              <w:ind w:left="347" w:right="0"/>
              <w:jc w:val="left"/>
              <w:rPr>
                <w:rFonts w:ascii="宋体" w:hAnsi="宋体" w:cs="宋体" w:eastAsia="宋体" w:hint="default"/>
                <w:sz w:val="21"/>
                <w:szCs w:val="21"/>
              </w:rPr>
            </w:pPr>
            <w:r>
              <w:rPr>
                <w:rFonts w:ascii="宋体" w:hAnsi="宋体" w:cs="宋体" w:eastAsia="宋体" w:hint="default"/>
                <w:sz w:val="21"/>
                <w:szCs w:val="21"/>
              </w:rPr>
              <w:t>6、现金和现金等价物的构成：</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7" w:right="0"/>
              <w:jc w:val="left"/>
              <w:rPr>
                <w:rFonts w:ascii="Times New Roman" w:hAnsi="Times New Roman" w:cs="Times New Roman" w:eastAsia="Times New Roman" w:hint="default"/>
                <w:sz w:val="18"/>
                <w:szCs w:val="18"/>
              </w:rPr>
            </w:pPr>
            <w:r>
              <w:rPr>
                <w:rFonts w:ascii="Times New Roman"/>
                <w:sz w:val="18"/>
              </w:rPr>
              <w:t>-155,647,152.29</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Times New Roman" w:hAnsi="Times New Roman" w:cs="Times New Roman" w:eastAsia="Times New Roman" w:hint="default"/>
                <w:sz w:val="18"/>
                <w:szCs w:val="18"/>
              </w:rPr>
            </w:pPr>
            <w:r>
              <w:rPr>
                <w:rFonts w:ascii="Times New Roman"/>
                <w:spacing w:val="-1"/>
                <w:sz w:val="18"/>
              </w:rPr>
              <w:t>142,926,900.78</w:t>
            </w:r>
          </w:p>
        </w:tc>
      </w:tr>
      <w:tr>
        <w:trPr>
          <w:trHeight w:val="331" w:hRule="exact"/>
        </w:trPr>
        <w:tc>
          <w:tcPr>
            <w:tcW w:w="496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
              <w:ind w:right="16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5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55" w:hRule="exact"/>
        </w:trPr>
        <w:tc>
          <w:tcPr>
            <w:tcW w:w="4967"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Times New Roman" w:hAnsi="Times New Roman" w:cs="Times New Roman" w:eastAsia="Times New Roman" w:hint="default"/>
                <w:sz w:val="21"/>
                <w:szCs w:val="21"/>
              </w:rPr>
            </w:pPr>
            <w:r>
              <w:rPr>
                <w:rFonts w:ascii="Times New Roman"/>
                <w:sz w:val="21"/>
              </w:rPr>
              <w:t>59,742,401.95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215,389,554.24</w:t>
            </w:r>
          </w:p>
        </w:tc>
      </w:tr>
      <w:tr>
        <w:trPr>
          <w:trHeight w:val="337"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39"/>
              <w:jc w:val="right"/>
              <w:rPr>
                <w:rFonts w:ascii="Times New Roman" w:hAnsi="Times New Roman" w:cs="Times New Roman" w:eastAsia="Times New Roman" w:hint="default"/>
                <w:sz w:val="18"/>
                <w:szCs w:val="18"/>
              </w:rPr>
            </w:pPr>
            <w:r>
              <w:rPr>
                <w:rFonts w:ascii="Times New Roman"/>
                <w:sz w:val="18"/>
              </w:rPr>
              <w:t>62,605.33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18"/>
                <w:szCs w:val="18"/>
              </w:rPr>
            </w:pPr>
            <w:r>
              <w:rPr>
                <w:rFonts w:ascii="Times New Roman"/>
                <w:sz w:val="18"/>
              </w:rPr>
              <w:t>26,213.64</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spacing w:val="-1"/>
                <w:sz w:val="18"/>
              </w:rPr>
              <w:t>59,679,796.62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spacing w:val="-1"/>
                <w:sz w:val="18"/>
              </w:rPr>
              <w:t>215,363,340.60</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spacing w:val="-1"/>
                <w:sz w:val="18"/>
              </w:rPr>
              <w:t>59,742,401.95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Times New Roman" w:hAnsi="Times New Roman" w:cs="Times New Roman" w:eastAsia="Times New Roman" w:hint="default"/>
                <w:sz w:val="18"/>
                <w:szCs w:val="18"/>
              </w:rPr>
            </w:pPr>
            <w:r>
              <w:rPr>
                <w:rFonts w:ascii="Times New Roman"/>
                <w:spacing w:val="-1"/>
                <w:sz w:val="18"/>
              </w:rPr>
              <w:t>215,389,554.24</w:t>
            </w:r>
          </w:p>
        </w:tc>
      </w:tr>
      <w:tr>
        <w:trPr>
          <w:trHeight w:val="35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w:t>
            </w:r>
          </w:p>
        </w:tc>
      </w:tr>
    </w:tbl>
    <w:p>
      <w:pPr>
        <w:spacing w:line="232" w:lineRule="exact" w:before="0"/>
        <w:ind w:left="1282" w:right="1550" w:firstLine="0"/>
        <w:jc w:val="left"/>
        <w:rPr>
          <w:rFonts w:ascii="宋体" w:hAnsi="宋体" w:cs="宋体" w:eastAsia="宋体" w:hint="default"/>
          <w:sz w:val="21"/>
          <w:szCs w:val="21"/>
        </w:rPr>
      </w:pPr>
      <w:r>
        <w:rPr>
          <w:rFonts w:ascii="宋体" w:hAnsi="宋体" w:cs="宋体" w:eastAsia="宋体" w:hint="default"/>
          <w:b/>
          <w:bCs/>
          <w:sz w:val="21"/>
          <w:szCs w:val="21"/>
        </w:rPr>
        <w:t>七、母公司财务报表主要项目注释</w:t>
      </w:r>
      <w:r>
        <w:rPr>
          <w:rFonts w:ascii="宋体" w:hAnsi="宋体" w:cs="宋体" w:eastAsia="宋体" w:hint="default"/>
          <w:sz w:val="21"/>
          <w:szCs w:val="21"/>
        </w:rPr>
      </w:r>
    </w:p>
    <w:p>
      <w:pPr>
        <w:spacing w:line="297" w:lineRule="auto" w:before="64"/>
        <w:ind w:left="1280" w:right="7709" w:firstLine="2"/>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1、应收账款构成</w:t>
      </w:r>
    </w:p>
    <w:p>
      <w:pPr>
        <w:tabs>
          <w:tab w:pos="7699" w:val="left" w:leader="none"/>
        </w:tabs>
        <w:spacing w:before="50"/>
        <w:ind w:left="3380" w:right="155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3"/>
        <w:rPr>
          <w:rFonts w:ascii="宋体" w:hAnsi="宋体" w:cs="宋体" w:eastAsia="宋体" w:hint="default"/>
          <w:sz w:val="3"/>
          <w:szCs w:val="3"/>
        </w:rPr>
      </w:pPr>
    </w:p>
    <w:p>
      <w:pPr>
        <w:spacing w:line="20" w:lineRule="exact"/>
        <w:ind w:left="1568"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宋体" w:hAnsi="宋体" w:cs="宋体" w:eastAsia="宋体" w:hint="default"/>
          <w:sz w:val="2"/>
          <w:szCs w:val="2"/>
        </w:rPr>
      </w:r>
    </w:p>
    <w:p>
      <w:pPr>
        <w:spacing w:line="221" w:lineRule="exact" w:before="51"/>
        <w:ind w:left="5159" w:right="5024" w:firstLine="0"/>
        <w:jc w:val="center"/>
        <w:rPr>
          <w:rFonts w:ascii="宋体" w:hAnsi="宋体" w:cs="宋体" w:eastAsia="宋体" w:hint="default"/>
          <w:sz w:val="18"/>
          <w:szCs w:val="18"/>
        </w:rPr>
      </w:pPr>
      <w:r>
        <w:rPr>
          <w:rFonts w:ascii="宋体" w:hAnsi="宋体" w:cs="宋体" w:eastAsia="宋体" w:hint="default"/>
          <w:sz w:val="18"/>
          <w:szCs w:val="18"/>
        </w:rPr>
        <w:t>坏账</w:t>
      </w:r>
    </w:p>
    <w:p>
      <w:pPr>
        <w:spacing w:after="0" w:line="221" w:lineRule="exact"/>
        <w:jc w:val="center"/>
        <w:rPr>
          <w:rFonts w:ascii="宋体" w:hAnsi="宋体" w:cs="宋体" w:eastAsia="宋体" w:hint="default"/>
          <w:sz w:val="18"/>
          <w:szCs w:val="18"/>
        </w:rPr>
        <w:sectPr>
          <w:pgSz w:w="11910" w:h="16840"/>
          <w:pgMar w:header="918" w:footer="950" w:top="1160" w:bottom="1140" w:left="940" w:right="380"/>
        </w:sectPr>
      </w:pPr>
    </w:p>
    <w:p>
      <w:pPr>
        <w:spacing w:line="149" w:lineRule="exact" w:before="0"/>
        <w:ind w:left="50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521"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52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512" w:right="-56"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hAnsi="宋体" w:cs="宋体" w:eastAsia="宋体" w:hint="default"/>
          <w:sz w:val="2"/>
          <w:szCs w:val="2"/>
        </w:rPr>
      </w:r>
    </w:p>
    <w:p>
      <w:pPr>
        <w:tabs>
          <w:tab w:pos="1517" w:val="left" w:leader="none"/>
        </w:tabs>
        <w:spacing w:before="98"/>
        <w:ind w:left="36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before="118"/>
        <w:ind w:left="49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589"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4"/>
        <w:ind w:left="589"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before="118"/>
        <w:ind w:left="40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184" w:lineRule="exact" w:before="0"/>
        <w:ind w:left="40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p>
    <w:p>
      <w:pPr>
        <w:spacing w:before="104"/>
        <w:ind w:left="40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940" w:right="380"/>
          <w:cols w:num="7" w:equalWidth="0">
            <w:col w:w="2611" w:space="40"/>
            <w:col w:w="972" w:space="40"/>
            <w:col w:w="1878" w:space="40"/>
            <w:col w:w="1221" w:space="40"/>
            <w:col w:w="1040" w:space="40"/>
            <w:col w:w="1131" w:space="40"/>
            <w:col w:w="1497"/>
          </w:cols>
        </w:sectPr>
      </w:pPr>
    </w:p>
    <w:tbl>
      <w:tblPr>
        <w:tblW w:w="0" w:type="auto"/>
        <w:jc w:val="left"/>
        <w:tblInd w:w="100" w:type="dxa"/>
        <w:tblLayout w:type="fixed"/>
        <w:tblCellMar>
          <w:top w:w="0" w:type="dxa"/>
          <w:left w:w="0" w:type="dxa"/>
          <w:bottom w:w="0" w:type="dxa"/>
          <w:right w:w="0" w:type="dxa"/>
        </w:tblCellMar>
        <w:tblLook w:val="01E0"/>
      </w:tblPr>
      <w:tblGrid>
        <w:gridCol w:w="1473"/>
        <w:gridCol w:w="1342"/>
        <w:gridCol w:w="860"/>
        <w:gridCol w:w="1218"/>
        <w:gridCol w:w="720"/>
        <w:gridCol w:w="1440"/>
        <w:gridCol w:w="900"/>
        <w:gridCol w:w="1260"/>
        <w:gridCol w:w="612"/>
      </w:tblGrid>
      <w:tr>
        <w:trPr>
          <w:trHeight w:val="601"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172,647,574.35</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99.99%</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8,611,596.96</w:t>
            </w:r>
          </w:p>
        </w:tc>
        <w:tc>
          <w:tcPr>
            <w:tcW w:w="720" w:type="dxa"/>
            <w:tcBorders>
              <w:top w:val="nil" w:sz="6" w:space="0" w:color="auto"/>
              <w:left w:val="nil" w:sz="6" w:space="0" w:color="auto"/>
              <w:bottom w:val="nil" w:sz="6" w:space="0" w:color="auto"/>
              <w:right w:val="nil" w:sz="6" w:space="0" w:color="auto"/>
            </w:tcBorders>
          </w:tcPr>
          <w:p>
            <w:pPr>
              <w:pStyle w:val="TableParagraph"/>
              <w:spacing w:line="172" w:lineRule="exact"/>
              <w:ind w:left="1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18"/>
              <w:ind w:left="115" w:right="0"/>
              <w:jc w:val="left"/>
              <w:rPr>
                <w:rFonts w:ascii="Times New Roman" w:hAnsi="Times New Roman" w:cs="Times New Roman" w:eastAsia="Times New Roman" w:hint="default"/>
                <w:sz w:val="21"/>
                <w:szCs w:val="21"/>
              </w:rPr>
            </w:pPr>
            <w:r>
              <w:rPr>
                <w:rFonts w:ascii="Times New Roman"/>
                <w:sz w:val="21"/>
              </w:rPr>
              <w:t>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325,678,538.74</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16,283,926.94</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w:t>
            </w:r>
          </w:p>
        </w:tc>
      </w:tr>
      <w:tr>
        <w:trPr>
          <w:trHeight w:val="34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5" w:right="0"/>
              <w:jc w:val="left"/>
              <w:rPr>
                <w:rFonts w:ascii="Times New Roman" w:hAnsi="Times New Roman" w:cs="Times New Roman" w:eastAsia="Times New Roman" w:hint="default"/>
                <w:sz w:val="21"/>
                <w:szCs w:val="21"/>
              </w:rPr>
            </w:pPr>
            <w:r>
              <w:rPr>
                <w:rFonts w:ascii="Times New Roman"/>
                <w:sz w:val="21"/>
              </w:rPr>
              <w:t>7,595.78</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z w:val="18"/>
              </w:rPr>
              <w:t>1,519.16</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Times New Roman" w:hAnsi="Times New Roman" w:cs="Times New Roman" w:eastAsia="Times New Roman" w:hint="default"/>
                <w:sz w:val="18"/>
                <w:szCs w:val="18"/>
              </w:rPr>
            </w:pPr>
            <w:r>
              <w:rPr>
                <w:rFonts w:ascii="Times New Roman"/>
                <w:sz w:val="18"/>
              </w:rPr>
              <w:t>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z w:val="18"/>
              </w:rPr>
              <w:t>---</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2"/>
              <w:jc w:val="righ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
              <w:jc w:val="right"/>
              <w:rPr>
                <w:rFonts w:ascii="Times New Roman" w:hAnsi="Times New Roman" w:cs="Times New Roman" w:eastAsia="Times New Roman" w:hint="default"/>
                <w:sz w:val="18"/>
                <w:szCs w:val="18"/>
              </w:rPr>
            </w:pPr>
            <w:r>
              <w:rPr>
                <w:rFonts w:ascii="Times New Roman"/>
                <w:sz w:val="18"/>
              </w:rPr>
              <w:t>---</w:t>
            </w:r>
          </w:p>
        </w:tc>
      </w:tr>
      <w:tr>
        <w:trPr>
          <w:trHeight w:val="303"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z w:val="18"/>
              </w:rPr>
              <w:t>---</w:t>
            </w: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Times New Roman" w:hAnsi="Times New Roman" w:cs="Times New Roman" w:eastAsia="Times New Roman" w:hint="default"/>
                <w:sz w:val="18"/>
                <w:szCs w:val="18"/>
              </w:rPr>
            </w:pPr>
            <w:r>
              <w:rPr>
                <w:rFonts w:ascii="Times New Roman"/>
                <w:sz w:val="18"/>
              </w:rPr>
              <w:t>---</w:t>
            </w:r>
          </w:p>
        </w:tc>
      </w:tr>
      <w:tr>
        <w:trPr>
          <w:trHeight w:val="435"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172,655,170.13</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8,613,116.12</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5" w:right="0"/>
              <w:jc w:val="lef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325,678,538.74</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16,283,926.94</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7"/>
        <w:rPr>
          <w:rFonts w:ascii="宋体" w:hAnsi="宋体" w:cs="宋体" w:eastAsia="宋体" w:hint="default"/>
          <w:sz w:val="25"/>
          <w:szCs w:val="25"/>
        </w:rPr>
      </w:pPr>
    </w:p>
    <w:p>
      <w:pPr>
        <w:tabs>
          <w:tab w:pos="8189" w:val="left" w:leader="none"/>
        </w:tabs>
        <w:spacing w:before="44"/>
        <w:ind w:left="4176" w:right="1550" w:firstLine="0"/>
        <w:jc w:val="left"/>
        <w:rPr>
          <w:rFonts w:ascii="宋体" w:hAnsi="宋体" w:cs="宋体" w:eastAsia="宋体" w:hint="default"/>
          <w:sz w:val="18"/>
          <w:szCs w:val="18"/>
        </w:rPr>
      </w:pPr>
      <w:r>
        <w:rPr/>
        <w:pict>
          <v:group style="position:absolute;margin-left:125.279999pt;margin-top:-22.748281pt;width:67.8pt;height:.1pt;mso-position-horizontal-relative:page;mso-position-vertical-relative:paragraph;z-index:-622456" coordorigin="2506,-455" coordsize="1356,2">
            <v:shape style="position:absolute;left:2506;top:-455;width:1356;height:2" coordorigin="2506,-455" coordsize="1356,0" path="m2506,-455l3862,-455e" filled="false" stroked="true" strokeweight=".72pt" strokecolor="#000000">
              <v:path arrowok="t"/>
            </v:shape>
            <w10:wrap type="none"/>
          </v:group>
        </w:pict>
      </w:r>
      <w:r>
        <w:rPr/>
        <w:pict>
          <v:group style="position:absolute;margin-left:235.380005pt;margin-top:-22.748281pt;width:61.65pt;height:.1pt;mso-position-horizontal-relative:page;mso-position-vertical-relative:paragraph;z-index:-622432" coordorigin="4708,-455" coordsize="1233,2">
            <v:shape style="position:absolute;left:4708;top:-455;width:1233;height:2" coordorigin="4708,-455" coordsize="1233,0" path="m4708,-455l5940,-455e" filled="false" stroked="true" strokeweight=".72pt" strokecolor="#000000">
              <v:path arrowok="t"/>
            </v:shape>
            <w10:wrap type="none"/>
          </v:group>
        </w:pict>
      </w:r>
      <w:r>
        <w:rPr/>
        <w:pict>
          <v:group style="position:absolute;margin-left:332.279999pt;margin-top:-22.748281pt;width:72.75pt;height:.1pt;mso-position-horizontal-relative:page;mso-position-vertical-relative:paragraph;z-index:-622408" coordorigin="6646,-455" coordsize="1455,2">
            <v:shape style="position:absolute;left:6646;top:-455;width:1455;height:2" coordorigin="6646,-455" coordsize="1455,0" path="m6646,-455l8100,-455e" filled="false" stroked="true" strokeweight=".72pt" strokecolor="#000000">
              <v:path arrowok="t"/>
            </v:shape>
            <w10:wrap type="none"/>
          </v:group>
        </w:pict>
      </w:r>
      <w:r>
        <w:rPr/>
        <w:pict>
          <v:group style="position:absolute;margin-left:449.279999pt;margin-top:-22.748281pt;width:63.75pt;height:.1pt;mso-position-horizontal-relative:page;mso-position-vertical-relative:paragraph;z-index:-622384" coordorigin="8986,-455" coordsize="1275,2">
            <v:shape style="position:absolute;left:8986;top:-455;width:1275;height:2" coordorigin="8986,-455" coordsize="1275,0" path="m8986,-455l10260,-455e" filled="false" stroked="true" strokeweight=".72pt" strokecolor="#000000">
              <v:path arrowok="t"/>
            </v:shape>
            <w10:wrap type="none"/>
          </v:group>
        </w:pict>
      </w:r>
      <w:r>
        <w:rPr>
          <w:rFonts w:ascii="宋体" w:hAnsi="宋体" w:cs="宋体" w:eastAsia="宋体" w:hint="default"/>
          <w:sz w:val="18"/>
          <w:szCs w:val="18"/>
        </w:rPr>
        <w:t>年末数</w:t>
        <w:tab/>
        <w:t>年初数</w:t>
      </w:r>
    </w:p>
    <w:p>
      <w:pPr>
        <w:spacing w:line="240" w:lineRule="auto" w:before="4"/>
        <w:rPr>
          <w:rFonts w:ascii="宋体" w:hAnsi="宋体" w:cs="宋体" w:eastAsia="宋体" w:hint="default"/>
          <w:sz w:val="3"/>
          <w:szCs w:val="3"/>
        </w:rPr>
      </w:pPr>
    </w:p>
    <w:p>
      <w:pPr>
        <w:spacing w:line="20" w:lineRule="exact"/>
        <w:ind w:left="2436" w:right="0" w:firstLine="0"/>
        <w:rPr>
          <w:rFonts w:ascii="宋体" w:hAnsi="宋体" w:cs="宋体" w:eastAsia="宋体" w:hint="default"/>
          <w:sz w:val="2"/>
          <w:szCs w:val="2"/>
        </w:rPr>
      </w:pPr>
      <w:r>
        <w:rPr>
          <w:rFonts w:ascii="宋体" w:hAnsi="宋体" w:cs="宋体" w:eastAsia="宋体" w:hint="default"/>
          <w:sz w:val="2"/>
          <w:szCs w:val="2"/>
        </w:rPr>
        <w:pict>
          <v:group style="width:401.8pt;height:.5pt;mso-position-horizontal-relative:char;mso-position-vertical-relative:line" coordorigin="0,0" coordsize="8036,10">
            <v:group style="position:absolute;left:5;top:5;width:8026;height:2" coordorigin="5,5" coordsize="8026,2">
              <v:shape style="position:absolute;left:5;top:5;width:8026;height:2" coordorigin="5,5" coordsize="8026,0" path="m5,5l8030,5e" filled="false" stroked="true" strokeweight=".48pt" strokecolor="#000000">
                <v:path arrowok="t"/>
              </v:shape>
            </v:group>
          </v:group>
        </w:pict>
      </w:r>
      <w:r>
        <w:rPr>
          <w:rFonts w:ascii="宋体" w:hAnsi="宋体" w:cs="宋体" w:eastAsia="宋体" w:hint="default"/>
          <w:sz w:val="2"/>
          <w:szCs w:val="2"/>
        </w:rPr>
      </w:r>
    </w:p>
    <w:p>
      <w:pPr>
        <w:tabs>
          <w:tab w:pos="9961" w:val="left" w:leader="none"/>
        </w:tabs>
        <w:spacing w:line="221" w:lineRule="exact" w:before="50"/>
        <w:ind w:left="5903" w:right="0" w:firstLine="0"/>
        <w:jc w:val="left"/>
        <w:rPr>
          <w:rFonts w:ascii="宋体" w:hAnsi="宋体" w:cs="宋体" w:eastAsia="宋体" w:hint="default"/>
          <w:sz w:val="18"/>
          <w:szCs w:val="18"/>
        </w:rPr>
      </w:pPr>
      <w:r>
        <w:rPr>
          <w:rFonts w:ascii="宋体" w:hAnsi="宋体" w:cs="宋体" w:eastAsia="宋体" w:hint="default"/>
          <w:sz w:val="18"/>
          <w:szCs w:val="18"/>
        </w:rPr>
        <w:t>坏账</w:t>
        <w:tab/>
        <w:t>坏账</w:t>
      </w:r>
    </w:p>
    <w:p>
      <w:pPr>
        <w:spacing w:after="0" w:line="221" w:lineRule="exact"/>
        <w:jc w:val="left"/>
        <w:rPr>
          <w:rFonts w:ascii="宋体" w:hAnsi="宋体" w:cs="宋体" w:eastAsia="宋体" w:hint="default"/>
          <w:sz w:val="18"/>
          <w:szCs w:val="18"/>
        </w:rPr>
        <w:sectPr>
          <w:type w:val="continuous"/>
          <w:pgSz w:w="11910" w:h="16840"/>
          <w:pgMar w:top="1020" w:bottom="1520" w:left="940" w:right="380"/>
        </w:sectPr>
      </w:pPr>
    </w:p>
    <w:p>
      <w:pPr>
        <w:tabs>
          <w:tab w:pos="1485" w:val="left" w:leader="none"/>
        </w:tabs>
        <w:spacing w:line="149" w:lineRule="exact" w:before="0"/>
        <w:ind w:left="94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475"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5"/>
        <w:ind w:left="475" w:right="-19" w:firstLine="0"/>
        <w:jc w:val="left"/>
        <w:rPr>
          <w:rFonts w:ascii="宋体" w:hAnsi="宋体" w:cs="宋体" w:eastAsia="宋体" w:hint="default"/>
          <w:sz w:val="18"/>
          <w:szCs w:val="18"/>
        </w:rPr>
      </w:pPr>
      <w:r>
        <w:rPr/>
        <w:pict>
          <v:shape style="position:absolute;margin-left:220.369995pt;margin-top:16.547342pt;width:344.5pt;height:40.1pt;mso-position-horizontal-relative:page;mso-position-vertical-relative:paragraph;z-index:5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1"/>
                    <w:gridCol w:w="966"/>
                    <w:gridCol w:w="815"/>
                    <w:gridCol w:w="1123"/>
                    <w:gridCol w:w="1094"/>
                    <w:gridCol w:w="1011"/>
                    <w:gridCol w:w="845"/>
                    <w:gridCol w:w="525"/>
                  </w:tblGrid>
                  <w:tr>
                    <w:trPr>
                      <w:trHeight w:val="351" w:hRule="exact"/>
                    </w:trPr>
                    <w:tc>
                      <w:tcPr>
                        <w:tcW w:w="2292" w:type="dxa"/>
                        <w:gridSpan w:val="3"/>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180" w:lineRule="exact"/>
                          <w:ind w:left="1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094"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525" w:type="dxa"/>
                        <w:tcBorders>
                          <w:top w:val="nil" w:sz="6" w:space="0" w:color="auto"/>
                          <w:left w:val="nil" w:sz="6" w:space="0" w:color="auto"/>
                          <w:bottom w:val="nil" w:sz="6" w:space="0" w:color="auto"/>
                          <w:right w:val="nil" w:sz="6" w:space="0" w:color="auto"/>
                        </w:tcBorders>
                      </w:tcPr>
                      <w:p>
                        <w:pPr>
                          <w:pStyle w:val="TableParagraph"/>
                          <w:spacing w:line="180" w:lineRule="exact"/>
                          <w:ind w:left="9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51" w:hRule="exact"/>
                    </w:trPr>
                    <w:tc>
                      <w:tcPr>
                        <w:tcW w:w="51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5" w:right="0"/>
                          <w:jc w:val="left"/>
                          <w:rPr>
                            <w:rFonts w:ascii="Times New Roman" w:hAnsi="Times New Roman" w:cs="Times New Roman" w:eastAsia="Times New Roman" w:hint="default"/>
                            <w:sz w:val="18"/>
                            <w:szCs w:val="18"/>
                          </w:rPr>
                        </w:pPr>
                        <w:r>
                          <w:rPr>
                            <w:rFonts w:ascii="Times New Roman"/>
                            <w:sz w:val="18"/>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95" w:right="0"/>
                          <w:jc w:val="left"/>
                          <w:rPr>
                            <w:rFonts w:ascii="Times New Roman" w:hAnsi="Times New Roman" w:cs="Times New Roman" w:eastAsia="Times New Roman" w:hint="default"/>
                            <w:sz w:val="18"/>
                            <w:szCs w:val="18"/>
                          </w:rPr>
                        </w:pPr>
                        <w:r>
                          <w:rPr>
                            <w:rFonts w:ascii="Times New Roman"/>
                            <w:sz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90" w:right="0"/>
                          <w:jc w:val="left"/>
                          <w:rPr>
                            <w:rFonts w:ascii="Times New Roman" w:hAnsi="Times New Roman" w:cs="Times New Roman" w:eastAsia="Times New Roman" w:hint="default"/>
                            <w:sz w:val="18"/>
                            <w:szCs w:val="18"/>
                          </w:rPr>
                        </w:pPr>
                        <w:r>
                          <w:rPr>
                            <w:rFonts w:ascii="Times New Roman"/>
                            <w:sz w:val="18"/>
                          </w:rPr>
                          <w:t>---</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34" w:right="0"/>
                          <w:jc w:val="left"/>
                          <w:rPr>
                            <w:rFonts w:ascii="Times New Roman" w:hAnsi="Times New Roman" w:cs="Times New Roman" w:eastAsia="Times New Roman" w:hint="default"/>
                            <w:sz w:val="18"/>
                            <w:szCs w:val="18"/>
                          </w:rPr>
                        </w:pPr>
                        <w:r>
                          <w:rPr>
                            <w:rFonts w:ascii="Times New Roman"/>
                            <w:sz w:val="18"/>
                          </w:rPr>
                          <w:t>---</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617" w:right="0"/>
                          <w:jc w:val="left"/>
                          <w:rPr>
                            <w:rFonts w:ascii="Times New Roman" w:hAnsi="Times New Roman" w:cs="Times New Roman" w:eastAsia="Times New Roman" w:hint="default"/>
                            <w:sz w:val="18"/>
                            <w:szCs w:val="18"/>
                          </w:rPr>
                        </w:pPr>
                        <w:r>
                          <w:rPr>
                            <w:rFonts w:ascii="Times New Roman"/>
                            <w:sz w:val="18"/>
                          </w:rPr>
                          <w:t>---</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95" w:right="0"/>
                          <w:jc w:val="left"/>
                          <w:rPr>
                            <w:rFonts w:ascii="Times New Roman" w:hAnsi="Times New Roman" w:cs="Times New Roman" w:eastAsia="Times New Roman" w:hint="default"/>
                            <w:sz w:val="18"/>
                            <w:szCs w:val="18"/>
                          </w:rPr>
                        </w:pPr>
                        <w:r>
                          <w:rPr>
                            <w:rFonts w:ascii="Times New Roman"/>
                            <w:sz w:val="18"/>
                          </w:rPr>
                          <w:t>---</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535" w:right="0"/>
                          <w:jc w:val="left"/>
                          <w:rPr>
                            <w:rFonts w:ascii="Times New Roman" w:hAnsi="Times New Roman" w:cs="Times New Roman" w:eastAsia="Times New Roman" w:hint="default"/>
                            <w:sz w:val="18"/>
                            <w:szCs w:val="18"/>
                          </w:rPr>
                        </w:pPr>
                        <w:r>
                          <w:rPr>
                            <w:rFonts w:ascii="Times New Roman"/>
                            <w:sz w:val="18"/>
                          </w:rPr>
                          <w:t>---</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95"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413" w:right="-56"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tabs>
          <w:tab w:pos="1417" w:val="left" w:leader="none"/>
        </w:tabs>
        <w:spacing w:before="99"/>
        <w:ind w:left="295"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before="118"/>
        <w:ind w:left="45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184" w:lineRule="exact" w:before="0"/>
        <w:ind w:left="475"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p>
    <w:p>
      <w:pPr>
        <w:spacing w:before="105"/>
        <w:ind w:left="475"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rPr>
          <w:sz w:val="10"/>
          <w:szCs w:val="10"/>
        </w:rPr>
      </w:pPr>
      <w:r>
        <w:rPr>
          <w:sz w:val="10"/>
        </w:rPr>
        <w:br w:type="column"/>
      </w:r>
    </w:p>
    <w:p>
      <w:pPr>
        <w:spacing w:line="20" w:lineRule="exact"/>
        <w:ind w:left="1474"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tabs>
          <w:tab w:pos="1479" w:val="left" w:leader="none"/>
        </w:tabs>
        <w:spacing w:before="99"/>
        <w:ind w:left="34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20" w:bottom="1520" w:left="940" w:right="380"/>
          <w:cols w:num="6" w:equalWidth="0">
            <w:col w:w="3480" w:space="40"/>
            <w:col w:w="927" w:space="40"/>
            <w:col w:w="1778" w:space="40"/>
            <w:col w:w="1174" w:space="40"/>
            <w:col w:w="927" w:space="40"/>
            <w:col w:w="2104"/>
          </w:cols>
        </w:sectPr>
      </w:pPr>
    </w:p>
    <w:p>
      <w:pPr>
        <w:spacing w:line="240" w:lineRule="auto" w:before="9"/>
        <w:rPr>
          <w:rFonts w:ascii="宋体" w:hAnsi="宋体" w:cs="宋体" w:eastAsia="宋体" w:hint="default"/>
          <w:sz w:val="17"/>
          <w:szCs w:val="17"/>
        </w:rPr>
      </w:pPr>
    </w:p>
    <w:p>
      <w:pPr>
        <w:spacing w:line="326" w:lineRule="auto" w:before="44"/>
        <w:ind w:left="247" w:right="8211"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、单项金额重大且单独计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提减值准备</w:t>
      </w:r>
    </w:p>
    <w:p>
      <w:pPr>
        <w:spacing w:after="0" w:line="326" w:lineRule="auto"/>
        <w:jc w:val="left"/>
        <w:rPr>
          <w:rFonts w:ascii="宋体" w:hAnsi="宋体" w:cs="宋体" w:eastAsia="宋体" w:hint="default"/>
          <w:sz w:val="18"/>
          <w:szCs w:val="18"/>
        </w:rPr>
        <w:sectPr>
          <w:type w:val="continuous"/>
          <w:pgSz w:w="11910" w:h="16840"/>
          <w:pgMar w:top="1020" w:bottom="1520" w:left="940" w:right="380"/>
        </w:sectPr>
      </w:pPr>
    </w:p>
    <w:p>
      <w:pPr>
        <w:spacing w:line="240" w:lineRule="auto" w:before="9"/>
        <w:rPr>
          <w:rFonts w:ascii="宋体" w:hAnsi="宋体" w:cs="宋体" w:eastAsia="宋体" w:hint="default"/>
          <w:sz w:val="22"/>
          <w:szCs w:val="22"/>
        </w:rPr>
      </w:pPr>
    </w:p>
    <w:p>
      <w:pPr>
        <w:spacing w:line="336" w:lineRule="auto" w:before="44"/>
        <w:ind w:left="148" w:right="8110" w:firstLine="0"/>
        <w:jc w:val="left"/>
        <w:rPr>
          <w:rFonts w:ascii="宋体" w:hAnsi="宋体" w:cs="宋体" w:eastAsia="宋体" w:hint="default"/>
          <w:sz w:val="18"/>
          <w:szCs w:val="18"/>
        </w:rPr>
      </w:pPr>
      <w:r>
        <w:rPr/>
        <w:pict>
          <v:shape style="position:absolute;margin-left:173.149704pt;margin-top:8.98996pt;width:388.7pt;height:162.7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8"/>
                    <w:gridCol w:w="771"/>
                    <w:gridCol w:w="1171"/>
                    <w:gridCol w:w="703"/>
                    <w:gridCol w:w="1352"/>
                    <w:gridCol w:w="771"/>
                    <w:gridCol w:w="1303"/>
                    <w:gridCol w:w="435"/>
                  </w:tblGrid>
                  <w:tr>
                    <w:trPr>
                      <w:trHeight w:val="530"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415,634.93</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Times New Roman" w:hAnsi="Times New Roman" w:cs="Times New Roman" w:eastAsia="Times New Roman" w:hint="default"/>
                            <w:sz w:val="18"/>
                            <w:szCs w:val="18"/>
                          </w:rPr>
                        </w:pPr>
                        <w:r>
                          <w:rPr>
                            <w:rFonts w:ascii="Times New Roman"/>
                            <w:sz w:val="18"/>
                          </w:rPr>
                          <w:t>---</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z w:val="18"/>
                          </w:rPr>
                          <w:t>---</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z w:val="18"/>
                          </w:rPr>
                          <w:t>---</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8"/>
                          <w:jc w:val="right"/>
                          <w:rPr>
                            <w:rFonts w:ascii="Times New Roman" w:hAnsi="Times New Roman" w:cs="Times New Roman" w:eastAsia="Times New Roman" w:hint="default"/>
                            <w:sz w:val="18"/>
                            <w:szCs w:val="18"/>
                          </w:rPr>
                        </w:pPr>
                        <w:r>
                          <w:rPr>
                            <w:rFonts w:ascii="Times New Roman"/>
                            <w:sz w:val="18"/>
                          </w:rPr>
                          <w:t>---</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5"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172,239,535.20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99.76%</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8,613,116.12</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325,678,538.74</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16,283,926.94</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w:t>
                        </w:r>
                      </w:p>
                    </w:tc>
                  </w:tr>
                  <w:tr>
                    <w:trPr>
                      <w:trHeight w:val="425"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pacing w:val="-1"/>
                            <w:sz w:val="18"/>
                          </w:rPr>
                          <w:t>166,662,484.00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96.53%</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6"/>
                          <w:jc w:val="right"/>
                          <w:rPr>
                            <w:rFonts w:ascii="Times New Roman" w:hAnsi="Times New Roman" w:cs="Times New Roman" w:eastAsia="Times New Roman" w:hint="default"/>
                            <w:sz w:val="18"/>
                            <w:szCs w:val="18"/>
                          </w:rPr>
                        </w:pPr>
                        <w:r>
                          <w:rPr>
                            <w:rFonts w:ascii="Times New Roman"/>
                            <w:spacing w:val="-1"/>
                            <w:sz w:val="18"/>
                          </w:rPr>
                          <w:t>8,333,124.20</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pacing w:val="-1"/>
                            <w:sz w:val="18"/>
                          </w:rPr>
                          <w:t>322,688,368.11</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Times New Roman" w:hAnsi="Times New Roman" w:cs="Times New Roman" w:eastAsia="Times New Roman" w:hint="default"/>
                            <w:sz w:val="18"/>
                            <w:szCs w:val="18"/>
                          </w:rPr>
                        </w:pPr>
                        <w:r>
                          <w:rPr>
                            <w:rFonts w:ascii="Times New Roman"/>
                            <w:sz w:val="18"/>
                          </w:rPr>
                          <w:t>99.08%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58"/>
                          <w:jc w:val="right"/>
                          <w:rPr>
                            <w:rFonts w:ascii="Times New Roman" w:hAnsi="Times New Roman" w:cs="Times New Roman" w:eastAsia="Times New Roman" w:hint="default"/>
                            <w:sz w:val="18"/>
                            <w:szCs w:val="18"/>
                          </w:rPr>
                        </w:pPr>
                        <w:r>
                          <w:rPr>
                            <w:rFonts w:ascii="Times New Roman"/>
                            <w:spacing w:val="-1"/>
                            <w:sz w:val="18"/>
                          </w:rPr>
                          <w:t>16,134,418.41</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18"/>
                            <w:szCs w:val="18"/>
                          </w:rPr>
                        </w:pPr>
                        <w:r>
                          <w:rPr>
                            <w:rFonts w:ascii="Times New Roman"/>
                            <w:sz w:val="18"/>
                          </w:rPr>
                          <w:t>5%</w:t>
                        </w:r>
                      </w:p>
                    </w:tc>
                  </w:tr>
                  <w:tr>
                    <w:trPr>
                      <w:trHeight w:val="510"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5,577,051.20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95"/>
                            <w:sz w:val="18"/>
                          </w:rPr>
                          <w:t>3.23%</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6"/>
                          <w:jc w:val="right"/>
                          <w:rPr>
                            <w:rFonts w:ascii="Times New Roman" w:hAnsi="Times New Roman" w:cs="Times New Roman" w:eastAsia="Times New Roman" w:hint="default"/>
                            <w:sz w:val="18"/>
                            <w:szCs w:val="18"/>
                          </w:rPr>
                        </w:pPr>
                        <w:r>
                          <w:rPr>
                            <w:rFonts w:ascii="Times New Roman"/>
                            <w:sz w:val="18"/>
                          </w:rPr>
                          <w:t>279,991.92</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2,990,170.63</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95"/>
                            <w:sz w:val="18"/>
                          </w:rPr>
                          <w:t>0.92%</w:t>
                        </w:r>
                        <w:r>
                          <w:rPr>
                            <w:rFonts w:ascii="Times New Roman"/>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8"/>
                          <w:jc w:val="right"/>
                          <w:rPr>
                            <w:rFonts w:ascii="Times New Roman" w:hAnsi="Times New Roman" w:cs="Times New Roman" w:eastAsia="Times New Roman" w:hint="default"/>
                            <w:sz w:val="18"/>
                            <w:szCs w:val="18"/>
                          </w:rPr>
                        </w:pPr>
                        <w:r>
                          <w:rPr>
                            <w:rFonts w:ascii="Times New Roman"/>
                            <w:sz w:val="18"/>
                          </w:rPr>
                          <w:t>149,508.53</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t>5%</w:t>
                        </w:r>
                      </w:p>
                    </w:tc>
                  </w:tr>
                  <w:tr>
                    <w:trPr>
                      <w:trHeight w:val="680"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57"/>
                          <w:jc w:val="right"/>
                          <w:rPr>
                            <w:rFonts w:ascii="Times New Roman" w:hAnsi="Times New Roman" w:cs="Times New Roman" w:eastAsia="Times New Roman" w:hint="default"/>
                            <w:sz w:val="18"/>
                            <w:szCs w:val="18"/>
                          </w:rPr>
                        </w:pPr>
                        <w:r>
                          <w:rPr>
                            <w:rFonts w:ascii="Times New Roman"/>
                            <w:sz w:val="18"/>
                          </w:rPr>
                          <w:t>---</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14" w:hRule="exact"/>
                    </w:trPr>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172,655,170.13</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8,613,116.12</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4.99%</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325,678,538.74</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16,283,926.94</w:t>
                        </w:r>
                      </w:p>
                    </w:tc>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w:t>
                        </w:r>
                      </w:p>
                    </w:tc>
                  </w:tr>
                </w:tbl>
                <w:p>
                  <w:pPr/>
                </w:p>
              </w:txbxContent>
            </v:textbox>
            <w10:wrap type="none"/>
          </v:shape>
        </w:pic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、单项金额非重大且单独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计提减值准备</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、其他划分为类似信用风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险特征的组合：</w:t>
      </w:r>
      <w:r>
        <w:rPr>
          <w:rFonts w:ascii="宋体" w:hAnsi="宋体" w:cs="宋体" w:eastAsia="宋体" w:hint="default"/>
          <w:sz w:val="18"/>
          <w:szCs w:val="18"/>
        </w:rPr>
        <w:t> 其中：单项金额重大</w:t>
      </w:r>
    </w:p>
    <w:p>
      <w:pPr>
        <w:spacing w:line="345" w:lineRule="auto" w:before="33"/>
        <w:ind w:left="688" w:right="8101" w:firstLine="0"/>
        <w:jc w:val="left"/>
        <w:rPr>
          <w:rFonts w:ascii="宋体" w:hAnsi="宋体" w:cs="宋体" w:eastAsia="宋体" w:hint="default"/>
          <w:sz w:val="18"/>
          <w:szCs w:val="18"/>
        </w:rPr>
      </w:pPr>
      <w:r>
        <w:rPr>
          <w:rFonts w:ascii="宋体" w:hAnsi="宋体" w:cs="宋体" w:eastAsia="宋体" w:hint="default"/>
          <w:sz w:val="18"/>
          <w:szCs w:val="18"/>
        </w:rPr>
        <w:t>单项金额非重大 </w:t>
      </w:r>
      <w:r>
        <w:rPr>
          <w:rFonts w:ascii="宋体" w:hAnsi="宋体" w:cs="宋体" w:eastAsia="宋体" w:hint="default"/>
          <w:spacing w:val="-5"/>
          <w:sz w:val="18"/>
          <w:szCs w:val="18"/>
        </w:rPr>
        <w:t>其中：单项金额非重</w:t>
      </w:r>
    </w:p>
    <w:p>
      <w:pPr>
        <w:spacing w:line="348" w:lineRule="auto" w:before="25"/>
        <w:ind w:left="148" w:right="8093" w:firstLine="0"/>
        <w:jc w:val="left"/>
        <w:rPr>
          <w:rFonts w:ascii="宋体" w:hAnsi="宋体" w:cs="宋体" w:eastAsia="宋体" w:hint="default"/>
          <w:sz w:val="18"/>
          <w:szCs w:val="18"/>
        </w:rPr>
      </w:pPr>
      <w:r>
        <w:rPr>
          <w:rFonts w:ascii="宋体" w:hAnsi="宋体" w:cs="宋体" w:eastAsia="宋体" w:hint="default"/>
          <w:spacing w:val="13"/>
          <w:sz w:val="18"/>
          <w:szCs w:val="18"/>
        </w:rPr>
        <w:t>大但按信用风险特征组合 </w:t>
      </w:r>
      <w:r>
        <w:rPr>
          <w:rFonts w:ascii="宋体" w:hAnsi="宋体" w:cs="宋体" w:eastAsia="宋体" w:hint="default"/>
          <w:sz w:val="18"/>
          <w:szCs w:val="18"/>
        </w:rPr>
        <w:t>后该组合的风险较大</w:t>
      </w:r>
    </w:p>
    <w:p>
      <w:pPr>
        <w:tabs>
          <w:tab w:pos="1374" w:val="left" w:leader="none"/>
        </w:tabs>
        <w:spacing w:before="23"/>
        <w:ind w:left="834" w:right="8110" w:firstLine="0"/>
        <w:jc w:val="left"/>
        <w:rPr>
          <w:rFonts w:ascii="宋体" w:hAnsi="宋体" w:cs="宋体" w:eastAsia="宋体" w:hint="default"/>
          <w:sz w:val="18"/>
          <w:szCs w:val="18"/>
        </w:rPr>
      </w:pPr>
      <w:r>
        <w:rPr/>
        <w:pict>
          <v:group style="position:absolute;margin-left:298.619995pt;margin-top:49.280819pt;width:121pt;height:.1pt;mso-position-horizontal-relative:page;mso-position-vertical-relative:paragraph;z-index:-622336" coordorigin="5972,986" coordsize="2420,2">
            <v:shape style="position:absolute;left:5972;top:986;width:2420;height:2" coordorigin="5972,986" coordsize="2420,0" path="m5972,986l8392,986e" filled="false" stroked="true" strokeweight=".47998pt" strokecolor="#000000">
              <v:path arrowok="t"/>
            </v:shape>
            <w10:wrap type="none"/>
          </v:group>
        </w:pict>
      </w:r>
      <w:r>
        <w:rPr>
          <w:rFonts w:ascii="宋体" w:hAnsi="宋体" w:cs="宋体" w:eastAsia="宋体" w:hint="default"/>
          <w:sz w:val="18"/>
          <w:szCs w:val="18"/>
        </w:rPr>
        <w:t>合</w:t>
        <w:tab/>
        <w:t>计</w:t>
      </w:r>
    </w:p>
    <w:p>
      <w:pPr>
        <w:spacing w:line="240" w:lineRule="auto" w:before="11"/>
        <w:rPr>
          <w:rFonts w:ascii="宋体" w:hAnsi="宋体" w:cs="宋体" w:eastAsia="宋体" w:hint="default"/>
          <w:sz w:val="3"/>
          <w:szCs w:val="3"/>
        </w:rPr>
      </w:pPr>
    </w:p>
    <w:tbl>
      <w:tblPr>
        <w:tblW w:w="0" w:type="auto"/>
        <w:jc w:val="left"/>
        <w:tblInd w:w="655" w:type="dxa"/>
        <w:tblLayout w:type="fixed"/>
        <w:tblCellMar>
          <w:top w:w="0" w:type="dxa"/>
          <w:left w:w="0" w:type="dxa"/>
          <w:bottom w:w="0" w:type="dxa"/>
          <w:right w:w="0" w:type="dxa"/>
        </w:tblCellMar>
        <w:tblLook w:val="01E0"/>
      </w:tblPr>
      <w:tblGrid>
        <w:gridCol w:w="2553"/>
        <w:gridCol w:w="1569"/>
        <w:gridCol w:w="1012"/>
        <w:gridCol w:w="817"/>
        <w:gridCol w:w="777"/>
        <w:gridCol w:w="1704"/>
      </w:tblGrid>
      <w:tr>
        <w:trPr>
          <w:trHeight w:val="628" w:hRule="exact"/>
        </w:trPr>
        <w:tc>
          <w:tcPr>
            <w:tcW w:w="41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524" w:right="0"/>
              <w:jc w:val="left"/>
              <w:rPr>
                <w:rFonts w:ascii="宋体" w:hAnsi="宋体" w:cs="宋体" w:eastAsia="宋体" w:hint="default"/>
                <w:sz w:val="21"/>
                <w:szCs w:val="21"/>
              </w:rPr>
            </w:pPr>
            <w:r>
              <w:rPr>
                <w:rFonts w:ascii="宋体" w:hAnsi="宋体" w:cs="宋体" w:eastAsia="宋体" w:hint="default"/>
                <w:sz w:val="21"/>
                <w:szCs w:val="21"/>
              </w:rPr>
              <w:t>2、应收账款坏账准备的变动如下：</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921"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481" w:type="dxa"/>
            <w:gridSpan w:val="2"/>
            <w:tcBorders>
              <w:top w:val="nil" w:sz="6" w:space="0" w:color="auto"/>
              <w:left w:val="nil" w:sz="6" w:space="0" w:color="auto"/>
              <w:bottom w:val="nil" w:sz="6" w:space="0" w:color="auto"/>
              <w:right w:val="nil" w:sz="6" w:space="0" w:color="auto"/>
            </w:tcBorders>
          </w:tcPr>
          <w:p>
            <w:pPr/>
          </w:p>
        </w:tc>
      </w:tr>
      <w:tr>
        <w:trPr>
          <w:trHeight w:val="175" w:hRule="exact"/>
        </w:trPr>
        <w:tc>
          <w:tcPr>
            <w:tcW w:w="4123" w:type="dxa"/>
            <w:gridSpan w:val="2"/>
            <w:tcBorders>
              <w:top w:val="nil" w:sz="6" w:space="0" w:color="auto"/>
              <w:left w:val="nil" w:sz="6" w:space="0" w:color="auto"/>
              <w:bottom w:val="nil" w:sz="6" w:space="0" w:color="auto"/>
              <w:right w:val="nil" w:sz="6" w:space="0" w:color="auto"/>
            </w:tcBorders>
          </w:tcPr>
          <w:p>
            <w:pPr>
              <w:pStyle w:val="TableParagraph"/>
              <w:tabs>
                <w:tab w:pos="3121" w:val="left" w:leader="none"/>
              </w:tabs>
              <w:spacing w:line="178" w:lineRule="exact"/>
              <w:ind w:left="15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1829" w:type="dxa"/>
            <w:gridSpan w:val="2"/>
            <w:tcBorders>
              <w:top w:val="nil" w:sz="6" w:space="0" w:color="auto"/>
              <w:left w:val="nil" w:sz="6" w:space="0" w:color="auto"/>
              <w:bottom w:val="nil" w:sz="6" w:space="0" w:color="auto"/>
              <w:right w:val="nil" w:sz="6" w:space="0" w:color="auto"/>
            </w:tcBorders>
          </w:tcPr>
          <w:p>
            <w:pPr/>
          </w:p>
        </w:tc>
        <w:tc>
          <w:tcPr>
            <w:tcW w:w="777"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178" w:lineRule="exact"/>
              <w:ind w:left="2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257" w:hRule="exact"/>
        </w:trPr>
        <w:tc>
          <w:tcPr>
            <w:tcW w:w="4123" w:type="dxa"/>
            <w:gridSpan w:val="2"/>
            <w:tcBorders>
              <w:top w:val="nil" w:sz="6" w:space="0" w:color="auto"/>
              <w:left w:val="nil" w:sz="6" w:space="0" w:color="auto"/>
              <w:bottom w:val="nil" w:sz="6" w:space="0" w:color="auto"/>
              <w:right w:val="nil" w:sz="6" w:space="0" w:color="auto"/>
            </w:tcBorders>
          </w:tcPr>
          <w:p>
            <w:pP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177" w:lineRule="exact"/>
              <w:ind w:right="3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  回</w:t>
            </w:r>
            <w:r>
              <w:rPr>
                <w:rFonts w:ascii="宋体" w:hAnsi="宋体" w:cs="宋体" w:eastAsia="宋体" w:hint="default"/>
                <w:sz w:val="18"/>
                <w:szCs w:val="18"/>
              </w:rPr>
            </w:r>
          </w:p>
        </w:tc>
        <w:tc>
          <w:tcPr>
            <w:tcW w:w="777" w:type="dxa"/>
            <w:tcBorders>
              <w:top w:val="nil" w:sz="6" w:space="0" w:color="auto"/>
              <w:left w:val="nil" w:sz="6" w:space="0" w:color="auto"/>
              <w:bottom w:val="nil" w:sz="6" w:space="0" w:color="auto"/>
              <w:right w:val="nil" w:sz="6" w:space="0" w:color="auto"/>
            </w:tcBorders>
          </w:tcPr>
          <w:p>
            <w:pPr>
              <w:pStyle w:val="TableParagraph"/>
              <w:spacing w:line="177" w:lineRule="exact"/>
              <w:ind w:right="2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  销</w:t>
            </w:r>
            <w:r>
              <w:rPr>
                <w:rFonts w:ascii="宋体" w:hAnsi="宋体" w:cs="宋体" w:eastAsia="宋体" w:hint="default"/>
                <w:sz w:val="18"/>
                <w:szCs w:val="18"/>
              </w:rPr>
            </w:r>
          </w:p>
        </w:tc>
        <w:tc>
          <w:tcPr>
            <w:tcW w:w="1704" w:type="dxa"/>
            <w:tcBorders>
              <w:top w:val="nil" w:sz="6" w:space="0" w:color="auto"/>
              <w:left w:val="nil" w:sz="6" w:space="0" w:color="auto"/>
              <w:bottom w:val="nil" w:sz="6" w:space="0" w:color="auto"/>
              <w:right w:val="nil" w:sz="6" w:space="0" w:color="auto"/>
            </w:tcBorders>
          </w:tcPr>
          <w:p>
            <w:pPr/>
          </w:p>
        </w:tc>
      </w:tr>
      <w:tr>
        <w:trPr>
          <w:trHeight w:val="345" w:hRule="exact"/>
        </w:trPr>
        <w:tc>
          <w:tcPr>
            <w:tcW w:w="4123" w:type="dxa"/>
            <w:gridSpan w:val="2"/>
            <w:tcBorders>
              <w:top w:val="nil" w:sz="6" w:space="0" w:color="auto"/>
              <w:left w:val="nil" w:sz="6" w:space="0" w:color="auto"/>
              <w:bottom w:val="nil" w:sz="6" w:space="0" w:color="auto"/>
              <w:right w:val="nil" w:sz="6" w:space="0" w:color="auto"/>
            </w:tcBorders>
          </w:tcPr>
          <w:p>
            <w:pPr>
              <w:pStyle w:val="TableParagraph"/>
              <w:tabs>
                <w:tab w:pos="1806" w:val="left" w:leader="none"/>
                <w:tab w:pos="3053" w:val="left" w:leader="none"/>
              </w:tabs>
              <w:spacing w:line="240" w:lineRule="auto" w:before="25"/>
              <w:ind w:left="4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5,477,324.49</w:t>
              <w:tab/>
              <w:t>10,806,602.45</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30"/>
              <w:jc w:val="center"/>
              <w:rPr>
                <w:rFonts w:ascii="Times New Roman" w:hAnsi="Times New Roman" w:cs="Times New Roman" w:eastAsia="Times New Roman" w:hint="default"/>
                <w:sz w:val="18"/>
                <w:szCs w:val="18"/>
              </w:rPr>
            </w:pPr>
            <w:r>
              <w:rPr>
                <w:rFonts w:ascii="Times New Roman"/>
                <w:sz w:val="18"/>
              </w:rPr>
              <w:t>---</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7" w:right="0"/>
              <w:jc w:val="left"/>
              <w:rPr>
                <w:rFonts w:ascii="Times New Roman" w:hAnsi="Times New Roman" w:cs="Times New Roman" w:eastAsia="Times New Roman" w:hint="default"/>
                <w:sz w:val="18"/>
                <w:szCs w:val="18"/>
              </w:rPr>
            </w:pPr>
            <w:r>
              <w:rPr>
                <w:rFonts w:ascii="Times New Roman"/>
                <w:sz w:val="18"/>
              </w:rPr>
              <w:t>---</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4"/>
              <w:jc w:val="right"/>
              <w:rPr>
                <w:rFonts w:ascii="Times New Roman" w:hAnsi="Times New Roman" w:cs="Times New Roman" w:eastAsia="Times New Roman" w:hint="default"/>
                <w:sz w:val="18"/>
                <w:szCs w:val="18"/>
              </w:rPr>
            </w:pPr>
            <w:r>
              <w:rPr>
                <w:rFonts w:ascii="Times New Roman"/>
                <w:spacing w:val="-1"/>
                <w:sz w:val="18"/>
              </w:rPr>
              <w:t>16,283,926.94</w:t>
            </w:r>
          </w:p>
        </w:tc>
      </w:tr>
      <w:tr>
        <w:trPr>
          <w:trHeight w:val="265" w:hRule="exact"/>
        </w:trPr>
        <w:tc>
          <w:tcPr>
            <w:tcW w:w="4123" w:type="dxa"/>
            <w:gridSpan w:val="2"/>
            <w:tcBorders>
              <w:top w:val="nil" w:sz="6" w:space="0" w:color="auto"/>
              <w:left w:val="nil" w:sz="6" w:space="0" w:color="auto"/>
              <w:bottom w:val="nil" w:sz="6" w:space="0" w:color="auto"/>
              <w:right w:val="nil" w:sz="6" w:space="0" w:color="auto"/>
            </w:tcBorders>
          </w:tcPr>
          <w:p>
            <w:pPr>
              <w:pStyle w:val="TableParagraph"/>
              <w:tabs>
                <w:tab w:pos="1716" w:val="left" w:leader="none"/>
                <w:tab w:pos="3481" w:val="left" w:leader="none"/>
              </w:tabs>
              <w:spacing w:line="240" w:lineRule="auto" w:before="19"/>
              <w:ind w:left="4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pacing w:val="-1"/>
                <w:sz w:val="18"/>
                <w:szCs w:val="18"/>
              </w:rPr>
              <w:t>16,283,926.94</w:t>
              <w:tab/>
            </w:r>
            <w:r>
              <w:rPr>
                <w:rFonts w:ascii="Times New Roman" w:hAnsi="Times New Roman" w:cs="Times New Roman" w:eastAsia="Times New Roman" w:hint="default"/>
                <w:sz w:val="18"/>
                <w:szCs w:val="18"/>
              </w:rPr>
              <w:t>---</w:t>
            </w:r>
          </w:p>
        </w:tc>
        <w:tc>
          <w:tcPr>
            <w:tcW w:w="18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425" w:right="0"/>
              <w:jc w:val="left"/>
              <w:rPr>
                <w:rFonts w:ascii="Times New Roman" w:hAnsi="Times New Roman" w:cs="Times New Roman" w:eastAsia="Times New Roman" w:hint="default"/>
                <w:sz w:val="18"/>
                <w:szCs w:val="18"/>
              </w:rPr>
            </w:pPr>
            <w:r>
              <w:rPr>
                <w:rFonts w:ascii="Times New Roman"/>
                <w:sz w:val="18"/>
              </w:rPr>
              <w:t>7,670,442.52</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4"/>
              <w:jc w:val="right"/>
              <w:rPr>
                <w:rFonts w:ascii="Times New Roman" w:hAnsi="Times New Roman" w:cs="Times New Roman" w:eastAsia="Times New Roman" w:hint="default"/>
                <w:sz w:val="18"/>
                <w:szCs w:val="18"/>
              </w:rPr>
            </w:pPr>
            <w:r>
              <w:rPr>
                <w:rFonts w:ascii="Times New Roman"/>
                <w:sz w:val="18"/>
              </w:rPr>
              <w:t>368.3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4"/>
              <w:jc w:val="right"/>
              <w:rPr>
                <w:rFonts w:ascii="Times New Roman" w:hAnsi="Times New Roman" w:cs="Times New Roman" w:eastAsia="Times New Roman" w:hint="default"/>
                <w:sz w:val="18"/>
                <w:szCs w:val="18"/>
              </w:rPr>
            </w:pPr>
            <w:r>
              <w:rPr>
                <w:rFonts w:ascii="Times New Roman"/>
                <w:spacing w:val="-1"/>
                <w:sz w:val="18"/>
              </w:rPr>
              <w:t>8,613,116.12</w:t>
            </w:r>
          </w:p>
        </w:tc>
      </w:tr>
      <w:tr>
        <w:trPr>
          <w:trHeight w:val="418" w:hRule="exact"/>
        </w:trPr>
        <w:tc>
          <w:tcPr>
            <w:tcW w:w="843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9"/>
              <w:ind w:left="5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、年末无单项金额重大或虽不重大但单独计提减值准备的应收款项。</w:t>
            </w:r>
          </w:p>
        </w:tc>
      </w:tr>
      <w:tr>
        <w:trPr>
          <w:trHeight w:val="319"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应收款项内容</w:t>
            </w:r>
            <w:r>
              <w:rPr>
                <w:rFonts w:ascii="宋体" w:hAnsi="宋体" w:cs="宋体" w:eastAsia="宋体" w:hint="default"/>
                <w:sz w:val="18"/>
                <w:szCs w:val="18"/>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25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坏账准备金额</w:t>
            </w:r>
            <w:r>
              <w:rPr>
                <w:rFonts w:ascii="宋体" w:hAnsi="宋体" w:cs="宋体" w:eastAsia="宋体" w:hint="default"/>
                <w:sz w:val="18"/>
                <w:szCs w:val="18"/>
              </w:rPr>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理  由</w:t>
            </w:r>
            <w:r>
              <w:rPr>
                <w:rFonts w:ascii="宋体" w:hAnsi="宋体" w:cs="宋体" w:eastAsia="宋体" w:hint="default"/>
                <w:sz w:val="18"/>
                <w:szCs w:val="18"/>
              </w:rPr>
            </w:r>
          </w:p>
        </w:tc>
      </w:tr>
      <w:tr>
        <w:trPr>
          <w:trHeight w:val="367"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1"/>
              <w:jc w:val="center"/>
              <w:rPr>
                <w:rFonts w:ascii="宋体" w:hAnsi="宋体" w:cs="宋体" w:eastAsia="宋体" w:hint="default"/>
                <w:sz w:val="21"/>
                <w:szCs w:val="21"/>
              </w:rPr>
            </w:pPr>
            <w:r>
              <w:rPr>
                <w:rFonts w:ascii="宋体" w:hAnsi="宋体" w:cs="宋体" w:eastAsia="宋体" w:hint="default"/>
                <w:sz w:val="21"/>
                <w:szCs w:val="21"/>
              </w:rPr>
              <w:t>无锡实益达电子有限公司</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8" w:right="0"/>
              <w:jc w:val="left"/>
              <w:rPr>
                <w:rFonts w:ascii="Times New Roman" w:hAnsi="Times New Roman" w:cs="Times New Roman" w:eastAsia="Times New Roman" w:hint="default"/>
                <w:sz w:val="18"/>
                <w:szCs w:val="18"/>
              </w:rPr>
            </w:pPr>
            <w:r>
              <w:rPr>
                <w:rFonts w:ascii="Times New Roman"/>
                <w:sz w:val="18"/>
              </w:rPr>
              <w:t>415,634.93</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3"/>
              <w:jc w:val="center"/>
              <w:rPr>
                <w:rFonts w:ascii="Times New Roman" w:hAnsi="Times New Roman" w:cs="Times New Roman" w:eastAsia="Times New Roman" w:hint="default"/>
                <w:sz w:val="21"/>
                <w:szCs w:val="21"/>
              </w:rPr>
            </w:pPr>
            <w:r>
              <w:rPr>
                <w:rFonts w:ascii="Times New Roman"/>
                <w:sz w:val="21"/>
              </w:rPr>
              <w:t>---</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2" w:right="0"/>
              <w:jc w:val="center"/>
              <w:rPr>
                <w:rFonts w:ascii="Times New Roman" w:hAnsi="Times New Roman" w:cs="Times New Roman" w:eastAsia="Times New Roman" w:hint="default"/>
                <w:sz w:val="18"/>
                <w:szCs w:val="18"/>
              </w:rPr>
            </w:pPr>
            <w:r>
              <w:rPr>
                <w:rFonts w:ascii="Times New Roman"/>
                <w:sz w:val="18"/>
              </w:rPr>
              <w:t>---</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hAnsi="宋体" w:cs="宋体" w:eastAsia="宋体" w:hint="default"/>
                <w:sz w:val="18"/>
                <w:szCs w:val="18"/>
              </w:rPr>
              <w:t>合并范围内子公司</w:t>
            </w:r>
          </w:p>
        </w:tc>
      </w:tr>
    </w:tbl>
    <w:p>
      <w:pPr>
        <w:spacing w:line="250" w:lineRule="exact" w:before="0"/>
        <w:ind w:left="1180" w:right="1303" w:firstLine="0"/>
        <w:jc w:val="left"/>
        <w:rPr>
          <w:rFonts w:ascii="宋体" w:hAnsi="宋体" w:cs="宋体" w:eastAsia="宋体" w:hint="default"/>
          <w:sz w:val="21"/>
          <w:szCs w:val="21"/>
        </w:rPr>
      </w:pPr>
      <w:r>
        <w:rPr>
          <w:rFonts w:ascii="宋体" w:hAnsi="宋体" w:cs="宋体" w:eastAsia="宋体" w:hint="default"/>
          <w:sz w:val="21"/>
          <w:szCs w:val="21"/>
        </w:rPr>
        <w:t>4、年末无单项金额不重大但按信用风险特征组合后该组合的风险较大的应收账款。</w:t>
      </w:r>
    </w:p>
    <w:p>
      <w:pPr>
        <w:spacing w:before="66"/>
        <w:ind w:left="1180" w:right="1303" w:firstLine="0"/>
        <w:jc w:val="left"/>
        <w:rPr>
          <w:rFonts w:ascii="宋体" w:hAnsi="宋体" w:cs="宋体" w:eastAsia="宋体" w:hint="default"/>
          <w:sz w:val="21"/>
          <w:szCs w:val="21"/>
        </w:rPr>
      </w:pPr>
      <w:r>
        <w:rPr>
          <w:rFonts w:ascii="宋体" w:hAnsi="宋体" w:cs="宋体" w:eastAsia="宋体" w:hint="default"/>
          <w:sz w:val="21"/>
          <w:szCs w:val="21"/>
        </w:rPr>
        <w:t>5、无以前年度已全额或大比例计提坏账准备，本年又全额或部分收回的应收账款。</w:t>
      </w:r>
    </w:p>
    <w:p>
      <w:pPr>
        <w:spacing w:before="64"/>
        <w:ind w:left="1180" w:right="1303" w:firstLine="0"/>
        <w:jc w:val="left"/>
        <w:rPr>
          <w:rFonts w:ascii="宋体" w:hAnsi="宋体" w:cs="宋体" w:eastAsia="宋体" w:hint="default"/>
          <w:sz w:val="21"/>
          <w:szCs w:val="21"/>
        </w:rPr>
      </w:pPr>
      <w:r>
        <w:rPr>
          <w:rFonts w:ascii="宋体" w:hAnsi="宋体" w:cs="宋体" w:eastAsia="宋体" w:hint="default"/>
          <w:sz w:val="21"/>
          <w:szCs w:val="21"/>
        </w:rPr>
        <w:t>6、本年实际核销的应收账款为</w:t>
      </w:r>
      <w:r>
        <w:rPr>
          <w:rFonts w:ascii="宋体" w:hAnsi="宋体" w:cs="宋体" w:eastAsia="宋体" w:hint="default"/>
          <w:spacing w:val="-64"/>
          <w:sz w:val="21"/>
          <w:szCs w:val="21"/>
        </w:rPr>
        <w:t> </w:t>
      </w:r>
      <w:r>
        <w:rPr>
          <w:rFonts w:ascii="宋体" w:hAnsi="宋体" w:cs="宋体" w:eastAsia="宋体" w:hint="default"/>
          <w:sz w:val="21"/>
          <w:szCs w:val="21"/>
        </w:rPr>
        <w:t>368.30</w:t>
      </w:r>
      <w:r>
        <w:rPr>
          <w:rFonts w:ascii="宋体" w:hAnsi="宋体" w:cs="宋体" w:eastAsia="宋体" w:hint="default"/>
          <w:spacing w:val="-63"/>
          <w:sz w:val="21"/>
          <w:szCs w:val="21"/>
        </w:rPr>
        <w:t> </w:t>
      </w:r>
      <w:r>
        <w:rPr>
          <w:rFonts w:ascii="宋体" w:hAnsi="宋体" w:cs="宋体" w:eastAsia="宋体" w:hint="default"/>
          <w:sz w:val="21"/>
          <w:szCs w:val="21"/>
        </w:rPr>
        <w:t>元。</w:t>
      </w:r>
    </w:p>
    <w:p>
      <w:pPr>
        <w:tabs>
          <w:tab w:pos="3732" w:val="left" w:leader="none"/>
          <w:tab w:pos="4002" w:val="left" w:leader="none"/>
          <w:tab w:pos="5292" w:val="left" w:leader="none"/>
          <w:tab w:pos="5405" w:val="left" w:leader="none"/>
          <w:tab w:pos="6497" w:val="left" w:leader="none"/>
          <w:tab w:pos="7819" w:val="left" w:leader="none"/>
          <w:tab w:pos="8539" w:val="left" w:leader="none"/>
        </w:tabs>
        <w:spacing w:line="348" w:lineRule="auto" w:before="100"/>
        <w:ind w:left="1030" w:right="942" w:firstLine="63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单位名称</w:t>
      </w:r>
      <w:r>
        <w:rPr>
          <w:rFonts w:ascii="宋体" w:hAnsi="宋体" w:cs="宋体" w:eastAsia="宋体" w:hint="default"/>
          <w:sz w:val="18"/>
          <w:szCs w:val="18"/>
        </w:rPr>
        <w:tab/>
      </w:r>
      <w:r>
        <w:rPr>
          <w:rFonts w:ascii="宋体" w:hAnsi="宋体" w:cs="宋体" w:eastAsia="宋体" w:hint="default"/>
          <w:sz w:val="18"/>
          <w:szCs w:val="18"/>
          <w:u w:val="single" w:color="000000"/>
        </w:rPr>
        <w:t>应收账款性质</w:t>
      </w:r>
      <w:r>
        <w:rPr>
          <w:rFonts w:ascii="宋体" w:hAnsi="宋体" w:cs="宋体" w:eastAsia="宋体" w:hint="default"/>
          <w:sz w:val="18"/>
          <w:szCs w:val="18"/>
        </w:rPr>
        <w:tab/>
      </w:r>
      <w:r>
        <w:rPr>
          <w:rFonts w:ascii="宋体" w:hAnsi="宋体" w:cs="宋体" w:eastAsia="宋体" w:hint="default"/>
          <w:sz w:val="18"/>
          <w:szCs w:val="18"/>
          <w:u w:val="single" w:color="000000"/>
        </w:rPr>
        <w:t>核销金额</w:t>
      </w:r>
      <w:r>
        <w:rPr>
          <w:rFonts w:ascii="宋体" w:hAnsi="宋体" w:cs="宋体" w:eastAsia="宋体" w:hint="default"/>
          <w:sz w:val="18"/>
          <w:szCs w:val="18"/>
        </w:rPr>
        <w:tab/>
      </w:r>
      <w:r>
        <w:rPr>
          <w:rFonts w:ascii="宋体" w:hAnsi="宋体" w:cs="宋体" w:eastAsia="宋体" w:hint="default"/>
          <w:sz w:val="18"/>
          <w:szCs w:val="18"/>
          <w:u w:val="single" w:color="000000"/>
        </w:rPr>
        <w:t>核销原因</w:t>
      </w:r>
      <w:r>
        <w:rPr>
          <w:rFonts w:ascii="宋体" w:hAnsi="宋体" w:cs="宋体" w:eastAsia="宋体" w:hint="default"/>
          <w:sz w:val="18"/>
          <w:szCs w:val="18"/>
        </w:rPr>
        <w:tab/>
      </w:r>
      <w:r>
        <w:rPr>
          <w:rFonts w:ascii="宋体" w:hAnsi="宋体" w:cs="宋体" w:eastAsia="宋体" w:hint="default"/>
          <w:sz w:val="18"/>
          <w:szCs w:val="18"/>
          <w:u w:val="single" w:color="000000"/>
        </w:rPr>
        <w:t>是否因关联交易产生</w:t>
      </w:r>
      <w:r>
        <w:rPr>
          <w:rFonts w:ascii="宋体" w:hAnsi="宋体" w:cs="宋体" w:eastAsia="宋体" w:hint="default"/>
          <w:sz w:val="18"/>
          <w:szCs w:val="18"/>
        </w:rPr>
      </w:r>
      <w:r>
        <w:rPr>
          <w:rFonts w:ascii="宋体" w:hAnsi="宋体" w:cs="宋体" w:eastAsia="宋体" w:hint="default"/>
          <w:sz w:val="18"/>
          <w:szCs w:val="18"/>
        </w:rPr>
        <w:t> 深圳市弘成科技有限公司</w:t>
        <w:tab/>
        <w:tab/>
        <w:t>销售款</w:t>
        <w:tab/>
        <w:tab/>
      </w:r>
      <w:r>
        <w:rPr>
          <w:rFonts w:ascii="Times New Roman" w:hAnsi="Times New Roman" w:cs="Times New Roman" w:eastAsia="Times New Roman" w:hint="default"/>
          <w:sz w:val="18"/>
          <w:szCs w:val="18"/>
        </w:rPr>
        <w:t>368.30</w:t>
        <w:tab/>
      </w:r>
      <w:r>
        <w:rPr>
          <w:rFonts w:ascii="宋体" w:hAnsi="宋体" w:cs="宋体" w:eastAsia="宋体" w:hint="default"/>
          <w:sz w:val="18"/>
          <w:szCs w:val="18"/>
        </w:rPr>
        <w:t>尾款核销</w:t>
        <w:tab/>
        <w:tab/>
        <w:t>否</w:t>
      </w:r>
    </w:p>
    <w:p>
      <w:pPr>
        <w:spacing w:line="241" w:lineRule="exact" w:before="0"/>
        <w:ind w:left="1180" w:right="1303" w:firstLine="0"/>
        <w:jc w:val="left"/>
        <w:rPr>
          <w:rFonts w:ascii="宋体" w:hAnsi="宋体" w:cs="宋体" w:eastAsia="宋体" w:hint="default"/>
          <w:sz w:val="21"/>
          <w:szCs w:val="21"/>
        </w:rPr>
      </w:pPr>
      <w:r>
        <w:rPr>
          <w:rFonts w:ascii="宋体" w:hAnsi="宋体" w:cs="宋体" w:eastAsia="宋体" w:hint="default"/>
          <w:sz w:val="21"/>
          <w:szCs w:val="21"/>
        </w:rPr>
        <w:t>7、年末应收账款中无持本公司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5％）表决权股份的股东单位欠款。</w:t>
      </w:r>
    </w:p>
    <w:p>
      <w:pPr>
        <w:spacing w:before="64"/>
        <w:ind w:left="1180" w:right="1303" w:firstLine="0"/>
        <w:jc w:val="left"/>
        <w:rPr>
          <w:rFonts w:ascii="宋体" w:hAnsi="宋体" w:cs="宋体" w:eastAsia="宋体" w:hint="default"/>
          <w:sz w:val="21"/>
          <w:szCs w:val="21"/>
        </w:rPr>
      </w:pPr>
      <w:r>
        <w:rPr>
          <w:rFonts w:ascii="宋体" w:hAnsi="宋体" w:cs="宋体" w:eastAsia="宋体" w:hint="default"/>
          <w:sz w:val="21"/>
          <w:szCs w:val="21"/>
        </w:rPr>
        <w:t>8、年末应收账款中无应收关联方账款。</w:t>
      </w:r>
    </w:p>
    <w:p>
      <w:pPr>
        <w:spacing w:before="66"/>
        <w:ind w:left="1180" w:right="1303" w:firstLine="0"/>
        <w:jc w:val="left"/>
        <w:rPr>
          <w:rFonts w:ascii="宋体" w:hAnsi="宋体" w:cs="宋体" w:eastAsia="宋体" w:hint="default"/>
          <w:sz w:val="21"/>
          <w:szCs w:val="21"/>
        </w:rPr>
      </w:pPr>
      <w:r>
        <w:rPr>
          <w:rFonts w:ascii="宋体" w:hAnsi="宋体" w:cs="宋体" w:eastAsia="宋体" w:hint="default"/>
          <w:sz w:val="21"/>
          <w:szCs w:val="21"/>
        </w:rPr>
        <w:t>9、年末应收账款中欠款金额前五名</w:t>
      </w:r>
    </w:p>
    <w:p>
      <w:pPr>
        <w:spacing w:after="0"/>
        <w:jc w:val="left"/>
        <w:rPr>
          <w:rFonts w:ascii="宋体" w:hAnsi="宋体" w:cs="宋体" w:eastAsia="宋体" w:hint="default"/>
          <w:sz w:val="21"/>
          <w:szCs w:val="21"/>
        </w:rPr>
        <w:sectPr>
          <w:pgSz w:w="11910" w:h="16840"/>
          <w:pgMar w:header="918" w:footer="950" w:top="1160" w:bottom="1140" w:left="1040" w:right="480"/>
        </w:sectPr>
      </w:pPr>
    </w:p>
    <w:p>
      <w:pPr>
        <w:spacing w:line="240" w:lineRule="auto" w:before="9"/>
        <w:rPr>
          <w:rFonts w:ascii="宋体" w:hAnsi="宋体" w:cs="宋体" w:eastAsia="宋体" w:hint="default"/>
          <w:sz w:val="20"/>
          <w:szCs w:val="20"/>
        </w:rPr>
      </w:pPr>
    </w:p>
    <w:p>
      <w:pPr>
        <w:tabs>
          <w:tab w:pos="4363" w:val="left" w:leader="none"/>
          <w:tab w:pos="6231" w:val="left" w:leader="none"/>
          <w:tab w:pos="7329" w:val="left" w:leader="none"/>
        </w:tabs>
        <w:spacing w:before="0"/>
        <w:ind w:left="1855" w:right="-19" w:firstLine="0"/>
        <w:jc w:val="left"/>
        <w:rPr>
          <w:rFonts w:ascii="宋体" w:hAnsi="宋体" w:cs="宋体" w:eastAsia="宋体" w:hint="default"/>
          <w:sz w:val="18"/>
          <w:szCs w:val="18"/>
        </w:rPr>
      </w:pPr>
      <w:r>
        <w:rPr/>
        <w:pict>
          <v:group style="position:absolute;margin-left:465.720001pt;margin-top:3.822126pt;width:94.5pt;height:.1pt;mso-position-horizontal-relative:page;mso-position-vertical-relative:paragraph;z-index:5560" coordorigin="9314,76" coordsize="1890,2">
            <v:shape style="position:absolute;left:9314;top:76;width:1890;height:2" coordorigin="9314,76" coordsize="1890,0" path="m9314,76l11204,76e" filled="false" stroked="true" strokeweight=".54001pt" strokecolor="#000000">
              <v:path arrowok="t"/>
            </v:shape>
            <w10:wrap type="none"/>
          </v:group>
        </w:pict>
      </w:r>
      <w:r>
        <w:rPr/>
        <w:pict>
          <v:shape style="position:absolute;margin-left:57.650002pt;margin-top:9.948394pt;width:471pt;height:100pt;mso-position-horizontal-relative:page;mso-position-vertical-relative:paragraph;z-index:5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8"/>
                    <w:gridCol w:w="1448"/>
                    <w:gridCol w:w="1649"/>
                    <w:gridCol w:w="1331"/>
                    <w:gridCol w:w="1093"/>
                  </w:tblGrid>
                  <w:tr>
                    <w:trPr>
                      <w:trHeight w:val="631"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第一名 </w:t>
                        </w:r>
                        <w:r>
                          <w:rPr>
                            <w:rFonts w:ascii="Times New Roman" w:hAnsi="Times New Roman" w:cs="Times New Roman" w:eastAsia="Times New Roman" w:hint="default"/>
                            <w:sz w:val="18"/>
                            <w:szCs w:val="18"/>
                          </w:rPr>
                          <w:t>Perception Digital (HK)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Ltd</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73"/>
                          <w:jc w:val="right"/>
                          <w:rPr>
                            <w:rFonts w:ascii="宋体" w:hAnsi="宋体" w:cs="宋体" w:eastAsia="宋体" w:hint="default"/>
                            <w:sz w:val="18"/>
                            <w:szCs w:val="18"/>
                          </w:rPr>
                        </w:pPr>
                        <w:r>
                          <w:rPr>
                            <w:rFonts w:ascii="宋体" w:hAnsi="宋体" w:cs="宋体" w:eastAsia="宋体" w:hint="default"/>
                            <w:sz w:val="18"/>
                            <w:szCs w:val="18"/>
                          </w:rPr>
                          <w:t>客户</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pacing w:val="-1"/>
                            <w:sz w:val="18"/>
                          </w:rPr>
                          <w:t>112,435,362.90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3" w:type="dxa"/>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例</w:t>
                        </w:r>
                        <w:r>
                          <w:rPr>
                            <w:rFonts w:ascii="宋体" w:hAnsi="宋体" w:cs="宋体" w:eastAsia="宋体" w:hint="default"/>
                            <w:sz w:val="21"/>
                            <w:szCs w:val="21"/>
                          </w:rPr>
                        </w:r>
                      </w:p>
                      <w:p>
                        <w:pPr>
                          <w:pStyle w:val="TableParagraph"/>
                          <w:spacing w:line="240" w:lineRule="auto" w:before="143"/>
                          <w:ind w:left="467" w:right="0"/>
                          <w:jc w:val="center"/>
                          <w:rPr>
                            <w:rFonts w:ascii="Times New Roman" w:hAnsi="Times New Roman" w:cs="Times New Roman" w:eastAsia="Times New Roman" w:hint="default"/>
                            <w:sz w:val="18"/>
                            <w:szCs w:val="18"/>
                          </w:rPr>
                        </w:pPr>
                        <w:r>
                          <w:rPr>
                            <w:rFonts w:ascii="Times New Roman"/>
                            <w:sz w:val="18"/>
                          </w:rPr>
                          <w:t>65.12%</w:t>
                        </w:r>
                      </w:p>
                    </w:tc>
                  </w:tr>
                  <w:tr>
                    <w:trPr>
                      <w:trHeight w:val="340"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第二名 飞利浦电子（香港）有限公司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宋体" w:hAnsi="宋体" w:cs="宋体" w:eastAsia="宋体" w:hint="default"/>
                            <w:sz w:val="18"/>
                            <w:szCs w:val="18"/>
                          </w:rPr>
                        </w:pPr>
                        <w:r>
                          <w:rPr>
                            <w:rFonts w:ascii="宋体" w:hAnsi="宋体" w:cs="宋体" w:eastAsia="宋体" w:hint="default"/>
                            <w:sz w:val="18"/>
                            <w:szCs w:val="18"/>
                          </w:rPr>
                          <w:t>客户</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4"/>
                          <w:jc w:val="right"/>
                          <w:rPr>
                            <w:rFonts w:ascii="Times New Roman" w:hAnsi="Times New Roman" w:cs="Times New Roman" w:eastAsia="Times New Roman" w:hint="default"/>
                            <w:sz w:val="18"/>
                            <w:szCs w:val="18"/>
                          </w:rPr>
                        </w:pPr>
                        <w:r>
                          <w:rPr>
                            <w:rFonts w:ascii="Times New Roman"/>
                            <w:spacing w:val="-1"/>
                            <w:sz w:val="18"/>
                          </w:rPr>
                          <w:t>39,913,346.71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23.12%</w:t>
                        </w:r>
                      </w:p>
                    </w:tc>
                  </w:tr>
                  <w:tr>
                    <w:trPr>
                      <w:trHeight w:val="340"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第三名 飞利浦电子（匈牙利）有限公司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宋体" w:hAnsi="宋体" w:cs="宋体" w:eastAsia="宋体" w:hint="default"/>
                            <w:sz w:val="18"/>
                            <w:szCs w:val="18"/>
                          </w:rPr>
                        </w:pPr>
                        <w:r>
                          <w:rPr>
                            <w:rFonts w:ascii="宋体" w:hAnsi="宋体" w:cs="宋体" w:eastAsia="宋体" w:hint="default"/>
                            <w:sz w:val="18"/>
                            <w:szCs w:val="18"/>
                          </w:rPr>
                          <w:t>客户</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pacing w:val="-1"/>
                            <w:sz w:val="18"/>
                          </w:rPr>
                          <w:t>5,973,067.58</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r>
                  <w:tr>
                    <w:trPr>
                      <w:trHeight w:val="340"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第四名 </w:t>
                        </w:r>
                        <w:r>
                          <w:rPr>
                            <w:rFonts w:ascii="Times New Roman" w:hAnsi="Times New Roman" w:cs="Times New Roman" w:eastAsia="Times New Roman" w:hint="default"/>
                            <w:sz w:val="18"/>
                            <w:szCs w:val="18"/>
                          </w:rPr>
                          <w:t>GE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Lumilation</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3"/>
                          <w:jc w:val="right"/>
                          <w:rPr>
                            <w:rFonts w:ascii="宋体" w:hAnsi="宋体" w:cs="宋体" w:eastAsia="宋体" w:hint="default"/>
                            <w:sz w:val="18"/>
                            <w:szCs w:val="18"/>
                          </w:rPr>
                        </w:pPr>
                        <w:r>
                          <w:rPr>
                            <w:rFonts w:ascii="宋体" w:hAnsi="宋体" w:cs="宋体" w:eastAsia="宋体" w:hint="default"/>
                            <w:sz w:val="18"/>
                            <w:szCs w:val="18"/>
                          </w:rPr>
                          <w:t>客户</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3"/>
                          <w:jc w:val="right"/>
                          <w:rPr>
                            <w:rFonts w:ascii="Times New Roman" w:hAnsi="Times New Roman" w:cs="Times New Roman" w:eastAsia="Times New Roman" w:hint="default"/>
                            <w:sz w:val="18"/>
                            <w:szCs w:val="18"/>
                          </w:rPr>
                        </w:pPr>
                        <w:r>
                          <w:rPr>
                            <w:rFonts w:ascii="Times New Roman"/>
                            <w:spacing w:val="-1"/>
                            <w:sz w:val="18"/>
                          </w:rPr>
                          <w:t>5,306,254.60</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7"/>
                          <w:jc w:val="right"/>
                          <w:rPr>
                            <w:rFonts w:ascii="Times New Roman" w:hAnsi="Times New Roman" w:cs="Times New Roman" w:eastAsia="Times New Roman" w:hint="default"/>
                            <w:sz w:val="18"/>
                            <w:szCs w:val="18"/>
                          </w:rPr>
                        </w:pPr>
                        <w:r>
                          <w:rPr>
                            <w:rFonts w:ascii="Times New Roman"/>
                            <w:w w:val="95"/>
                            <w:sz w:val="18"/>
                          </w:rPr>
                          <w:t>3.07%</w:t>
                        </w:r>
                        <w:r>
                          <w:rPr>
                            <w:rFonts w:ascii="Times New Roman"/>
                            <w:sz w:val="18"/>
                          </w:rPr>
                        </w:r>
                      </w:p>
                    </w:tc>
                  </w:tr>
                  <w:tr>
                    <w:trPr>
                      <w:trHeight w:val="349"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第五名 东莞市发利达电子有限公司</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3"/>
                          <w:jc w:val="right"/>
                          <w:rPr>
                            <w:rFonts w:ascii="宋体" w:hAnsi="宋体" w:cs="宋体" w:eastAsia="宋体" w:hint="default"/>
                            <w:sz w:val="18"/>
                            <w:szCs w:val="18"/>
                          </w:rPr>
                        </w:pPr>
                        <w:r>
                          <w:rPr>
                            <w:rFonts w:ascii="宋体" w:hAnsi="宋体" w:cs="宋体" w:eastAsia="宋体" w:hint="default"/>
                            <w:sz w:val="18"/>
                            <w:szCs w:val="18"/>
                          </w:rPr>
                          <w:t>客户</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pacing w:val="-1"/>
                            <w:sz w:val="18"/>
                          </w:rPr>
                          <w:t>3,034,452.21</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欠款金额</w:t>
      </w:r>
      <w:r>
        <w:rPr>
          <w:rFonts w:ascii="宋体" w:hAnsi="宋体" w:cs="宋体" w:eastAsia="宋体" w:hint="default"/>
          <w:sz w:val="18"/>
          <w:szCs w:val="18"/>
        </w:rPr>
        <w:tab/>
      </w:r>
      <w:r>
        <w:rPr>
          <w:rFonts w:ascii="宋体" w:hAnsi="宋体" w:cs="宋体" w:eastAsia="宋体" w:hint="default"/>
          <w:sz w:val="18"/>
          <w:szCs w:val="18"/>
          <w:u w:val="single" w:color="000000"/>
        </w:rPr>
        <w:t>账  龄</w:t>
      </w:r>
      <w:r>
        <w:rPr>
          <w:rFonts w:ascii="宋体" w:hAnsi="宋体" w:cs="宋体" w:eastAsia="宋体" w:hint="default"/>
          <w:sz w:val="18"/>
          <w:szCs w:val="18"/>
        </w:rPr>
      </w:r>
    </w:p>
    <w:p>
      <w:pPr>
        <w:spacing w:before="64"/>
        <w:ind w:left="364"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占应收账款总额的比</w:t>
      </w:r>
    </w:p>
    <w:p>
      <w:pPr>
        <w:spacing w:after="0"/>
        <w:jc w:val="left"/>
        <w:rPr>
          <w:rFonts w:ascii="宋体" w:hAnsi="宋体" w:cs="宋体" w:eastAsia="宋体" w:hint="default"/>
          <w:sz w:val="21"/>
          <w:szCs w:val="21"/>
        </w:rPr>
        <w:sectPr>
          <w:type w:val="continuous"/>
          <w:pgSz w:w="11910" w:h="16840"/>
          <w:pgMar w:top="1020" w:bottom="1520" w:left="1040" w:right="480"/>
          <w:cols w:num="2" w:equalWidth="0">
            <w:col w:w="7871" w:space="40"/>
            <w:col w:w="247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297" w:lineRule="auto" w:before="35"/>
        <w:ind w:left="760" w:right="1303" w:firstLine="420"/>
        <w:jc w:val="left"/>
        <w:rPr>
          <w:rFonts w:ascii="宋体" w:hAnsi="宋体" w:cs="宋体" w:eastAsia="宋体" w:hint="default"/>
          <w:sz w:val="21"/>
          <w:szCs w:val="21"/>
        </w:rPr>
      </w:pPr>
      <w:r>
        <w:rPr>
          <w:rFonts w:ascii="宋体" w:hAnsi="宋体" w:cs="宋体" w:eastAsia="宋体" w:hint="default"/>
          <w:sz w:val="21"/>
          <w:szCs w:val="21"/>
        </w:rPr>
        <w:t>10、应收账款年末数比年初数减少</w:t>
      </w:r>
      <w:r>
        <w:rPr>
          <w:rFonts w:ascii="宋体" w:hAnsi="宋体" w:cs="宋体" w:eastAsia="宋体" w:hint="default"/>
          <w:spacing w:val="-49"/>
          <w:sz w:val="21"/>
          <w:szCs w:val="21"/>
        </w:rPr>
        <w:t> </w:t>
      </w:r>
      <w:r>
        <w:rPr>
          <w:rFonts w:ascii="宋体" w:hAnsi="宋体" w:cs="宋体" w:eastAsia="宋体" w:hint="default"/>
          <w:sz w:val="21"/>
          <w:szCs w:val="21"/>
        </w:rPr>
        <w:t>153,023,368.61</w:t>
      </w:r>
      <w:r>
        <w:rPr>
          <w:rFonts w:ascii="宋体" w:hAnsi="宋体" w:cs="宋体" w:eastAsia="宋体" w:hint="default"/>
          <w:spacing w:val="-48"/>
          <w:sz w:val="21"/>
          <w:szCs w:val="21"/>
        </w:rPr>
        <w:t> </w:t>
      </w:r>
      <w:r>
        <w:rPr>
          <w:rFonts w:ascii="宋体" w:hAnsi="宋体" w:cs="宋体" w:eastAsia="宋体" w:hint="default"/>
          <w:sz w:val="21"/>
          <w:szCs w:val="21"/>
        </w:rPr>
        <w:t>元，减少比例为</w:t>
      </w:r>
      <w:r>
        <w:rPr>
          <w:rFonts w:ascii="宋体" w:hAnsi="宋体" w:cs="宋体" w:eastAsia="宋体" w:hint="default"/>
          <w:spacing w:val="-2"/>
          <w:sz w:val="21"/>
          <w:szCs w:val="21"/>
        </w:rPr>
        <w:t> </w:t>
      </w:r>
      <w:r>
        <w:rPr>
          <w:rFonts w:ascii="宋体" w:hAnsi="宋体" w:cs="宋体" w:eastAsia="宋体" w:hint="default"/>
          <w:sz w:val="21"/>
          <w:szCs w:val="21"/>
        </w:rPr>
        <w:t>46.99％，减少原</w:t>
      </w:r>
      <w:r>
        <w:rPr>
          <w:rFonts w:ascii="宋体" w:hAnsi="宋体" w:cs="宋体" w:eastAsia="宋体" w:hint="default"/>
          <w:sz w:val="21"/>
          <w:szCs w:val="21"/>
        </w:rPr>
        <w:t> 因为：本年受金融危机影响，飞利浦订单减少，收入减少所致。</w:t>
      </w:r>
    </w:p>
    <w:p>
      <w:pPr>
        <w:spacing w:line="297" w:lineRule="auto" w:before="14"/>
        <w:ind w:left="1180" w:right="7399" w:firstLine="2"/>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1、其他应收款构成</w:t>
      </w:r>
    </w:p>
    <w:p>
      <w:pPr>
        <w:tabs>
          <w:tab w:pos="7875" w:val="left" w:leader="none"/>
        </w:tabs>
        <w:spacing w:before="50"/>
        <w:ind w:left="3617" w:right="1303" w:firstLine="0"/>
        <w:jc w:val="left"/>
        <w:rPr>
          <w:rFonts w:ascii="宋体" w:hAnsi="宋体" w:cs="宋体" w:eastAsia="宋体" w:hint="default"/>
          <w:sz w:val="18"/>
          <w:szCs w:val="18"/>
        </w:rPr>
      </w:pPr>
      <w:r>
        <w:rPr/>
        <w:pict>
          <v:group style="position:absolute;margin-left:140.039993pt;margin-top:16.612110pt;width:425.9pt;height:.1pt;mso-position-horizontal-relative:page;mso-position-vertical-relative:paragraph;z-index:5584" coordorigin="2801,332" coordsize="8518,2">
            <v:shape style="position:absolute;left:2801;top:332;width:8518;height:2" coordorigin="2801,332" coordsize="8518,0" path="m2801,332l11318,332e" filled="false" stroked="true" strokeweight=".48001pt" strokecolor="#000000">
              <v:path arrowok="t"/>
            </v:shape>
            <w10:wrap type="none"/>
          </v:group>
        </w:pict>
      </w: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type w:val="continuous"/>
          <w:pgSz w:w="11910" w:h="16840"/>
          <w:pgMar w:top="1020" w:bottom="1520" w:left="1040" w:right="480"/>
        </w:sectPr>
      </w:pPr>
    </w:p>
    <w:p>
      <w:pPr>
        <w:spacing w:line="205" w:lineRule="exact" w:before="109"/>
        <w:ind w:left="64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345" w:lineRule="auto" w:before="113"/>
        <w:ind w:left="519"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35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345" w:lineRule="auto" w:before="113"/>
        <w:ind w:left="3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42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345" w:lineRule="auto" w:before="113"/>
        <w:ind w:left="517"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line="345" w:lineRule="auto" w:before="113"/>
        <w:ind w:left="372" w:right="234"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after="0" w:line="345" w:lineRule="auto"/>
        <w:jc w:val="left"/>
        <w:rPr>
          <w:rFonts w:ascii="宋体" w:hAnsi="宋体" w:cs="宋体" w:eastAsia="宋体" w:hint="default"/>
          <w:sz w:val="18"/>
          <w:szCs w:val="18"/>
        </w:rPr>
        <w:sectPr>
          <w:type w:val="continuous"/>
          <w:pgSz w:w="11910" w:h="16840"/>
          <w:pgMar w:top="1020" w:bottom="1520" w:left="1040" w:right="480"/>
          <w:cols w:num="8" w:equalWidth="0">
            <w:col w:w="2796" w:space="40"/>
            <w:col w:w="970" w:space="40"/>
            <w:col w:w="1073" w:space="40"/>
            <w:col w:w="892" w:space="40"/>
            <w:col w:w="1145" w:space="40"/>
            <w:col w:w="968" w:space="40"/>
            <w:col w:w="1098" w:space="40"/>
            <w:col w:w="1168"/>
          </w:cols>
        </w:sectPr>
      </w:pPr>
    </w:p>
    <w:p>
      <w:pPr>
        <w:spacing w:line="240" w:lineRule="auto" w:before="9"/>
        <w:rPr>
          <w:rFonts w:ascii="宋体" w:hAnsi="宋体" w:cs="宋体" w:eastAsia="宋体" w:hint="default"/>
          <w:sz w:val="22"/>
          <w:szCs w:val="22"/>
        </w:rPr>
      </w:pPr>
    </w:p>
    <w:tbl>
      <w:tblPr>
        <w:tblW w:w="0" w:type="auto"/>
        <w:jc w:val="left"/>
        <w:tblInd w:w="194" w:type="dxa"/>
        <w:tblLayout w:type="fixed"/>
        <w:tblCellMar>
          <w:top w:w="0" w:type="dxa"/>
          <w:left w:w="0" w:type="dxa"/>
          <w:bottom w:w="0" w:type="dxa"/>
          <w:right w:w="0" w:type="dxa"/>
        </w:tblCellMar>
        <w:tblLook w:val="01E0"/>
      </w:tblPr>
      <w:tblGrid>
        <w:gridCol w:w="1527"/>
        <w:gridCol w:w="1336"/>
        <w:gridCol w:w="862"/>
        <w:gridCol w:w="1184"/>
        <w:gridCol w:w="858"/>
        <w:gridCol w:w="1332"/>
        <w:gridCol w:w="860"/>
        <w:gridCol w:w="1237"/>
        <w:gridCol w:w="783"/>
      </w:tblGrid>
      <w:tr>
        <w:trPr>
          <w:trHeight w:val="365"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68,091,561.35</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z w:val="18"/>
              </w:rPr>
              <w:t>98.12%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z w:val="18"/>
              </w:rPr>
              <w:t>259,337.89</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2,383,495.25</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z w:val="18"/>
              </w:rPr>
              <w:t>66.39%</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z w:val="18"/>
              </w:rPr>
              <w:t>19,567.94</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r>
      <w:tr>
        <w:trPr>
          <w:trHeight w:val="340"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112,956.96</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22,591.39</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1,206,871.22</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33.61%</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56,319.24</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r>
      <w:tr>
        <w:trPr>
          <w:trHeight w:val="333"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1,192,699.60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133,712.30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11.21%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09"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5" w:right="0"/>
              <w:jc w:val="left"/>
              <w:rPr>
                <w:rFonts w:ascii="Times New Roman" w:hAnsi="Times New Roman" w:cs="Times New Roman" w:eastAsia="Times New Roman" w:hint="default"/>
                <w:sz w:val="21"/>
                <w:szCs w:val="21"/>
              </w:rPr>
            </w:pPr>
            <w:r>
              <w:rPr>
                <w:rFonts w:ascii="Times New Roman"/>
                <w:sz w:val="21"/>
              </w:rPr>
              <w:t>---</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8"/>
                <w:szCs w:val="18"/>
              </w:rPr>
            </w:pPr>
            <w:r>
              <w:rPr>
                <w:rFonts w:ascii="Times New Roman"/>
                <w:sz w:val="18"/>
              </w:rPr>
              <w:t>---</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7"/>
              <w:jc w:val="right"/>
              <w:rPr>
                <w:rFonts w:ascii="Times New Roman" w:hAnsi="Times New Roman" w:cs="Times New Roman" w:eastAsia="Times New Roman" w:hint="default"/>
                <w:sz w:val="18"/>
                <w:szCs w:val="18"/>
              </w:rPr>
            </w:pPr>
            <w:r>
              <w:rPr>
                <w:rFonts w:ascii="Times New Roman"/>
                <w:sz w:val="18"/>
              </w:rPr>
              <w:t>---</w:t>
            </w:r>
          </w:p>
        </w:tc>
        <w:tc>
          <w:tcPr>
            <w:tcW w:w="123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98"/>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w:t>
            </w:r>
          </w:p>
        </w:tc>
      </w:tr>
      <w:tr>
        <w:trPr>
          <w:trHeight w:val="436"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5"/>
              <w:jc w:val="center"/>
              <w:rPr>
                <w:rFonts w:ascii="宋体" w:hAnsi="宋体" w:cs="宋体" w:eastAsia="宋体" w:hint="default"/>
                <w:sz w:val="18"/>
                <w:szCs w:val="18"/>
              </w:rPr>
            </w:pPr>
            <w:r>
              <w:rPr>
                <w:rFonts w:ascii="宋体" w:hAnsi="宋体" w:cs="宋体" w:eastAsia="宋体" w:hint="default"/>
                <w:sz w:val="18"/>
                <w:szCs w:val="18"/>
              </w:rPr>
              <w:t>合  计</w:t>
            </w:r>
          </w:p>
        </w:tc>
        <w:tc>
          <w:tcPr>
            <w:tcW w:w="1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69,397,217.91</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415,641.58</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3,590,366.47</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7"/>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z w:val="18"/>
              </w:rPr>
              <w:t>75,887.18</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8"/>
                <w:szCs w:val="18"/>
              </w:rPr>
            </w:pPr>
            <w:r>
              <w:rPr>
                <w:rFonts w:ascii="Times New Roman"/>
                <w:w w:val="95"/>
                <w:sz w:val="18"/>
              </w:rPr>
              <w:t>2.11%</w:t>
            </w:r>
            <w:r>
              <w:rPr>
                <w:rFonts w:ascii="Times New Roman"/>
                <w:sz w:val="18"/>
              </w:rPr>
            </w:r>
          </w:p>
        </w:tc>
      </w:tr>
    </w:tbl>
    <w:p>
      <w:pPr>
        <w:spacing w:line="240" w:lineRule="auto" w:before="2"/>
        <w:rPr>
          <w:rFonts w:ascii="宋体" w:hAnsi="宋体" w:cs="宋体" w:eastAsia="宋体" w:hint="default"/>
          <w:sz w:val="26"/>
          <w:szCs w:val="26"/>
        </w:rPr>
      </w:pPr>
    </w:p>
    <w:p>
      <w:pPr>
        <w:tabs>
          <w:tab w:pos="8098" w:val="left" w:leader="none"/>
        </w:tabs>
        <w:spacing w:before="44"/>
        <w:ind w:left="4276" w:right="0" w:firstLine="0"/>
        <w:jc w:val="left"/>
        <w:rPr>
          <w:rFonts w:ascii="宋体" w:hAnsi="宋体" w:cs="宋体" w:eastAsia="宋体" w:hint="default"/>
          <w:sz w:val="18"/>
          <w:szCs w:val="18"/>
        </w:rPr>
      </w:pPr>
      <w:r>
        <w:rPr/>
        <w:pict>
          <v:group style="position:absolute;margin-left:139.679993pt;margin-top:-22.748272pt;width:67.5pt;height:.1pt;mso-position-horizontal-relative:page;mso-position-vertical-relative:paragraph;z-index:-622192" coordorigin="2794,-455" coordsize="1350,2">
            <v:shape style="position:absolute;left:2794;top:-455;width:1350;height:2" coordorigin="2794,-455" coordsize="1350,0" path="m2794,-455l4144,-455e" filled="false" stroked="true" strokeweight=".71997pt" strokecolor="#000000">
              <v:path arrowok="t"/>
            </v:shape>
            <w10:wrap type="none"/>
          </v:group>
        </w:pict>
      </w:r>
      <w:r>
        <w:rPr/>
        <w:pict>
          <v:group style="position:absolute;margin-left:249.539993pt;margin-top:-22.748272pt;width:59.95pt;height:.1pt;mso-position-horizontal-relative:page;mso-position-vertical-relative:paragraph;z-index:-622168" coordorigin="4991,-455" coordsize="1199,2">
            <v:shape style="position:absolute;left:4991;top:-455;width:1199;height:2" coordorigin="4991,-455" coordsize="1199,0" path="m4991,-455l6190,-455e" filled="false" stroked="true" strokeweight=".71997pt" strokecolor="#000000">
              <v:path arrowok="t"/>
            </v:shape>
            <w10:wrap type="none"/>
          </v:group>
        </w:pict>
      </w:r>
      <w:r>
        <w:rPr/>
        <w:pict>
          <v:group style="position:absolute;margin-left:351.660004pt;margin-top:-22.748272pt;width:67.350pt;height:.1pt;mso-position-horizontal-relative:page;mso-position-vertical-relative:paragraph;z-index:-622144" coordorigin="7033,-455" coordsize="1347,2">
            <v:shape style="position:absolute;left:7033;top:-455;width:1347;height:2" coordorigin="7033,-455" coordsize="1347,0" path="m7033,-455l8380,-455e" filled="false" stroked="true" strokeweight=".71997pt" strokecolor="#000000">
              <v:path arrowok="t"/>
            </v:shape>
            <w10:wrap type="none"/>
          </v:group>
        </w:pict>
      </w:r>
      <w:r>
        <w:rPr/>
        <w:pict>
          <v:group style="position:absolute;margin-left:461.279999pt;margin-top:-22.748272pt;width:62.6pt;height:.1pt;mso-position-horizontal-relative:page;mso-position-vertical-relative:paragraph;z-index:-622120" coordorigin="9226,-455" coordsize="1252,2">
            <v:shape style="position:absolute;left:9226;top:-455;width:1252;height:2" coordorigin="9226,-455" coordsize="1252,0" path="m9226,-455l10477,-455e" filled="false" stroked="true" strokeweight=".71997pt" strokecolor="#000000">
              <v:path arrowok="t"/>
            </v:shape>
            <w10:wrap type="none"/>
          </v:group>
        </w:pict>
      </w:r>
      <w:r>
        <w:rPr/>
        <w:pict>
          <v:group style="position:absolute;margin-left:253.679993pt;margin-top:31.791695pt;width:27pt;height:.1pt;mso-position-horizontal-relative:page;mso-position-vertical-relative:paragraph;z-index:-622072" coordorigin="5074,636" coordsize="540,2">
            <v:shape style="position:absolute;left:5074;top:636;width:540;height:2" coordorigin="5074,636" coordsize="540,0" path="m5074,636l5614,636e" filled="false" stroked="true" strokeweight=".48004pt" strokecolor="#000000">
              <v:path arrowok="t"/>
            </v:shape>
            <w10:wrap type="none"/>
          </v:group>
        </w:pict>
      </w:r>
      <w:r>
        <w:rPr/>
        <w:pict>
          <v:group style="position:absolute;margin-left:344.880005pt;margin-top:31.791695pt;width:27pt;height:.1pt;mso-position-horizontal-relative:page;mso-position-vertical-relative:paragraph;z-index:-622024" coordorigin="6898,636" coordsize="540,2">
            <v:shape style="position:absolute;left:6898;top:636;width:540;height:2" coordorigin="6898,636" coordsize="540,0" path="m6898,636l7438,636e" filled="false" stroked="true" strokeweight=".48004pt" strokecolor="#000000">
              <v:path arrowok="t"/>
            </v:shape>
            <w10:wrap type="none"/>
          </v:group>
        </w:pict>
      </w:r>
      <w:r>
        <w:rPr/>
        <w:pict>
          <v:group style="position:absolute;margin-left:442.320007pt;margin-top:31.791695pt;width:27pt;height:.1pt;mso-position-horizontal-relative:page;mso-position-vertical-relative:paragraph;z-index:-621976" coordorigin="8846,636" coordsize="540,2">
            <v:shape style="position:absolute;left:8846;top:636;width:540;height:2" coordorigin="8846,636" coordsize="540,0" path="m8846,636l9386,636e" filled="false" stroked="true" strokeweight=".48004pt" strokecolor="#000000">
              <v:path arrowok="t"/>
            </v:shape>
            <w10:wrap type="none"/>
          </v:group>
        </w:pict>
      </w:r>
      <w:r>
        <w:rPr/>
        <w:pict>
          <v:group style="position:absolute;margin-left:534pt;margin-top:31.791695pt;width:27pt;height:.1pt;mso-position-horizontal-relative:page;mso-position-vertical-relative:paragraph;z-index:-621928" coordorigin="10680,636" coordsize="540,2">
            <v:shape style="position:absolute;left:10680;top:636;width:540;height:2" coordorigin="10680,636" coordsize="540,0" path="m10680,636l11220,636e" filled="false" stroked="true" strokeweight=".48004pt" strokecolor="#000000">
              <v:path arrowok="t"/>
            </v:shape>
            <w10:wrap type="none"/>
          </v:group>
        </w:pict>
      </w:r>
      <w:r>
        <w:rPr/>
        <w:pict>
          <v:group style="position:absolute;margin-left:184.200012pt;margin-top:16.071714pt;width:382.7pt;height:.5pt;mso-position-horizontal-relative:page;mso-position-vertical-relative:paragraph;z-index:5968" coordorigin="3684,321" coordsize="7654,10">
            <v:group style="position:absolute;left:3689;top:326;width:3093;height:2" coordorigin="3689,326" coordsize="3093,2">
              <v:shape style="position:absolute;left:3689;top:326;width:3093;height:2" coordorigin="3689,326" coordsize="3093,0" path="m3689,326l6781,326e" filled="false" stroked="true" strokeweight=".47998pt" strokecolor="#000000">
                <v:path arrowok="t"/>
              </v:shape>
            </v:group>
            <v:group style="position:absolute;left:6781;top:326;width:770;height:2" coordorigin="6781,326" coordsize="770,2">
              <v:shape style="position:absolute;left:6781;top:326;width:770;height:2" coordorigin="6781,326" coordsize="770,0" path="m6781,326l7550,326e" filled="false" stroked="true" strokeweight=".48pt" strokecolor="#000000">
                <v:path arrowok="t"/>
              </v:shape>
            </v:group>
            <v:group style="position:absolute;left:7550;top:326;width:3783;height:2" coordorigin="7550,326" coordsize="3783,2">
              <v:shape style="position:absolute;left:7550;top:326;width:3783;height:2" coordorigin="7550,326" coordsize="3783,0" path="m7550,326l11333,326e" filled="false" stroked="true" strokeweight=".47998pt" strokecolor="#000000">
                <v:path arrowok="t"/>
              </v:shape>
            </v:group>
            <w10:wrap type="none"/>
          </v:group>
        </w:pict>
      </w: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footerReference w:type="default" r:id="rId34"/>
          <w:pgSz w:w="11910" w:h="16840"/>
          <w:pgMar w:footer="950" w:header="918" w:top="1160" w:bottom="1140" w:left="1080" w:right="460"/>
        </w:sectPr>
      </w:pPr>
    </w:p>
    <w:p>
      <w:pPr>
        <w:tabs>
          <w:tab w:pos="635" w:val="left" w:leader="none"/>
        </w:tabs>
        <w:spacing w:before="109"/>
        <w:ind w:left="96" w:right="0" w:firstLine="0"/>
        <w:jc w:val="center"/>
        <w:rPr>
          <w:rFonts w:ascii="宋体" w:hAnsi="宋体" w:cs="宋体" w:eastAsia="宋体" w:hint="default"/>
          <w:sz w:val="18"/>
          <w:szCs w:val="18"/>
        </w:rPr>
      </w:pPr>
      <w:r>
        <w:rPr>
          <w:rFonts w:ascii="宋体" w:hAnsi="宋体" w:cs="宋体" w:eastAsia="宋体" w:hint="default"/>
          <w:sz w:val="18"/>
          <w:szCs w:val="18"/>
        </w:rPr>
        <w:t>种</w:t>
        <w:tab/>
        <w:t>类</w:t>
      </w:r>
    </w:p>
    <w:p>
      <w:pPr>
        <w:spacing w:line="20" w:lineRule="exact"/>
        <w:ind w:left="954" w:right="0" w:firstLine="0"/>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336" w:lineRule="auto" w:before="0"/>
        <w:ind w:left="107" w:right="-2" w:firstLine="0"/>
        <w:jc w:val="left"/>
        <w:rPr>
          <w:rFonts w:ascii="宋体" w:hAnsi="宋体" w:cs="宋体" w:eastAsia="宋体" w:hint="default"/>
          <w:sz w:val="18"/>
          <w:szCs w:val="18"/>
        </w:rPr>
      </w:pPr>
      <w:r>
        <w:rPr/>
        <w:pict>
          <v:shape style="position:absolute;margin-left:188.450607pt;margin-top:6.789075pt;width:374.55pt;height:196.7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5"/>
                    <w:gridCol w:w="780"/>
                    <w:gridCol w:w="1040"/>
                    <w:gridCol w:w="780"/>
                    <w:gridCol w:w="1169"/>
                    <w:gridCol w:w="835"/>
                    <w:gridCol w:w="1000"/>
                    <w:gridCol w:w="702"/>
                  </w:tblGrid>
                  <w:tr>
                    <w:trPr>
                      <w:trHeight w:val="180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 w:right="0"/>
                          <w:jc w:val="left"/>
                          <w:rPr>
                            <w:rFonts w:ascii="Times New Roman" w:hAnsi="Times New Roman" w:cs="Times New Roman" w:eastAsia="Times New Roman" w:hint="default"/>
                            <w:sz w:val="18"/>
                            <w:szCs w:val="18"/>
                          </w:rPr>
                        </w:pPr>
                        <w:r>
                          <w:rPr>
                            <w:rFonts w:ascii="Times New Roman"/>
                            <w:sz w:val="18"/>
                          </w:rPr>
                          <w:t>63,574,234.67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firstLine="765"/>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5,822,983.24</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Times New Roman" w:hAnsi="Times New Roman" w:cs="Times New Roman" w:eastAsia="Times New Roman" w:hint="default"/>
                            <w:sz w:val="18"/>
                            <w:szCs w:val="18"/>
                          </w:rPr>
                        </w:pPr>
                        <w:r>
                          <w:rPr>
                            <w:rFonts w:ascii="Times New Roman"/>
                            <w:sz w:val="18"/>
                          </w:rPr>
                          <w:t>91.61%</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8" w:right="0" w:firstLine="286"/>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8.39%</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0"/>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415,641.58</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8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firstLine="286"/>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7.14%</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2,917,411.43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5" w:right="0" w:firstLine="631"/>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672,955.04</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11" w:right="0"/>
                          <w:jc w:val="left"/>
                          <w:rPr>
                            <w:rFonts w:ascii="Times New Roman" w:hAnsi="Times New Roman" w:cs="Times New Roman" w:eastAsia="Times New Roman" w:hint="default"/>
                            <w:sz w:val="18"/>
                            <w:szCs w:val="18"/>
                          </w:rPr>
                        </w:pPr>
                        <w:r>
                          <w:rPr>
                            <w:rFonts w:ascii="Times New Roman"/>
                            <w:sz w:val="18"/>
                          </w:rPr>
                          <w:t>81.26%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firstLine="375"/>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18.74%</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75,887.18</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11.28%</w:t>
                        </w:r>
                      </w:p>
                    </w:tc>
                  </w:tr>
                  <w:tr>
                    <w:trPr>
                      <w:trHeight w:val="42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3"/>
                          <w:jc w:val="right"/>
                          <w:rPr>
                            <w:rFonts w:ascii="Times New Roman" w:hAnsi="Times New Roman" w:cs="Times New Roman" w:eastAsia="Times New Roman" w:hint="default"/>
                            <w:sz w:val="18"/>
                            <w:szCs w:val="18"/>
                          </w:rPr>
                        </w:pPr>
                        <w:r>
                          <w:rPr>
                            <w:rFonts w:ascii="Times New Roman"/>
                            <w:spacing w:val="-1"/>
                            <w:sz w:val="18"/>
                          </w:rPr>
                          <w:t>3,909,520.00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4"/>
                          <w:jc w:val="right"/>
                          <w:rPr>
                            <w:rFonts w:ascii="Times New Roman" w:hAnsi="Times New Roman" w:cs="Times New Roman" w:eastAsia="Times New Roman" w:hint="default"/>
                            <w:sz w:val="18"/>
                            <w:szCs w:val="18"/>
                          </w:rPr>
                        </w:pPr>
                        <w:r>
                          <w:rPr>
                            <w:rFonts w:ascii="Times New Roman"/>
                            <w:w w:val="95"/>
                            <w:sz w:val="18"/>
                          </w:rPr>
                          <w:t>5.63%</w:t>
                        </w:r>
                        <w:r>
                          <w:rPr>
                            <w:rFonts w:ascii="Times New Roman"/>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1"/>
                          <w:jc w:val="right"/>
                          <w:rPr>
                            <w:rFonts w:ascii="Times New Roman" w:hAnsi="Times New Roman" w:cs="Times New Roman" w:eastAsia="Times New Roman" w:hint="default"/>
                            <w:sz w:val="18"/>
                            <w:szCs w:val="18"/>
                          </w:rPr>
                        </w:pPr>
                        <w:r>
                          <w:rPr>
                            <w:rFonts w:ascii="Times New Roman"/>
                            <w:sz w:val="18"/>
                          </w:rPr>
                          <w:t>195,476.00</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0"/>
                          <w:jc w:val="right"/>
                          <w:rPr>
                            <w:rFonts w:ascii="Times New Roman" w:hAnsi="Times New Roman" w:cs="Times New Roman" w:eastAsia="Times New Roman" w:hint="default"/>
                            <w:sz w:val="18"/>
                            <w:szCs w:val="18"/>
                          </w:rPr>
                        </w:pPr>
                        <w:r>
                          <w:rPr>
                            <w:rFonts w:ascii="Times New Roman"/>
                            <w:sz w:val="18"/>
                          </w:rPr>
                          <w:t>5%</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1"/>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5"/>
                          <w:jc w:val="right"/>
                          <w:rPr>
                            <w:rFonts w:ascii="Times New Roman" w:hAnsi="Times New Roman" w:cs="Times New Roman" w:eastAsia="Times New Roman" w:hint="default"/>
                            <w:sz w:val="18"/>
                            <w:szCs w:val="18"/>
                          </w:rPr>
                        </w:pPr>
                        <w:r>
                          <w:rPr>
                            <w:rFonts w:ascii="Times New Roman"/>
                            <w:sz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10"/>
                          <w:jc w:val="right"/>
                          <w:rPr>
                            <w:rFonts w:ascii="Times New Roman" w:hAnsi="Times New Roman" w:cs="Times New Roman" w:eastAsia="Times New Roman" w:hint="default"/>
                            <w:sz w:val="18"/>
                            <w:szCs w:val="18"/>
                          </w:rPr>
                        </w:pPr>
                        <w:r>
                          <w:rPr>
                            <w:rFonts w:ascii="Times New Roman"/>
                            <w:sz w:val="18"/>
                          </w:rPr>
                          <w:t>---</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4"/>
                          <w:jc w:val="right"/>
                          <w:rPr>
                            <w:rFonts w:ascii="Times New Roman" w:hAnsi="Times New Roman" w:cs="Times New Roman" w:eastAsia="Times New Roman" w:hint="default"/>
                            <w:sz w:val="18"/>
                            <w:szCs w:val="18"/>
                          </w:rPr>
                        </w:pPr>
                        <w:r>
                          <w:rPr>
                            <w:rFonts w:ascii="Times New Roman"/>
                            <w:sz w:val="18"/>
                          </w:rPr>
                          <w:t>---</w:t>
                        </w:r>
                      </w:p>
                    </w:tc>
                  </w:tr>
                  <w:tr>
                    <w:trPr>
                      <w:trHeight w:val="510"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3"/>
                          <w:jc w:val="right"/>
                          <w:rPr>
                            <w:rFonts w:ascii="Times New Roman" w:hAnsi="Times New Roman" w:cs="Times New Roman" w:eastAsia="Times New Roman" w:hint="default"/>
                            <w:sz w:val="18"/>
                            <w:szCs w:val="18"/>
                          </w:rPr>
                        </w:pPr>
                        <w:r>
                          <w:rPr>
                            <w:rFonts w:ascii="Times New Roman"/>
                            <w:spacing w:val="-1"/>
                            <w:sz w:val="18"/>
                          </w:rPr>
                          <w:t>1,913,463.24</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4"/>
                          <w:jc w:val="right"/>
                          <w:rPr>
                            <w:rFonts w:ascii="Times New Roman" w:hAnsi="Times New Roman" w:cs="Times New Roman" w:eastAsia="Times New Roman" w:hint="default"/>
                            <w:sz w:val="18"/>
                            <w:szCs w:val="18"/>
                          </w:rPr>
                        </w:pPr>
                        <w:r>
                          <w:rPr>
                            <w:rFonts w:ascii="Times New Roman"/>
                            <w:w w:val="95"/>
                            <w:sz w:val="18"/>
                          </w:rPr>
                          <w:t>2.76%</w:t>
                        </w:r>
                        <w:r>
                          <w:rPr>
                            <w:rFonts w:ascii="Times New Roman"/>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Times New Roman" w:hAnsi="Times New Roman" w:cs="Times New Roman" w:eastAsia="Times New Roman" w:hint="default"/>
                            <w:sz w:val="18"/>
                            <w:szCs w:val="18"/>
                          </w:rPr>
                        </w:pPr>
                        <w:r>
                          <w:rPr>
                            <w:rFonts w:ascii="Times New Roman"/>
                            <w:sz w:val="18"/>
                          </w:rPr>
                          <w:t>220,165.58</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z w:val="18"/>
                          </w:rPr>
                          <w:t>11.51%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z w:val="18"/>
                          </w:rPr>
                          <w:t>672,955.04</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Times New Roman" w:hAnsi="Times New Roman" w:cs="Times New Roman" w:eastAsia="Times New Roman" w:hint="default"/>
                            <w:sz w:val="18"/>
                            <w:szCs w:val="18"/>
                          </w:rPr>
                        </w:pPr>
                        <w:r>
                          <w:rPr>
                            <w:rFonts w:ascii="Times New Roman"/>
                            <w:sz w:val="18"/>
                          </w:rPr>
                          <w:t>18.74%</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9"/>
                          <w:jc w:val="right"/>
                          <w:rPr>
                            <w:rFonts w:ascii="Times New Roman" w:hAnsi="Times New Roman" w:cs="Times New Roman" w:eastAsia="Times New Roman" w:hint="default"/>
                            <w:sz w:val="18"/>
                            <w:szCs w:val="18"/>
                          </w:rPr>
                        </w:pPr>
                        <w:r>
                          <w:rPr>
                            <w:rFonts w:ascii="Times New Roman"/>
                            <w:sz w:val="18"/>
                          </w:rPr>
                          <w:t>75,887.18</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z w:val="18"/>
                          </w:rPr>
                          <w:t>11.28%</w:t>
                        </w:r>
                      </w:p>
                    </w:tc>
                  </w:tr>
                  <w:tr>
                    <w:trPr>
                      <w:trHeight w:val="680"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z w:val="18"/>
                          </w:rPr>
                          <w:t>---</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4"/>
                          <w:jc w:val="right"/>
                          <w:rPr>
                            <w:rFonts w:ascii="Times New Roman" w:hAnsi="Times New Roman" w:cs="Times New Roman" w:eastAsia="Times New Roman" w:hint="default"/>
                            <w:sz w:val="18"/>
                            <w:szCs w:val="18"/>
                          </w:rPr>
                        </w:pPr>
                        <w:r>
                          <w:rPr>
                            <w:rFonts w:ascii="Times New Roman"/>
                            <w:sz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514"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69,397,217.91</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415,641.58</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w w:val="95"/>
                            <w:sz w:val="18"/>
                          </w:rPr>
                          <w:t>0.60%</w:t>
                        </w:r>
                        <w:r>
                          <w:rPr>
                            <w:rFonts w:ascii="Times New Roman"/>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3,590,366.47</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75,887.18</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2.11%</w:t>
                        </w:r>
                        <w:r>
                          <w:rPr>
                            <w:rFonts w:ascii="Times New Roman"/>
                            <w:sz w:val="18"/>
                          </w:rPr>
                        </w:r>
                      </w:p>
                    </w:tc>
                  </w:tr>
                </w:tbl>
                <w:p>
                  <w:pPr/>
                </w:p>
              </w:txbxContent>
            </v:textbox>
            <w10:wrap type="none"/>
          </v:shape>
        </w:pic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、单项金额重大且单独计提减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值准备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、单项金额非重大且单独计提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减值准备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、其他划分为类似信用风险特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征的组合： 其中：单项金额重大</w:t>
      </w:r>
    </w:p>
    <w:p>
      <w:pPr>
        <w:spacing w:line="345" w:lineRule="auto" w:before="33"/>
        <w:ind w:left="647" w:right="-6" w:firstLine="0"/>
        <w:jc w:val="left"/>
        <w:rPr>
          <w:rFonts w:ascii="宋体" w:hAnsi="宋体" w:cs="宋体" w:eastAsia="宋体" w:hint="default"/>
          <w:sz w:val="18"/>
          <w:szCs w:val="18"/>
        </w:rPr>
      </w:pPr>
      <w:r>
        <w:rPr>
          <w:rFonts w:ascii="宋体" w:hAnsi="宋体" w:cs="宋体" w:eastAsia="宋体" w:hint="default"/>
          <w:sz w:val="18"/>
          <w:szCs w:val="18"/>
        </w:rPr>
        <w:t>单项金额非重大 </w:t>
      </w:r>
      <w:r>
        <w:rPr>
          <w:rFonts w:ascii="宋体" w:hAnsi="宋体" w:cs="宋体" w:eastAsia="宋体" w:hint="default"/>
          <w:spacing w:val="8"/>
          <w:sz w:val="18"/>
          <w:szCs w:val="18"/>
        </w:rPr>
        <w:t>其中：单项金额非重大</w:t>
      </w:r>
      <w:r>
        <w:rPr>
          <w:rFonts w:ascii="宋体" w:hAnsi="宋体" w:cs="宋体" w:eastAsia="宋体" w:hint="default"/>
          <w:sz w:val="18"/>
          <w:szCs w:val="18"/>
        </w:rPr>
      </w:r>
    </w:p>
    <w:p>
      <w:pPr>
        <w:spacing w:line="348" w:lineRule="auto" w:before="25"/>
        <w:ind w:left="107" w:right="-4" w:firstLine="0"/>
        <w:jc w:val="left"/>
        <w:rPr>
          <w:rFonts w:ascii="宋体" w:hAnsi="宋体" w:cs="宋体" w:eastAsia="宋体" w:hint="default"/>
          <w:sz w:val="18"/>
          <w:szCs w:val="18"/>
        </w:rPr>
      </w:pPr>
      <w:r>
        <w:rPr>
          <w:rFonts w:ascii="宋体" w:hAnsi="宋体" w:cs="宋体" w:eastAsia="宋体" w:hint="default"/>
          <w:spacing w:val="6"/>
          <w:sz w:val="18"/>
          <w:szCs w:val="18"/>
        </w:rPr>
        <w:t>但按信用风险特征组合后该组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合的风险较大</w:t>
      </w:r>
    </w:p>
    <w:p>
      <w:pPr>
        <w:tabs>
          <w:tab w:pos="614" w:val="left" w:leader="none"/>
        </w:tabs>
        <w:spacing w:before="23"/>
        <w:ind w:left="74" w:right="0" w:firstLine="0"/>
        <w:jc w:val="center"/>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107" w:right="-19" w:firstLine="0"/>
        <w:jc w:val="left"/>
        <w:rPr>
          <w:rFonts w:ascii="宋体" w:hAnsi="宋体" w:cs="宋体" w:eastAsia="宋体" w:hint="default"/>
          <w:sz w:val="18"/>
          <w:szCs w:val="18"/>
        </w:rPr>
      </w:pPr>
      <w:r>
        <w:rPr/>
        <w:pict>
          <v:group style="position:absolute;margin-left:198.240005pt;margin-top:12.132354pt;width:36pt;height:.1pt;mso-position-horizontal-relative:page;mso-position-vertical-relative:paragraph;z-index:5776" coordorigin="3965,243" coordsize="720,2">
            <v:shape style="position:absolute;left:3965;top:243;width:720;height:2" coordorigin="3965,243" coordsize="720,0" path="m3965,243l4685,243e" filled="false" stroked="true" strokeweight=".47998pt" strokecolor="#000000">
              <v:path arrowok="t"/>
            </v:shape>
            <w10:wrap type="none"/>
          </v:group>
        </w:pict>
      </w:r>
      <w:r>
        <w:rPr>
          <w:rFonts w:ascii="宋体" w:hAnsi="宋体" w:cs="宋体" w:eastAsia="宋体" w:hint="default"/>
          <w:sz w:val="18"/>
          <w:szCs w:val="18"/>
        </w:rPr>
        <w:t>账面余额</w:t>
      </w:r>
    </w:p>
    <w:p>
      <w:pPr>
        <w:spacing w:line="345" w:lineRule="auto" w:before="113"/>
        <w:ind w:left="197" w:right="-19" w:hanging="90"/>
        <w:jc w:val="left"/>
        <w:rPr>
          <w:rFonts w:ascii="宋体" w:hAnsi="宋体" w:cs="宋体" w:eastAsia="宋体" w:hint="default"/>
          <w:sz w:val="18"/>
          <w:szCs w:val="18"/>
        </w:rPr>
      </w:pPr>
      <w:r>
        <w:rPr/>
        <w:br w:type="column"/>
      </w:r>
      <w:r>
        <w:rPr>
          <w:rFonts w:ascii="宋体" w:hAnsi="宋体" w:cs="宋体" w:eastAsia="宋体" w:hint="default"/>
          <w:sz w:val="18"/>
          <w:szCs w:val="18"/>
        </w:rPr>
        <w:t>占总额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107" w:right="-19" w:firstLine="0"/>
        <w:jc w:val="left"/>
        <w:rPr>
          <w:rFonts w:ascii="宋体" w:hAnsi="宋体" w:cs="宋体" w:eastAsia="宋体" w:hint="default"/>
          <w:sz w:val="18"/>
          <w:szCs w:val="18"/>
        </w:rPr>
      </w:pPr>
      <w:r>
        <w:rPr/>
        <w:pict>
          <v:group style="position:absolute;margin-left:294.779999pt;margin-top:12.132049pt;width:36pt;height:.1pt;mso-position-horizontal-relative:page;mso-position-vertical-relative:paragraph;z-index:5824" coordorigin="5896,243" coordsize="720,2">
            <v:shape style="position:absolute;left:5896;top:243;width:720;height:2" coordorigin="5896,243" coordsize="720,0" path="m5896,243l6616,243e" filled="false" stroked="true" strokeweight=".47998pt" strokecolor="#000000">
              <v:path arrowok="t"/>
            </v:shape>
            <w10:wrap type="none"/>
          </v:group>
        </w:pict>
      </w:r>
      <w:r>
        <w:rPr>
          <w:rFonts w:ascii="宋体" w:hAnsi="宋体" w:cs="宋体" w:eastAsia="宋体" w:hint="default"/>
          <w:sz w:val="18"/>
          <w:szCs w:val="18"/>
        </w:rPr>
        <w:t>坏账准备</w:t>
      </w:r>
    </w:p>
    <w:p>
      <w:pPr>
        <w:spacing w:line="345" w:lineRule="auto" w:before="113"/>
        <w:ind w:left="10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 </w:t>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107" w:right="-19" w:firstLine="0"/>
        <w:jc w:val="left"/>
        <w:rPr>
          <w:rFonts w:ascii="宋体" w:hAnsi="宋体" w:cs="宋体" w:eastAsia="宋体" w:hint="default"/>
          <w:sz w:val="18"/>
          <w:szCs w:val="18"/>
        </w:rPr>
      </w:pPr>
      <w:r>
        <w:rPr/>
        <w:pict>
          <v:group style="position:absolute;margin-left:389.100006pt;margin-top:12.132049pt;width:36pt;height:.1pt;mso-position-horizontal-relative:page;mso-position-vertical-relative:paragraph;z-index:5872" coordorigin="7782,243" coordsize="720,2">
            <v:shape style="position:absolute;left:7782;top:243;width:720;height:2" coordorigin="7782,243" coordsize="720,0" path="m7782,243l8502,243e" filled="false" stroked="true" strokeweight=".47998pt" strokecolor="#000000">
              <v:path arrowok="t"/>
            </v:shape>
            <w10:wrap type="none"/>
          </v:group>
        </w:pict>
      </w:r>
      <w:r>
        <w:rPr>
          <w:rFonts w:ascii="宋体" w:hAnsi="宋体" w:cs="宋体" w:eastAsia="宋体" w:hint="default"/>
          <w:sz w:val="18"/>
          <w:szCs w:val="18"/>
        </w:rPr>
        <w:t>账面余额</w:t>
      </w:r>
    </w:p>
    <w:p>
      <w:pPr>
        <w:spacing w:line="345" w:lineRule="auto" w:before="113"/>
        <w:ind w:left="198"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占总额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r>
        <w:rPr/>
        <w:br w:type="column"/>
      </w:r>
      <w:r>
        <w:rPr>
          <w:rFonts w:ascii="宋体"/>
          <w:sz w:val="21"/>
        </w:rPr>
      </w:r>
    </w:p>
    <w:p>
      <w:pPr>
        <w:spacing w:before="0"/>
        <w:ind w:left="107" w:right="-19" w:firstLine="0"/>
        <w:jc w:val="left"/>
        <w:rPr>
          <w:rFonts w:ascii="宋体" w:hAnsi="宋体" w:cs="宋体" w:eastAsia="宋体" w:hint="default"/>
          <w:sz w:val="18"/>
          <w:szCs w:val="18"/>
        </w:rPr>
      </w:pPr>
      <w:r>
        <w:rPr/>
        <w:pict>
          <v:group style="position:absolute;margin-left:483.660004pt;margin-top:12.132049pt;width:36pt;height:.1pt;mso-position-horizontal-relative:page;mso-position-vertical-relative:paragraph;z-index:5920" coordorigin="9673,243" coordsize="720,2">
            <v:shape style="position:absolute;left:9673;top:243;width:720;height:2" coordorigin="9673,243" coordsize="720,0" path="m9673,243l10393,243e" filled="false" stroked="true" strokeweight=".47998pt" strokecolor="#000000">
              <v:path arrowok="t"/>
            </v:shape>
            <w10:wrap type="none"/>
          </v:group>
        </w:pict>
      </w:r>
      <w:r>
        <w:rPr>
          <w:rFonts w:ascii="宋体" w:hAnsi="宋体" w:cs="宋体" w:eastAsia="宋体" w:hint="default"/>
          <w:sz w:val="18"/>
          <w:szCs w:val="18"/>
        </w:rPr>
        <w:t>坏账准备</w:t>
      </w:r>
    </w:p>
    <w:p>
      <w:pPr>
        <w:spacing w:line="345" w:lineRule="auto" w:before="113"/>
        <w:ind w:left="107" w:right="205"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 </w:t>
      </w:r>
      <w:r>
        <w:rPr>
          <w:rFonts w:ascii="宋体" w:hAnsi="宋体" w:cs="宋体" w:eastAsia="宋体" w:hint="default"/>
          <w:sz w:val="18"/>
          <w:szCs w:val="18"/>
          <w:u w:val="single" w:color="000000"/>
        </w:rPr>
        <w:t>备比例</w:t>
      </w:r>
      <w:r>
        <w:rPr>
          <w:rFonts w:ascii="宋体" w:hAnsi="宋体" w:cs="宋体" w:eastAsia="宋体" w:hint="default"/>
          <w:sz w:val="18"/>
          <w:szCs w:val="18"/>
        </w:rPr>
      </w:r>
    </w:p>
    <w:p>
      <w:pPr>
        <w:spacing w:after="0" w:line="345" w:lineRule="auto"/>
        <w:jc w:val="left"/>
        <w:rPr>
          <w:rFonts w:ascii="宋体" w:hAnsi="宋体" w:cs="宋体" w:eastAsia="宋体" w:hint="default"/>
          <w:sz w:val="18"/>
          <w:szCs w:val="18"/>
        </w:rPr>
        <w:sectPr>
          <w:type w:val="continuous"/>
          <w:pgSz w:w="11910" w:h="16840"/>
          <w:pgMar w:top="1020" w:bottom="1520" w:left="1080" w:right="460"/>
          <w:cols w:num="9" w:equalWidth="0">
            <w:col w:w="2542" w:space="235"/>
            <w:col w:w="829" w:space="280"/>
            <w:col w:w="649" w:space="174"/>
            <w:col w:w="829" w:space="173"/>
            <w:col w:w="649" w:space="236"/>
            <w:col w:w="829" w:space="236"/>
            <w:col w:w="649" w:space="178"/>
            <w:col w:w="829" w:space="178"/>
            <w:col w:w="875"/>
          </w:cols>
        </w:sectPr>
      </w:pPr>
    </w:p>
    <w:p>
      <w:pPr>
        <w:spacing w:line="240" w:lineRule="auto" w:before="11"/>
        <w:rPr>
          <w:rFonts w:ascii="宋体" w:hAnsi="宋体" w:cs="宋体" w:eastAsia="宋体" w:hint="default"/>
          <w:sz w:val="3"/>
          <w:szCs w:val="3"/>
        </w:rPr>
      </w:pPr>
      <w:r>
        <w:rPr/>
        <w:pict>
          <v:group style="position:absolute;margin-left:322.140015pt;margin-top:469.5pt;width:106.35pt;height:.1pt;mso-position-horizontal-relative:page;mso-position-vertical-relative:page;z-index:-621880" coordorigin="6443,9390" coordsize="2127,2">
            <v:shape style="position:absolute;left:6443;top:9390;width:2127;height:2" coordorigin="6443,9390" coordsize="2127,0" path="m6443,9390l8569,9390e" filled="false" stroked="true" strokeweight=".48001pt" strokecolor="#000000">
              <v:path arrowok="t"/>
            </v:shape>
            <w10:wrap type="none"/>
          </v:group>
        </w:pict>
      </w:r>
    </w:p>
    <w:tbl>
      <w:tblPr>
        <w:tblW w:w="0" w:type="auto"/>
        <w:jc w:val="left"/>
        <w:tblInd w:w="793" w:type="dxa"/>
        <w:tblLayout w:type="fixed"/>
        <w:tblCellMar>
          <w:top w:w="0" w:type="dxa"/>
          <w:left w:w="0" w:type="dxa"/>
          <w:bottom w:w="0" w:type="dxa"/>
          <w:right w:w="0" w:type="dxa"/>
        </w:tblCellMar>
        <w:tblLook w:val="01E0"/>
      </w:tblPr>
      <w:tblGrid>
        <w:gridCol w:w="2800"/>
        <w:gridCol w:w="1523"/>
        <w:gridCol w:w="393"/>
        <w:gridCol w:w="604"/>
        <w:gridCol w:w="1080"/>
        <w:gridCol w:w="1790"/>
      </w:tblGrid>
      <w:tr>
        <w:trPr>
          <w:trHeight w:val="628" w:hRule="exact"/>
        </w:trPr>
        <w:tc>
          <w:tcPr>
            <w:tcW w:w="47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3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、其他应收款坏账准备的变动如下：</w:t>
            </w:r>
          </w:p>
        </w:tc>
        <w:tc>
          <w:tcPr>
            <w:tcW w:w="168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74"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790" w:type="dxa"/>
            <w:tcBorders>
              <w:top w:val="nil" w:sz="6" w:space="0" w:color="auto"/>
              <w:left w:val="nil" w:sz="6" w:space="0" w:color="auto"/>
              <w:bottom w:val="nil" w:sz="6" w:space="0" w:color="auto"/>
              <w:right w:val="nil" w:sz="6" w:space="0" w:color="auto"/>
            </w:tcBorders>
          </w:tcPr>
          <w:p>
            <w:pPr/>
          </w:p>
        </w:tc>
      </w:tr>
      <w:tr>
        <w:trPr>
          <w:trHeight w:val="175" w:hRule="exact"/>
        </w:trPr>
        <w:tc>
          <w:tcPr>
            <w:tcW w:w="4716" w:type="dxa"/>
            <w:gridSpan w:val="3"/>
            <w:tcBorders>
              <w:top w:val="nil" w:sz="6" w:space="0" w:color="auto"/>
              <w:left w:val="nil" w:sz="6" w:space="0" w:color="auto"/>
              <w:bottom w:val="nil" w:sz="6" w:space="0" w:color="auto"/>
              <w:right w:val="nil" w:sz="6" w:space="0" w:color="auto"/>
            </w:tcBorders>
          </w:tcPr>
          <w:p>
            <w:pPr>
              <w:pStyle w:val="TableParagraph"/>
              <w:tabs>
                <w:tab w:pos="3488" w:val="left" w:leader="none"/>
              </w:tabs>
              <w:spacing w:line="178" w:lineRule="exact"/>
              <w:ind w:left="19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1684" w:type="dxa"/>
            <w:gridSpan w:val="2"/>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178" w:lineRule="exact"/>
              <w:ind w:right="1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257" w:hRule="exact"/>
        </w:trPr>
        <w:tc>
          <w:tcPr>
            <w:tcW w:w="4716" w:type="dxa"/>
            <w:gridSpan w:val="3"/>
            <w:tcBorders>
              <w:top w:val="nil" w:sz="6" w:space="0" w:color="auto"/>
              <w:left w:val="nil" w:sz="6" w:space="0" w:color="auto"/>
              <w:bottom w:val="nil" w:sz="6" w:space="0" w:color="auto"/>
              <w:right w:val="nil" w:sz="6" w:space="0" w:color="auto"/>
            </w:tcBorders>
          </w:tcPr>
          <w:p>
            <w:pPr/>
          </w:p>
        </w:tc>
        <w:tc>
          <w:tcPr>
            <w:tcW w:w="1684" w:type="dxa"/>
            <w:gridSpan w:val="2"/>
            <w:tcBorders>
              <w:top w:val="nil" w:sz="6" w:space="0" w:color="auto"/>
              <w:left w:val="nil" w:sz="6" w:space="0" w:color="auto"/>
              <w:bottom w:val="nil" w:sz="6" w:space="0" w:color="auto"/>
              <w:right w:val="nil" w:sz="6" w:space="0" w:color="auto"/>
            </w:tcBorders>
          </w:tcPr>
          <w:p>
            <w:pPr>
              <w:pStyle w:val="TableParagraph"/>
              <w:tabs>
                <w:tab w:pos="1310" w:val="left" w:leader="none"/>
              </w:tabs>
              <w:spacing w:line="177" w:lineRule="exact"/>
              <w:ind w:left="2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r>
      <w:tr>
        <w:trPr>
          <w:trHeight w:val="345" w:hRule="exact"/>
        </w:trPr>
        <w:tc>
          <w:tcPr>
            <w:tcW w:w="4716" w:type="dxa"/>
            <w:gridSpan w:val="3"/>
            <w:tcBorders>
              <w:top w:val="nil" w:sz="6" w:space="0" w:color="auto"/>
              <w:left w:val="nil" w:sz="6" w:space="0" w:color="auto"/>
              <w:bottom w:val="nil" w:sz="6" w:space="0" w:color="auto"/>
              <w:right w:val="nil" w:sz="6" w:space="0" w:color="auto"/>
            </w:tcBorders>
          </w:tcPr>
          <w:p>
            <w:pPr>
              <w:pStyle w:val="TableParagraph"/>
              <w:tabs>
                <w:tab w:pos="2163" w:val="left" w:leader="none"/>
                <w:tab w:pos="3837" w:val="left" w:leader="none"/>
              </w:tabs>
              <w:spacing w:line="240" w:lineRule="auto" w:before="25"/>
              <w:ind w:left="5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69,851.01</w:t>
              <w:tab/>
              <w:t>6,036.17</w:t>
            </w:r>
          </w:p>
        </w:tc>
        <w:tc>
          <w:tcPr>
            <w:tcW w:w="1684" w:type="dxa"/>
            <w:gridSpan w:val="2"/>
            <w:tcBorders>
              <w:top w:val="nil" w:sz="6" w:space="0" w:color="auto"/>
              <w:left w:val="nil" w:sz="6" w:space="0" w:color="auto"/>
              <w:bottom w:val="nil" w:sz="6" w:space="0" w:color="auto"/>
              <w:right w:val="nil" w:sz="6" w:space="0" w:color="auto"/>
            </w:tcBorders>
          </w:tcPr>
          <w:p>
            <w:pPr>
              <w:pStyle w:val="TableParagraph"/>
              <w:tabs>
                <w:tab w:pos="1399" w:val="left" w:leader="none"/>
              </w:tabs>
              <w:spacing w:line="240" w:lineRule="auto" w:before="67"/>
              <w:ind w:left="336" w:right="0"/>
              <w:jc w:val="left"/>
              <w:rPr>
                <w:rFonts w:ascii="Times New Roman" w:hAnsi="Times New Roman" w:cs="Times New Roman" w:eastAsia="Times New Roman" w:hint="default"/>
                <w:sz w:val="18"/>
                <w:szCs w:val="18"/>
              </w:rPr>
            </w:pPr>
            <w:r>
              <w:rPr>
                <w:rFonts w:ascii="Times New Roman"/>
                <w:sz w:val="18"/>
              </w:rPr>
              <w:t>---</w:t>
              <w:tab/>
              <w:t>---</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75,887.18</w:t>
            </w:r>
          </w:p>
        </w:tc>
      </w:tr>
      <w:tr>
        <w:trPr>
          <w:trHeight w:val="510" w:hRule="exact"/>
        </w:trPr>
        <w:tc>
          <w:tcPr>
            <w:tcW w:w="8190" w:type="dxa"/>
            <w:gridSpan w:val="6"/>
            <w:tcBorders>
              <w:top w:val="nil" w:sz="6" w:space="0" w:color="auto"/>
              <w:left w:val="nil" w:sz="6" w:space="0" w:color="auto"/>
              <w:bottom w:val="nil" w:sz="6" w:space="0" w:color="auto"/>
              <w:right w:val="nil" w:sz="6" w:space="0" w:color="auto"/>
            </w:tcBorders>
          </w:tcPr>
          <w:p>
            <w:pPr>
              <w:pStyle w:val="TableParagraph"/>
              <w:tabs>
                <w:tab w:pos="2163" w:val="left" w:leader="none"/>
                <w:tab w:pos="3657" w:val="left" w:leader="none"/>
                <w:tab w:pos="5052" w:val="left" w:leader="none"/>
                <w:tab w:pos="6116" w:val="left" w:leader="none"/>
                <w:tab w:pos="7343" w:val="left" w:leader="none"/>
              </w:tabs>
              <w:spacing w:line="240" w:lineRule="auto" w:before="19"/>
              <w:ind w:left="5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75,887.18</w:t>
              <w:tab/>
              <w:t>339,754.40</w:t>
              <w:tab/>
              <w:t>---</w:t>
              <w:tab/>
              <w:t>---</w:t>
              <w:tab/>
              <w:t>415,641.58</w:t>
            </w:r>
          </w:p>
          <w:p>
            <w:pPr>
              <w:pStyle w:val="TableParagraph"/>
              <w:spacing w:line="226" w:lineRule="exact" w:before="55"/>
              <w:ind w:left="346" w:right="0"/>
              <w:jc w:val="left"/>
              <w:rPr>
                <w:rFonts w:ascii="宋体" w:hAnsi="宋体" w:cs="宋体" w:eastAsia="宋体" w:hint="default"/>
                <w:sz w:val="21"/>
                <w:szCs w:val="21"/>
              </w:rPr>
            </w:pPr>
            <w:r>
              <w:rPr>
                <w:rFonts w:ascii="宋体" w:hAnsi="宋体" w:cs="宋体" w:eastAsia="宋体" w:hint="default"/>
                <w:sz w:val="21"/>
                <w:szCs w:val="21"/>
              </w:rPr>
              <w:t>3、年末无单项金额重大或虽不重大但单独计提值准备的其他应收款。</w:t>
            </w:r>
          </w:p>
        </w:tc>
      </w:tr>
      <w:tr>
        <w:trPr>
          <w:trHeight w:val="505"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其他应收款内容</w:t>
            </w:r>
            <w:r>
              <w:rPr>
                <w:rFonts w:ascii="宋体" w:hAnsi="宋体" w:cs="宋体" w:eastAsia="宋体" w:hint="default"/>
                <w:sz w:val="18"/>
                <w:szCs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理  由</w:t>
            </w:r>
            <w:r>
              <w:rPr>
                <w:rFonts w:ascii="宋体" w:hAnsi="宋体" w:cs="宋体" w:eastAsia="宋体" w:hint="default"/>
                <w:sz w:val="18"/>
                <w:szCs w:val="18"/>
              </w:rPr>
            </w:r>
          </w:p>
        </w:tc>
      </w:tr>
      <w:tr>
        <w:trPr>
          <w:trHeight w:val="327" w:hRule="exact"/>
        </w:trPr>
        <w:tc>
          <w:tcPr>
            <w:tcW w:w="280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997" w:type="dxa"/>
            <w:gridSpan w:val="2"/>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790" w:type="dxa"/>
            <w:tcBorders>
              <w:top w:val="nil" w:sz="6" w:space="0" w:color="auto"/>
              <w:left w:val="nil" w:sz="6" w:space="0" w:color="auto"/>
              <w:bottom w:val="nil" w:sz="6" w:space="0" w:color="auto"/>
              <w:right w:val="nil" w:sz="6" w:space="0" w:color="auto"/>
            </w:tcBorders>
          </w:tcPr>
          <w:p>
            <w:pPr/>
          </w:p>
        </w:tc>
      </w:tr>
      <w:tr>
        <w:trPr>
          <w:trHeight w:val="358"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6"/>
              <w:jc w:val="center"/>
              <w:rPr>
                <w:rFonts w:ascii="宋体" w:hAnsi="宋体" w:cs="宋体" w:eastAsia="宋体" w:hint="default"/>
                <w:sz w:val="21"/>
                <w:szCs w:val="21"/>
              </w:rPr>
            </w:pPr>
            <w:r>
              <w:rPr>
                <w:rFonts w:ascii="宋体" w:hAnsi="宋体" w:cs="宋体" w:eastAsia="宋体" w:hint="default"/>
                <w:spacing w:val="-6"/>
                <w:sz w:val="21"/>
                <w:szCs w:val="21"/>
              </w:rPr>
              <w:t>实益达科技（香港）有限公司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9"/>
              <w:jc w:val="right"/>
              <w:rPr>
                <w:rFonts w:ascii="Times New Roman" w:hAnsi="Times New Roman" w:cs="Times New Roman" w:eastAsia="Times New Roman" w:hint="default"/>
                <w:sz w:val="18"/>
                <w:szCs w:val="18"/>
              </w:rPr>
            </w:pPr>
            <w:r>
              <w:rPr>
                <w:rFonts w:ascii="Times New Roman"/>
                <w:spacing w:val="-1"/>
                <w:sz w:val="18"/>
              </w:rPr>
              <w:t>60,898,959.67</w:t>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7" w:right="0"/>
              <w:jc w:val="left"/>
              <w:rPr>
                <w:rFonts w:ascii="宋体" w:hAnsi="宋体" w:cs="宋体" w:eastAsia="宋体" w:hint="default"/>
                <w:sz w:val="18"/>
                <w:szCs w:val="18"/>
              </w:rPr>
            </w:pPr>
            <w:r>
              <w:rPr>
                <w:rFonts w:ascii="宋体" w:hAnsi="宋体" w:cs="宋体" w:eastAsia="宋体" w:hint="default"/>
                <w:sz w:val="18"/>
                <w:szCs w:val="18"/>
              </w:rPr>
              <w:t>合并内子公司</w:t>
            </w:r>
          </w:p>
        </w:tc>
      </w:tr>
      <w:tr>
        <w:trPr>
          <w:trHeight w:val="340"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3"/>
              <w:jc w:val="center"/>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1,750,000.00</w:t>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合并内子公司</w:t>
            </w:r>
          </w:p>
        </w:tc>
      </w:tr>
      <w:tr>
        <w:trPr>
          <w:trHeight w:val="340"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center"/>
              <w:rPr>
                <w:rFonts w:ascii="宋体" w:hAnsi="宋体" w:cs="宋体" w:eastAsia="宋体" w:hint="default"/>
                <w:sz w:val="18"/>
                <w:szCs w:val="18"/>
              </w:rPr>
            </w:pPr>
            <w:r>
              <w:rPr>
                <w:rFonts w:ascii="宋体" w:hAnsi="宋体" w:cs="宋体" w:eastAsia="宋体" w:hint="default"/>
                <w:sz w:val="18"/>
                <w:szCs w:val="18"/>
              </w:rPr>
              <w:t>深圳裕宝森科技有限公司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580,000.00</w:t>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7" w:right="0"/>
              <w:jc w:val="left"/>
              <w:rPr>
                <w:rFonts w:ascii="宋体" w:hAnsi="宋体" w:cs="宋体" w:eastAsia="宋体" w:hint="default"/>
                <w:sz w:val="18"/>
                <w:szCs w:val="18"/>
              </w:rPr>
            </w:pPr>
            <w:r>
              <w:rPr>
                <w:rFonts w:ascii="宋体" w:hAnsi="宋体" w:cs="宋体" w:eastAsia="宋体" w:hint="default"/>
                <w:sz w:val="18"/>
                <w:szCs w:val="18"/>
              </w:rPr>
              <w:t>厂房租赁保证金</w:t>
            </w:r>
          </w:p>
        </w:tc>
      </w:tr>
      <w:tr>
        <w:trPr>
          <w:trHeight w:val="303"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3"/>
              <w:jc w:val="center"/>
              <w:rPr>
                <w:rFonts w:ascii="宋体" w:hAnsi="宋体" w:cs="宋体" w:eastAsia="宋体" w:hint="default"/>
                <w:sz w:val="18"/>
                <w:szCs w:val="18"/>
              </w:rPr>
            </w:pPr>
            <w:r>
              <w:rPr>
                <w:rFonts w:ascii="宋体" w:hAnsi="宋体" w:cs="宋体" w:eastAsia="宋体" w:hint="default"/>
                <w:sz w:val="18"/>
                <w:szCs w:val="18"/>
              </w:rPr>
              <w:t>深圳市龙岗区财政局</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345,275.00</w:t>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57" w:right="0"/>
              <w:jc w:val="left"/>
              <w:rPr>
                <w:rFonts w:ascii="宋体" w:hAnsi="宋体" w:cs="宋体" w:eastAsia="宋体" w:hint="default"/>
                <w:sz w:val="18"/>
                <w:szCs w:val="18"/>
              </w:rPr>
            </w:pPr>
            <w:r>
              <w:rPr>
                <w:rFonts w:ascii="宋体" w:hAnsi="宋体" w:cs="宋体" w:eastAsia="宋体" w:hint="default"/>
                <w:sz w:val="18"/>
                <w:szCs w:val="18"/>
              </w:rPr>
              <w:t>墙体保证金</w:t>
            </w:r>
          </w:p>
        </w:tc>
      </w:tr>
      <w:tr>
        <w:trPr>
          <w:trHeight w:val="435" w:hRule="exact"/>
        </w:trPr>
        <w:tc>
          <w:tcPr>
            <w:tcW w:w="280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5"/>
              <w:ind w:right="63"/>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63,574,234.67</w:t>
            </w:r>
          </w:p>
        </w:tc>
        <w:tc>
          <w:tcPr>
            <w:tcW w:w="9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2"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3"/>
              <w:ind w:left="13" w:right="0"/>
              <w:jc w:val="center"/>
              <w:rPr>
                <w:rFonts w:ascii="Times New Roman" w:hAnsi="Times New Roman" w:cs="Times New Roman" w:eastAsia="Times New Roman" w:hint="default"/>
                <w:sz w:val="18"/>
                <w:szCs w:val="18"/>
              </w:rPr>
            </w:pPr>
            <w:r>
              <w:rPr>
                <w:rFonts w:ascii="Times New Roman"/>
                <w:sz w:val="18"/>
              </w:rPr>
              <w:t>---</w:t>
            </w:r>
          </w:p>
        </w:tc>
        <w:tc>
          <w:tcPr>
            <w:tcW w:w="1790" w:type="dxa"/>
            <w:tcBorders>
              <w:top w:val="nil" w:sz="6" w:space="0" w:color="auto"/>
              <w:left w:val="nil" w:sz="6" w:space="0" w:color="auto"/>
              <w:bottom w:val="nil" w:sz="6" w:space="0" w:color="auto"/>
              <w:right w:val="nil" w:sz="6" w:space="0" w:color="auto"/>
            </w:tcBorders>
          </w:tcPr>
          <w:p>
            <w:pPr/>
          </w:p>
        </w:tc>
      </w:tr>
    </w:tbl>
    <w:p>
      <w:pPr>
        <w:spacing w:before="12"/>
        <w:ind w:left="1140" w:right="0" w:firstLine="0"/>
        <w:jc w:val="left"/>
        <w:rPr>
          <w:rFonts w:ascii="宋体" w:hAnsi="宋体" w:cs="宋体" w:eastAsia="宋体" w:hint="default"/>
          <w:sz w:val="21"/>
          <w:szCs w:val="21"/>
        </w:rPr>
      </w:pPr>
      <w:r>
        <w:rPr/>
        <w:pict>
          <v:group style="position:absolute;margin-left:233.279999pt;margin-top:-5.616022pt;width:76.9pt;height:.1pt;mso-position-horizontal-relative:page;mso-position-vertical-relative:paragraph;z-index:-621856" coordorigin="4666,-112" coordsize="1538,2">
            <v:shape style="position:absolute;left:4666;top:-112;width:1538;height:2" coordorigin="4666,-112" coordsize="1538,0" path="m4666,-112l6203,-112e" filled="false" stroked="true" strokeweight=".72pt" strokecolor="#000000">
              <v:path arrowok="t"/>
            </v:shape>
            <w10:wrap type="none"/>
          </v:group>
        </w:pict>
      </w:r>
      <w:r>
        <w:rPr/>
        <w:pict>
          <v:group style="position:absolute;margin-left:359.279999pt;margin-top:-5.616022pt;width:54.75pt;height:.1pt;mso-position-horizontal-relative:page;mso-position-vertical-relative:paragraph;z-index:-621832" coordorigin="7186,-112" coordsize="1095,2">
            <v:shape style="position:absolute;left:7186;top:-112;width:1095;height:2" coordorigin="7186,-112" coordsize="1095,0" path="m7186,-112l8280,-112e" filled="false" stroked="true" strokeweight=".72pt" strokecolor="#000000">
              <v:path arrowok="t"/>
            </v:shape>
            <w10:wrap type="none"/>
          </v:group>
        </w:pict>
      </w:r>
      <w:r>
        <w:rPr>
          <w:rFonts w:ascii="宋体" w:hAnsi="宋体" w:cs="宋体" w:eastAsia="宋体" w:hint="default"/>
          <w:sz w:val="21"/>
          <w:szCs w:val="21"/>
        </w:rPr>
        <w:t>4、年末无单项金额不重大但按信用风险特征组合后该组合的风险较大的其他应收款。</w:t>
      </w:r>
    </w:p>
    <w:p>
      <w:pPr>
        <w:spacing w:line="297" w:lineRule="auto" w:before="64"/>
        <w:ind w:left="720" w:right="1329" w:firstLine="420"/>
        <w:jc w:val="left"/>
        <w:rPr>
          <w:rFonts w:ascii="宋体" w:hAnsi="宋体" w:cs="宋体" w:eastAsia="宋体" w:hint="default"/>
          <w:sz w:val="21"/>
          <w:szCs w:val="21"/>
        </w:rPr>
      </w:pPr>
      <w:r>
        <w:rPr>
          <w:rFonts w:ascii="宋体" w:hAnsi="宋体" w:cs="宋体" w:eastAsia="宋体" w:hint="default"/>
          <w:sz w:val="21"/>
          <w:szCs w:val="21"/>
        </w:rPr>
        <w:t>5、年末无以前年度已全额或大比例计提坏账准备，本年又全额或部分收回的其他应收 款。</w:t>
      </w:r>
    </w:p>
    <w:p>
      <w:pPr>
        <w:spacing w:before="15"/>
        <w:ind w:left="1140" w:right="0" w:firstLine="0"/>
        <w:jc w:val="left"/>
        <w:rPr>
          <w:rFonts w:ascii="宋体" w:hAnsi="宋体" w:cs="宋体" w:eastAsia="宋体" w:hint="default"/>
          <w:sz w:val="21"/>
          <w:szCs w:val="21"/>
        </w:rPr>
      </w:pPr>
      <w:r>
        <w:rPr>
          <w:rFonts w:ascii="宋体" w:hAnsi="宋体" w:cs="宋体" w:eastAsia="宋体" w:hint="default"/>
          <w:sz w:val="21"/>
          <w:szCs w:val="21"/>
        </w:rPr>
        <w:t>6、年末其他应收款中无持本公司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5％）表决权股份的股东单位欠款。</w:t>
      </w:r>
    </w:p>
    <w:p>
      <w:pPr>
        <w:spacing w:before="64"/>
        <w:ind w:left="1140" w:right="0" w:firstLine="0"/>
        <w:jc w:val="left"/>
        <w:rPr>
          <w:rFonts w:ascii="宋体" w:hAnsi="宋体" w:cs="宋体" w:eastAsia="宋体" w:hint="default"/>
          <w:sz w:val="21"/>
          <w:szCs w:val="21"/>
        </w:rPr>
      </w:pPr>
      <w:r>
        <w:rPr>
          <w:rFonts w:ascii="宋体" w:hAnsi="宋体" w:cs="宋体" w:eastAsia="宋体" w:hint="default"/>
          <w:sz w:val="21"/>
          <w:szCs w:val="21"/>
        </w:rPr>
        <w:t>7、年末无应收关联方款项为。</w:t>
      </w:r>
    </w:p>
    <w:p>
      <w:pPr>
        <w:spacing w:before="64"/>
        <w:ind w:left="1140" w:right="0" w:firstLine="0"/>
        <w:jc w:val="left"/>
        <w:rPr>
          <w:rFonts w:ascii="宋体" w:hAnsi="宋体" w:cs="宋体" w:eastAsia="宋体" w:hint="default"/>
          <w:sz w:val="21"/>
          <w:szCs w:val="21"/>
        </w:rPr>
      </w:pPr>
      <w:r>
        <w:rPr>
          <w:rFonts w:ascii="宋体" w:hAnsi="宋体" w:cs="宋体" w:eastAsia="宋体" w:hint="default"/>
          <w:sz w:val="21"/>
          <w:szCs w:val="21"/>
        </w:rPr>
        <w:t>8、年末其他应收款中欠款金额前五名</w:t>
      </w:r>
    </w:p>
    <w:p>
      <w:pPr>
        <w:spacing w:after="0"/>
        <w:jc w:val="left"/>
        <w:rPr>
          <w:rFonts w:ascii="宋体" w:hAnsi="宋体" w:cs="宋体" w:eastAsia="宋体" w:hint="default"/>
          <w:sz w:val="21"/>
          <w:szCs w:val="21"/>
        </w:rPr>
        <w:sectPr>
          <w:type w:val="continuous"/>
          <w:pgSz w:w="11910" w:h="16840"/>
          <w:pgMar w:top="1020" w:bottom="1520" w:left="1080" w:right="46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5"/>
          <w:pgSz w:w="11910" w:h="16840"/>
          <w:pgMar w:footer="950" w:header="918" w:top="1160" w:bottom="1140" w:left="860" w:right="960"/>
          <w:pgNumType w:start="101"/>
        </w:sectPr>
      </w:pPr>
    </w:p>
    <w:p>
      <w:pPr>
        <w:spacing w:line="240" w:lineRule="auto" w:before="0"/>
        <w:rPr>
          <w:rFonts w:ascii="宋体" w:hAnsi="宋体" w:cs="宋体" w:eastAsia="宋体" w:hint="default"/>
          <w:sz w:val="18"/>
          <w:szCs w:val="18"/>
        </w:rPr>
      </w:pPr>
    </w:p>
    <w:p>
      <w:pPr>
        <w:tabs>
          <w:tab w:pos="3279" w:val="left" w:leader="none"/>
          <w:tab w:pos="4989" w:val="left" w:leader="none"/>
          <w:tab w:pos="6609" w:val="left" w:leader="none"/>
          <w:tab w:pos="7955" w:val="left" w:leader="none"/>
        </w:tabs>
        <w:spacing w:before="148"/>
        <w:ind w:left="1120" w:right="-20" w:firstLine="0"/>
        <w:jc w:val="left"/>
        <w:rPr>
          <w:rFonts w:ascii="宋体" w:hAnsi="宋体" w:cs="宋体" w:eastAsia="宋体" w:hint="default"/>
          <w:sz w:val="18"/>
          <w:szCs w:val="18"/>
        </w:rPr>
      </w:pPr>
      <w:r>
        <w:rPr/>
        <w:pict>
          <v:group style="position:absolute;margin-left:99pt;margin-top:19.531448pt;width:45pt;height:.1pt;mso-position-horizontal-relative:page;mso-position-vertical-relative:paragraph;z-index:6376" coordorigin="1980,391" coordsize="900,2">
            <v:shape style="position:absolute;left:1980;top:391;width:900;height:2" coordorigin="1980,391" coordsize="900,0" path="m1980,391l2880,391e" filled="false" stroked="true" strokeweight=".47998pt" strokecolor="#000000">
              <v:path arrowok="t"/>
            </v:shape>
            <w10:wrap type="none"/>
          </v:group>
        </w:pict>
      </w:r>
      <w:r>
        <w:rPr/>
        <w:pict>
          <v:group style="position:absolute;margin-left:207pt;margin-top:19.531448pt;width:54pt;height:.1pt;mso-position-horizontal-relative:page;mso-position-vertical-relative:paragraph;z-index:6400" coordorigin="4140,391" coordsize="1080,2">
            <v:shape style="position:absolute;left:4140;top:391;width:1080;height:2" coordorigin="4140,391" coordsize="1080,0" path="m4140,391l5220,391e" filled="false" stroked="true" strokeweight=".47998pt" strokecolor="#000000">
              <v:path arrowok="t"/>
            </v:shape>
            <w10:wrap type="none"/>
          </v:group>
        </w:pict>
      </w:r>
      <w:r>
        <w:rPr/>
        <w:pict>
          <v:group style="position:absolute;margin-left:292.5pt;margin-top:19.531448pt;width:45pt;height:.1pt;mso-position-horizontal-relative:page;mso-position-vertical-relative:paragraph;z-index:6424" coordorigin="5850,391" coordsize="900,2">
            <v:shape style="position:absolute;left:5850;top:391;width:900;height:2" coordorigin="5850,391" coordsize="900,0" path="m5850,391l6750,391e" filled="false" stroked="true" strokeweight=".47998pt" strokecolor="#000000">
              <v:path arrowok="t"/>
            </v:shape>
            <w10:wrap type="none"/>
          </v:group>
        </w:pict>
      </w:r>
      <w:r>
        <w:rPr/>
        <w:pict>
          <v:group style="position:absolute;margin-left:373.5pt;margin-top:19.531448pt;width:36pt;height:.1pt;mso-position-horizontal-relative:page;mso-position-vertical-relative:paragraph;z-index:6448" coordorigin="7470,391" coordsize="720,2">
            <v:shape style="position:absolute;left:7470;top:391;width:720;height:2" coordorigin="7470,391" coordsize="720,0" path="m7470,391l8190,391e" filled="false" stroked="true" strokeweight=".47998pt" strokecolor="#000000">
              <v:path arrowok="t"/>
            </v:shape>
            <w10:wrap type="none"/>
          </v:group>
        </w:pict>
      </w:r>
      <w:r>
        <w:rPr/>
        <w:pict>
          <v:group style="position:absolute;margin-left:440.76001pt;margin-top:19.531448pt;width:18pt;height:.1pt;mso-position-horizontal-relative:page;mso-position-vertical-relative:paragraph;z-index:6472" coordorigin="8815,391" coordsize="360,2">
            <v:shape style="position:absolute;left:8815;top:391;width:360;height:2" coordorigin="8815,391" coordsize="360,0" path="m8815,391l9175,391e" filled="false" stroked="true" strokeweight=".47998pt" strokecolor="#000000">
              <v:path arrowok="t"/>
            </v:shape>
            <w10:wrap type="none"/>
          </v:group>
        </w:pict>
      </w:r>
      <w:r>
        <w:rPr/>
        <w:pict>
          <v:group style="position:absolute;margin-left:485.76001pt;margin-top:2.551418pt;width:45pt;height:.1pt;mso-position-horizontal-relative:page;mso-position-vertical-relative:paragraph;z-index:-621376" coordorigin="9715,51" coordsize="900,2">
            <v:shape style="position:absolute;left:9715;top:51;width:900;height:2" coordorigin="9715,51" coordsize="900,0" path="m9715,51l10615,51e" filled="false" stroked="true" strokeweight=".48004pt" strokecolor="#000000">
              <v:path arrowok="t"/>
            </v:shape>
            <w10:wrap type="none"/>
          </v:group>
        </w:pict>
      </w:r>
      <w:r>
        <w:rPr/>
        <w:pict>
          <v:group style="position:absolute;margin-left:485.76001pt;margin-top:19.531448pt;width:45pt;height:.1pt;mso-position-horizontal-relative:page;mso-position-vertical-relative:paragraph;z-index:-621352" coordorigin="9715,391" coordsize="900,2">
            <v:shape style="position:absolute;left:9715;top:391;width:900;height:2" coordorigin="9715,391" coordsize="900,0" path="m9715,391l10615,391e" filled="false" stroked="true" strokeweight=".47998pt" strokecolor="#000000">
              <v:path arrowok="t"/>
            </v:shape>
            <w10:wrap type="none"/>
          </v:group>
        </w:pict>
      </w:r>
      <w:r>
        <w:rPr>
          <w:rFonts w:ascii="宋体" w:hAnsi="宋体" w:cs="宋体" w:eastAsia="宋体" w:hint="default"/>
          <w:sz w:val="18"/>
          <w:szCs w:val="18"/>
        </w:rPr>
        <w:t>债务人排名</w:t>
        <w:tab/>
        <w:t>与本公司关系</w:t>
        <w:tab/>
        <w:t>性质或内容</w:t>
        <w:tab/>
        <w:t>欠款金额</w:t>
        <w:tab/>
        <w:t>账龄</w:t>
      </w:r>
    </w:p>
    <w:p>
      <w:pPr>
        <w:spacing w:line="345" w:lineRule="auto" w:before="44"/>
        <w:ind w:left="500" w:right="32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占其他应收 款总额的比 例</w:t>
      </w:r>
    </w:p>
    <w:p>
      <w:pPr>
        <w:spacing w:after="0" w:line="345" w:lineRule="auto"/>
        <w:jc w:val="center"/>
        <w:rPr>
          <w:rFonts w:ascii="宋体" w:hAnsi="宋体" w:cs="宋体" w:eastAsia="宋体" w:hint="default"/>
          <w:sz w:val="18"/>
          <w:szCs w:val="18"/>
        </w:rPr>
        <w:sectPr>
          <w:type w:val="continuous"/>
          <w:pgSz w:w="11910" w:h="16840"/>
          <w:pgMar w:top="1020" w:bottom="1520" w:left="860" w:right="960"/>
          <w:cols w:num="2" w:equalWidth="0">
            <w:col w:w="8316" w:space="40"/>
            <w:col w:w="1734"/>
          </w:cols>
        </w:sectPr>
      </w:pPr>
    </w:p>
    <w:p>
      <w:pPr>
        <w:tabs>
          <w:tab w:pos="3549" w:val="left" w:leader="none"/>
        </w:tabs>
        <w:spacing w:before="25"/>
        <w:ind w:left="400" w:right="-19" w:firstLine="0"/>
        <w:jc w:val="left"/>
        <w:rPr>
          <w:rFonts w:ascii="宋体" w:hAnsi="宋体" w:cs="宋体" w:eastAsia="宋体" w:hint="default"/>
          <w:sz w:val="18"/>
          <w:szCs w:val="18"/>
        </w:rPr>
      </w:pPr>
      <w:r>
        <w:rPr/>
        <w:pict>
          <v:group style="position:absolute;margin-left:503.76001pt;margin-top:-3.598296pt;width:9pt;height:.1pt;mso-position-horizontal-relative:page;mso-position-vertical-relative:paragraph;z-index:-621328" coordorigin="10075,-72" coordsize="180,2">
            <v:shape style="position:absolute;left:10075;top:-72;width:180;height:2" coordorigin="10075,-72" coordsize="180,0" path="m10075,-72l10255,-72e" filled="false" stroked="true" strokeweight=".48004pt" strokecolor="#000000">
              <v:path arrowok="t"/>
            </v:shape>
            <w10:wrap type="none"/>
          </v:group>
        </w:pict>
      </w:r>
      <w:r>
        <w:rPr>
          <w:rFonts w:ascii="宋体" w:hAnsi="宋体" w:cs="宋体" w:eastAsia="宋体" w:hint="default"/>
          <w:sz w:val="18"/>
          <w:szCs w:val="18"/>
        </w:rPr>
        <w:t>实益达科技（香港）有限公司</w:t>
        <w:tab/>
        <w:t>子公司</w:t>
      </w:r>
    </w:p>
    <w:p>
      <w:pPr>
        <w:spacing w:line="240" w:lineRule="auto" w:before="12"/>
        <w:rPr>
          <w:rFonts w:ascii="宋体" w:hAnsi="宋体" w:cs="宋体" w:eastAsia="宋体" w:hint="default"/>
          <w:sz w:val="14"/>
          <w:szCs w:val="14"/>
        </w:rPr>
      </w:pPr>
      <w:r>
        <w:rPr/>
        <w:br w:type="column"/>
      </w:r>
      <w:r>
        <w:rPr>
          <w:rFonts w:ascii="宋体"/>
          <w:sz w:val="14"/>
        </w:rPr>
      </w:r>
    </w:p>
    <w:p>
      <w:pPr>
        <w:spacing w:before="0"/>
        <w:ind w:left="400" w:right="-20" w:firstLine="0"/>
        <w:jc w:val="left"/>
        <w:rPr>
          <w:rFonts w:ascii="宋体" w:hAnsi="宋体" w:cs="宋体" w:eastAsia="宋体" w:hint="default"/>
          <w:sz w:val="18"/>
          <w:szCs w:val="18"/>
        </w:rPr>
      </w:pPr>
      <w:r>
        <w:rPr>
          <w:rFonts w:ascii="宋体" w:hAnsi="宋体" w:cs="宋体" w:eastAsia="宋体" w:hint="default"/>
          <w:sz w:val="18"/>
          <w:szCs w:val="18"/>
        </w:rPr>
        <w:t>往来款</w:t>
      </w:r>
    </w:p>
    <w:p>
      <w:pPr>
        <w:spacing w:before="39"/>
        <w:ind w:left="400" w:right="-8"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21"/>
        </w:rPr>
        <w:t>60,898,959.</w:t>
      </w:r>
    </w:p>
    <w:p>
      <w:pPr>
        <w:spacing w:before="98"/>
        <w:ind w:left="400" w:right="-8" w:firstLine="0"/>
        <w:jc w:val="left"/>
        <w:rPr>
          <w:rFonts w:ascii="Times New Roman" w:hAnsi="Times New Roman" w:cs="Times New Roman" w:eastAsia="Times New Roman" w:hint="default"/>
          <w:sz w:val="21"/>
          <w:szCs w:val="21"/>
        </w:rPr>
      </w:pPr>
      <w:r>
        <w:rPr>
          <w:rFonts w:ascii="Times New Roman"/>
          <w:sz w:val="21"/>
        </w:rPr>
        <w:t>67</w:t>
      </w:r>
    </w:p>
    <w:p>
      <w:pPr>
        <w:spacing w:line="240" w:lineRule="auto" w:before="11"/>
        <w:rPr>
          <w:rFonts w:ascii="Times New Roman" w:hAnsi="Times New Roman" w:cs="Times New Roman" w:eastAsia="Times New Roman" w:hint="default"/>
          <w:sz w:val="16"/>
          <w:szCs w:val="16"/>
        </w:rPr>
      </w:pPr>
      <w:r>
        <w:rPr/>
        <w:br w:type="column"/>
      </w:r>
      <w:r>
        <w:rPr>
          <w:rFonts w:ascii="Times New Roman"/>
          <w:sz w:val="16"/>
        </w:rPr>
      </w:r>
    </w:p>
    <w:p>
      <w:pPr>
        <w:tabs>
          <w:tab w:pos="1541" w:val="left" w:leader="none"/>
        </w:tabs>
        <w:spacing w:before="0"/>
        <w:ind w:left="31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87.75%</w:t>
      </w:r>
    </w:p>
    <w:p>
      <w:pPr>
        <w:spacing w:after="0"/>
        <w:jc w:val="left"/>
        <w:rPr>
          <w:rFonts w:ascii="Times New Roman" w:hAnsi="Times New Roman" w:cs="Times New Roman" w:eastAsia="Times New Roman" w:hint="default"/>
          <w:sz w:val="18"/>
          <w:szCs w:val="18"/>
        </w:rPr>
        <w:sectPr>
          <w:type w:val="continuous"/>
          <w:pgSz w:w="11910" w:h="16840"/>
          <w:pgMar w:top="1020" w:bottom="1520" w:left="860" w:right="960"/>
          <w:cols w:num="4" w:equalWidth="0">
            <w:col w:w="4091" w:space="679"/>
            <w:col w:w="941" w:space="337"/>
            <w:col w:w="1399" w:space="40"/>
            <w:col w:w="2603"/>
          </w:cols>
        </w:sectPr>
      </w:pPr>
    </w:p>
    <w:p>
      <w:pPr>
        <w:tabs>
          <w:tab w:pos="3279" w:val="left" w:leader="none"/>
          <w:tab w:pos="4989" w:val="left" w:leader="none"/>
          <w:tab w:pos="6546" w:val="left" w:leader="none"/>
          <w:tab w:pos="7797" w:val="left" w:leader="none"/>
          <w:tab w:pos="9072" w:val="left" w:leader="none"/>
        </w:tabs>
        <w:spacing w:before="85"/>
        <w:ind w:left="220" w:right="2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深圳市鹏基物业管理服务有限公司</w:t>
        <w:tab/>
        <w:t>新厂房承接商</w:t>
        <w:tab/>
        <w:t>新厂房工程</w:t>
        <w:tab/>
      </w:r>
      <w:r>
        <w:rPr>
          <w:rFonts w:ascii="Times New Roman" w:hAnsi="Times New Roman" w:cs="Times New Roman" w:eastAsia="Times New Roman" w:hint="default"/>
          <w:spacing w:val="-1"/>
          <w:sz w:val="18"/>
          <w:szCs w:val="18"/>
        </w:rPr>
        <w:t>2,070,000.00</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2.98%</w:t>
      </w:r>
    </w:p>
    <w:p>
      <w:pPr>
        <w:spacing w:after="0"/>
        <w:jc w:val="left"/>
        <w:rPr>
          <w:rFonts w:ascii="Times New Roman" w:hAnsi="Times New Roman" w:cs="Times New Roman" w:eastAsia="Times New Roman" w:hint="default"/>
          <w:sz w:val="18"/>
          <w:szCs w:val="18"/>
        </w:rPr>
        <w:sectPr>
          <w:type w:val="continuous"/>
          <w:pgSz w:w="11910" w:h="16840"/>
          <w:pgMar w:top="1020" w:bottom="1520" w:left="860" w:right="960"/>
        </w:sectPr>
      </w:pPr>
    </w:p>
    <w:p>
      <w:pPr>
        <w:tabs>
          <w:tab w:pos="3549" w:val="left" w:leader="none"/>
        </w:tabs>
        <w:spacing w:before="90"/>
        <w:ind w:left="580" w:right="-19" w:firstLine="0"/>
        <w:jc w:val="left"/>
        <w:rPr>
          <w:rFonts w:ascii="宋体" w:hAnsi="宋体" w:cs="宋体" w:eastAsia="宋体" w:hint="default"/>
          <w:sz w:val="18"/>
          <w:szCs w:val="18"/>
        </w:rPr>
      </w:pPr>
      <w:r>
        <w:rPr>
          <w:rFonts w:ascii="宋体" w:hAnsi="宋体" w:cs="宋体" w:eastAsia="宋体" w:hint="default"/>
          <w:sz w:val="18"/>
          <w:szCs w:val="18"/>
        </w:rPr>
        <w:t>无锡实益达电子有限公司</w:t>
        <w:tab/>
        <w:t>子公司</w:t>
      </w:r>
    </w:p>
    <w:p>
      <w:pPr>
        <w:spacing w:line="240" w:lineRule="auto" w:before="12"/>
        <w:rPr>
          <w:rFonts w:ascii="宋体" w:hAnsi="宋体" w:cs="宋体" w:eastAsia="宋体" w:hint="default"/>
          <w:sz w:val="19"/>
          <w:szCs w:val="19"/>
        </w:rPr>
      </w:pPr>
      <w:r>
        <w:rPr/>
        <w:br w:type="column"/>
      </w:r>
      <w:r>
        <w:rPr>
          <w:rFonts w:ascii="宋体"/>
          <w:sz w:val="19"/>
        </w:rPr>
      </w:r>
    </w:p>
    <w:p>
      <w:pPr>
        <w:spacing w:before="0"/>
        <w:ind w:left="580" w:right="-20" w:firstLine="0"/>
        <w:jc w:val="left"/>
        <w:rPr>
          <w:rFonts w:ascii="宋体" w:hAnsi="宋体" w:cs="宋体" w:eastAsia="宋体" w:hint="default"/>
          <w:sz w:val="18"/>
          <w:szCs w:val="18"/>
        </w:rPr>
      </w:pPr>
      <w:r>
        <w:rPr>
          <w:rFonts w:ascii="宋体" w:hAnsi="宋体" w:cs="宋体" w:eastAsia="宋体" w:hint="default"/>
          <w:sz w:val="18"/>
          <w:szCs w:val="18"/>
        </w:rPr>
        <w:t>往来款</w:t>
      </w:r>
    </w:p>
    <w:p>
      <w:pPr>
        <w:spacing w:before="104"/>
        <w:ind w:left="580" w:right="-9" w:firstLine="0"/>
        <w:jc w:val="left"/>
        <w:rPr>
          <w:rFonts w:ascii="Times New Roman" w:hAnsi="Times New Roman" w:cs="Times New Roman" w:eastAsia="Times New Roman" w:hint="default"/>
          <w:sz w:val="21"/>
          <w:szCs w:val="21"/>
        </w:rPr>
      </w:pPr>
      <w:r>
        <w:rPr>
          <w:spacing w:val="-1"/>
        </w:rPr>
        <w:br w:type="column"/>
      </w:r>
      <w:r>
        <w:rPr>
          <w:rFonts w:ascii="Times New Roman"/>
          <w:spacing w:val="-1"/>
          <w:sz w:val="21"/>
        </w:rPr>
        <w:t>1,750,000.0</w:t>
      </w:r>
    </w:p>
    <w:p>
      <w:pPr>
        <w:spacing w:before="98"/>
        <w:ind w:left="561" w:right="871" w:firstLine="0"/>
        <w:jc w:val="center"/>
        <w:rPr>
          <w:rFonts w:ascii="Times New Roman" w:hAnsi="Times New Roman" w:cs="Times New Roman" w:eastAsia="Times New Roman" w:hint="default"/>
          <w:sz w:val="21"/>
          <w:szCs w:val="21"/>
        </w:rPr>
      </w:pPr>
      <w:r>
        <w:rPr>
          <w:rFonts w:ascii="Times New Roman"/>
          <w:sz w:val="21"/>
        </w:rPr>
        <w:t>0</w:t>
      </w:r>
    </w:p>
    <w:p>
      <w:pPr>
        <w:spacing w:line="240" w:lineRule="auto" w:before="8"/>
        <w:rPr>
          <w:rFonts w:ascii="Times New Roman" w:hAnsi="Times New Roman" w:cs="Times New Roman" w:eastAsia="Times New Roman" w:hint="default"/>
          <w:sz w:val="22"/>
          <w:szCs w:val="22"/>
        </w:rPr>
      </w:pPr>
      <w:r>
        <w:rPr/>
        <w:br w:type="column"/>
      </w:r>
      <w:r>
        <w:rPr>
          <w:rFonts w:ascii="Times New Roman"/>
          <w:sz w:val="22"/>
        </w:rPr>
      </w:r>
    </w:p>
    <w:p>
      <w:pPr>
        <w:tabs>
          <w:tab w:pos="1586" w:val="left" w:leader="none"/>
        </w:tabs>
        <w:spacing w:before="0"/>
        <w:ind w:left="31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Times New Roman" w:hAnsi="Times New Roman" w:cs="Times New Roman" w:eastAsia="Times New Roman" w:hint="default"/>
          <w:sz w:val="18"/>
          <w:szCs w:val="18"/>
        </w:rPr>
        <w:t>2.52%</w:t>
      </w:r>
    </w:p>
    <w:p>
      <w:pPr>
        <w:spacing w:after="0"/>
        <w:jc w:val="left"/>
        <w:rPr>
          <w:rFonts w:ascii="Times New Roman" w:hAnsi="Times New Roman" w:cs="Times New Roman" w:eastAsia="Times New Roman" w:hint="default"/>
          <w:sz w:val="18"/>
          <w:szCs w:val="18"/>
        </w:rPr>
        <w:sectPr>
          <w:type w:val="continuous"/>
          <w:pgSz w:w="11910" w:h="16840"/>
          <w:pgMar w:top="1020" w:bottom="1520" w:left="860" w:right="960"/>
          <w:cols w:num="4" w:equalWidth="0">
            <w:col w:w="4091" w:space="499"/>
            <w:col w:w="1121" w:space="157"/>
            <w:col w:w="1578" w:space="40"/>
            <w:col w:w="2604"/>
          </w:cols>
        </w:sectPr>
      </w:pPr>
    </w:p>
    <w:p>
      <w:pPr>
        <w:spacing w:line="240" w:lineRule="auto" w:before="6"/>
        <w:rPr>
          <w:rFonts w:ascii="Times New Roman" w:hAnsi="Times New Roman" w:cs="Times New Roman" w:eastAsia="Times New Roman" w:hint="default"/>
          <w:sz w:val="3"/>
          <w:szCs w:val="3"/>
        </w:rPr>
      </w:pPr>
    </w:p>
    <w:tbl>
      <w:tblPr>
        <w:tblW w:w="0" w:type="auto"/>
        <w:jc w:val="left"/>
        <w:tblInd w:w="275" w:type="dxa"/>
        <w:tblLayout w:type="fixed"/>
        <w:tblCellMar>
          <w:top w:w="0" w:type="dxa"/>
          <w:left w:w="0" w:type="dxa"/>
          <w:bottom w:w="0" w:type="dxa"/>
          <w:right w:w="0" w:type="dxa"/>
        </w:tblCellMar>
        <w:tblLook w:val="01E0"/>
      </w:tblPr>
      <w:tblGrid>
        <w:gridCol w:w="2825"/>
        <w:gridCol w:w="1381"/>
        <w:gridCol w:w="1886"/>
        <w:gridCol w:w="1278"/>
        <w:gridCol w:w="1127"/>
        <w:gridCol w:w="801"/>
      </w:tblGrid>
      <w:tr>
        <w:trPr>
          <w:trHeight w:val="365"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日东电子科技（深圳）有限公司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 w:right="0"/>
              <w:jc w:val="center"/>
              <w:rPr>
                <w:rFonts w:ascii="宋体" w:hAnsi="宋体" w:cs="宋体" w:eastAsia="宋体" w:hint="default"/>
                <w:sz w:val="18"/>
                <w:szCs w:val="18"/>
              </w:rPr>
            </w:pPr>
            <w:r>
              <w:rPr>
                <w:rFonts w:ascii="宋体" w:hAnsi="宋体" w:cs="宋体" w:eastAsia="宋体" w:hint="default"/>
                <w:sz w:val="18"/>
                <w:szCs w:val="18"/>
              </w:rPr>
              <w:t>出售固定资产</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0"/>
              <w:jc w:val="right"/>
              <w:rPr>
                <w:rFonts w:ascii="Times New Roman" w:hAnsi="Times New Roman" w:cs="Times New Roman" w:eastAsia="Times New Roman" w:hint="default"/>
                <w:sz w:val="18"/>
                <w:szCs w:val="18"/>
              </w:rPr>
            </w:pPr>
            <w:r>
              <w:rPr>
                <w:rFonts w:ascii="Times New Roman"/>
                <w:spacing w:val="-1"/>
                <w:sz w:val="18"/>
              </w:rPr>
              <w:t>1,140,000.00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w w:val="95"/>
                <w:sz w:val="18"/>
              </w:rPr>
              <w:t>1.64%</w:t>
            </w:r>
            <w:r>
              <w:rPr>
                <w:rFonts w:ascii="Times New Roman"/>
                <w:sz w:val="18"/>
              </w:rPr>
            </w:r>
          </w:p>
        </w:tc>
      </w:tr>
      <w:tr>
        <w:trPr>
          <w:trHeight w:val="349"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明基逐鹿软件（苏州）有限公司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8" w:right="0"/>
              <w:jc w:val="center"/>
              <w:rPr>
                <w:rFonts w:ascii="宋体" w:hAnsi="宋体" w:cs="宋体" w:eastAsia="宋体" w:hint="default"/>
                <w:sz w:val="18"/>
                <w:szCs w:val="18"/>
              </w:rPr>
            </w:pPr>
            <w:r>
              <w:rPr>
                <w:rFonts w:ascii="宋体" w:hAnsi="宋体" w:cs="宋体" w:eastAsia="宋体" w:hint="default"/>
                <w:sz w:val="18"/>
                <w:szCs w:val="18"/>
              </w:rPr>
              <w:t>软件供应商</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软件授权项目</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0"/>
              <w:jc w:val="right"/>
              <w:rPr>
                <w:rFonts w:ascii="Times New Roman" w:hAnsi="Times New Roman" w:cs="Times New Roman" w:eastAsia="Times New Roman" w:hint="default"/>
                <w:sz w:val="18"/>
                <w:szCs w:val="18"/>
              </w:rPr>
            </w:pPr>
            <w:r>
              <w:rPr>
                <w:rFonts w:ascii="Times New Roman"/>
                <w:sz w:val="18"/>
              </w:rPr>
              <w:t>699,520.00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r>
    </w:tbl>
    <w:p>
      <w:pPr>
        <w:spacing w:line="250" w:lineRule="exact" w:before="0"/>
        <w:ind w:left="1360" w:right="219" w:firstLine="0"/>
        <w:jc w:val="left"/>
        <w:rPr>
          <w:rFonts w:ascii="宋体" w:hAnsi="宋体" w:cs="宋体" w:eastAsia="宋体" w:hint="default"/>
          <w:sz w:val="21"/>
          <w:szCs w:val="21"/>
        </w:rPr>
      </w:pPr>
      <w:r>
        <w:rPr>
          <w:rFonts w:ascii="宋体" w:hAnsi="宋体" w:cs="宋体" w:eastAsia="宋体" w:hint="default"/>
          <w:spacing w:val="-3"/>
          <w:sz w:val="21"/>
          <w:szCs w:val="21"/>
        </w:rPr>
        <w:t>9、其他应收款年末数比年初数增加 </w:t>
      </w:r>
      <w:r>
        <w:rPr>
          <w:rFonts w:ascii="宋体" w:hAnsi="宋体" w:cs="宋体" w:eastAsia="宋体" w:hint="default"/>
          <w:sz w:val="21"/>
          <w:szCs w:val="21"/>
        </w:rPr>
        <w:t>65,806,851.44 </w:t>
      </w:r>
      <w:r>
        <w:rPr>
          <w:rFonts w:ascii="宋体" w:hAnsi="宋体" w:cs="宋体" w:eastAsia="宋体" w:hint="default"/>
          <w:spacing w:val="-6"/>
          <w:sz w:val="21"/>
          <w:szCs w:val="21"/>
        </w:rPr>
        <w:t>元，增加比例为</w:t>
      </w:r>
      <w:r>
        <w:rPr>
          <w:rFonts w:ascii="宋体" w:hAnsi="宋体" w:cs="宋体" w:eastAsia="宋体" w:hint="default"/>
          <w:spacing w:val="-78"/>
          <w:sz w:val="21"/>
          <w:szCs w:val="21"/>
        </w:rPr>
        <w:t> </w:t>
      </w:r>
      <w:r>
        <w:rPr>
          <w:rFonts w:ascii="宋体" w:hAnsi="宋体" w:cs="宋体" w:eastAsia="宋体" w:hint="default"/>
          <w:spacing w:val="-3"/>
          <w:sz w:val="21"/>
          <w:szCs w:val="21"/>
        </w:rPr>
        <w:t>1,832.87％，增加</w:t>
      </w:r>
    </w:p>
    <w:p>
      <w:pPr>
        <w:spacing w:before="66"/>
        <w:ind w:left="940" w:right="219" w:firstLine="0"/>
        <w:jc w:val="left"/>
        <w:rPr>
          <w:rFonts w:ascii="宋体" w:hAnsi="宋体" w:cs="宋体" w:eastAsia="宋体" w:hint="default"/>
          <w:sz w:val="21"/>
          <w:szCs w:val="21"/>
        </w:rPr>
      </w:pPr>
      <w:r>
        <w:rPr>
          <w:rFonts w:ascii="宋体" w:hAnsi="宋体" w:cs="宋体" w:eastAsia="宋体" w:hint="default"/>
          <w:sz w:val="21"/>
          <w:szCs w:val="21"/>
        </w:rPr>
        <w:t>原因为：子公司香港实益达科技有限公司代收货款增加所致。</w:t>
      </w:r>
    </w:p>
    <w:p>
      <w:pPr>
        <w:spacing w:before="64"/>
        <w:ind w:left="1362" w:right="219" w:firstLine="0"/>
        <w:jc w:val="left"/>
        <w:rPr>
          <w:rFonts w:ascii="宋体" w:hAnsi="宋体" w:cs="宋体" w:eastAsia="宋体" w:hint="default"/>
          <w:sz w:val="21"/>
          <w:szCs w:val="21"/>
        </w:rPr>
      </w:pPr>
      <w:r>
        <w:rPr>
          <w:rFonts w:ascii="宋体" w:hAnsi="宋体" w:cs="宋体" w:eastAsia="宋体" w:hint="default"/>
          <w:b/>
          <w:bCs/>
          <w:sz w:val="21"/>
          <w:szCs w:val="21"/>
        </w:rPr>
        <w:t>（三）长期股权投资</w:t>
      </w:r>
      <w:r>
        <w:rPr>
          <w:rFonts w:ascii="宋体" w:hAnsi="宋体" w:cs="宋体" w:eastAsia="宋体" w:hint="default"/>
          <w:sz w:val="21"/>
          <w:szCs w:val="21"/>
        </w:rPr>
      </w:r>
    </w:p>
    <w:p>
      <w:pPr>
        <w:tabs>
          <w:tab w:pos="8139" w:val="left" w:leader="none"/>
        </w:tabs>
        <w:spacing w:before="100"/>
        <w:ind w:left="5080" w:right="219" w:firstLine="0"/>
        <w:jc w:val="left"/>
        <w:rPr>
          <w:rFonts w:ascii="宋体" w:hAnsi="宋体" w:cs="宋体" w:eastAsia="宋体" w:hint="default"/>
          <w:sz w:val="18"/>
          <w:szCs w:val="18"/>
        </w:rPr>
      </w:pPr>
      <w:r>
        <w:rPr/>
        <w:pict>
          <v:group style="position:absolute;margin-left:233.639999pt;margin-top:19.172028pt;width:306pt;height:.1pt;mso-position-horizontal-relative:page;mso-position-vertical-relative:paragraph;z-index:-621304" coordorigin="4673,383" coordsize="6120,2">
            <v:shape style="position:absolute;left:4673;top:383;width:6120;height:2" coordorigin="4673,383" coordsize="6120,0" path="m4673,383l10793,383e" filled="false" stroked="true" strokeweight=".48004pt" strokecolor="#000000">
              <v:path arrowok="t"/>
            </v:shape>
            <w10:wrap type="none"/>
          </v:group>
        </w:pict>
      </w:r>
      <w:r>
        <w:rPr>
          <w:rFonts w:ascii="宋体" w:hAnsi="宋体" w:cs="宋体" w:eastAsia="宋体" w:hint="default"/>
          <w:sz w:val="18"/>
          <w:szCs w:val="18"/>
        </w:rPr>
        <w:t>年末数</w:t>
        <w:tab/>
        <w:t>年初数</w:t>
      </w:r>
    </w:p>
    <w:tbl>
      <w:tblPr>
        <w:tblW w:w="0" w:type="auto"/>
        <w:jc w:val="left"/>
        <w:tblInd w:w="545" w:type="dxa"/>
        <w:tblLayout w:type="fixed"/>
        <w:tblCellMar>
          <w:top w:w="0" w:type="dxa"/>
          <w:left w:w="0" w:type="dxa"/>
          <w:bottom w:w="0" w:type="dxa"/>
          <w:right w:w="0" w:type="dxa"/>
        </w:tblCellMar>
        <w:tblLook w:val="01E0"/>
      </w:tblPr>
      <w:tblGrid>
        <w:gridCol w:w="3268"/>
        <w:gridCol w:w="1519"/>
        <w:gridCol w:w="101"/>
        <w:gridCol w:w="233"/>
        <w:gridCol w:w="252"/>
        <w:gridCol w:w="720"/>
        <w:gridCol w:w="1574"/>
        <w:gridCol w:w="101"/>
        <w:gridCol w:w="233"/>
        <w:gridCol w:w="342"/>
        <w:gridCol w:w="720"/>
        <w:gridCol w:w="325"/>
      </w:tblGrid>
      <w:tr>
        <w:trPr>
          <w:trHeight w:val="180" w:hRule="exact"/>
        </w:trPr>
        <w:tc>
          <w:tcPr>
            <w:tcW w:w="3268" w:type="dxa"/>
            <w:tcBorders>
              <w:top w:val="nil" w:sz="6" w:space="0" w:color="auto"/>
              <w:left w:val="nil" w:sz="6" w:space="0" w:color="auto"/>
              <w:bottom w:val="single" w:sz="4" w:space="0" w:color="000000"/>
              <w:right w:val="nil" w:sz="6" w:space="0" w:color="auto"/>
            </w:tcBorders>
          </w:tcPr>
          <w:p>
            <w:pPr>
              <w:pStyle w:val="TableParagraph"/>
              <w:spacing w:line="175" w:lineRule="exact"/>
              <w:ind w:left="75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6120" w:type="dxa"/>
            <w:gridSpan w:val="11"/>
            <w:tcBorders>
              <w:top w:val="nil" w:sz="6" w:space="0" w:color="auto"/>
              <w:left w:val="nil" w:sz="6" w:space="0" w:color="auto"/>
              <w:bottom w:val="nil" w:sz="6" w:space="0" w:color="auto"/>
              <w:right w:val="nil" w:sz="6" w:space="0" w:color="auto"/>
            </w:tcBorders>
          </w:tcPr>
          <w:p>
            <w:pPr/>
          </w:p>
        </w:tc>
      </w:tr>
      <w:tr>
        <w:trPr>
          <w:trHeight w:val="182" w:hRule="exact"/>
        </w:trPr>
        <w:tc>
          <w:tcPr>
            <w:tcW w:w="3268" w:type="dxa"/>
            <w:tcBorders>
              <w:top w:val="single" w:sz="4" w:space="0" w:color="000000"/>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center"/>
              <w:rPr>
                <w:rFonts w:ascii="宋体" w:hAnsi="宋体" w:cs="宋体" w:eastAsia="宋体" w:hint="default"/>
                <w:sz w:val="18"/>
                <w:szCs w:val="18"/>
              </w:rPr>
            </w:pPr>
            <w:r>
              <w:rPr>
                <w:rFonts w:ascii="宋体" w:hAnsi="宋体" w:cs="宋体" w:eastAsia="宋体" w:hint="default"/>
                <w:w w:val="95"/>
                <w:sz w:val="18"/>
                <w:szCs w:val="18"/>
              </w:rPr>
              <w:t>减值准备</w:t>
            </w:r>
          </w:p>
        </w:tc>
        <w:tc>
          <w:tcPr>
            <w:tcW w:w="1574"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170" w:lineRule="exact"/>
              <w:ind w:left="-1"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325" w:type="dxa"/>
            <w:tcBorders>
              <w:top w:val="nil" w:sz="6" w:space="0" w:color="auto"/>
              <w:left w:val="nil" w:sz="6" w:space="0" w:color="auto"/>
              <w:bottom w:val="nil" w:sz="6" w:space="0" w:color="auto"/>
              <w:right w:val="nil" w:sz="6" w:space="0" w:color="auto"/>
            </w:tcBorders>
          </w:tcPr>
          <w:p>
            <w:pPr/>
          </w:p>
        </w:tc>
      </w:tr>
      <w:tr>
        <w:trPr>
          <w:trHeight w:val="418"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5" w:right="0"/>
              <w:jc w:val="left"/>
              <w:rPr>
                <w:rFonts w:ascii="宋体" w:hAnsi="宋体" w:cs="宋体" w:eastAsia="宋体" w:hint="default"/>
                <w:sz w:val="18"/>
                <w:szCs w:val="18"/>
              </w:rPr>
            </w:pPr>
            <w:r>
              <w:rPr>
                <w:rFonts w:ascii="宋体" w:hAnsi="宋体" w:cs="宋体" w:eastAsia="宋体" w:hint="default"/>
                <w:sz w:val="18"/>
                <w:szCs w:val="18"/>
              </w:rPr>
              <w:t>无锡实益达电子有限公司</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29,754,493.46</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29,754,493.46</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c>
          <w:tcPr>
            <w:tcW w:w="325" w:type="dxa"/>
            <w:tcBorders>
              <w:top w:val="nil" w:sz="6" w:space="0" w:color="auto"/>
              <w:left w:val="nil" w:sz="6" w:space="0" w:color="auto"/>
              <w:bottom w:val="nil" w:sz="6" w:space="0" w:color="auto"/>
              <w:right w:val="nil" w:sz="6" w:space="0" w:color="auto"/>
            </w:tcBorders>
          </w:tcPr>
          <w:p>
            <w:pPr/>
          </w:p>
        </w:tc>
      </w:tr>
      <w:tr>
        <w:trPr>
          <w:trHeight w:val="340"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5" w:right="0"/>
              <w:jc w:val="left"/>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519,700.00</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519,700.00</w:t>
            </w: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w:t>
            </w:r>
          </w:p>
        </w:tc>
        <w:tc>
          <w:tcPr>
            <w:tcW w:w="325" w:type="dxa"/>
            <w:tcBorders>
              <w:top w:val="nil" w:sz="6" w:space="0" w:color="auto"/>
              <w:left w:val="nil" w:sz="6" w:space="0" w:color="auto"/>
              <w:bottom w:val="nil" w:sz="6" w:space="0" w:color="auto"/>
              <w:right w:val="nil" w:sz="6" w:space="0" w:color="auto"/>
            </w:tcBorders>
          </w:tcPr>
          <w:p>
            <w:pPr/>
          </w:p>
        </w:tc>
      </w:tr>
      <w:tr>
        <w:trPr>
          <w:trHeight w:val="302" w:hRule="exact"/>
        </w:trPr>
        <w:tc>
          <w:tcPr>
            <w:tcW w:w="3268"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4"/>
              <w:ind w:left="1025"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30,274,193.46</w:t>
            </w:r>
          </w:p>
        </w:tc>
        <w:tc>
          <w:tcPr>
            <w:tcW w:w="101"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single" w:sz="4" w:space="0" w:color="000000"/>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30,274,193.46</w:t>
            </w:r>
          </w:p>
        </w:tc>
        <w:tc>
          <w:tcPr>
            <w:tcW w:w="101"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single" w:sz="4" w:space="0" w:color="000000"/>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325" w:type="dxa"/>
            <w:tcBorders>
              <w:top w:val="nil" w:sz="6" w:space="0" w:color="auto"/>
              <w:left w:val="nil" w:sz="6" w:space="0" w:color="auto"/>
              <w:bottom w:val="single" w:sz="4" w:space="0" w:color="000000"/>
              <w:right w:val="nil" w:sz="6" w:space="0" w:color="auto"/>
            </w:tcBorders>
          </w:tcPr>
          <w:p>
            <w:pPr/>
          </w:p>
        </w:tc>
      </w:tr>
      <w:tr>
        <w:trPr>
          <w:trHeight w:val="776" w:hRule="exact"/>
        </w:trPr>
        <w:tc>
          <w:tcPr>
            <w:tcW w:w="3268"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348" w:lineRule="auto" w:before="62"/>
              <w:ind w:left="1025" w:right="530" w:hanging="990"/>
              <w:jc w:val="left"/>
              <w:rPr>
                <w:rFonts w:ascii="宋体" w:hAnsi="宋体" w:cs="宋体" w:eastAsia="宋体" w:hint="default"/>
                <w:sz w:val="18"/>
                <w:szCs w:val="18"/>
              </w:rPr>
            </w:pPr>
            <w:r>
              <w:rPr>
                <w:rFonts w:ascii="宋体" w:hAnsi="宋体" w:cs="宋体" w:eastAsia="宋体" w:hint="default"/>
                <w:sz w:val="18"/>
                <w:szCs w:val="18"/>
              </w:rPr>
              <w:t>其他按成本法核算的长期股权投资 合</w:t>
              <w:tab/>
              <w:t>计</w:t>
            </w: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396" w:lineRule="auto" w:before="99"/>
              <w:ind w:left="483" w:right="0" w:firstLine="85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30,274,193.46</w:t>
            </w:r>
          </w:p>
        </w:tc>
        <w:tc>
          <w:tcPr>
            <w:tcW w:w="101" w:type="dxa"/>
            <w:tcBorders>
              <w:top w:val="single" w:sz="4" w:space="0" w:color="000000"/>
              <w:left w:val="nil" w:sz="6" w:space="0" w:color="auto"/>
              <w:bottom w:val="single" w:sz="1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single" w:sz="4" w:space="0" w:color="000000"/>
              <w:left w:val="nil" w:sz="6" w:space="0" w:color="auto"/>
              <w:bottom w:val="single" w:sz="12" w:space="0" w:color="000000"/>
              <w:right w:val="nil" w:sz="6" w:space="0" w:color="auto"/>
            </w:tcBorders>
          </w:tcPr>
          <w:p>
            <w:pPr/>
          </w:p>
        </w:tc>
        <w:tc>
          <w:tcPr>
            <w:tcW w:w="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396" w:lineRule="auto" w:before="99"/>
              <w:ind w:left="538" w:right="0" w:firstLine="85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30,274,193.46</w:t>
            </w:r>
          </w:p>
        </w:tc>
        <w:tc>
          <w:tcPr>
            <w:tcW w:w="101" w:type="dxa"/>
            <w:tcBorders>
              <w:top w:val="single" w:sz="4" w:space="0" w:color="000000"/>
              <w:left w:val="nil" w:sz="6" w:space="0" w:color="auto"/>
              <w:bottom w:val="single" w:sz="12"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single" w:sz="4" w:space="0" w:color="000000"/>
              <w:left w:val="nil" w:sz="6" w:space="0" w:color="auto"/>
              <w:bottom w:val="single" w:sz="12" w:space="0" w:color="000000"/>
              <w:right w:val="nil" w:sz="6" w:space="0" w:color="auto"/>
            </w:tcBorders>
          </w:tcPr>
          <w:p>
            <w:pPr/>
          </w:p>
        </w:tc>
        <w:tc>
          <w:tcPr>
            <w:tcW w:w="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325" w:type="dxa"/>
            <w:tcBorders>
              <w:top w:val="single" w:sz="4" w:space="0" w:color="000000"/>
              <w:left w:val="nil" w:sz="6" w:space="0" w:color="auto"/>
              <w:bottom w:val="single" w:sz="12" w:space="0" w:color="000000"/>
              <w:right w:val="nil" w:sz="6" w:space="0" w:color="auto"/>
            </w:tcBorders>
          </w:tcPr>
          <w:p>
            <w:pPr/>
          </w:p>
        </w:tc>
      </w:tr>
      <w:tr>
        <w:trPr>
          <w:trHeight w:val="417"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15"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1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3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20" w:lineRule="exact"/>
        <w:ind w:left="3438" w:right="0" w:firstLine="0"/>
        <w:rPr>
          <w:rFonts w:ascii="宋体" w:hAnsi="宋体" w:cs="宋体" w:eastAsia="宋体" w:hint="default"/>
          <w:sz w:val="2"/>
          <w:szCs w:val="2"/>
        </w:rPr>
      </w:pPr>
      <w:r>
        <w:rPr>
          <w:rFonts w:ascii="宋体" w:hAnsi="宋体" w:cs="宋体" w:eastAsia="宋体" w:hint="default"/>
          <w:sz w:val="2"/>
          <w:szCs w:val="2"/>
        </w:rPr>
        <w:pict>
          <v:group style="width:325.45pt;height:.75pt;mso-position-horizontal-relative:char;mso-position-vertical-relative:line" coordorigin="0,0" coordsize="6509,15">
            <v:group style="position:absolute;left:7;top:7;width:1428;height:2" coordorigin="7,7" coordsize="1428,2">
              <v:shape style="position:absolute;left:7;top:7;width:1428;height:2" coordorigin="7,7" coordsize="1428,0" path="m7,7l1435,7e" filled="false" stroked="true" strokeweight=".72pt" strokecolor="#000000">
                <v:path arrowok="t"/>
              </v:shape>
            </v:group>
            <v:group style="position:absolute;left:1421;top:7;width:105;height:2" coordorigin="1421,7" coordsize="105,2">
              <v:shape style="position:absolute;left:1421;top:7;width:105;height:2" coordorigin="1421,7" coordsize="105,0" path="m1421,7l1525,7e" filled="false" stroked="true" strokeweight=".72pt" strokecolor="#000000">
                <v:path arrowok="t"/>
              </v:shape>
            </v:group>
            <v:group style="position:absolute;left:1525;top:7;width:1320;height:2" coordorigin="1525,7" coordsize="1320,2">
              <v:shape style="position:absolute;left:1525;top:7;width:1320;height:2" coordorigin="1525,7" coordsize="1320,0" path="m1525,7l2845,7e" filled="false" stroked="true" strokeweight=".72pt" strokecolor="#000000">
                <v:path arrowok="t"/>
              </v:shape>
            </v:group>
            <v:group style="position:absolute;left:2831;top:7;width:105;height:2" coordorigin="2831,7" coordsize="105,2">
              <v:shape style="position:absolute;left:2831;top:7;width:105;height:2" coordorigin="2831,7" coordsize="105,0" path="m2831,7l2935,7e" filled="false" stroked="true" strokeweight=".72pt" strokecolor="#000000">
                <v:path arrowok="t"/>
              </v:shape>
            </v:group>
            <v:group style="position:absolute;left:2935;top:7;width:932;height:2" coordorigin="2935,7" coordsize="932,2">
              <v:shape style="position:absolute;left:2935;top:7;width:932;height:2" coordorigin="2935,7" coordsize="932,0" path="m2935,7l3866,7e" filled="false" stroked="true" strokeweight=".72pt" strokecolor="#000000">
                <v:path arrowok="t"/>
              </v:shape>
            </v:group>
            <v:group style="position:absolute;left:3852;top:7;width:105;height:2" coordorigin="3852,7" coordsize="105,2">
              <v:shape style="position:absolute;left:3852;top:7;width:105;height:2" coordorigin="3852,7" coordsize="105,0" path="m3852,7l3956,7e" filled="false" stroked="true" strokeweight=".72pt" strokecolor="#000000">
                <v:path arrowok="t"/>
              </v:shape>
            </v:group>
            <v:group style="position:absolute;left:3956;top:7;width:1049;height:2" coordorigin="3956,7" coordsize="1049,2">
              <v:shape style="position:absolute;left:3956;top:7;width:1049;height:2" coordorigin="3956,7" coordsize="1049,0" path="m3956,7l5005,7e" filled="false" stroked="true" strokeweight=".72pt" strokecolor="#000000">
                <v:path arrowok="t"/>
              </v:shape>
            </v:group>
            <v:group style="position:absolute;left:4991;top:7;width:105;height:2" coordorigin="4991,7" coordsize="105,2">
              <v:shape style="position:absolute;left:4991;top:7;width:105;height:2" coordorigin="4991,7" coordsize="105,0" path="m4991,7l5095,7e" filled="false" stroked="true" strokeweight=".72pt" strokecolor="#000000">
                <v:path arrowok="t"/>
              </v:shape>
            </v:group>
            <v:group style="position:absolute;left:5095;top:7;width:1407;height:2" coordorigin="5095,7" coordsize="1407,2">
              <v:shape style="position:absolute;left:5095;top:7;width:1407;height:2" coordorigin="5095,7" coordsize="1407,0" path="m5095,7l6502,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5"/>
          <w:szCs w:val="5"/>
        </w:rPr>
      </w:pPr>
    </w:p>
    <w:p>
      <w:pPr>
        <w:spacing w:before="35"/>
        <w:ind w:left="1362" w:right="219" w:firstLine="0"/>
        <w:jc w:val="left"/>
        <w:rPr>
          <w:rFonts w:ascii="宋体" w:hAnsi="宋体" w:cs="宋体" w:eastAsia="宋体" w:hint="default"/>
          <w:sz w:val="21"/>
          <w:szCs w:val="21"/>
        </w:rPr>
      </w:pPr>
      <w:r>
        <w:rPr/>
        <w:pict>
          <v:group style="position:absolute;margin-left:233.279999pt;margin-top:-95.186028pt;width:81.75pt;height:.1pt;mso-position-horizontal-relative:page;mso-position-vertical-relative:paragraph;z-index:-621280" coordorigin="4666,-1904" coordsize="1635,2">
            <v:shape style="position:absolute;left:4666;top:-1904;width:1635;height:2" coordorigin="4666,-1904" coordsize="1635,0" path="m4666,-1904l6300,-1904e" filled="false" stroked="true" strokeweight=".72pt" strokecolor="#000000">
              <v:path arrowok="t"/>
            </v:shape>
            <w10:wrap type="none"/>
          </v:group>
        </w:pict>
      </w:r>
      <w:r>
        <w:rPr/>
        <w:pict>
          <v:group style="position:absolute;margin-left:325.739990pt;margin-top:-95.546028pt;width:133.65pt;height:.75pt;mso-position-horizontal-relative:page;mso-position-vertical-relative:paragraph;z-index:-621256" coordorigin="6515,-1911" coordsize="2673,15">
            <v:group style="position:absolute;left:6522;top:-1904;width:1218;height:2" coordorigin="6522,-1904" coordsize="1218,2">
              <v:shape style="position:absolute;left:6522;top:-1904;width:1218;height:2" coordorigin="6522,-1904" coordsize="1218,0" path="m6522,-1904l7740,-1904e" filled="false" stroked="true" strokeweight=".72pt" strokecolor="#000000">
                <v:path arrowok="t"/>
              </v:shape>
            </v:group>
            <v:group style="position:absolute;left:7726;top:-1904;width:105;height:2" coordorigin="7726,-1904" coordsize="105,2">
              <v:shape style="position:absolute;left:7726;top:-1904;width:105;height:2" coordorigin="7726,-1904" coordsize="105,0" path="m7726,-1904l7830,-1904e" filled="false" stroked="true" strokeweight=".72pt" strokecolor="#000000">
                <v:path arrowok="t"/>
              </v:shape>
            </v:group>
            <v:group style="position:absolute;left:7830;top:-1904;width:1350;height:2" coordorigin="7830,-1904" coordsize="1350,2">
              <v:shape style="position:absolute;left:7830;top:-1904;width:1350;height:2" coordorigin="7830,-1904" coordsize="1350,0" path="m7830,-1904l9180,-1904e" filled="false" stroked="true" strokeweight=".72pt" strokecolor="#000000">
                <v:path arrowok="t"/>
              </v:shape>
            </v:group>
            <w10:wrap type="none"/>
          </v:group>
        </w:pict>
      </w:r>
      <w:r>
        <w:rPr/>
        <w:pict>
          <v:group style="position:absolute;margin-left:470.100006pt;margin-top:-95.186028pt;width:69.9pt;height:.1pt;mso-position-horizontal-relative:page;mso-position-vertical-relative:paragraph;z-index:-621232" coordorigin="9402,-1904" coordsize="1398,2">
            <v:shape style="position:absolute;left:9402;top:-1904;width:1398;height:2" coordorigin="9402,-1904" coordsize="1398,0" path="m9402,-1904l10800,-1904e" filled="false" stroked="true" strokeweight=".72pt" strokecolor="#000000">
              <v:path arrowok="t"/>
            </v:shape>
            <w10:wrap type="none"/>
          </v:group>
        </w:pict>
      </w:r>
      <w:r>
        <w:rPr/>
        <w:pict>
          <v:shape style="position:absolute;margin-left:76.910004pt;margin-top:-72.460701pt;width:462.75pt;height:73.650pt;mso-position-horizontal-relative:page;mso-position-vertical-relative:paragraph;z-index:6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5"/>
                    <w:gridCol w:w="1500"/>
                    <w:gridCol w:w="1339"/>
                    <w:gridCol w:w="1016"/>
                    <w:gridCol w:w="1194"/>
                    <w:gridCol w:w="1431"/>
                  </w:tblGrid>
                  <w:tr>
                    <w:trPr>
                      <w:trHeight w:val="706"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348" w:lineRule="auto" w:before="44"/>
                          <w:ind w:left="35" w:right="757" w:firstLine="5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r>
                          <w:rPr>
                            <w:rFonts w:ascii="宋体" w:hAnsi="宋体" w:cs="宋体" w:eastAsia="宋体" w:hint="default"/>
                            <w:sz w:val="18"/>
                            <w:szCs w:val="18"/>
                          </w:rPr>
                          <w:t> 无锡实益达电子有限公司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p>
                        <w:pPr>
                          <w:pStyle w:val="TableParagraph"/>
                          <w:spacing w:line="240" w:lineRule="auto" w:before="147"/>
                          <w:ind w:left="277" w:right="0"/>
                          <w:jc w:val="left"/>
                          <w:rPr>
                            <w:rFonts w:ascii="Times New Roman" w:hAnsi="Times New Roman" w:cs="Times New Roman" w:eastAsia="Times New Roman" w:hint="default"/>
                            <w:sz w:val="18"/>
                            <w:szCs w:val="18"/>
                          </w:rPr>
                        </w:pPr>
                        <w:r>
                          <w:rPr>
                            <w:rFonts w:ascii="Times New Roman"/>
                            <w:sz w:val="18"/>
                          </w:rPr>
                          <w:t>39,518,455.92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47"/>
                          <w:ind w:left="186" w:right="0"/>
                          <w:jc w:val="left"/>
                          <w:rPr>
                            <w:rFonts w:ascii="Times New Roman" w:hAnsi="Times New Roman" w:cs="Times New Roman" w:eastAsia="Times New Roman" w:hint="default"/>
                            <w:sz w:val="18"/>
                            <w:szCs w:val="18"/>
                          </w:rPr>
                        </w:pPr>
                        <w:r>
                          <w:rPr>
                            <w:rFonts w:ascii="Times New Roman"/>
                            <w:sz w:val="18"/>
                          </w:rPr>
                          <w:t>29,754,493.46</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pStyle w:val="TableParagraph"/>
                          <w:spacing w:line="240" w:lineRule="auto" w:before="147"/>
                          <w:ind w:right="103"/>
                          <w:jc w:val="center"/>
                          <w:rPr>
                            <w:rFonts w:ascii="Times New Roman" w:hAnsi="Times New Roman" w:cs="Times New Roman" w:eastAsia="Times New Roman" w:hint="default"/>
                            <w:sz w:val="18"/>
                            <w:szCs w:val="18"/>
                          </w:rPr>
                        </w:pPr>
                        <w:r>
                          <w:rPr>
                            <w:rFonts w:ascii="Times New Roman"/>
                            <w:sz w:val="18"/>
                          </w:rPr>
                          <w:t>---</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pStyle w:val="TableParagraph"/>
                          <w:spacing w:line="240" w:lineRule="auto" w:before="147"/>
                          <w:ind w:right="153"/>
                          <w:jc w:val="center"/>
                          <w:rPr>
                            <w:rFonts w:ascii="Times New Roman" w:hAnsi="Times New Roman" w:cs="Times New Roman" w:eastAsia="Times New Roman" w:hint="default"/>
                            <w:sz w:val="18"/>
                            <w:szCs w:val="18"/>
                          </w:rPr>
                        </w:pPr>
                        <w:r>
                          <w:rPr>
                            <w:rFonts w:ascii="Times New Roman"/>
                            <w:sz w:val="18"/>
                          </w:rPr>
                          <w:t>---</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47"/>
                          <w:ind w:left="293" w:right="0"/>
                          <w:jc w:val="left"/>
                          <w:rPr>
                            <w:rFonts w:ascii="Times New Roman" w:hAnsi="Times New Roman" w:cs="Times New Roman" w:eastAsia="Times New Roman" w:hint="default"/>
                            <w:sz w:val="18"/>
                            <w:szCs w:val="18"/>
                          </w:rPr>
                        </w:pPr>
                        <w:r>
                          <w:rPr>
                            <w:rFonts w:ascii="Times New Roman"/>
                            <w:sz w:val="18"/>
                          </w:rPr>
                          <w:t>29,754,493.46</w:t>
                        </w:r>
                      </w:p>
                    </w:tc>
                  </w:tr>
                  <w:tr>
                    <w:trPr>
                      <w:trHeight w:val="302"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22"/>
                          <w:jc w:val="center"/>
                          <w:rPr>
                            <w:rFonts w:ascii="宋体" w:hAnsi="宋体" w:cs="宋体" w:eastAsia="宋体" w:hint="default"/>
                            <w:sz w:val="18"/>
                            <w:szCs w:val="18"/>
                          </w:rPr>
                        </w:pPr>
                        <w:r>
                          <w:rPr>
                            <w:rFonts w:ascii="宋体" w:hAnsi="宋体" w:cs="宋体" w:eastAsia="宋体" w:hint="default"/>
                            <w:sz w:val="18"/>
                            <w:szCs w:val="18"/>
                          </w:rPr>
                          <w:t>实益达科技香港有限公司</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85"/>
                          <w:jc w:val="right"/>
                          <w:rPr>
                            <w:rFonts w:ascii="Times New Roman" w:hAnsi="Times New Roman" w:cs="Times New Roman" w:eastAsia="Times New Roman" w:hint="default"/>
                            <w:sz w:val="18"/>
                            <w:szCs w:val="18"/>
                          </w:rPr>
                        </w:pPr>
                        <w:r>
                          <w:rPr>
                            <w:rFonts w:ascii="Times New Roman"/>
                            <w:sz w:val="18"/>
                          </w:rPr>
                          <w:t>519,700.00</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8"/>
                            <w:szCs w:val="18"/>
                          </w:rPr>
                        </w:pPr>
                        <w:r>
                          <w:rPr>
                            <w:rFonts w:ascii="Times New Roman"/>
                            <w:sz w:val="18"/>
                          </w:rPr>
                          <w:t>519,700.00</w:t>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65"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429" w:right="0"/>
                          <w:jc w:val="left"/>
                          <w:rPr>
                            <w:rFonts w:ascii="Times New Roman" w:hAnsi="Times New Roman" w:cs="Times New Roman" w:eastAsia="Times New Roman" w:hint="default"/>
                            <w:sz w:val="18"/>
                            <w:szCs w:val="18"/>
                          </w:rPr>
                        </w:pPr>
                        <w:r>
                          <w:rPr>
                            <w:rFonts w:ascii="Times New Roman"/>
                            <w:sz w:val="18"/>
                          </w:rPr>
                          <w:t>---</w:t>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519,700.00</w:t>
                        </w:r>
                      </w:p>
                    </w:tc>
                  </w:tr>
                  <w:tr>
                    <w:trPr>
                      <w:trHeight w:val="435" w:hRule="exact"/>
                    </w:trPr>
                    <w:tc>
                      <w:tcPr>
                        <w:tcW w:w="277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67"/>
                          <w:ind w:right="72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85"/>
                          <w:jc w:val="right"/>
                          <w:rPr>
                            <w:rFonts w:ascii="Times New Roman" w:hAnsi="Times New Roman" w:cs="Times New Roman" w:eastAsia="Times New Roman" w:hint="default"/>
                            <w:sz w:val="18"/>
                            <w:szCs w:val="18"/>
                          </w:rPr>
                        </w:pPr>
                        <w:r>
                          <w:rPr>
                            <w:rFonts w:ascii="Times New Roman"/>
                            <w:spacing w:val="-1"/>
                            <w:sz w:val="18"/>
                          </w:rPr>
                          <w:t>40,038,155.92</w:t>
                        </w: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115"/>
                          <w:jc w:val="right"/>
                          <w:rPr>
                            <w:rFonts w:ascii="Times New Roman" w:hAnsi="Times New Roman" w:cs="Times New Roman" w:eastAsia="Times New Roman" w:hint="default"/>
                            <w:sz w:val="18"/>
                            <w:szCs w:val="18"/>
                          </w:rPr>
                        </w:pPr>
                        <w:r>
                          <w:rPr>
                            <w:rFonts w:ascii="Times New Roman"/>
                            <w:spacing w:val="-1"/>
                            <w:sz w:val="18"/>
                          </w:rPr>
                          <w:t>30,274,193.46</w:t>
                        </w:r>
                      </w:p>
                    </w:tc>
                    <w:tc>
                      <w:tcPr>
                        <w:tcW w:w="1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365"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428" w:right="0"/>
                          <w:jc w:val="left"/>
                          <w:rPr>
                            <w:rFonts w:ascii="Times New Roman" w:hAnsi="Times New Roman" w:cs="Times New Roman" w:eastAsia="Times New Roman" w:hint="default"/>
                            <w:sz w:val="18"/>
                            <w:szCs w:val="18"/>
                          </w:rPr>
                        </w:pPr>
                        <w:r>
                          <w:rPr>
                            <w:rFonts w:ascii="Times New Roman"/>
                            <w:sz w:val="18"/>
                          </w:rPr>
                          <w:t>---</w:t>
                        </w:r>
                      </w:p>
                    </w:tc>
                    <w:tc>
                      <w:tcPr>
                        <w:tcW w:w="14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30,274,193.46</w:t>
                        </w:r>
                      </w:p>
                    </w:tc>
                  </w:tr>
                </w:tbl>
                <w:p>
                  <w:pPr/>
                </w:p>
              </w:txbxContent>
            </v:textbox>
            <w10:wrap type="none"/>
          </v:shape>
        </w:pict>
      </w:r>
      <w:r>
        <w:rPr>
          <w:rFonts w:ascii="宋体" w:hAnsi="宋体" w:cs="宋体" w:eastAsia="宋体" w:hint="default"/>
          <w:b/>
          <w:bCs/>
          <w:sz w:val="21"/>
          <w:szCs w:val="21"/>
        </w:rPr>
        <w:t>（四）营业收入及营业成本</w:t>
      </w:r>
      <w:r>
        <w:rPr>
          <w:rFonts w:ascii="宋体" w:hAnsi="宋体" w:cs="宋体" w:eastAsia="宋体" w:hint="default"/>
          <w:sz w:val="21"/>
          <w:szCs w:val="21"/>
        </w:rPr>
      </w:r>
    </w:p>
    <w:p>
      <w:pPr>
        <w:tabs>
          <w:tab w:pos="5734" w:val="left" w:leader="none"/>
        </w:tabs>
        <w:spacing w:line="205" w:lineRule="exact" w:before="101"/>
        <w:ind w:left="1582" w:right="0" w:firstLine="0"/>
        <w:jc w:val="center"/>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tabs>
          <w:tab w:pos="1013" w:val="left" w:leader="none"/>
        </w:tabs>
        <w:spacing w:line="175" w:lineRule="exact" w:before="0"/>
        <w:ind w:left="473" w:right="219" w:firstLine="0"/>
        <w:jc w:val="left"/>
        <w:rPr>
          <w:rFonts w:ascii="宋体" w:hAnsi="宋体" w:cs="宋体" w:eastAsia="宋体" w:hint="default"/>
          <w:sz w:val="18"/>
          <w:szCs w:val="18"/>
        </w:rPr>
      </w:pPr>
      <w:r>
        <w:rPr/>
        <w:pict>
          <v:group style="position:absolute;margin-left:125.400009pt;margin-top:3.603607pt;width:415.7pt;height:.5pt;mso-position-horizontal-relative:page;mso-position-vertical-relative:paragraph;z-index:6688" coordorigin="2508,72" coordsize="8314,10">
            <v:group style="position:absolute;left:2513;top:77;width:4238;height:2" coordorigin="2513,77" coordsize="4238,2">
              <v:shape style="position:absolute;left:2513;top:77;width:4238;height:2" coordorigin="2513,77" coordsize="4238,0" path="m2513,77l6750,77e" filled="false" stroked="true" strokeweight=".47998pt" strokecolor="#000000">
                <v:path arrowok="t"/>
              </v:shape>
            </v:group>
            <v:group style="position:absolute;left:6750;top:77;width:1947;height:2" coordorigin="6750,77" coordsize="1947,2">
              <v:shape style="position:absolute;left:6750;top:77;width:1947;height:2" coordorigin="6750,77" coordsize="1947,0" path="m6750,77l8696,77e" filled="false" stroked="true" strokeweight=".48pt" strokecolor="#000000">
                <v:path arrowok="t"/>
              </v:shape>
            </v:group>
            <v:group style="position:absolute;left:8696;top:77;width:2121;height:2" coordorigin="8696,77" coordsize="2121,2">
              <v:shape style="position:absolute;left:8696;top:77;width:2121;height:2" coordorigin="8696,77" coordsize="2121,0" path="m8696,77l10817,77e" filled="false" stroked="true" strokeweight=".47998pt" strokecolor="#000000">
                <v:path arrowok="t"/>
              </v:shape>
            </v:group>
            <w10:wrap type="none"/>
          </v:group>
        </w:pict>
      </w:r>
      <w:r>
        <w:rPr>
          <w:rFonts w:ascii="宋体" w:hAnsi="宋体" w:cs="宋体" w:eastAsia="宋体" w:hint="default"/>
          <w:sz w:val="18"/>
          <w:szCs w:val="18"/>
        </w:rPr>
        <w:t>项</w:t>
        <w:tab/>
        <w:t>目</w:t>
      </w:r>
    </w:p>
    <w:p>
      <w:pPr>
        <w:tabs>
          <w:tab w:pos="3787" w:val="left" w:leader="none"/>
          <w:tab w:pos="5769" w:val="left" w:leader="none"/>
          <w:tab w:pos="7925" w:val="left" w:leader="none"/>
        </w:tabs>
        <w:spacing w:line="205" w:lineRule="exact" w:before="0"/>
        <w:ind w:left="1554" w:right="0" w:firstLine="0"/>
        <w:jc w:val="center"/>
        <w:rPr>
          <w:rFonts w:ascii="宋体" w:hAnsi="宋体" w:cs="宋体" w:eastAsia="宋体" w:hint="default"/>
          <w:sz w:val="18"/>
          <w:szCs w:val="18"/>
        </w:rPr>
      </w:pPr>
      <w:r>
        <w:rPr/>
        <w:pict>
          <v:group style="position:absolute;margin-left:66.660004pt;margin-top:1.893408pt;width:36pt;height:.1pt;mso-position-horizontal-relative:page;mso-position-vertical-relative:paragraph;z-index:6664" coordorigin="1333,38" coordsize="720,2">
            <v:shape style="position:absolute;left:1333;top:38;width:720;height:2" coordorigin="1333,38" coordsize="720,0" path="m1333,38l2053,38e" filled="false" stroked="true" strokeweight=".47998pt" strokecolor="#000000">
              <v:path arrowok="t"/>
            </v:shape>
            <w10:wrap type="none"/>
          </v:group>
        </w:pict>
      </w:r>
      <w:r>
        <w:rPr>
          <w:rFonts w:ascii="宋体" w:hAnsi="宋体" w:cs="宋体" w:eastAsia="宋体" w:hint="default"/>
          <w:sz w:val="18"/>
          <w:szCs w:val="18"/>
        </w:rPr>
        <w:t>收  入</w:t>
        <w:tab/>
        <w:t>成  本</w:t>
        <w:tab/>
        <w:t>收  入</w:t>
        <w:tab/>
        <w:t>成  本</w:t>
      </w:r>
    </w:p>
    <w:p>
      <w:pPr>
        <w:tabs>
          <w:tab w:pos="4591" w:val="left" w:leader="none"/>
          <w:tab w:pos="6574" w:val="left" w:leader="none"/>
          <w:tab w:pos="8730" w:val="left" w:leader="none"/>
        </w:tabs>
        <w:spacing w:line="20" w:lineRule="exact"/>
        <w:ind w:left="2358" w:right="0" w:firstLine="0"/>
        <w:rPr>
          <w:rFonts w:ascii="宋体" w:hAnsi="宋体" w:cs="宋体" w:eastAsia="宋体" w:hint="default"/>
          <w:sz w:val="2"/>
          <w:szCs w:val="2"/>
        </w:rPr>
      </w:pP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7998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7998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7998pt" strokecolor="#000000">
                <v:path arrowok="t"/>
              </v:shape>
            </v:group>
          </v:group>
        </w:pict>
      </w:r>
      <w:r>
        <w:rPr>
          <w:rFonts w:ascii="宋体"/>
          <w:sz w:val="2"/>
        </w:rPr>
      </w:r>
      <w:r>
        <w:rPr>
          <w:rFonts w:ascii="宋体"/>
          <w:sz w:val="2"/>
        </w:rPr>
        <w:tab/>
      </w: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7998pt" strokecolor="#000000">
                <v:path arrowok="t"/>
              </v:shape>
            </v:group>
          </v:group>
        </w:pict>
      </w:r>
      <w:r>
        <w:rPr>
          <w:rFonts w:ascii="宋体"/>
          <w:sz w:val="2"/>
        </w:rPr>
      </w:r>
    </w:p>
    <w:p>
      <w:pPr>
        <w:spacing w:line="240" w:lineRule="auto" w:before="2"/>
        <w:rPr>
          <w:rFonts w:ascii="宋体" w:hAnsi="宋体" w:cs="宋体" w:eastAsia="宋体" w:hint="default"/>
          <w:sz w:val="3"/>
          <w:szCs w:val="3"/>
        </w:rPr>
      </w:pPr>
    </w:p>
    <w:tbl>
      <w:tblPr>
        <w:tblW w:w="0" w:type="auto"/>
        <w:jc w:val="left"/>
        <w:tblInd w:w="438" w:type="dxa"/>
        <w:tblLayout w:type="fixed"/>
        <w:tblCellMar>
          <w:top w:w="0" w:type="dxa"/>
          <w:left w:w="0" w:type="dxa"/>
          <w:bottom w:w="0" w:type="dxa"/>
          <w:right w:w="0" w:type="dxa"/>
        </w:tblCellMar>
        <w:tblLook w:val="01E0"/>
      </w:tblPr>
      <w:tblGrid>
        <w:gridCol w:w="1215"/>
        <w:gridCol w:w="1980"/>
        <w:gridCol w:w="233"/>
        <w:gridCol w:w="2264"/>
        <w:gridCol w:w="1707"/>
        <w:gridCol w:w="233"/>
        <w:gridCol w:w="1888"/>
      </w:tblGrid>
      <w:tr>
        <w:trPr>
          <w:trHeight w:val="365"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spacing w:val="-1"/>
                <w:sz w:val="18"/>
              </w:rPr>
              <w:t>842,618,676.45</w:t>
            </w:r>
          </w:p>
        </w:tc>
        <w:tc>
          <w:tcPr>
            <w:tcW w:w="233"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4"/>
              <w:jc w:val="right"/>
              <w:rPr>
                <w:rFonts w:ascii="Times New Roman" w:hAnsi="Times New Roman" w:cs="Times New Roman" w:eastAsia="Times New Roman" w:hint="default"/>
                <w:sz w:val="18"/>
                <w:szCs w:val="18"/>
              </w:rPr>
            </w:pPr>
            <w:r>
              <w:rPr>
                <w:rFonts w:ascii="Times New Roman"/>
                <w:spacing w:val="-1"/>
                <w:sz w:val="18"/>
              </w:rPr>
              <w:t>767,687,255.19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1,197,428,515.25</w:t>
            </w:r>
          </w:p>
        </w:tc>
        <w:tc>
          <w:tcPr>
            <w:tcW w:w="233"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1,082,612,848.33</w:t>
            </w:r>
          </w:p>
        </w:tc>
      </w:tr>
      <w:tr>
        <w:trPr>
          <w:trHeight w:val="302"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237,166.89</w:t>
            </w:r>
          </w:p>
        </w:tc>
        <w:tc>
          <w:tcPr>
            <w:tcW w:w="233"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46"/>
              <w:jc w:val="right"/>
              <w:rPr>
                <w:rFonts w:ascii="Times New Roman" w:hAnsi="Times New Roman" w:cs="Times New Roman" w:eastAsia="Times New Roman" w:hint="default"/>
                <w:sz w:val="18"/>
                <w:szCs w:val="18"/>
              </w:rPr>
            </w:pPr>
            <w:r>
              <w:rPr>
                <w:rFonts w:ascii="Times New Roman"/>
                <w:sz w:val="18"/>
              </w:rPr>
              <w:t>195,183.15</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796,827.48</w:t>
            </w:r>
          </w:p>
        </w:tc>
        <w:tc>
          <w:tcPr>
            <w:tcW w:w="233"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9"/>
              <w:jc w:val="right"/>
              <w:rPr>
                <w:rFonts w:ascii="Times New Roman" w:hAnsi="Times New Roman" w:cs="Times New Roman" w:eastAsia="Times New Roman" w:hint="default"/>
                <w:sz w:val="18"/>
                <w:szCs w:val="18"/>
              </w:rPr>
            </w:pPr>
            <w:r>
              <w:rPr>
                <w:rFonts w:ascii="Times New Roman"/>
                <w:sz w:val="18"/>
              </w:rPr>
              <w:t>298,083.09</w:t>
            </w:r>
          </w:p>
        </w:tc>
      </w:tr>
      <w:tr>
        <w:trPr>
          <w:trHeight w:val="436" w:hRule="exact"/>
        </w:trPr>
        <w:tc>
          <w:tcPr>
            <w:tcW w:w="121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842,855,843.34</w:t>
            </w:r>
          </w:p>
        </w:tc>
        <w:tc>
          <w:tcPr>
            <w:tcW w:w="233" w:type="dxa"/>
            <w:tcBorders>
              <w:top w:val="nil" w:sz="6" w:space="0" w:color="auto"/>
              <w:left w:val="nil" w:sz="6" w:space="0" w:color="auto"/>
              <w:bottom w:val="nil" w:sz="6" w:space="0" w:color="auto"/>
              <w:right w:val="nil" w:sz="6" w:space="0" w:color="auto"/>
            </w:tcBorders>
          </w:tcPr>
          <w:p>
            <w:pPr/>
          </w:p>
        </w:tc>
        <w:tc>
          <w:tcPr>
            <w:tcW w:w="2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344"/>
              <w:jc w:val="right"/>
              <w:rPr>
                <w:rFonts w:ascii="Times New Roman" w:hAnsi="Times New Roman" w:cs="Times New Roman" w:eastAsia="Times New Roman" w:hint="default"/>
                <w:sz w:val="18"/>
                <w:szCs w:val="18"/>
              </w:rPr>
            </w:pPr>
            <w:r>
              <w:rPr>
                <w:rFonts w:ascii="Times New Roman"/>
                <w:spacing w:val="-1"/>
                <w:sz w:val="18"/>
              </w:rPr>
              <w:t>767,882,438.34</w:t>
            </w: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pacing w:val="-1"/>
                <w:sz w:val="18"/>
              </w:rPr>
              <w:t>1,198,225,342.73</w:t>
            </w:r>
          </w:p>
        </w:tc>
        <w:tc>
          <w:tcPr>
            <w:tcW w:w="233" w:type="dxa"/>
            <w:tcBorders>
              <w:top w:val="nil" w:sz="6" w:space="0" w:color="auto"/>
              <w:left w:val="nil" w:sz="6" w:space="0" w:color="auto"/>
              <w:bottom w:val="nil" w:sz="6" w:space="0" w:color="auto"/>
              <w:right w:val="nil" w:sz="6" w:space="0" w:color="auto"/>
            </w:tcBorders>
          </w:tcPr>
          <w:p>
            <w:pPr/>
          </w:p>
        </w:tc>
        <w:tc>
          <w:tcPr>
            <w:tcW w:w="1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1,082,910,931.42</w:t>
            </w:r>
          </w:p>
        </w:tc>
      </w:tr>
    </w:tbl>
    <w:p>
      <w:pPr>
        <w:spacing w:before="12"/>
        <w:ind w:left="1360" w:right="219" w:firstLine="0"/>
        <w:jc w:val="left"/>
        <w:rPr>
          <w:rFonts w:ascii="宋体" w:hAnsi="宋体" w:cs="宋体" w:eastAsia="宋体" w:hint="default"/>
          <w:sz w:val="21"/>
          <w:szCs w:val="21"/>
        </w:rPr>
      </w:pPr>
      <w:r>
        <w:rPr/>
        <w:pict>
          <v:group style="position:absolute;margin-left:125.279999pt;margin-top:-5.616032pt;width:99.75pt;height:.1pt;mso-position-horizontal-relative:page;mso-position-vertical-relative:paragraph;z-index:-621160" coordorigin="2506,-112" coordsize="1995,2">
            <v:shape style="position:absolute;left:2506;top:-112;width:1995;height:2" coordorigin="2506,-112" coordsize="1995,0" path="m2506,-112l4500,-112e" filled="false" stroked="true" strokeweight=".72pt" strokecolor="#000000">
              <v:path arrowok="t"/>
            </v:shape>
            <w10:wrap type="none"/>
          </v:group>
        </w:pict>
      </w:r>
      <w:r>
        <w:rPr/>
        <w:pict>
          <v:group style="position:absolute;margin-left:235.740005pt;margin-top:-5.976032pt;width:199.8pt;height:.75pt;mso-position-horizontal-relative:page;mso-position-vertical-relative:paragraph;z-index:-621136" coordorigin="4715,-120" coordsize="3996,15">
            <v:group style="position:absolute;left:4722;top:-112;width:2026;height:2" coordorigin="4722,-112" coordsize="2026,2">
              <v:shape style="position:absolute;left:4722;top:-112;width:2026;height:2" coordorigin="4722,-112" coordsize="2026,0" path="m4722,-112l6748,-112e" filled="false" stroked="true" strokeweight=".72pt" strokecolor="#000000">
                <v:path arrowok="t"/>
              </v:shape>
            </v:group>
            <v:group style="position:absolute;left:6733;top:-112;width:105;height:2" coordorigin="6733,-112" coordsize="105,2">
              <v:shape style="position:absolute;left:6733;top:-112;width:105;height:2" coordorigin="6733,-112" coordsize="105,0" path="m6733,-112l6838,-112e" filled="false" stroked="true" strokeweight=".72pt" strokecolor="#000000">
                <v:path arrowok="t"/>
              </v:shape>
            </v:group>
            <v:group style="position:absolute;left:6838;top:-112;width:1866;height:2" coordorigin="6838,-112" coordsize="1866,2">
              <v:shape style="position:absolute;left:6838;top:-112;width:1866;height:2" coordorigin="6838,-112" coordsize="1866,0" path="m6838,-112l8704,-112e" filled="false" stroked="true" strokeweight=".72pt" strokecolor="#000000">
                <v:path arrowok="t"/>
              </v:shape>
            </v:group>
            <w10:wrap type="none"/>
          </v:group>
        </w:pict>
      </w:r>
      <w:r>
        <w:rPr/>
        <w:pict>
          <v:group style="position:absolute;margin-left:446.279999pt;margin-top:-5.616032pt;width:94.95pt;height:.1pt;mso-position-horizontal-relative:page;mso-position-vertical-relative:paragraph;z-index:-621112" coordorigin="8926,-112" coordsize="1899,2">
            <v:shape style="position:absolute;left:8926;top:-112;width:1899;height:2" coordorigin="8926,-112" coordsize="1899,0" path="m8926,-112l10824,-112e" filled="false" stroked="true" strokeweight=".72pt" strokecolor="#000000">
              <v:path arrowok="t"/>
            </v:shape>
            <w10:wrap type="none"/>
          </v:group>
        </w:pict>
      </w:r>
      <w:r>
        <w:rPr>
          <w:rFonts w:ascii="宋体" w:hAnsi="宋体" w:cs="宋体" w:eastAsia="宋体" w:hint="default"/>
          <w:sz w:val="21"/>
          <w:szCs w:val="21"/>
        </w:rPr>
        <w:t>1、按业务类别列示主营业务收入、主营业务成本</w:t>
      </w:r>
    </w:p>
    <w:p>
      <w:pPr>
        <w:tabs>
          <w:tab w:pos="7598" w:val="left" w:leader="none"/>
        </w:tabs>
        <w:spacing w:line="205" w:lineRule="exact" w:before="100"/>
        <w:ind w:left="3726" w:right="219" w:firstLine="0"/>
        <w:jc w:val="left"/>
        <w:rPr>
          <w:rFonts w:ascii="宋体" w:hAnsi="宋体" w:cs="宋体" w:eastAsia="宋体" w:hint="default"/>
          <w:sz w:val="18"/>
          <w:szCs w:val="18"/>
        </w:rPr>
      </w:pPr>
      <w:r>
        <w:rPr>
          <w:rFonts w:ascii="宋体" w:hAnsi="宋体" w:cs="宋体" w:eastAsia="宋体" w:hint="default"/>
          <w:sz w:val="18"/>
          <w:szCs w:val="18"/>
        </w:rPr>
        <w:t>本年发生额</w:t>
        <w:tab/>
        <w:t>上年发生额</w:t>
      </w:r>
    </w:p>
    <w:p>
      <w:pPr>
        <w:tabs>
          <w:tab w:pos="1327" w:val="left" w:leader="none"/>
        </w:tabs>
        <w:spacing w:line="177" w:lineRule="exact" w:before="0"/>
        <w:ind w:left="697" w:right="219" w:firstLine="0"/>
        <w:jc w:val="left"/>
        <w:rPr>
          <w:rFonts w:ascii="宋体" w:hAnsi="宋体" w:cs="宋体" w:eastAsia="宋体" w:hint="default"/>
          <w:sz w:val="21"/>
          <w:szCs w:val="21"/>
        </w:rPr>
      </w:pPr>
      <w:r>
        <w:rPr/>
        <w:pict>
          <v:group style="position:absolute;margin-left:152.160004pt;margin-top:3.623738pt;width:387.7pt;height:.5pt;mso-position-horizontal-relative:page;mso-position-vertical-relative:paragraph;z-index:6808" coordorigin="3043,72" coordsize="7754,10">
            <v:group style="position:absolute;left:3048;top:77;width:3972;height:2" coordorigin="3048,77" coordsize="3972,2">
              <v:shape style="position:absolute;left:3048;top:77;width:3972;height:2" coordorigin="3048,77" coordsize="3972,0" path="m3048,77l7020,77e" filled="false" stroked="true" strokeweight=".48pt" strokecolor="#000000">
                <v:path arrowok="t"/>
              </v:shape>
            </v:group>
            <v:group style="position:absolute;left:7020;top:77;width:1677;height:2" coordorigin="7020,77" coordsize="1677,2">
              <v:shape style="position:absolute;left:7020;top:77;width:1677;height:2" coordorigin="7020,77" coordsize="1677,0" path="m7020,77l8696,77e" filled="false" stroked="true" strokeweight=".48pt" strokecolor="#000000">
                <v:path arrowok="t"/>
              </v:shape>
            </v:group>
            <v:group style="position:absolute;left:8696;top:77;width:2096;height:2" coordorigin="8696,77" coordsize="2096,2">
              <v:shape style="position:absolute;left:8696;top:77;width:2096;height:2" coordorigin="8696,77" coordsize="2096,0" path="m8696,77l10792,77e" filled="false" stroked="true" strokeweight=".48pt" strokecolor="#000000">
                <v:path arrowok="t"/>
              </v:shape>
            </v:group>
            <w10:wrap type="none"/>
          </v:group>
        </w:pict>
      </w:r>
      <w:r>
        <w:rPr>
          <w:rFonts w:ascii="宋体" w:hAnsi="宋体" w:cs="宋体" w:eastAsia="宋体" w:hint="default"/>
          <w:sz w:val="21"/>
          <w:szCs w:val="21"/>
        </w:rPr>
        <w:t>项</w:t>
        <w:tab/>
        <w:t>目</w:t>
      </w:r>
    </w:p>
    <w:p>
      <w:pPr>
        <w:tabs>
          <w:tab w:pos="4743" w:val="left" w:leader="none"/>
          <w:tab w:pos="6461" w:val="left" w:leader="none"/>
          <w:tab w:pos="8498" w:val="left" w:leader="none"/>
        </w:tabs>
        <w:spacing w:line="203" w:lineRule="exact" w:before="0"/>
        <w:ind w:left="2646" w:right="219" w:firstLine="0"/>
        <w:jc w:val="left"/>
        <w:rPr>
          <w:rFonts w:ascii="宋体" w:hAnsi="宋体" w:cs="宋体" w:eastAsia="宋体" w:hint="default"/>
          <w:sz w:val="18"/>
          <w:szCs w:val="18"/>
        </w:rPr>
      </w:pPr>
      <w:r>
        <w:rPr/>
        <w:pict>
          <v:group style="position:absolute;margin-left:77.879997pt;margin-top:1.997883pt;width:42pt;height:.1pt;mso-position-horizontal-relative:page;mso-position-vertical-relative:paragraph;z-index:6784" coordorigin="1558,40" coordsize="840,2">
            <v:shape style="position:absolute;left:1558;top:40;width:840;height:2" coordorigin="1558,40" coordsize="840,0" path="m1558,40l2398,40e" filled="false" stroked="true" strokeweight=".53999pt" strokecolor="#000000">
              <v:path arrowok="t"/>
            </v:shape>
            <w10:wrap type="none"/>
          </v:group>
        </w:pict>
      </w:r>
      <w:r>
        <w:rPr>
          <w:rFonts w:ascii="宋体" w:hAnsi="宋体" w:cs="宋体" w:eastAsia="宋体" w:hint="default"/>
          <w:sz w:val="18"/>
          <w:szCs w:val="18"/>
        </w:rPr>
        <w:t>主营业务收入</w:t>
        <w:tab/>
        <w:t>主营业务成本</w:t>
        <w:tab/>
        <w:t>主营业务收入</w:t>
        <w:tab/>
        <w:t>主营业务成本</w:t>
      </w:r>
    </w:p>
    <w:p>
      <w:pPr>
        <w:tabs>
          <w:tab w:pos="4739" w:val="left" w:leader="none"/>
          <w:tab w:pos="6456" w:val="left" w:leader="none"/>
          <w:tab w:pos="8494" w:val="left" w:leader="none"/>
        </w:tabs>
        <w:spacing w:line="20" w:lineRule="exact"/>
        <w:ind w:left="2641" w:right="0" w:firstLine="0"/>
        <w:rPr>
          <w:rFonts w:ascii="宋体" w:hAnsi="宋体" w:cs="宋体" w:eastAsia="宋体" w:hint="default"/>
          <w:sz w:val="2"/>
          <w:szCs w:val="2"/>
        </w:rPr>
      </w:pP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tabs>
          <w:tab w:pos="897" w:val="left" w:leader="none"/>
          <w:tab w:pos="2623" w:val="left" w:leader="none"/>
          <w:tab w:pos="3889" w:val="left" w:leader="none"/>
          <w:tab w:pos="4722" w:val="left" w:leader="none"/>
          <w:tab w:pos="5868" w:val="left" w:leader="none"/>
          <w:tab w:pos="6370" w:val="left" w:leader="none"/>
          <w:tab w:pos="7556" w:val="left" w:leader="none"/>
          <w:tab w:pos="8408" w:val="left" w:leader="none"/>
          <w:tab w:pos="9651" w:val="left" w:leader="none"/>
        </w:tabs>
        <w:spacing w:line="326" w:lineRule="auto" w:before="85"/>
        <w:ind w:left="148" w:right="250" w:firstLine="0"/>
        <w:jc w:val="left"/>
        <w:rPr>
          <w:rFonts w:ascii="Times New Roman" w:hAnsi="Times New Roman" w:cs="Times New Roman" w:eastAsia="Times New Roman" w:hint="default"/>
          <w:sz w:val="18"/>
          <w:szCs w:val="18"/>
        </w:rPr>
      </w:pPr>
      <w:r>
        <w:rPr/>
        <w:pict>
          <v:shape style="position:absolute;margin-left:48.650002pt;margin-top:36.047344pt;width:490.95pt;height:56.6pt;mso-position-horizontal-relative:page;mso-position-vertical-relative:paragraph;z-index:6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5"/>
                    <w:gridCol w:w="1631"/>
                    <w:gridCol w:w="351"/>
                    <w:gridCol w:w="232"/>
                    <w:gridCol w:w="1456"/>
                    <w:gridCol w:w="352"/>
                    <w:gridCol w:w="1627"/>
                    <w:gridCol w:w="290"/>
                    <w:gridCol w:w="1805"/>
                  </w:tblGrid>
                  <w:tr>
                    <w:trPr>
                      <w:trHeight w:val="666"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326" w:lineRule="auto" w:before="44"/>
                          <w:ind w:left="35" w:right="5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旅游饮食服务业</w:t>
                        </w:r>
                      </w:p>
                    </w:tc>
                    <w:tc>
                      <w:tcPr>
                        <w:tcW w:w="1631" w:type="dxa"/>
                        <w:tcBorders>
                          <w:top w:val="nil" w:sz="6" w:space="0" w:color="auto"/>
                          <w:left w:val="nil" w:sz="6" w:space="0" w:color="auto"/>
                          <w:bottom w:val="single" w:sz="4" w:space="0" w:color="000000"/>
                          <w:right w:val="nil" w:sz="6" w:space="0" w:color="auto"/>
                        </w:tcBorders>
                      </w:tcPr>
                      <w:p>
                        <w:pPr/>
                      </w:p>
                    </w:tc>
                    <w:tc>
                      <w:tcPr>
                        <w:tcW w:w="35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0"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70" w:right="0"/>
                          <w:jc w:val="lef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4" w:space="0" w:color="000000"/>
                          <w:right w:val="nil" w:sz="6" w:space="0" w:color="auto"/>
                        </w:tcBorders>
                      </w:tcPr>
                      <w:p>
                        <w:pPr/>
                      </w:p>
                    </w:tc>
                    <w:tc>
                      <w:tcPr>
                        <w:tcW w:w="35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0"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2"/>
                          <w:ind w:left="10" w:right="0"/>
                          <w:jc w:val="left"/>
                          <w:rPr>
                            <w:rFonts w:ascii="Times New Roman" w:hAnsi="Times New Roman" w:cs="Times New Roman" w:eastAsia="Times New Roman" w:hint="default"/>
                            <w:sz w:val="18"/>
                            <w:szCs w:val="18"/>
                          </w:rPr>
                        </w:pPr>
                        <w:r>
                          <w:rPr>
                            <w:rFonts w:ascii="Times New Roman"/>
                            <w:sz w:val="18"/>
                          </w:rPr>
                          <w:t>---</w:t>
                        </w: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90"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35" w:hRule="exact"/>
                    </w:trPr>
                    <w:tc>
                      <w:tcPr>
                        <w:tcW w:w="2075" w:type="dxa"/>
                        <w:tcBorders>
                          <w:top w:val="nil" w:sz="6" w:space="0" w:color="auto"/>
                          <w:left w:val="nil" w:sz="6" w:space="0" w:color="auto"/>
                          <w:bottom w:val="nil" w:sz="6" w:space="0" w:color="auto"/>
                          <w:right w:val="nil" w:sz="6" w:space="0" w:color="auto"/>
                        </w:tcBorders>
                      </w:tcPr>
                      <w:p>
                        <w:pPr>
                          <w:pStyle w:val="TableParagraph"/>
                          <w:tabs>
                            <w:tab w:pos="1184" w:val="left" w:leader="none"/>
                          </w:tabs>
                          <w:spacing w:line="240" w:lineRule="auto" w:before="67"/>
                          <w:ind w:left="64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435" w:right="0"/>
                          <w:jc w:val="left"/>
                          <w:rPr>
                            <w:rFonts w:ascii="Times New Roman" w:hAnsi="Times New Roman" w:cs="Times New Roman" w:eastAsia="Times New Roman" w:hint="default"/>
                            <w:sz w:val="18"/>
                            <w:szCs w:val="18"/>
                          </w:rPr>
                        </w:pPr>
                        <w:r>
                          <w:rPr>
                            <w:rFonts w:ascii="Times New Roman"/>
                            <w:sz w:val="18"/>
                          </w:rPr>
                          <w:t>842,618,676.45</w:t>
                        </w:r>
                      </w:p>
                    </w:tc>
                    <w:tc>
                      <w:tcPr>
                        <w:tcW w:w="351" w:type="dxa"/>
                        <w:tcBorders>
                          <w:top w:val="single" w:sz="4" w:space="0" w:color="000000"/>
                          <w:left w:val="nil" w:sz="6" w:space="0" w:color="auto"/>
                          <w:bottom w:val="single" w:sz="12" w:space="0" w:color="000000"/>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320" w:right="0"/>
                          <w:jc w:val="left"/>
                          <w:rPr>
                            <w:rFonts w:ascii="Times New Roman" w:hAnsi="Times New Roman" w:cs="Times New Roman" w:eastAsia="Times New Roman" w:hint="default"/>
                            <w:sz w:val="18"/>
                            <w:szCs w:val="18"/>
                          </w:rPr>
                        </w:pPr>
                        <w:r>
                          <w:rPr>
                            <w:rFonts w:ascii="Times New Roman"/>
                            <w:sz w:val="18"/>
                          </w:rPr>
                          <w:t>767,687,255.19</w:t>
                        </w:r>
                      </w:p>
                    </w:tc>
                    <w:tc>
                      <w:tcPr>
                        <w:tcW w:w="352" w:type="dxa"/>
                        <w:tcBorders>
                          <w:top w:val="single" w:sz="4" w:space="0" w:color="000000"/>
                          <w:left w:val="nil" w:sz="6" w:space="0" w:color="auto"/>
                          <w:bottom w:val="single" w:sz="12" w:space="0" w:color="000000"/>
                          <w:right w:val="nil" w:sz="6" w:space="0" w:color="auto"/>
                        </w:tcBorders>
                      </w:tcPr>
                      <w:p>
                        <w:pPr/>
                      </w:p>
                    </w:tc>
                    <w:tc>
                      <w:tcPr>
                        <w:tcW w:w="16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161" w:right="0"/>
                          <w:jc w:val="left"/>
                          <w:rPr>
                            <w:rFonts w:ascii="Times New Roman" w:hAnsi="Times New Roman" w:cs="Times New Roman" w:eastAsia="Times New Roman" w:hint="default"/>
                            <w:sz w:val="18"/>
                            <w:szCs w:val="18"/>
                          </w:rPr>
                        </w:pPr>
                        <w:r>
                          <w:rPr>
                            <w:rFonts w:ascii="Times New Roman"/>
                            <w:sz w:val="18"/>
                          </w:rPr>
                          <w:t>1,197,428,515.25</w:t>
                        </w:r>
                      </w:p>
                    </w:tc>
                    <w:tc>
                      <w:tcPr>
                        <w:tcW w:w="290"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4"/>
                          <w:ind w:left="281" w:right="0"/>
                          <w:jc w:val="left"/>
                          <w:rPr>
                            <w:rFonts w:ascii="Times New Roman" w:hAnsi="Times New Roman" w:cs="Times New Roman" w:eastAsia="Times New Roman" w:hint="default"/>
                            <w:sz w:val="18"/>
                            <w:szCs w:val="18"/>
                          </w:rPr>
                        </w:pPr>
                        <w:r>
                          <w:rPr>
                            <w:rFonts w:ascii="Times New Roman"/>
                            <w:sz w:val="18"/>
                          </w:rPr>
                          <w:t>1,082,612,848.33</w:t>
                        </w:r>
                      </w:p>
                    </w:tc>
                  </w:tr>
                </w:tbl>
                <w:p>
                  <w:pPr/>
                </w:p>
              </w:txbxContent>
            </v:textbox>
            <w10:wrap type="none"/>
          </v:shape>
        </w:pic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tab/>
      </w:r>
      <w:r>
        <w:rPr>
          <w:rFonts w:ascii="Times New Roman" w:hAnsi="Times New Roman" w:cs="Times New Roman" w:eastAsia="Times New Roman" w:hint="default"/>
          <w:spacing w:val="-1"/>
          <w:sz w:val="18"/>
          <w:szCs w:val="18"/>
        </w:rPr>
        <w:t>842,618,676.45</w:t>
        <w:tab/>
        <w:tab/>
        <w:t>767,687,255.19</w:t>
        <w:tab/>
        <w:tab/>
        <w:t>1,197,428,515.25</w:t>
        <w:tab/>
        <w:t>1,082,612,848.33</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tab/>
        <w:tab/>
      </w:r>
      <w:r>
        <w:rPr>
          <w:rFonts w:ascii="Times New Roman" w:hAnsi="Times New Roman" w:cs="Times New Roman" w:eastAsia="Times New Roman" w:hint="default"/>
          <w:sz w:val="18"/>
          <w:szCs w:val="18"/>
        </w:rPr>
        <w:t>---</w:t>
        <w:tab/>
        <w:tab/>
        <w:t>---</w:t>
        <w:tab/>
        <w:tab/>
        <w:t>---</w:t>
        <w:tab/>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tabs>
          <w:tab w:pos="4391" w:val="left" w:leader="none"/>
          <w:tab w:pos="8116" w:val="left" w:leader="none"/>
        </w:tabs>
        <w:spacing w:line="20" w:lineRule="exact"/>
        <w:ind w:left="2173" w:right="0" w:firstLine="0"/>
        <w:rPr>
          <w:rFonts w:ascii="Times New Roman" w:hAnsi="Times New Roman" w:cs="Times New Roman" w:eastAsia="Times New Roman" w:hint="default"/>
          <w:sz w:val="2"/>
          <w:szCs w:val="2"/>
        </w:rPr>
      </w:pPr>
      <w:r>
        <w:rPr>
          <w:rFonts w:ascii="Times New Roman"/>
          <w:sz w:val="2"/>
        </w:rPr>
        <w:pict>
          <v:group style="width:100.6pt;height:.75pt;mso-position-horizontal-relative:char;mso-position-vertical-relative:line" coordorigin="0,0" coordsize="2012,15">
            <v:group style="position:absolute;left:7;top:7;width:1997;height:2" coordorigin="7,7" coordsize="1997,2">
              <v:shape style="position:absolute;left:7;top:7;width:1997;height:2" coordorigin="7,7" coordsize="1997,0" path="m7,7l2004,7e" filled="false" stroked="true" strokeweight=".72pt" strokecolor="#000000">
                <v:path arrowok="t"/>
              </v:shape>
            </v:group>
          </v:group>
        </w:pict>
      </w:r>
      <w:r>
        <w:rPr>
          <w:rFonts w:ascii="Times New Roman"/>
          <w:sz w:val="2"/>
        </w:rPr>
      </w:r>
      <w:r>
        <w:rPr>
          <w:rFonts w:ascii="Times New Roman"/>
          <w:sz w:val="2"/>
        </w:rPr>
        <w:tab/>
      </w:r>
      <w:r>
        <w:rPr>
          <w:rFonts w:ascii="Times New Roman"/>
          <w:sz w:val="2"/>
        </w:rPr>
        <w:pict>
          <v:group style="width:173pt;height:.75pt;mso-position-horizontal-relative:char;mso-position-vertical-relative:line" coordorigin="0,0" coordsize="3460,15">
            <v:group style="position:absolute;left:7;top:7;width:1760;height:2" coordorigin="7,7" coordsize="1760,2">
              <v:shape style="position:absolute;left:7;top:7;width:1760;height:2" coordorigin="7,7" coordsize="1760,0" path="m7,7l1766,7e" filled="false" stroked="true" strokeweight=".72pt" strokecolor="#000000">
                <v:path arrowok="t"/>
              </v:shape>
            </v:group>
            <v:group style="position:absolute;left:1752;top:7;width:105;height:2" coordorigin="1752,7" coordsize="105,2">
              <v:shape style="position:absolute;left:1752;top:7;width:105;height:2" coordorigin="1752,7" coordsize="105,0" path="m1752,7l1856,7e" filled="false" stroked="true" strokeweight=".72pt" strokecolor="#000000">
                <v:path arrowok="t"/>
              </v:shape>
            </v:group>
            <v:group style="position:absolute;left:1856;top:7;width:1596;height:2" coordorigin="1856,7" coordsize="1596,2">
              <v:shape style="position:absolute;left:1856;top:7;width:1596;height:2" coordorigin="1856,7" coordsize="1596,0" path="m1856,7l3452,7e" filled="false" stroked="true" strokeweight=".72pt" strokecolor="#000000">
                <v:path arrowok="t"/>
              </v:shape>
            </v:group>
          </v:group>
        </w:pict>
      </w:r>
      <w:r>
        <w:rPr>
          <w:rFonts w:ascii="Times New Roman"/>
          <w:sz w:val="2"/>
        </w:rPr>
      </w:r>
      <w:r>
        <w:rPr>
          <w:rFonts w:ascii="Times New Roman"/>
          <w:sz w:val="2"/>
        </w:rPr>
        <w:tab/>
      </w:r>
      <w:r>
        <w:rPr>
          <w:rFonts w:ascii="Times New Roman"/>
          <w:sz w:val="2"/>
        </w:rPr>
        <w:pict>
          <v:group style="width:91.5pt;height:.75pt;mso-position-horizontal-relative:char;mso-position-vertical-relative:line" coordorigin="0,0" coordsize="1830,15">
            <v:group style="position:absolute;left:7;top:7;width:1816;height:2" coordorigin="7,7" coordsize="1816,2">
              <v:shape style="position:absolute;left:7;top:7;width:1816;height:2" coordorigin="7,7" coordsize="1816,0" path="m7,7l1823,7e" filled="false" stroked="true" strokeweight=".72pt" strokecolor="#000000">
                <v:path arrowok="t"/>
              </v:shape>
            </v:group>
          </v:group>
        </w:pict>
      </w:r>
      <w:r>
        <w:rPr>
          <w:rFonts w:ascii="Times New Roman"/>
          <w:sz w:val="2"/>
        </w:rPr>
      </w:r>
    </w:p>
    <w:p>
      <w:pPr>
        <w:spacing w:after="0" w:line="20" w:lineRule="exact"/>
        <w:rPr>
          <w:rFonts w:ascii="Times New Roman" w:hAnsi="Times New Roman" w:cs="Times New Roman" w:eastAsia="Times New Roman" w:hint="default"/>
          <w:sz w:val="2"/>
          <w:szCs w:val="2"/>
        </w:rPr>
        <w:sectPr>
          <w:type w:val="continuous"/>
          <w:pgSz w:w="11910" w:h="16840"/>
          <w:pgMar w:top="1020" w:bottom="1520" w:left="860" w:right="960"/>
        </w:sectPr>
      </w:pPr>
    </w:p>
    <w:p>
      <w:pPr>
        <w:spacing w:line="240" w:lineRule="auto" w:before="7"/>
        <w:rPr>
          <w:rFonts w:ascii="Times New Roman" w:hAnsi="Times New Roman" w:cs="Times New Roman" w:eastAsia="Times New Roman" w:hint="default"/>
          <w:sz w:val="23"/>
          <w:szCs w:val="23"/>
        </w:rPr>
      </w:pPr>
    </w:p>
    <w:p>
      <w:pPr>
        <w:spacing w:before="35"/>
        <w:ind w:left="1440" w:right="0" w:firstLine="0"/>
        <w:jc w:val="left"/>
        <w:rPr>
          <w:rFonts w:ascii="宋体" w:hAnsi="宋体" w:cs="宋体" w:eastAsia="宋体" w:hint="default"/>
          <w:sz w:val="21"/>
          <w:szCs w:val="21"/>
        </w:rPr>
      </w:pPr>
      <w:r>
        <w:rPr>
          <w:rFonts w:ascii="宋体" w:hAnsi="宋体" w:cs="宋体" w:eastAsia="宋体" w:hint="default"/>
          <w:sz w:val="21"/>
          <w:szCs w:val="21"/>
        </w:rPr>
        <w:t>2、公司向前五名客户的主营业务收入情况</w:t>
      </w:r>
    </w:p>
    <w:p>
      <w:pPr>
        <w:spacing w:line="240" w:lineRule="auto" w:before="3"/>
        <w:rPr>
          <w:rFonts w:ascii="宋体" w:hAnsi="宋体" w:cs="宋体" w:eastAsia="宋体" w:hint="default"/>
          <w:sz w:val="4"/>
          <w:szCs w:val="4"/>
        </w:rPr>
      </w:pPr>
    </w:p>
    <w:tbl>
      <w:tblPr>
        <w:tblW w:w="0" w:type="auto"/>
        <w:jc w:val="left"/>
        <w:tblInd w:w="733" w:type="dxa"/>
        <w:tblLayout w:type="fixed"/>
        <w:tblCellMar>
          <w:top w:w="0" w:type="dxa"/>
          <w:left w:w="0" w:type="dxa"/>
          <w:bottom w:w="0" w:type="dxa"/>
          <w:right w:w="0" w:type="dxa"/>
        </w:tblCellMar>
        <w:tblLook w:val="01E0"/>
      </w:tblPr>
      <w:tblGrid>
        <w:gridCol w:w="3255"/>
        <w:gridCol w:w="2551"/>
        <w:gridCol w:w="2791"/>
      </w:tblGrid>
      <w:tr>
        <w:trPr>
          <w:trHeight w:val="706"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348" w:lineRule="auto" w:before="44"/>
              <w:ind w:left="35" w:right="824" w:firstLine="113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客户名称或排名</w:t>
            </w:r>
            <w:r>
              <w:rPr>
                <w:rFonts w:ascii="宋体" w:hAnsi="宋体" w:cs="宋体" w:eastAsia="宋体" w:hint="default"/>
                <w:sz w:val="18"/>
                <w:szCs w:val="18"/>
              </w:rPr>
            </w:r>
            <w:r>
              <w:rPr>
                <w:rFonts w:ascii="宋体" w:hAnsi="宋体" w:cs="宋体" w:eastAsia="宋体" w:hint="default"/>
                <w:sz w:val="18"/>
                <w:szCs w:val="18"/>
              </w:rPr>
              <w:t> 飞利浦电子（香港）有限公司</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主营业务收入总额</w:t>
            </w:r>
            <w:r>
              <w:rPr>
                <w:rFonts w:ascii="宋体" w:hAnsi="宋体" w:cs="宋体" w:eastAsia="宋体" w:hint="default"/>
                <w:sz w:val="18"/>
                <w:szCs w:val="18"/>
              </w:rPr>
            </w:r>
          </w:p>
          <w:p>
            <w:pPr>
              <w:pStyle w:val="TableParagraph"/>
              <w:spacing w:line="240" w:lineRule="auto" w:before="147"/>
              <w:ind w:left="1188" w:right="0"/>
              <w:jc w:val="left"/>
              <w:rPr>
                <w:rFonts w:ascii="Times New Roman" w:hAnsi="Times New Roman" w:cs="Times New Roman" w:eastAsia="Times New Roman" w:hint="default"/>
                <w:sz w:val="18"/>
                <w:szCs w:val="18"/>
              </w:rPr>
            </w:pPr>
            <w:r>
              <w:rPr>
                <w:rFonts w:ascii="Times New Roman"/>
                <w:sz w:val="18"/>
              </w:rPr>
              <w:t>317,690,656.80</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占公司全部主营业务收入的比例</w:t>
            </w:r>
            <w:r>
              <w:rPr>
                <w:rFonts w:ascii="宋体" w:hAnsi="宋体" w:cs="宋体" w:eastAsia="宋体" w:hint="default"/>
                <w:sz w:val="18"/>
                <w:szCs w:val="18"/>
              </w:rPr>
            </w:r>
          </w:p>
          <w:p>
            <w:pPr>
              <w:pStyle w:val="TableParagraph"/>
              <w:spacing w:line="240" w:lineRule="auto" w:before="147"/>
              <w:ind w:left="199" w:right="0"/>
              <w:jc w:val="center"/>
              <w:rPr>
                <w:rFonts w:ascii="Times New Roman" w:hAnsi="Times New Roman" w:cs="Times New Roman" w:eastAsia="Times New Roman" w:hint="default"/>
                <w:sz w:val="18"/>
                <w:szCs w:val="18"/>
              </w:rPr>
            </w:pPr>
            <w:r>
              <w:rPr>
                <w:rFonts w:ascii="Times New Roman"/>
                <w:sz w:val="18"/>
              </w:rPr>
              <w:t>37.70%</w:t>
            </w:r>
          </w:p>
        </w:tc>
      </w:tr>
      <w:tr>
        <w:trPr>
          <w:trHeight w:val="34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Perception Digital  </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Ltd</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241,220,585.71</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5"/>
              <w:jc w:val="right"/>
              <w:rPr>
                <w:rFonts w:ascii="Times New Roman" w:hAnsi="Times New Roman" w:cs="Times New Roman" w:eastAsia="Times New Roman" w:hint="default"/>
                <w:sz w:val="18"/>
                <w:szCs w:val="18"/>
              </w:rPr>
            </w:pPr>
            <w:r>
              <w:rPr>
                <w:rFonts w:ascii="Times New Roman"/>
                <w:w w:val="95"/>
                <w:sz w:val="18"/>
              </w:rPr>
              <w:t>28.62%</w:t>
            </w:r>
            <w:r>
              <w:rPr>
                <w:rFonts w:ascii="Times New Roman"/>
                <w:sz w:val="18"/>
              </w:rPr>
            </w:r>
          </w:p>
        </w:tc>
      </w:tr>
      <w:tr>
        <w:trPr>
          <w:trHeight w:val="345"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飞利浦电子（匈牙利）有限公司</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4"/>
              <w:jc w:val="right"/>
              <w:rPr>
                <w:rFonts w:ascii="Times New Roman" w:hAnsi="Times New Roman" w:cs="Times New Roman" w:eastAsia="Times New Roman" w:hint="default"/>
                <w:sz w:val="18"/>
                <w:szCs w:val="18"/>
              </w:rPr>
            </w:pPr>
            <w:r>
              <w:rPr>
                <w:rFonts w:ascii="Times New Roman"/>
                <w:spacing w:val="-1"/>
                <w:sz w:val="18"/>
              </w:rPr>
              <w:t>148,681,718.82</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7"/>
              <w:jc w:val="right"/>
              <w:rPr>
                <w:rFonts w:ascii="Times New Roman" w:hAnsi="Times New Roman" w:cs="Times New Roman" w:eastAsia="Times New Roman" w:hint="default"/>
                <w:sz w:val="18"/>
                <w:szCs w:val="18"/>
              </w:rPr>
            </w:pPr>
            <w:r>
              <w:rPr>
                <w:rFonts w:ascii="Times New Roman"/>
                <w:w w:val="95"/>
                <w:sz w:val="18"/>
              </w:rPr>
              <w:t>17.64%</w:t>
            </w:r>
            <w:r>
              <w:rPr>
                <w:rFonts w:ascii="Times New Roman"/>
                <w:sz w:val="18"/>
              </w:rPr>
            </w:r>
          </w:p>
        </w:tc>
      </w:tr>
      <w:tr>
        <w:trPr>
          <w:trHeight w:val="335"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Times New Roman" w:hAnsi="Times New Roman" w:cs="Times New Roman" w:eastAsia="Times New Roman" w:hint="default"/>
                <w:sz w:val="18"/>
                <w:szCs w:val="18"/>
              </w:rPr>
            </w:pPr>
            <w:r>
              <w:rPr>
                <w:rFonts w:ascii="Times New Roman"/>
                <w:sz w:val="18"/>
              </w:rPr>
              <w:t>ENSEO</w:t>
            </w:r>
            <w:r>
              <w:rPr>
                <w:rFonts w:ascii="Times New Roman"/>
                <w:spacing w:val="-1"/>
                <w:sz w:val="18"/>
              </w:rPr>
              <w:t> </w:t>
            </w:r>
            <w:r>
              <w:rPr>
                <w:rFonts w:ascii="Times New Roman"/>
                <w:sz w:val="18"/>
              </w:rPr>
              <w:t>Inc</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4"/>
              <w:jc w:val="right"/>
              <w:rPr>
                <w:rFonts w:ascii="Times New Roman" w:hAnsi="Times New Roman" w:cs="Times New Roman" w:eastAsia="Times New Roman" w:hint="default"/>
                <w:sz w:val="18"/>
                <w:szCs w:val="18"/>
              </w:rPr>
            </w:pPr>
            <w:r>
              <w:rPr>
                <w:rFonts w:ascii="Times New Roman"/>
                <w:spacing w:val="-1"/>
                <w:sz w:val="18"/>
              </w:rPr>
              <w:t>67,044,769.50</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9"/>
              <w:jc w:val="right"/>
              <w:rPr>
                <w:rFonts w:ascii="Times New Roman" w:hAnsi="Times New Roman" w:cs="Times New Roman" w:eastAsia="Times New Roman" w:hint="default"/>
                <w:sz w:val="18"/>
                <w:szCs w:val="18"/>
              </w:rPr>
            </w:pPr>
            <w:r>
              <w:rPr>
                <w:rFonts w:ascii="Times New Roman"/>
                <w:sz w:val="18"/>
              </w:rPr>
              <w:t>7.95%</w:t>
            </w:r>
          </w:p>
        </w:tc>
      </w:tr>
      <w:tr>
        <w:trPr>
          <w:trHeight w:val="34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东莞市发利达电子有限公司</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5"/>
              <w:jc w:val="right"/>
              <w:rPr>
                <w:rFonts w:ascii="Times New Roman" w:hAnsi="Times New Roman" w:cs="Times New Roman" w:eastAsia="Times New Roman" w:hint="default"/>
                <w:sz w:val="18"/>
                <w:szCs w:val="18"/>
              </w:rPr>
            </w:pPr>
            <w:r>
              <w:rPr>
                <w:rFonts w:ascii="Times New Roman"/>
                <w:spacing w:val="-1"/>
                <w:sz w:val="18"/>
              </w:rPr>
              <w:t>14,682,776.19</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0"/>
              <w:jc w:val="right"/>
              <w:rPr>
                <w:rFonts w:ascii="Times New Roman" w:hAnsi="Times New Roman" w:cs="Times New Roman" w:eastAsia="Times New Roman" w:hint="default"/>
                <w:sz w:val="18"/>
                <w:szCs w:val="18"/>
              </w:rPr>
            </w:pPr>
            <w:r>
              <w:rPr>
                <w:rFonts w:ascii="Times New Roman"/>
                <w:sz w:val="18"/>
              </w:rPr>
              <w:t>1.74%</w:t>
            </w:r>
          </w:p>
        </w:tc>
      </w:tr>
    </w:tbl>
    <w:p>
      <w:pPr>
        <w:spacing w:line="250" w:lineRule="exact" w:before="0"/>
        <w:ind w:left="1440" w:right="0" w:firstLine="0"/>
        <w:jc w:val="left"/>
        <w:rPr>
          <w:rFonts w:ascii="宋体" w:hAnsi="宋体" w:cs="宋体" w:eastAsia="宋体" w:hint="default"/>
          <w:sz w:val="21"/>
          <w:szCs w:val="21"/>
        </w:rPr>
      </w:pPr>
      <w:r>
        <w:rPr>
          <w:rFonts w:ascii="宋体" w:hAnsi="宋体" w:cs="宋体" w:eastAsia="宋体" w:hint="default"/>
          <w:sz w:val="21"/>
          <w:szCs w:val="21"/>
        </w:rPr>
        <w:t>3、营业收入本年发生额比上年发生额减少</w:t>
      </w:r>
      <w:r>
        <w:rPr>
          <w:rFonts w:ascii="宋体" w:hAnsi="宋体" w:cs="宋体" w:eastAsia="宋体" w:hint="default"/>
          <w:spacing w:val="-55"/>
          <w:sz w:val="21"/>
          <w:szCs w:val="21"/>
        </w:rPr>
        <w:t> </w:t>
      </w:r>
      <w:r>
        <w:rPr>
          <w:rFonts w:ascii="宋体" w:hAnsi="宋体" w:cs="宋体" w:eastAsia="宋体" w:hint="default"/>
          <w:sz w:val="21"/>
          <w:szCs w:val="21"/>
        </w:rPr>
        <w:t>355,369,499.39</w:t>
      </w:r>
      <w:r>
        <w:rPr>
          <w:rFonts w:ascii="宋体" w:hAnsi="宋体" w:cs="宋体" w:eastAsia="宋体" w:hint="default"/>
          <w:spacing w:val="-54"/>
          <w:sz w:val="21"/>
          <w:szCs w:val="21"/>
        </w:rPr>
        <w:t> </w:t>
      </w:r>
      <w:r>
        <w:rPr>
          <w:rFonts w:ascii="宋体" w:hAnsi="宋体" w:cs="宋体" w:eastAsia="宋体" w:hint="default"/>
          <w:sz w:val="21"/>
          <w:szCs w:val="21"/>
        </w:rPr>
        <w:t>元，减少比例为</w:t>
      </w:r>
      <w:r>
        <w:rPr>
          <w:rFonts w:ascii="宋体" w:hAnsi="宋体" w:cs="宋体" w:eastAsia="宋体" w:hint="default"/>
          <w:spacing w:val="-55"/>
          <w:sz w:val="21"/>
          <w:szCs w:val="21"/>
        </w:rPr>
        <w:t> </w:t>
      </w:r>
      <w:r>
        <w:rPr>
          <w:rFonts w:ascii="宋体" w:hAnsi="宋体" w:cs="宋体" w:eastAsia="宋体" w:hint="default"/>
          <w:sz w:val="21"/>
          <w:szCs w:val="21"/>
        </w:rPr>
        <w:t>29.66％，</w:t>
      </w:r>
    </w:p>
    <w:p>
      <w:pPr>
        <w:spacing w:before="66"/>
        <w:ind w:left="1020" w:right="0" w:firstLine="0"/>
        <w:jc w:val="left"/>
        <w:rPr>
          <w:rFonts w:ascii="宋体" w:hAnsi="宋体" w:cs="宋体" w:eastAsia="宋体" w:hint="default"/>
          <w:sz w:val="21"/>
          <w:szCs w:val="21"/>
        </w:rPr>
      </w:pPr>
      <w:r>
        <w:rPr>
          <w:rFonts w:ascii="宋体" w:hAnsi="宋体" w:cs="宋体" w:eastAsia="宋体" w:hint="default"/>
          <w:sz w:val="21"/>
          <w:szCs w:val="21"/>
        </w:rPr>
        <w:t>减少原因为：受金融危机影响，飞利浦订单减少所致。</w:t>
      </w:r>
    </w:p>
    <w:p>
      <w:pPr>
        <w:spacing w:line="240" w:lineRule="auto" w:before="0"/>
        <w:rPr>
          <w:rFonts w:ascii="宋体" w:hAnsi="宋体" w:cs="宋体" w:eastAsia="宋体" w:hint="default"/>
          <w:sz w:val="20"/>
          <w:szCs w:val="20"/>
        </w:rPr>
      </w:pPr>
    </w:p>
    <w:p>
      <w:pPr>
        <w:spacing w:before="142"/>
        <w:ind w:left="1442" w:right="0" w:firstLine="0"/>
        <w:jc w:val="left"/>
        <w:rPr>
          <w:rFonts w:ascii="宋体" w:hAnsi="宋体" w:cs="宋体" w:eastAsia="宋体" w:hint="default"/>
          <w:sz w:val="21"/>
          <w:szCs w:val="21"/>
        </w:rPr>
      </w:pPr>
      <w:r>
        <w:rPr>
          <w:rFonts w:ascii="宋体" w:hAnsi="宋体" w:cs="宋体" w:eastAsia="宋体" w:hint="default"/>
          <w:b/>
          <w:bCs/>
          <w:sz w:val="21"/>
          <w:szCs w:val="21"/>
        </w:rPr>
        <w:t>八、关联方及关联交易</w:t>
      </w:r>
      <w:r>
        <w:rPr>
          <w:rFonts w:ascii="宋体" w:hAnsi="宋体" w:cs="宋体" w:eastAsia="宋体" w:hint="default"/>
          <w:sz w:val="21"/>
          <w:szCs w:val="21"/>
        </w:rPr>
      </w:r>
    </w:p>
    <w:p>
      <w:pPr>
        <w:spacing w:before="66"/>
        <w:ind w:left="1442" w:right="0" w:firstLine="0"/>
        <w:jc w:val="left"/>
        <w:rPr>
          <w:rFonts w:ascii="宋体" w:hAnsi="宋体" w:cs="宋体" w:eastAsia="宋体" w:hint="default"/>
          <w:sz w:val="21"/>
          <w:szCs w:val="21"/>
        </w:rPr>
      </w:pPr>
      <w:r>
        <w:rPr>
          <w:rFonts w:ascii="宋体" w:hAnsi="宋体" w:cs="宋体" w:eastAsia="宋体" w:hint="default"/>
          <w:b/>
          <w:bCs/>
          <w:sz w:val="21"/>
          <w:szCs w:val="21"/>
        </w:rPr>
        <w:t>（一）关联方情况</w:t>
      </w:r>
      <w:r>
        <w:rPr>
          <w:rFonts w:ascii="宋体" w:hAnsi="宋体" w:cs="宋体" w:eastAsia="宋体" w:hint="default"/>
          <w:sz w:val="21"/>
          <w:szCs w:val="21"/>
        </w:rPr>
      </w:r>
    </w:p>
    <w:p>
      <w:pPr>
        <w:tabs>
          <w:tab w:pos="7211" w:val="left" w:leader="none"/>
        </w:tabs>
        <w:spacing w:before="64"/>
        <w:ind w:left="1440" w:right="0" w:firstLine="0"/>
        <w:jc w:val="left"/>
        <w:rPr>
          <w:rFonts w:ascii="宋体" w:hAnsi="宋体" w:cs="宋体" w:eastAsia="宋体" w:hint="default"/>
          <w:sz w:val="21"/>
          <w:szCs w:val="21"/>
        </w:rPr>
      </w:pPr>
      <w:r>
        <w:rPr>
          <w:rFonts w:ascii="宋体" w:hAnsi="宋体" w:cs="宋体" w:eastAsia="宋体" w:hint="default"/>
          <w:spacing w:val="-1"/>
          <w:sz w:val="21"/>
          <w:szCs w:val="21"/>
        </w:rPr>
        <w:t>1、本公司的母公司情况</w:t>
        <w:tab/>
      </w:r>
      <w:r>
        <w:rPr>
          <w:rFonts w:ascii="宋体" w:hAnsi="宋体" w:cs="宋体" w:eastAsia="宋体" w:hint="default"/>
          <w:sz w:val="21"/>
          <w:szCs w:val="21"/>
        </w:rPr>
        <w:t>（金额单位：万元）</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20"/>
        <w:gridCol w:w="720"/>
        <w:gridCol w:w="720"/>
        <w:gridCol w:w="720"/>
        <w:gridCol w:w="900"/>
        <w:gridCol w:w="720"/>
        <w:gridCol w:w="1440"/>
        <w:gridCol w:w="1620"/>
        <w:gridCol w:w="1080"/>
        <w:gridCol w:w="1080"/>
      </w:tblGrid>
      <w:tr>
        <w:trPr>
          <w:trHeight w:val="69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75" w:right="17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75" w:right="173"/>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65" w:right="17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65" w:right="173"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75" w:right="17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75" w:right="173"/>
              <w:jc w:val="left"/>
              <w:rPr>
                <w:rFonts w:ascii="宋体" w:hAnsi="宋体" w:cs="宋体" w:eastAsia="宋体" w:hint="default"/>
                <w:sz w:val="18"/>
                <w:szCs w:val="18"/>
              </w:rPr>
            </w:pPr>
            <w:r>
              <w:rPr>
                <w:rFonts w:ascii="宋体" w:hAnsi="宋体" w:cs="宋体" w:eastAsia="宋体" w:hint="default"/>
                <w:sz w:val="18"/>
                <w:szCs w:val="18"/>
              </w:rPr>
              <w:t>母公司对本公 司的持股比例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65" w:right="173" w:hanging="90"/>
              <w:jc w:val="left"/>
              <w:rPr>
                <w:rFonts w:ascii="宋体" w:hAnsi="宋体" w:cs="宋体" w:eastAsia="宋体" w:hint="default"/>
                <w:sz w:val="18"/>
                <w:szCs w:val="18"/>
              </w:rPr>
            </w:pPr>
            <w:r>
              <w:rPr>
                <w:rFonts w:ascii="宋体" w:hAnsi="宋体" w:cs="宋体" w:eastAsia="宋体" w:hint="default"/>
                <w:sz w:val="18"/>
                <w:szCs w:val="18"/>
              </w:rPr>
              <w:t>母公司对本公司 的表决权比例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75" w:right="173"/>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355" w:right="173"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3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03" w:right="72"/>
              <w:jc w:val="both"/>
              <w:rPr>
                <w:rFonts w:ascii="宋体" w:hAnsi="宋体" w:cs="宋体" w:eastAsia="宋体" w:hint="default"/>
                <w:sz w:val="21"/>
                <w:szCs w:val="21"/>
              </w:rPr>
            </w:pPr>
            <w:r>
              <w:rPr>
                <w:rFonts w:ascii="宋体" w:hAnsi="宋体" w:cs="宋体" w:eastAsia="宋体" w:hint="default"/>
                <w:spacing w:val="23"/>
                <w:sz w:val="21"/>
                <w:szCs w:val="21"/>
              </w:rPr>
              <w:t>深圳市恒顺昌</w:t>
            </w:r>
            <w:r>
              <w:rPr>
                <w:rFonts w:ascii="宋体" w:hAnsi="宋体" w:cs="宋体" w:eastAsia="宋体" w:hint="default"/>
                <w:spacing w:val="-77"/>
                <w:sz w:val="21"/>
                <w:szCs w:val="21"/>
              </w:rPr>
              <w:t> </w:t>
            </w:r>
            <w:r>
              <w:rPr>
                <w:rFonts w:ascii="宋体" w:hAnsi="宋体" w:cs="宋体" w:eastAsia="宋体" w:hint="default"/>
                <w:spacing w:val="23"/>
                <w:sz w:val="21"/>
                <w:szCs w:val="21"/>
              </w:rPr>
              <w:t>投资发展有限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48"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母公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私营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52.47%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52.47%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48"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陈亚妹与 乔昕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77272276-</w:t>
            </w:r>
          </w:p>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7</w:t>
            </w:r>
          </w:p>
        </w:tc>
      </w:tr>
    </w:tbl>
    <w:p>
      <w:pPr>
        <w:tabs>
          <w:tab w:pos="7213" w:val="left" w:leader="none"/>
        </w:tabs>
        <w:spacing w:before="27"/>
        <w:ind w:left="102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、本公司的子公司情况：</w:t>
        <w:tab/>
        <w:t>（金额单位：万元）</w:t>
      </w:r>
    </w:p>
    <w:tbl>
      <w:tblPr>
        <w:tblW w:w="0" w:type="auto"/>
        <w:jc w:val="left"/>
        <w:tblInd w:w="115" w:type="dxa"/>
        <w:tblLayout w:type="fixed"/>
        <w:tblCellMar>
          <w:top w:w="0" w:type="dxa"/>
          <w:left w:w="0" w:type="dxa"/>
          <w:bottom w:w="0" w:type="dxa"/>
          <w:right w:w="0" w:type="dxa"/>
        </w:tblCellMar>
        <w:tblLook w:val="01E0"/>
      </w:tblPr>
      <w:tblGrid>
        <w:gridCol w:w="2104"/>
        <w:gridCol w:w="852"/>
        <w:gridCol w:w="852"/>
        <w:gridCol w:w="738"/>
        <w:gridCol w:w="770"/>
        <w:gridCol w:w="994"/>
        <w:gridCol w:w="992"/>
        <w:gridCol w:w="926"/>
        <w:gridCol w:w="1080"/>
        <w:gridCol w:w="1276"/>
      </w:tblGrid>
      <w:tr>
        <w:trPr>
          <w:trHeight w:val="69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41" w:right="149"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329" w:right="150"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74" w:right="181"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00" w:right="108"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368" w:right="18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445" w:right="173" w:hanging="270"/>
              <w:jc w:val="left"/>
              <w:rPr>
                <w:rFonts w:ascii="宋体" w:hAnsi="宋体" w:cs="宋体" w:eastAsia="宋体" w:hint="default"/>
                <w:sz w:val="18"/>
                <w:szCs w:val="18"/>
              </w:rPr>
            </w:pPr>
            <w:r>
              <w:rPr>
                <w:rFonts w:ascii="宋体" w:hAnsi="宋体" w:cs="宋体" w:eastAsia="宋体" w:hint="default"/>
                <w:sz w:val="18"/>
                <w:szCs w:val="18"/>
              </w:rPr>
              <w:t>表决权比 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542" w:right="181"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690"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956" w:right="145" w:hanging="810"/>
              <w:jc w:val="left"/>
              <w:rPr>
                <w:rFonts w:ascii="宋体" w:hAnsi="宋体" w:cs="宋体" w:eastAsia="宋体" w:hint="default"/>
                <w:sz w:val="18"/>
                <w:szCs w:val="18"/>
              </w:rPr>
            </w:pPr>
            <w:r>
              <w:rPr>
                <w:rFonts w:ascii="宋体" w:hAnsi="宋体" w:cs="宋体" w:eastAsia="宋体" w:hint="default"/>
                <w:sz w:val="18"/>
                <w:szCs w:val="18"/>
              </w:rPr>
              <w:t>无锡实益达电子有限公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41" w:right="149" w:hanging="9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私营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乔昕</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3,951.85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75391655-8</w:t>
            </w:r>
          </w:p>
        </w:tc>
      </w:tr>
      <w:tr>
        <w:trPr>
          <w:trHeight w:val="691" w:hRule="exact"/>
        </w:trPr>
        <w:tc>
          <w:tcPr>
            <w:tcW w:w="21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03" w:right="98"/>
              <w:jc w:val="left"/>
              <w:rPr>
                <w:rFonts w:ascii="宋体" w:hAnsi="宋体" w:cs="宋体" w:eastAsia="宋体" w:hint="default"/>
                <w:sz w:val="21"/>
                <w:szCs w:val="21"/>
              </w:rPr>
            </w:pPr>
            <w:r>
              <w:rPr>
                <w:rFonts w:ascii="宋体" w:hAnsi="宋体" w:cs="宋体" w:eastAsia="宋体" w:hint="default"/>
                <w:sz w:val="21"/>
                <w:szCs w:val="21"/>
              </w:rPr>
              <w:t>实益达科技（香港）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241" w:right="149" w:hanging="90"/>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陈亚妹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HK50.00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40" w:right="0" w:firstLine="0"/>
        <w:jc w:val="left"/>
        <w:rPr>
          <w:rFonts w:ascii="宋体" w:hAnsi="宋体" w:cs="宋体" w:eastAsia="宋体" w:hint="default"/>
          <w:sz w:val="21"/>
          <w:szCs w:val="21"/>
        </w:rPr>
      </w:pPr>
      <w:r>
        <w:rPr>
          <w:rFonts w:ascii="宋体" w:hAnsi="宋体" w:cs="宋体" w:eastAsia="宋体" w:hint="default"/>
          <w:sz w:val="21"/>
          <w:szCs w:val="21"/>
        </w:rPr>
        <w:t>3、存在控制关系的关联方所持股份及其变化（金额单位：万元）</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40"/>
        <w:gridCol w:w="1612"/>
        <w:gridCol w:w="845"/>
        <w:gridCol w:w="846"/>
        <w:gridCol w:w="679"/>
        <w:gridCol w:w="846"/>
        <w:gridCol w:w="846"/>
        <w:gridCol w:w="936"/>
        <w:gridCol w:w="770"/>
      </w:tblGrid>
      <w:tr>
        <w:trPr>
          <w:trHeight w:val="350" w:hRule="exact"/>
        </w:trPr>
        <w:tc>
          <w:tcPr>
            <w:tcW w:w="32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9" w:hRule="exact"/>
        </w:trPr>
        <w:tc>
          <w:tcPr>
            <w:tcW w:w="3240" w:type="dxa"/>
            <w:vMerge/>
            <w:tcBorders>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5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深圳市恒顺昌投资发展有限公司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97" w:right="0"/>
              <w:jc w:val="left"/>
              <w:rPr>
                <w:rFonts w:ascii="Times New Roman" w:hAnsi="Times New Roman" w:cs="Times New Roman" w:eastAsia="Times New Roman" w:hint="default"/>
                <w:sz w:val="18"/>
                <w:szCs w:val="18"/>
              </w:rPr>
            </w:pPr>
            <w:r>
              <w:rPr>
                <w:rFonts w:ascii="Times New Roman"/>
                <w:sz w:val="18"/>
              </w:rPr>
              <w:t>7,000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52.47%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3,500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10,500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52.47%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297" w:lineRule="auto" w:before="35"/>
        <w:ind w:left="1440" w:right="1529" w:firstLine="2"/>
        <w:jc w:val="left"/>
        <w:rPr>
          <w:rFonts w:ascii="宋体" w:hAnsi="宋体" w:cs="宋体" w:eastAsia="宋体" w:hint="default"/>
          <w:sz w:val="21"/>
          <w:szCs w:val="21"/>
        </w:rPr>
      </w:pPr>
      <w:r>
        <w:rPr/>
        <w:pict>
          <v:shape style="position:absolute;margin-left:104.75pt;margin-top:-68.049759pt;width:384.15pt;height:71.05pt;mso-position-horizontal-relative:page;mso-position-vertical-relative:paragraph;z-index:7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1"/>
                    <w:gridCol w:w="2876"/>
                    <w:gridCol w:w="1476"/>
                  </w:tblGrid>
                  <w:tr>
                    <w:trPr>
                      <w:trHeight w:val="713" w:hRule="exact"/>
                    </w:trPr>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4"/>
                          <w:jc w:val="center"/>
                          <w:rPr>
                            <w:rFonts w:ascii="宋体" w:hAnsi="宋体" w:cs="宋体" w:eastAsia="宋体" w:hint="default"/>
                            <w:sz w:val="21"/>
                            <w:szCs w:val="21"/>
                          </w:rPr>
                        </w:pPr>
                        <w:r>
                          <w:rPr>
                            <w:rFonts w:ascii="宋体" w:hAnsi="宋体" w:cs="宋体" w:eastAsia="宋体" w:hint="default"/>
                            <w:sz w:val="21"/>
                            <w:szCs w:val="21"/>
                          </w:rPr>
                          <w:t>4、本公司的其他关联方情况</w:t>
                        </w:r>
                      </w:p>
                      <w:p>
                        <w:pPr>
                          <w:pStyle w:val="TableParagraph"/>
                          <w:spacing w:line="240" w:lineRule="auto" w:before="101"/>
                          <w:ind w:right="41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其他关联方名称</w:t>
                        </w:r>
                        <w:r>
                          <w:rPr>
                            <w:rFonts w:ascii="宋体" w:hAnsi="宋体" w:cs="宋体" w:eastAsia="宋体" w:hint="default"/>
                            <w:sz w:val="18"/>
                            <w:szCs w:val="18"/>
                          </w:rPr>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其他关联方与本公司的关系</w:t>
                        </w:r>
                        <w:r>
                          <w:rPr>
                            <w:rFonts w:ascii="宋体" w:hAnsi="宋体" w:cs="宋体" w:eastAsia="宋体" w:hint="default"/>
                            <w:sz w:val="18"/>
                            <w:szCs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2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tc>
                  </w:tr>
                  <w:tr>
                    <w:trPr>
                      <w:trHeight w:val="357" w:hRule="exact"/>
                    </w:trPr>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18"/>
                          <w:jc w:val="center"/>
                          <w:rPr>
                            <w:rFonts w:ascii="宋体" w:hAnsi="宋体" w:cs="宋体" w:eastAsia="宋体" w:hint="default"/>
                            <w:sz w:val="21"/>
                            <w:szCs w:val="21"/>
                          </w:rPr>
                        </w:pPr>
                        <w:r>
                          <w:rPr>
                            <w:rFonts w:ascii="宋体" w:hAnsi="宋体" w:cs="宋体" w:eastAsia="宋体" w:hint="default"/>
                            <w:sz w:val="21"/>
                            <w:szCs w:val="21"/>
                          </w:rPr>
                          <w:t>深圳市冠德成科技发展有限公司</w:t>
                        </w:r>
                      </w:p>
                    </w:tc>
                    <w:tc>
                      <w:tcPr>
                        <w:tcW w:w="287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股</w:t>
                          <w:tab/>
                          <w:t>东</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24" w:right="0"/>
                          <w:jc w:val="center"/>
                          <w:rPr>
                            <w:rFonts w:ascii="Times New Roman" w:hAnsi="Times New Roman" w:cs="Times New Roman" w:eastAsia="Times New Roman" w:hint="default"/>
                            <w:sz w:val="18"/>
                            <w:szCs w:val="18"/>
                          </w:rPr>
                        </w:pPr>
                        <w:r>
                          <w:rPr>
                            <w:rFonts w:ascii="Times New Roman"/>
                            <w:sz w:val="18"/>
                          </w:rPr>
                          <w:t>77272102-7</w:t>
                        </w:r>
                      </w:p>
                    </w:tc>
                  </w:tr>
                  <w:tr>
                    <w:trPr>
                      <w:trHeight w:val="350" w:hRule="exact"/>
                    </w:trPr>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8"/>
                          <w:jc w:val="center"/>
                          <w:rPr>
                            <w:rFonts w:ascii="宋体" w:hAnsi="宋体" w:cs="宋体" w:eastAsia="宋体" w:hint="default"/>
                            <w:sz w:val="18"/>
                            <w:szCs w:val="18"/>
                          </w:rPr>
                        </w:pPr>
                        <w:r>
                          <w:rPr>
                            <w:rFonts w:ascii="宋体" w:hAnsi="宋体" w:cs="宋体" w:eastAsia="宋体" w:hint="default"/>
                            <w:sz w:val="18"/>
                            <w:szCs w:val="18"/>
                          </w:rPr>
                          <w:t>百华科技发展有限公司</w:t>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sz w:val="18"/>
                            <w:szCs w:val="18"/>
                          </w:rPr>
                          <w:t>同受实际控制人控制</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25"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b/>
          <w:bCs/>
          <w:sz w:val="21"/>
          <w:szCs w:val="21"/>
        </w:rPr>
        <w:t>（二）关联方交易</w:t>
      </w:r>
      <w:r>
        <w:rPr>
          <w:rFonts w:ascii="宋体" w:hAnsi="宋体" w:cs="宋体" w:eastAsia="宋体" w:hint="default"/>
          <w:b/>
          <w:bCs/>
          <w:spacing w:val="1"/>
          <w:w w:val="99"/>
          <w:sz w:val="21"/>
          <w:szCs w:val="21"/>
        </w:rPr>
        <w:t> </w:t>
      </w:r>
      <w:r>
        <w:rPr>
          <w:rFonts w:ascii="宋体" w:hAnsi="宋体" w:cs="宋体" w:eastAsia="宋体" w:hint="default"/>
          <w:sz w:val="21"/>
          <w:szCs w:val="21"/>
        </w:rPr>
        <w:t>1、存在控制关系且已纳入本公司合并会计报表范围的子公司，其相互间交易及母子公</w:t>
      </w:r>
    </w:p>
    <w:p>
      <w:pPr>
        <w:spacing w:line="297" w:lineRule="auto" w:before="14"/>
        <w:ind w:left="1440" w:right="7829" w:hanging="420"/>
        <w:jc w:val="left"/>
        <w:rPr>
          <w:rFonts w:ascii="宋体" w:hAnsi="宋体" w:cs="宋体" w:eastAsia="宋体" w:hint="default"/>
          <w:sz w:val="21"/>
          <w:szCs w:val="21"/>
        </w:rPr>
      </w:pPr>
      <w:r>
        <w:rPr/>
        <w:pict>
          <v:group style="position:absolute;margin-left:504pt;margin-top:48.604866pt;width:45pt;height:.1pt;mso-position-horizontal-relative:page;mso-position-vertical-relative:paragraph;z-index:-620872" coordorigin="10080,972" coordsize="900,2">
            <v:shape style="position:absolute;left:10080;top:972;width:900;height:2" coordorigin="10080,972" coordsize="900,0" path="m10080,972l10980,972e" filled="false" stroked="true" strokeweight=".48001pt" strokecolor="#000000">
              <v:path arrowok="t"/>
            </v:shape>
            <w10:wrap type="none"/>
          </v:group>
        </w:pict>
      </w:r>
      <w:r>
        <w:rPr>
          <w:rFonts w:ascii="宋体" w:hAnsi="宋体" w:cs="宋体" w:eastAsia="宋体" w:hint="default"/>
          <w:sz w:val="21"/>
          <w:szCs w:val="21"/>
        </w:rPr>
        <w:t>司交易已作抵销。 2、关联担保情况</w:t>
      </w:r>
    </w:p>
    <w:p>
      <w:pPr>
        <w:spacing w:after="0" w:line="297" w:lineRule="auto"/>
        <w:jc w:val="left"/>
        <w:rPr>
          <w:rFonts w:ascii="宋体" w:hAnsi="宋体" w:cs="宋体" w:eastAsia="宋体" w:hint="default"/>
          <w:sz w:val="21"/>
          <w:szCs w:val="21"/>
        </w:rPr>
        <w:sectPr>
          <w:pgSz w:w="11910" w:h="16840"/>
          <w:pgMar w:header="918" w:footer="950" w:top="1160" w:bottom="1140" w:left="780" w:right="260"/>
        </w:sectPr>
      </w:pPr>
    </w:p>
    <w:p>
      <w:pPr>
        <w:spacing w:line="240" w:lineRule="auto" w:before="10"/>
        <w:rPr>
          <w:rFonts w:ascii="宋体" w:hAnsi="宋体" w:cs="宋体" w:eastAsia="宋体" w:hint="default"/>
          <w:sz w:val="16"/>
          <w:szCs w:val="16"/>
        </w:rPr>
      </w:pPr>
    </w:p>
    <w:p>
      <w:pPr>
        <w:tabs>
          <w:tab w:pos="4079" w:val="left" w:leader="none"/>
          <w:tab w:pos="5339" w:val="left" w:leader="none"/>
          <w:tab w:pos="6689" w:val="left" w:leader="none"/>
          <w:tab w:pos="8039" w:val="left" w:leader="none"/>
        </w:tabs>
        <w:spacing w:before="0"/>
        <w:ind w:left="2010" w:right="-19" w:firstLine="0"/>
        <w:jc w:val="left"/>
        <w:rPr>
          <w:rFonts w:ascii="宋体" w:hAnsi="宋体" w:cs="宋体" w:eastAsia="宋体" w:hint="default"/>
          <w:sz w:val="18"/>
          <w:szCs w:val="18"/>
        </w:rPr>
      </w:pPr>
      <w:r>
        <w:rPr/>
        <w:pict>
          <v:group style="position:absolute;margin-left:139.5pt;margin-top:12.132112pt;width:27pt;height:.1pt;mso-position-horizontal-relative:page;mso-position-vertical-relative:paragraph;z-index:6880" coordorigin="2790,243" coordsize="540,2">
            <v:shape style="position:absolute;left:2790;top:243;width:540;height:2" coordorigin="2790,243" coordsize="540,0" path="m2790,243l3330,243e" filled="false" stroked="true" strokeweight=".48001pt" strokecolor="#000000">
              <v:path arrowok="t"/>
            </v:shape>
            <w10:wrap type="none"/>
          </v:group>
        </w:pict>
      </w:r>
      <w:r>
        <w:rPr/>
        <w:pict>
          <v:group style="position:absolute;margin-left:243pt;margin-top:12.132112pt;width:36pt;height:.1pt;mso-position-horizontal-relative:page;mso-position-vertical-relative:paragraph;z-index:6904" coordorigin="4860,243" coordsize="720,2">
            <v:shape style="position:absolute;left:4860;top:243;width:720;height:2" coordorigin="4860,243" coordsize="720,0" path="m4860,243l5580,243e" filled="false" stroked="true" strokeweight=".48001pt" strokecolor="#000000">
              <v:path arrowok="t"/>
            </v:shape>
            <w10:wrap type="none"/>
          </v:group>
        </w:pict>
      </w:r>
      <w:r>
        <w:rPr/>
        <w:pict>
          <v:group style="position:absolute;margin-left:306pt;margin-top:12.132112pt;width:36pt;height:.1pt;mso-position-horizontal-relative:page;mso-position-vertical-relative:paragraph;z-index:6928" coordorigin="6120,243" coordsize="720,2">
            <v:shape style="position:absolute;left:6120;top:243;width:720;height:2" coordorigin="6120,243" coordsize="720,0" path="m6120,243l6840,243e" filled="false" stroked="true" strokeweight=".48001pt" strokecolor="#000000">
              <v:path arrowok="t"/>
            </v:shape>
            <w10:wrap type="none"/>
          </v:group>
        </w:pict>
      </w:r>
      <w:r>
        <w:rPr/>
        <w:pict>
          <v:group style="position:absolute;margin-left:373.5pt;margin-top:12.132112pt;width:45pt;height:.1pt;mso-position-horizontal-relative:page;mso-position-vertical-relative:paragraph;z-index:6952" coordorigin="7470,243" coordsize="900,2">
            <v:shape style="position:absolute;left:7470;top:243;width:900;height:2" coordorigin="7470,243" coordsize="900,0" path="m7470,243l8370,243e" filled="false" stroked="true" strokeweight=".48001pt" strokecolor="#000000">
              <v:path arrowok="t"/>
            </v:shape>
            <w10:wrap type="none"/>
          </v:group>
        </w:pict>
      </w:r>
      <w:r>
        <w:rPr/>
        <w:pict>
          <v:group style="position:absolute;margin-left:441pt;margin-top:12.132112pt;width:45pt;height:.1pt;mso-position-horizontal-relative:page;mso-position-vertical-relative:paragraph;z-index:6976" coordorigin="8820,243" coordsize="900,2">
            <v:shape style="position:absolute;left:8820;top:243;width:900;height:2" coordorigin="8820,243" coordsize="900,0" path="m8820,243l9720,243e" filled="false" stroked="true" strokeweight=".48001pt" strokecolor="#000000">
              <v:path arrowok="t"/>
            </v:shape>
            <w10:wrap type="none"/>
          </v:group>
        </w:pict>
      </w:r>
      <w:r>
        <w:rPr>
          <w:rFonts w:ascii="宋体" w:hAnsi="宋体" w:cs="宋体" w:eastAsia="宋体" w:hint="default"/>
          <w:sz w:val="18"/>
          <w:szCs w:val="18"/>
        </w:rPr>
        <w:t>担保方</w:t>
        <w:tab/>
        <w:t>被担保方</w:t>
        <w:tab/>
        <w:t>担保金额</w:t>
        <w:tab/>
        <w:t>担保起始日</w:t>
        <w:tab/>
        <w:t>担保到期日</w:t>
      </w:r>
    </w:p>
    <w:p>
      <w:pPr>
        <w:spacing w:line="345" w:lineRule="auto" w:before="49"/>
        <w:ind w:left="319" w:right="645" w:firstLine="0"/>
        <w:jc w:val="left"/>
        <w:rPr>
          <w:rFonts w:ascii="宋体" w:hAnsi="宋体" w:cs="宋体" w:eastAsia="宋体" w:hint="default"/>
          <w:sz w:val="18"/>
          <w:szCs w:val="18"/>
        </w:rPr>
      </w:pPr>
      <w:r>
        <w:rPr/>
        <w:br w:type="column"/>
      </w:r>
      <w:r>
        <w:rPr>
          <w:rFonts w:ascii="宋体" w:hAnsi="宋体" w:cs="宋体" w:eastAsia="宋体" w:hint="default"/>
          <w:sz w:val="18"/>
          <w:szCs w:val="18"/>
        </w:rPr>
        <w:t>担保是否已 经履行完毕</w:t>
      </w:r>
    </w:p>
    <w:p>
      <w:pPr>
        <w:spacing w:after="0" w:line="345" w:lineRule="auto"/>
        <w:jc w:val="left"/>
        <w:rPr>
          <w:rFonts w:ascii="宋体" w:hAnsi="宋体" w:cs="宋体" w:eastAsia="宋体" w:hint="default"/>
          <w:sz w:val="18"/>
          <w:szCs w:val="18"/>
        </w:rPr>
        <w:sectPr>
          <w:type w:val="continuous"/>
          <w:pgSz w:w="11910" w:h="16840"/>
          <w:pgMar w:top="1020" w:bottom="1520" w:left="780" w:right="260"/>
          <w:cols w:num="2" w:equalWidth="0">
            <w:col w:w="8941" w:space="40"/>
            <w:col w:w="1889"/>
          </w:cols>
        </w:sectPr>
      </w:pPr>
    </w:p>
    <w:p>
      <w:pPr>
        <w:tabs>
          <w:tab w:pos="4169" w:val="left" w:leader="none"/>
          <w:tab w:pos="5204" w:val="left" w:leader="none"/>
          <w:tab w:pos="6764" w:val="left" w:leader="none"/>
          <w:tab w:pos="8114" w:val="left" w:leader="none"/>
          <w:tab w:pos="9659" w:val="left" w:leader="none"/>
        </w:tabs>
        <w:spacing w:line="275" w:lineRule="exact" w:before="0"/>
        <w:ind w:left="810" w:right="0" w:firstLine="0"/>
        <w:jc w:val="left"/>
        <w:rPr>
          <w:rFonts w:ascii="宋体" w:hAnsi="宋体" w:cs="宋体" w:eastAsia="宋体" w:hint="default"/>
          <w:sz w:val="18"/>
          <w:szCs w:val="18"/>
        </w:rPr>
      </w:pPr>
      <w:r>
        <w:rPr/>
        <w:pict>
          <v:group style="position:absolute;margin-left:504pt;margin-top:-3.605316pt;width:45pt;height:.1pt;mso-position-horizontal-relative:page;mso-position-vertical-relative:paragraph;z-index:-620848" coordorigin="10080,-72" coordsize="900,2">
            <v:shape style="position:absolute;left:10080;top:-72;width:900;height:2" coordorigin="10080,-72" coordsize="900,0" path="m10080,-72l10980,-72e" filled="false" stroked="true" strokeweight=".47998pt" strokecolor="#000000">
              <v:path arrowok="t"/>
            </v:shape>
            <w10:wrap type="none"/>
          </v:group>
        </w:pict>
      </w:r>
      <w:r>
        <w:rPr>
          <w:rFonts w:ascii="宋体" w:hAnsi="宋体" w:cs="宋体" w:eastAsia="宋体" w:hint="default"/>
          <w:sz w:val="21"/>
          <w:szCs w:val="21"/>
        </w:rPr>
        <w:t>深圳市冠德成科技发展有限公司</w:t>
        <w:tab/>
      </w:r>
      <w:r>
        <w:rPr>
          <w:rFonts w:ascii="宋体" w:hAnsi="宋体" w:cs="宋体" w:eastAsia="宋体" w:hint="default"/>
          <w:sz w:val="18"/>
          <w:szCs w:val="18"/>
        </w:rPr>
        <w:t>本公司</w:t>
        <w:tab/>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tab/>
      </w:r>
      <w:r>
        <w:rPr>
          <w:rFonts w:ascii="Times New Roman" w:hAnsi="Times New Roman" w:cs="Times New Roman" w:eastAsia="Times New Roman" w:hint="default"/>
          <w:sz w:val="18"/>
          <w:szCs w:val="18"/>
        </w:rPr>
        <w:t>2007-4-28</w:t>
        <w:tab/>
        <w:t>2008-4-28</w:t>
        <w:tab/>
      </w:r>
      <w:r>
        <w:rPr>
          <w:rFonts w:ascii="宋体" w:hAnsi="宋体" w:cs="宋体" w:eastAsia="宋体" w:hint="default"/>
          <w:sz w:val="18"/>
          <w:szCs w:val="18"/>
        </w:rPr>
        <w:t>是</w:t>
      </w:r>
    </w:p>
    <w:p>
      <w:pPr>
        <w:spacing w:after="0" w:line="275" w:lineRule="exact"/>
        <w:jc w:val="left"/>
        <w:rPr>
          <w:rFonts w:ascii="宋体" w:hAnsi="宋体" w:cs="宋体" w:eastAsia="宋体" w:hint="default"/>
          <w:sz w:val="18"/>
          <w:szCs w:val="18"/>
        </w:rPr>
        <w:sectPr>
          <w:type w:val="continuous"/>
          <w:pgSz w:w="11910" w:h="16840"/>
          <w:pgMar w:top="1020" w:bottom="1520" w:left="780" w:right="260"/>
        </w:sectPr>
      </w:pPr>
    </w:p>
    <w:p>
      <w:pPr>
        <w:spacing w:line="240" w:lineRule="auto" w:before="10"/>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3185"/>
        <w:gridCol w:w="997"/>
        <w:gridCol w:w="1522"/>
        <w:gridCol w:w="1335"/>
        <w:gridCol w:w="1448"/>
        <w:gridCol w:w="613"/>
      </w:tblGrid>
      <w:tr>
        <w:trPr>
          <w:trHeight w:val="391"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4"/>
              <w:jc w:val="center"/>
              <w:rPr>
                <w:rFonts w:ascii="宋体" w:hAnsi="宋体" w:cs="宋体" w:eastAsia="宋体" w:hint="default"/>
                <w:sz w:val="21"/>
                <w:szCs w:val="21"/>
              </w:rPr>
            </w:pPr>
            <w:r>
              <w:rPr>
                <w:rFonts w:ascii="宋体" w:hAnsi="宋体" w:cs="宋体" w:eastAsia="宋体" w:hint="default"/>
                <w:sz w:val="21"/>
                <w:szCs w:val="21"/>
              </w:rPr>
              <w:t>深圳市恒顺昌投资发展有限公司</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
              <w:jc w:val="center"/>
              <w:rPr>
                <w:rFonts w:ascii="Times New Roman" w:hAnsi="Times New Roman" w:cs="Times New Roman" w:eastAsia="Times New Roman" w:hint="default"/>
                <w:sz w:val="18"/>
                <w:szCs w:val="18"/>
              </w:rPr>
            </w:pPr>
            <w:r>
              <w:rPr>
                <w:rFonts w:ascii="Times New Roman"/>
                <w:sz w:val="18"/>
              </w:rPr>
              <w:t>2007-4-28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00" w:right="0"/>
              <w:jc w:val="left"/>
              <w:rPr>
                <w:rFonts w:ascii="Times New Roman" w:hAnsi="Times New Roman" w:cs="Times New Roman" w:eastAsia="Times New Roman" w:hint="default"/>
                <w:sz w:val="18"/>
                <w:szCs w:val="18"/>
              </w:rPr>
            </w:pPr>
            <w:r>
              <w:rPr>
                <w:rFonts w:ascii="Times New Roman"/>
                <w:sz w:val="18"/>
              </w:rPr>
              <w:t>2008-4-28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3"/>
              <w:jc w:val="center"/>
              <w:rPr>
                <w:rFonts w:ascii="宋体" w:hAnsi="宋体" w:cs="宋体" w:eastAsia="宋体" w:hint="default"/>
                <w:sz w:val="18"/>
                <w:szCs w:val="18"/>
              </w:rPr>
            </w:pPr>
            <w:r>
              <w:rPr>
                <w:rFonts w:ascii="宋体" w:hAnsi="宋体" w:cs="宋体" w:eastAsia="宋体" w:hint="default"/>
                <w:sz w:val="18"/>
                <w:szCs w:val="18"/>
              </w:rPr>
              <w:t>陈亚妹</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
              <w:jc w:val="center"/>
              <w:rPr>
                <w:rFonts w:ascii="Times New Roman" w:hAnsi="Times New Roman" w:cs="Times New Roman" w:eastAsia="Times New Roman" w:hint="default"/>
                <w:sz w:val="18"/>
                <w:szCs w:val="18"/>
              </w:rPr>
            </w:pPr>
            <w:r>
              <w:rPr>
                <w:rFonts w:ascii="Times New Roman"/>
                <w:sz w:val="18"/>
              </w:rPr>
              <w:t>2007-4-28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00" w:right="0"/>
              <w:jc w:val="left"/>
              <w:rPr>
                <w:rFonts w:ascii="Times New Roman" w:hAnsi="Times New Roman" w:cs="Times New Roman" w:eastAsia="Times New Roman" w:hint="default"/>
                <w:sz w:val="18"/>
                <w:szCs w:val="18"/>
              </w:rPr>
            </w:pPr>
            <w:r>
              <w:rPr>
                <w:rFonts w:ascii="Times New Roman"/>
                <w:sz w:val="18"/>
              </w:rPr>
              <w:t>2008-4-28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3"/>
              <w:jc w:val="center"/>
              <w:rPr>
                <w:rFonts w:ascii="宋体" w:hAnsi="宋体" w:cs="宋体" w:eastAsia="宋体" w:hint="default"/>
                <w:sz w:val="18"/>
                <w:szCs w:val="18"/>
              </w:rPr>
            </w:pPr>
            <w:r>
              <w:rPr>
                <w:rFonts w:ascii="宋体" w:hAnsi="宋体" w:cs="宋体" w:eastAsia="宋体" w:hint="default"/>
                <w:sz w:val="18"/>
                <w:szCs w:val="18"/>
              </w:rPr>
              <w:t>乔  昕</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
              <w:jc w:val="center"/>
              <w:rPr>
                <w:rFonts w:ascii="Times New Roman" w:hAnsi="Times New Roman" w:cs="Times New Roman" w:eastAsia="Times New Roman" w:hint="default"/>
                <w:sz w:val="18"/>
                <w:szCs w:val="18"/>
              </w:rPr>
            </w:pPr>
            <w:r>
              <w:rPr>
                <w:rFonts w:ascii="Times New Roman"/>
                <w:sz w:val="18"/>
              </w:rPr>
              <w:t>2007-4-28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0" w:right="0"/>
              <w:jc w:val="left"/>
              <w:rPr>
                <w:rFonts w:ascii="Times New Roman" w:hAnsi="Times New Roman" w:cs="Times New Roman" w:eastAsia="Times New Roman" w:hint="default"/>
                <w:sz w:val="18"/>
                <w:szCs w:val="18"/>
              </w:rPr>
            </w:pPr>
            <w:r>
              <w:rPr>
                <w:rFonts w:ascii="Times New Roman"/>
                <w:sz w:val="18"/>
              </w:rPr>
              <w:t>2008-4-28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9"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4"/>
              <w:jc w:val="center"/>
              <w:rPr>
                <w:rFonts w:ascii="宋体" w:hAnsi="宋体" w:cs="宋体" w:eastAsia="宋体" w:hint="default"/>
                <w:sz w:val="18"/>
                <w:szCs w:val="18"/>
              </w:rPr>
            </w:pPr>
            <w:r>
              <w:rPr>
                <w:rFonts w:ascii="宋体" w:hAnsi="宋体" w:cs="宋体" w:eastAsia="宋体" w:hint="default"/>
                <w:sz w:val="18"/>
                <w:szCs w:val="18"/>
              </w:rPr>
              <w:t>深圳市恒顺昌投资发展有限公司</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
              <w:jc w:val="center"/>
              <w:rPr>
                <w:rFonts w:ascii="Times New Roman" w:hAnsi="Times New Roman" w:cs="Times New Roman" w:eastAsia="Times New Roman" w:hint="default"/>
                <w:sz w:val="18"/>
                <w:szCs w:val="18"/>
              </w:rPr>
            </w:pPr>
            <w:r>
              <w:rPr>
                <w:rFonts w:ascii="Times New Roman"/>
                <w:sz w:val="18"/>
              </w:rPr>
              <w:t>2007-8-14</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99" w:right="0"/>
              <w:jc w:val="left"/>
              <w:rPr>
                <w:rFonts w:ascii="Times New Roman" w:hAnsi="Times New Roman" w:cs="Times New Roman" w:eastAsia="Times New Roman" w:hint="default"/>
                <w:sz w:val="18"/>
                <w:szCs w:val="18"/>
              </w:rPr>
            </w:pPr>
            <w:r>
              <w:rPr>
                <w:rFonts w:ascii="Times New Roman"/>
                <w:sz w:val="18"/>
              </w:rPr>
              <w:t>2008-8-14</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50" w:lineRule="exact" w:before="0"/>
        <w:ind w:left="780" w:right="539" w:firstLine="0"/>
        <w:jc w:val="left"/>
        <w:rPr>
          <w:rFonts w:ascii="宋体" w:hAnsi="宋体" w:cs="宋体" w:eastAsia="宋体" w:hint="default"/>
          <w:sz w:val="21"/>
          <w:szCs w:val="21"/>
        </w:rPr>
      </w:pPr>
      <w:r>
        <w:rPr>
          <w:rFonts w:ascii="宋体" w:hAnsi="宋体" w:cs="宋体" w:eastAsia="宋体" w:hint="default"/>
          <w:sz w:val="21"/>
          <w:szCs w:val="21"/>
        </w:rPr>
        <w:t>关联担保情况说明：</w:t>
      </w:r>
    </w:p>
    <w:p>
      <w:pPr>
        <w:spacing w:line="297" w:lineRule="auto" w:before="66"/>
        <w:ind w:left="360" w:right="539" w:firstLine="420"/>
        <w:jc w:val="left"/>
        <w:rPr>
          <w:rFonts w:ascii="宋体" w:hAnsi="宋体" w:cs="宋体" w:eastAsia="宋体" w:hint="default"/>
          <w:sz w:val="21"/>
          <w:szCs w:val="21"/>
        </w:rPr>
      </w:pPr>
      <w:r>
        <w:rPr>
          <w:rFonts w:ascii="宋体" w:hAnsi="宋体" w:cs="宋体" w:eastAsia="宋体" w:hint="default"/>
          <w:sz w:val="21"/>
          <w:szCs w:val="21"/>
        </w:rPr>
        <w:t>公司上年取得的兴业银行股份有限公司深圳南山支行综合授信额度</w:t>
      </w:r>
      <w:r>
        <w:rPr>
          <w:rFonts w:ascii="宋体" w:hAnsi="宋体" w:cs="宋体" w:eastAsia="宋体" w:hint="default"/>
          <w:spacing w:val="-53"/>
          <w:sz w:val="21"/>
          <w:szCs w:val="21"/>
        </w:rPr>
        <w:t> </w:t>
      </w:r>
      <w:r>
        <w:rPr>
          <w:rFonts w:ascii="宋体" w:hAnsi="宋体" w:cs="宋体" w:eastAsia="宋体" w:hint="default"/>
          <w:sz w:val="21"/>
          <w:szCs w:val="21"/>
        </w:rPr>
        <w:t>1,600</w:t>
      </w:r>
      <w:r>
        <w:rPr>
          <w:rFonts w:ascii="宋体" w:hAnsi="宋体" w:cs="宋体" w:eastAsia="宋体" w:hint="default"/>
          <w:spacing w:val="-52"/>
          <w:sz w:val="21"/>
          <w:szCs w:val="21"/>
        </w:rPr>
        <w:t> </w:t>
      </w:r>
      <w:r>
        <w:rPr>
          <w:rFonts w:ascii="宋体" w:hAnsi="宋体" w:cs="宋体" w:eastAsia="宋体" w:hint="default"/>
          <w:spacing w:val="-17"/>
          <w:sz w:val="21"/>
          <w:szCs w:val="21"/>
        </w:rPr>
        <w:t>万美元，该授</w:t>
      </w:r>
      <w:r>
        <w:rPr>
          <w:rFonts w:ascii="宋体" w:hAnsi="宋体" w:cs="宋体" w:eastAsia="宋体" w:hint="default"/>
          <w:spacing w:val="-2"/>
          <w:sz w:val="21"/>
          <w:szCs w:val="21"/>
        </w:rPr>
        <w:t> </w:t>
      </w:r>
      <w:r>
        <w:rPr>
          <w:rFonts w:ascii="宋体" w:hAnsi="宋体" w:cs="宋体" w:eastAsia="宋体" w:hint="default"/>
          <w:spacing w:val="-5"/>
          <w:sz w:val="21"/>
          <w:szCs w:val="21"/>
        </w:rPr>
        <w:t>信额度的取得，其中股东深圳市冠德成科技发展有限公司、深圳市恒顺昌投资发展有限公司、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陈亚妹、乔昕提供连带保证担保，担保期限从</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9"/>
          <w:sz w:val="21"/>
          <w:szCs w:val="21"/>
        </w:rPr>
        <w:t>日止。上</w:t>
      </w:r>
    </w:p>
    <w:p>
      <w:pPr>
        <w:spacing w:before="15"/>
        <w:ind w:left="360" w:right="0" w:firstLine="0"/>
        <w:jc w:val="both"/>
        <w:rPr>
          <w:rFonts w:ascii="宋体" w:hAnsi="宋体" w:cs="宋体" w:eastAsia="宋体" w:hint="default"/>
          <w:sz w:val="21"/>
          <w:szCs w:val="21"/>
        </w:rPr>
      </w:pPr>
      <w:r>
        <w:rPr>
          <w:rFonts w:ascii="宋体" w:hAnsi="宋体" w:cs="宋体" w:eastAsia="宋体" w:hint="default"/>
          <w:sz w:val="21"/>
          <w:szCs w:val="21"/>
        </w:rPr>
        <w:t>年取得的招商银行股份有限公司深圳振兴支行授信额度</w:t>
      </w:r>
      <w:r>
        <w:rPr>
          <w:rFonts w:ascii="宋体" w:hAnsi="宋体" w:cs="宋体" w:eastAsia="宋体" w:hint="default"/>
          <w:spacing w:val="-52"/>
          <w:sz w:val="21"/>
          <w:szCs w:val="21"/>
        </w:rPr>
        <w:t> </w:t>
      </w:r>
      <w:r>
        <w:rPr>
          <w:rFonts w:ascii="宋体" w:hAnsi="宋体" w:cs="宋体" w:eastAsia="宋体" w:hint="default"/>
          <w:sz w:val="21"/>
          <w:szCs w:val="21"/>
        </w:rPr>
        <w:t>600</w:t>
      </w:r>
      <w:r>
        <w:rPr>
          <w:rFonts w:ascii="宋体" w:hAnsi="宋体" w:cs="宋体" w:eastAsia="宋体" w:hint="default"/>
          <w:spacing w:val="-51"/>
          <w:sz w:val="21"/>
          <w:szCs w:val="21"/>
        </w:rPr>
        <w:t> </w:t>
      </w:r>
      <w:r>
        <w:rPr>
          <w:rFonts w:ascii="宋体" w:hAnsi="宋体" w:cs="宋体" w:eastAsia="宋体" w:hint="default"/>
          <w:spacing w:val="-7"/>
          <w:sz w:val="21"/>
          <w:szCs w:val="21"/>
        </w:rPr>
        <w:t>万美元，该授信额度的取得，其</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中股东深圳市恒顺昌投资发展有限公司提供连带保证担保</w:t>
      </w:r>
      <w:r>
        <w:rPr>
          <w:rFonts w:ascii="宋体" w:hAnsi="宋体" w:cs="宋体" w:eastAsia="宋体" w:hint="default"/>
          <w:spacing w:val="-94"/>
          <w:sz w:val="21"/>
          <w:szCs w:val="21"/>
        </w:rPr>
        <w:t>，</w:t>
      </w:r>
      <w:r>
        <w:rPr>
          <w:rFonts w:ascii="宋体" w:hAnsi="宋体" w:cs="宋体" w:eastAsia="宋体" w:hint="default"/>
          <w:spacing w:val="-1"/>
          <w:sz w:val="21"/>
          <w:szCs w:val="21"/>
        </w:rPr>
        <w:t>担保期限</w:t>
      </w:r>
      <w:r>
        <w:rPr>
          <w:rFonts w:ascii="宋体" w:hAnsi="宋体" w:cs="宋体" w:eastAsia="宋体" w:hint="default"/>
          <w:sz w:val="21"/>
          <w:szCs w:val="21"/>
        </w:rPr>
        <w:t>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日至</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日止。上述借款本年已全部归还。</w:t>
      </w:r>
    </w:p>
    <w:p>
      <w:pPr>
        <w:spacing w:line="240" w:lineRule="auto" w:before="0"/>
        <w:rPr>
          <w:rFonts w:ascii="宋体" w:hAnsi="宋体" w:cs="宋体" w:eastAsia="宋体" w:hint="default"/>
          <w:sz w:val="20"/>
          <w:szCs w:val="20"/>
        </w:rPr>
      </w:pPr>
    </w:p>
    <w:p>
      <w:pPr>
        <w:spacing w:line="297" w:lineRule="auto" w:before="144"/>
        <w:ind w:left="780" w:right="5584" w:firstLine="2"/>
        <w:jc w:val="left"/>
        <w:rPr>
          <w:rFonts w:ascii="宋体" w:hAnsi="宋体" w:cs="宋体" w:eastAsia="宋体" w:hint="default"/>
          <w:sz w:val="21"/>
          <w:szCs w:val="21"/>
        </w:rPr>
      </w:pPr>
      <w:r>
        <w:rPr>
          <w:rFonts w:ascii="宋体" w:hAnsi="宋体" w:cs="宋体" w:eastAsia="宋体" w:hint="default"/>
          <w:b/>
          <w:bCs/>
          <w:sz w:val="21"/>
          <w:szCs w:val="21"/>
        </w:rPr>
        <w:t>九、或有事项</w:t>
      </w:r>
      <w:r>
        <w:rPr>
          <w:rFonts w:ascii="宋体" w:hAnsi="宋体" w:cs="宋体" w:eastAsia="宋体" w:hint="default"/>
          <w:b/>
          <w:bCs/>
          <w:w w:val="99"/>
          <w:sz w:val="21"/>
          <w:szCs w:val="21"/>
        </w:rPr>
        <w:t> </w:t>
      </w:r>
      <w:r>
        <w:rPr>
          <w:rFonts w:ascii="宋体" w:hAnsi="宋体" w:cs="宋体" w:eastAsia="宋体" w:hint="default"/>
          <w:sz w:val="21"/>
          <w:szCs w:val="21"/>
        </w:rPr>
        <w:t>本公司无需要披露的或有事项。</w:t>
      </w:r>
    </w:p>
    <w:p>
      <w:pPr>
        <w:spacing w:line="240" w:lineRule="auto" w:before="2"/>
        <w:rPr>
          <w:rFonts w:ascii="宋体" w:hAnsi="宋体" w:cs="宋体" w:eastAsia="宋体" w:hint="default"/>
          <w:sz w:val="27"/>
          <w:szCs w:val="27"/>
        </w:rPr>
      </w:pPr>
    </w:p>
    <w:p>
      <w:pPr>
        <w:spacing w:line="297" w:lineRule="auto" w:before="0"/>
        <w:ind w:left="782" w:right="6203" w:firstLine="0"/>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b/>
          <w:bCs/>
          <w:w w:val="99"/>
          <w:sz w:val="21"/>
          <w:szCs w:val="21"/>
        </w:rPr>
        <w:t> </w:t>
      </w:r>
      <w:r>
        <w:rPr>
          <w:rFonts w:ascii="宋体" w:hAnsi="宋体" w:cs="宋体" w:eastAsia="宋体" w:hint="default"/>
          <w:b/>
          <w:bCs/>
          <w:sz w:val="21"/>
          <w:szCs w:val="21"/>
        </w:rPr>
        <w:t>抵押资产及资产受限情况</w:t>
      </w:r>
      <w:r>
        <w:rPr>
          <w:rFonts w:ascii="宋体" w:hAnsi="宋体" w:cs="宋体" w:eastAsia="宋体" w:hint="default"/>
          <w:sz w:val="21"/>
          <w:szCs w:val="21"/>
        </w:rPr>
      </w:r>
    </w:p>
    <w:p>
      <w:pPr>
        <w:spacing w:before="15"/>
        <w:ind w:left="780" w:right="539"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53"/>
          <w:sz w:val="21"/>
          <w:szCs w:val="21"/>
        </w:rPr>
        <w:t> </w:t>
      </w:r>
      <w:r>
        <w:rPr>
          <w:rFonts w:ascii="宋体" w:hAnsi="宋体" w:cs="宋体" w:eastAsia="宋体" w:hint="default"/>
          <w:sz w:val="21"/>
          <w:szCs w:val="21"/>
        </w:rPr>
        <w:t>58,294,400.00</w:t>
      </w:r>
      <w:r>
        <w:rPr>
          <w:rFonts w:ascii="宋体" w:hAnsi="宋体" w:cs="宋体" w:eastAsia="宋体" w:hint="default"/>
          <w:spacing w:val="-53"/>
          <w:sz w:val="21"/>
          <w:szCs w:val="21"/>
        </w:rPr>
        <w:t> </w:t>
      </w:r>
      <w:r>
        <w:rPr>
          <w:rFonts w:ascii="宋体" w:hAnsi="宋体" w:cs="宋体" w:eastAsia="宋体" w:hint="default"/>
          <w:sz w:val="21"/>
          <w:szCs w:val="21"/>
        </w:rPr>
        <w:t>元人民币银行存款为保证金</w:t>
      </w:r>
      <w:r>
        <w:rPr>
          <w:rFonts w:ascii="宋体" w:hAnsi="宋体" w:cs="宋体" w:eastAsia="宋体" w:hint="default"/>
          <w:spacing w:val="-94"/>
          <w:sz w:val="21"/>
          <w:szCs w:val="21"/>
        </w:rPr>
        <w:t>，</w:t>
      </w:r>
      <w:r>
        <w:rPr>
          <w:rFonts w:ascii="宋体" w:hAnsi="宋体" w:cs="宋体" w:eastAsia="宋体" w:hint="default"/>
          <w:sz w:val="21"/>
          <w:szCs w:val="21"/>
        </w:rPr>
        <w:t>取得招商银行振兴支行</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美</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元借款，借款期限为</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before="64"/>
        <w:ind w:left="780" w:right="539"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33"/>
          <w:sz w:val="21"/>
          <w:szCs w:val="21"/>
        </w:rPr>
        <w:t> </w:t>
      </w:r>
      <w:r>
        <w:rPr>
          <w:rFonts w:ascii="宋体" w:hAnsi="宋体" w:cs="宋体" w:eastAsia="宋体" w:hint="default"/>
          <w:sz w:val="21"/>
          <w:szCs w:val="21"/>
        </w:rPr>
        <w:t>35,100,000.00</w:t>
      </w:r>
      <w:r>
        <w:rPr>
          <w:rFonts w:ascii="宋体" w:hAnsi="宋体" w:cs="宋体" w:eastAsia="宋体" w:hint="default"/>
          <w:spacing w:val="-1"/>
          <w:sz w:val="21"/>
          <w:szCs w:val="21"/>
        </w:rPr>
        <w:t> </w:t>
      </w:r>
      <w:r>
        <w:rPr>
          <w:rFonts w:ascii="宋体" w:hAnsi="宋体" w:cs="宋体" w:eastAsia="宋体" w:hint="default"/>
          <w:sz w:val="21"/>
          <w:szCs w:val="21"/>
        </w:rPr>
        <w:t>元人民币银行存款为保证金，取得花旗银行广州支行</w:t>
      </w:r>
      <w:r>
        <w:rPr>
          <w:rFonts w:ascii="宋体" w:hAnsi="宋体" w:cs="宋体" w:eastAsia="宋体" w:hint="default"/>
          <w:spacing w:val="-33"/>
          <w:sz w:val="21"/>
          <w:szCs w:val="21"/>
        </w:rPr>
        <w:t> </w:t>
      </w:r>
      <w:r>
        <w:rPr>
          <w:rFonts w:ascii="宋体" w:hAnsi="宋体" w:cs="宋体" w:eastAsia="宋体" w:hint="default"/>
          <w:sz w:val="21"/>
          <w:szCs w:val="21"/>
        </w:rPr>
        <w:t>480</w:t>
      </w:r>
      <w:r>
        <w:rPr>
          <w:rFonts w:ascii="宋体" w:hAnsi="宋体" w:cs="宋体" w:eastAsia="宋体" w:hint="default"/>
          <w:spacing w:val="-33"/>
          <w:sz w:val="21"/>
          <w:szCs w:val="21"/>
        </w:rPr>
        <w:t> </w:t>
      </w:r>
      <w:r>
        <w:rPr>
          <w:rFonts w:ascii="宋体" w:hAnsi="宋体" w:cs="宋体" w:eastAsia="宋体" w:hint="default"/>
          <w:sz w:val="21"/>
          <w:szCs w:val="21"/>
        </w:rPr>
        <w:t>万</w:t>
      </w:r>
    </w:p>
    <w:p>
      <w:pPr>
        <w:spacing w:before="66"/>
        <w:ind w:left="360" w:right="0" w:firstLine="0"/>
        <w:jc w:val="both"/>
        <w:rPr>
          <w:rFonts w:ascii="宋体" w:hAnsi="宋体" w:cs="宋体" w:eastAsia="宋体" w:hint="default"/>
          <w:sz w:val="21"/>
          <w:szCs w:val="21"/>
        </w:rPr>
      </w:pPr>
      <w:r>
        <w:rPr>
          <w:rFonts w:ascii="宋体" w:hAnsi="宋体" w:cs="宋体" w:eastAsia="宋体" w:hint="default"/>
          <w:sz w:val="21"/>
          <w:szCs w:val="21"/>
        </w:rPr>
        <w:t>美元借款，借款期限为</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p>
      <w:pPr>
        <w:spacing w:before="64"/>
        <w:ind w:left="780" w:right="539" w:firstLine="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66"/>
          <w:sz w:val="21"/>
          <w:szCs w:val="21"/>
        </w:rPr>
        <w:t> </w:t>
      </w:r>
      <w:r>
        <w:rPr>
          <w:rFonts w:ascii="宋体" w:hAnsi="宋体" w:cs="宋体" w:eastAsia="宋体" w:hint="default"/>
          <w:sz w:val="21"/>
          <w:szCs w:val="21"/>
        </w:rPr>
        <w:t>286,551,210.00</w:t>
      </w:r>
      <w:r>
        <w:rPr>
          <w:rFonts w:ascii="宋体" w:hAnsi="宋体" w:cs="宋体" w:eastAsia="宋体" w:hint="default"/>
          <w:spacing w:val="-27"/>
          <w:sz w:val="21"/>
          <w:szCs w:val="21"/>
        </w:rPr>
        <w:t> </w:t>
      </w:r>
      <w:r>
        <w:rPr>
          <w:rFonts w:ascii="宋体" w:hAnsi="宋体" w:cs="宋体" w:eastAsia="宋体" w:hint="default"/>
          <w:sz w:val="21"/>
          <w:szCs w:val="21"/>
        </w:rPr>
        <w:t>元人民币银行存款为保证金向兴业银行南山支行提供担保，</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由兴业银行南山支行开出保函取得中国进出口银行深圳市分行</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pacing w:val="-53"/>
          <w:sz w:val="21"/>
          <w:szCs w:val="21"/>
        </w:rPr>
        <w:t> </w:t>
      </w:r>
      <w:r>
        <w:rPr>
          <w:rFonts w:ascii="宋体" w:hAnsi="宋体" w:cs="宋体" w:eastAsia="宋体" w:hint="default"/>
          <w:sz w:val="21"/>
          <w:szCs w:val="21"/>
        </w:rPr>
        <w:t>万美元借款</w:t>
      </w:r>
      <w:r>
        <w:rPr>
          <w:rFonts w:ascii="宋体" w:hAnsi="宋体" w:cs="宋体" w:eastAsia="宋体" w:hint="default"/>
          <w:spacing w:val="-94"/>
          <w:sz w:val="21"/>
          <w:szCs w:val="21"/>
        </w:rPr>
        <w:t>，</w:t>
      </w:r>
      <w:r>
        <w:rPr>
          <w:rFonts w:ascii="宋体" w:hAnsi="宋体" w:cs="宋体" w:eastAsia="宋体" w:hint="default"/>
          <w:sz w:val="21"/>
          <w:szCs w:val="21"/>
        </w:rPr>
        <w:t>借款期限</w:t>
      </w:r>
    </w:p>
    <w:p>
      <w:pPr>
        <w:spacing w:before="66"/>
        <w:ind w:left="360" w:right="0" w:firstLine="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日。以</w:t>
      </w:r>
      <w:r>
        <w:rPr>
          <w:rFonts w:ascii="宋体" w:hAnsi="宋体" w:cs="宋体" w:eastAsia="宋体" w:hint="default"/>
          <w:spacing w:val="-54"/>
          <w:sz w:val="21"/>
          <w:szCs w:val="21"/>
        </w:rPr>
        <w:t> </w:t>
      </w:r>
      <w:r>
        <w:rPr>
          <w:rFonts w:ascii="宋体" w:hAnsi="宋体" w:cs="宋体" w:eastAsia="宋体" w:hint="default"/>
          <w:sz w:val="21"/>
          <w:szCs w:val="21"/>
        </w:rPr>
        <w:t>127,966,925.00</w:t>
      </w:r>
      <w:r>
        <w:rPr>
          <w:rFonts w:ascii="宋体" w:hAnsi="宋体" w:cs="宋体" w:eastAsia="宋体" w:hint="default"/>
          <w:spacing w:val="-53"/>
          <w:sz w:val="21"/>
          <w:szCs w:val="21"/>
        </w:rPr>
        <w:t> </w:t>
      </w:r>
      <w:r>
        <w:rPr>
          <w:rFonts w:ascii="宋体" w:hAnsi="宋体" w:cs="宋体" w:eastAsia="宋体" w:hint="default"/>
          <w:sz w:val="21"/>
          <w:szCs w:val="21"/>
        </w:rPr>
        <w:t>元人民币银行存款为保证金</w:t>
      </w:r>
    </w:p>
    <w:p>
      <w:pPr>
        <w:spacing w:line="297" w:lineRule="auto" w:before="64"/>
        <w:ind w:left="360" w:right="654" w:firstLine="0"/>
        <w:jc w:val="both"/>
        <w:rPr>
          <w:rFonts w:ascii="宋体" w:hAnsi="宋体" w:cs="宋体" w:eastAsia="宋体" w:hint="default"/>
          <w:sz w:val="21"/>
          <w:szCs w:val="21"/>
        </w:rPr>
      </w:pPr>
      <w:r>
        <w:rPr>
          <w:rFonts w:ascii="宋体" w:hAnsi="宋体" w:cs="宋体" w:eastAsia="宋体" w:hint="default"/>
          <w:spacing w:val="-6"/>
          <w:sz w:val="21"/>
          <w:szCs w:val="21"/>
        </w:rPr>
        <w:t>在兴业银行南山支行进行理财。本公司以</w:t>
      </w:r>
      <w:r>
        <w:rPr>
          <w:rFonts w:ascii="宋体" w:hAnsi="宋体" w:cs="宋体" w:eastAsia="宋体" w:hint="default"/>
          <w:spacing w:val="-41"/>
          <w:sz w:val="21"/>
          <w:szCs w:val="21"/>
        </w:rPr>
        <w:t> </w:t>
      </w:r>
      <w:r>
        <w:rPr>
          <w:rFonts w:ascii="宋体" w:hAnsi="宋体" w:cs="宋体" w:eastAsia="宋体" w:hint="default"/>
          <w:sz w:val="21"/>
          <w:szCs w:val="21"/>
        </w:rPr>
        <w:t>15,550,000.00</w:t>
      </w:r>
      <w:r>
        <w:rPr>
          <w:rFonts w:ascii="宋体" w:hAnsi="宋体" w:cs="宋体" w:eastAsia="宋体" w:hint="default"/>
          <w:spacing w:val="-40"/>
          <w:sz w:val="21"/>
          <w:szCs w:val="21"/>
        </w:rPr>
        <w:t> </w:t>
      </w:r>
      <w:r>
        <w:rPr>
          <w:rFonts w:ascii="宋体" w:hAnsi="宋体" w:cs="宋体" w:eastAsia="宋体" w:hint="default"/>
          <w:spacing w:val="-1"/>
          <w:sz w:val="21"/>
          <w:szCs w:val="21"/>
        </w:rPr>
        <w:t>元人民币银行存款为保证金向兴业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银行南山支行提供担保，由兴业银行南山支行开出保函取得中国进出口银行深圳市分行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3,000</w:t>
      </w:r>
      <w:r>
        <w:rPr>
          <w:rFonts w:ascii="宋体" w:hAnsi="宋体" w:cs="宋体" w:eastAsia="宋体" w:hint="default"/>
          <w:spacing w:val="-49"/>
          <w:sz w:val="21"/>
          <w:szCs w:val="21"/>
        </w:rPr>
        <w:t> </w:t>
      </w:r>
      <w:r>
        <w:rPr>
          <w:rFonts w:ascii="宋体" w:hAnsi="宋体" w:cs="宋体" w:eastAsia="宋体" w:hint="default"/>
          <w:sz w:val="21"/>
          <w:szCs w:val="21"/>
        </w:rPr>
        <w:t>万美元借款，借款期限为</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26</w:t>
      </w:r>
      <w:r>
        <w:rPr>
          <w:rFonts w:ascii="宋体" w:hAnsi="宋体" w:cs="宋体" w:eastAsia="宋体" w:hint="default"/>
          <w:spacing w:val="-49"/>
          <w:sz w:val="21"/>
          <w:szCs w:val="21"/>
        </w:rPr>
        <w:t> </w:t>
      </w:r>
      <w:r>
        <w:rPr>
          <w:rFonts w:ascii="宋体" w:hAnsi="宋体" w:cs="宋体" w:eastAsia="宋体" w:hint="default"/>
          <w:sz w:val="21"/>
          <w:szCs w:val="21"/>
        </w:rPr>
        <w:t>日，企业已于</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p>
      <w:pPr>
        <w:spacing w:line="297" w:lineRule="auto" w:before="14"/>
        <w:ind w:left="360" w:right="646"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14</w:t>
      </w:r>
      <w:r>
        <w:rPr>
          <w:rFonts w:ascii="宋体" w:hAnsi="宋体" w:cs="宋体" w:eastAsia="宋体" w:hint="default"/>
          <w:spacing w:val="-41"/>
          <w:sz w:val="21"/>
          <w:szCs w:val="21"/>
        </w:rPr>
        <w:t> </w:t>
      </w:r>
      <w:r>
        <w:rPr>
          <w:rFonts w:ascii="宋体" w:hAnsi="宋体" w:cs="宋体" w:eastAsia="宋体" w:hint="default"/>
          <w:sz w:val="21"/>
          <w:szCs w:val="21"/>
        </w:rPr>
        <w:t>日提前归还。本公司以</w:t>
      </w:r>
      <w:r>
        <w:rPr>
          <w:rFonts w:ascii="宋体" w:hAnsi="宋体" w:cs="宋体" w:eastAsia="宋体" w:hint="default"/>
          <w:spacing w:val="-42"/>
          <w:sz w:val="21"/>
          <w:szCs w:val="21"/>
        </w:rPr>
        <w:t> </w:t>
      </w:r>
      <w:r>
        <w:rPr>
          <w:rFonts w:ascii="宋体" w:hAnsi="宋体" w:cs="宋体" w:eastAsia="宋体" w:hint="default"/>
          <w:sz w:val="21"/>
          <w:szCs w:val="21"/>
        </w:rPr>
        <w:t>USD25,000.00</w:t>
      </w:r>
      <w:r>
        <w:rPr>
          <w:rFonts w:ascii="宋体" w:hAnsi="宋体" w:cs="宋体" w:eastAsia="宋体" w:hint="default"/>
          <w:spacing w:val="-41"/>
          <w:sz w:val="21"/>
          <w:szCs w:val="21"/>
        </w:rPr>
        <w:t> </w:t>
      </w:r>
      <w:r>
        <w:rPr>
          <w:rFonts w:ascii="宋体" w:hAnsi="宋体" w:cs="宋体" w:eastAsia="宋体" w:hint="default"/>
          <w:sz w:val="21"/>
          <w:szCs w:val="21"/>
        </w:rPr>
        <w:t>元银行存款为保证金，与兴业银行南山支行</w:t>
      </w:r>
      <w:r>
        <w:rPr>
          <w:rFonts w:ascii="宋体" w:hAnsi="宋体" w:cs="宋体" w:eastAsia="宋体" w:hint="default"/>
          <w:sz w:val="21"/>
          <w:szCs w:val="21"/>
        </w:rPr>
        <w:t> 签订保函保证金协议。</w:t>
      </w:r>
    </w:p>
    <w:p>
      <w:pPr>
        <w:spacing w:line="297" w:lineRule="auto" w:before="15"/>
        <w:ind w:left="360" w:right="643" w:firstLine="420"/>
        <w:jc w:val="left"/>
        <w:rPr>
          <w:rFonts w:ascii="宋体" w:hAnsi="宋体" w:cs="宋体" w:eastAsia="宋体" w:hint="default"/>
          <w:sz w:val="21"/>
          <w:szCs w:val="21"/>
        </w:rPr>
      </w:pPr>
      <w:r>
        <w:rPr>
          <w:rFonts w:ascii="宋体" w:hAnsi="宋体" w:cs="宋体" w:eastAsia="宋体" w:hint="default"/>
          <w:spacing w:val="2"/>
          <w:sz w:val="21"/>
          <w:szCs w:val="21"/>
        </w:rPr>
        <w:t>本公司之子公司无锡实益达电子有限公司以其拥有的房地产为抵押取得上海浦东发展</w:t>
      </w:r>
      <w:r>
        <w:rPr>
          <w:rFonts w:ascii="宋体" w:hAnsi="宋体" w:cs="宋体" w:eastAsia="宋体" w:hint="default"/>
          <w:sz w:val="21"/>
          <w:szCs w:val="21"/>
        </w:rPr>
        <w:t> 银行无锡新区支行</w:t>
      </w:r>
      <w:r>
        <w:rPr>
          <w:rFonts w:ascii="宋体" w:hAnsi="宋体" w:cs="宋体" w:eastAsia="宋体" w:hint="default"/>
          <w:spacing w:val="-20"/>
          <w:sz w:val="21"/>
          <w:szCs w:val="21"/>
        </w:rPr>
        <w:t> </w:t>
      </w:r>
      <w:r>
        <w:rPr>
          <w:rFonts w:ascii="宋体" w:hAnsi="宋体" w:cs="宋体" w:eastAsia="宋体" w:hint="default"/>
          <w:sz w:val="21"/>
          <w:szCs w:val="21"/>
        </w:rPr>
        <w:t>3,000</w:t>
      </w:r>
      <w:r>
        <w:rPr>
          <w:rFonts w:ascii="宋体" w:hAnsi="宋体" w:cs="宋体" w:eastAsia="宋体" w:hint="default"/>
          <w:spacing w:val="-19"/>
          <w:sz w:val="21"/>
          <w:szCs w:val="21"/>
        </w:rPr>
        <w:t> </w:t>
      </w:r>
      <w:r>
        <w:rPr>
          <w:rFonts w:ascii="宋体" w:hAnsi="宋体" w:cs="宋体" w:eastAsia="宋体" w:hint="default"/>
          <w:sz w:val="21"/>
          <w:szCs w:val="21"/>
        </w:rPr>
        <w:t>万元人民币授信额度。在此额度下，分别取得期限为</w:t>
      </w:r>
      <w:r>
        <w:rPr>
          <w:rFonts w:ascii="宋体" w:hAnsi="宋体" w:cs="宋体" w:eastAsia="宋体" w:hint="default"/>
          <w:spacing w:val="-20"/>
          <w:sz w:val="21"/>
          <w:szCs w:val="21"/>
        </w:rPr>
        <w:t> </w:t>
      </w:r>
      <w:r>
        <w:rPr>
          <w:rFonts w:ascii="宋体" w:hAnsi="宋体" w:cs="宋体" w:eastAsia="宋体" w:hint="default"/>
          <w:sz w:val="21"/>
          <w:szCs w:val="21"/>
        </w:rPr>
        <w:t>2008</w:t>
      </w:r>
      <w:r>
        <w:rPr>
          <w:rFonts w:ascii="宋体" w:hAnsi="宋体" w:cs="宋体" w:eastAsia="宋体"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10</w:t>
      </w:r>
    </w:p>
    <w:p>
      <w:pPr>
        <w:spacing w:before="14"/>
        <w:ind w:left="360"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日的</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pacing w:val="-2"/>
          <w:sz w:val="21"/>
          <w:szCs w:val="21"/>
        </w:rPr>
        <w:t>万</w:t>
      </w:r>
      <w:r>
        <w:rPr>
          <w:rFonts w:ascii="宋体" w:hAnsi="宋体" w:cs="宋体" w:eastAsia="宋体" w:hint="default"/>
          <w:spacing w:val="-1"/>
          <w:sz w:val="21"/>
          <w:szCs w:val="21"/>
        </w:rPr>
        <w:t>元人民币短期借款</w:t>
      </w:r>
      <w:r>
        <w:rPr>
          <w:rFonts w:ascii="宋体" w:hAnsi="宋体" w:cs="宋体" w:eastAsia="宋体" w:hint="default"/>
          <w:spacing w:val="-104"/>
          <w:sz w:val="21"/>
          <w:szCs w:val="21"/>
        </w:rPr>
        <w:t>，</w:t>
      </w:r>
      <w:r>
        <w:rPr>
          <w:rFonts w:ascii="宋体" w:hAnsi="宋体" w:cs="宋体" w:eastAsia="宋体" w:hint="default"/>
          <w:sz w:val="21"/>
          <w:szCs w:val="21"/>
        </w:rPr>
        <w:t>期</w:t>
      </w:r>
      <w:r>
        <w:rPr>
          <w:rFonts w:ascii="宋体" w:hAnsi="宋体" w:cs="宋体" w:eastAsia="宋体" w:hint="default"/>
          <w:spacing w:val="-2"/>
          <w:sz w:val="21"/>
          <w:szCs w:val="21"/>
        </w:rPr>
        <w:t>限</w:t>
      </w: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1"/>
          <w:sz w:val="21"/>
          <w:szCs w:val="21"/>
        </w:rPr>
        <w:t>1</w:t>
      </w:r>
      <w:r>
        <w:rPr>
          <w:rFonts w:ascii="宋体" w:hAnsi="宋体" w:cs="宋体" w:eastAsia="宋体" w:hint="default"/>
          <w:spacing w:val="50"/>
          <w:sz w:val="21"/>
          <w:szCs w:val="21"/>
        </w:rPr>
        <w:t>1</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009</w:t>
      </w:r>
    </w:p>
    <w:p>
      <w:pPr>
        <w:spacing w:before="66"/>
        <w:ind w:left="36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日的</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5"/>
          <w:sz w:val="21"/>
          <w:szCs w:val="21"/>
        </w:rPr>
        <w:t>万元人民币短期借款，期限为</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日还款日期</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日</w:t>
      </w:r>
      <w:r>
        <w:rPr>
          <w:rFonts w:ascii="宋体" w:hAnsi="宋体" w:cs="宋体" w:eastAsia="宋体" w:hint="default"/>
          <w:spacing w:val="-59"/>
          <w:sz w:val="21"/>
          <w:szCs w:val="21"/>
        </w:rPr>
        <w:t> </w:t>
      </w:r>
      <w:r>
        <w:rPr>
          <w:rFonts w:ascii="宋体" w:hAnsi="宋体" w:cs="宋体" w:eastAsia="宋体" w:hint="default"/>
          <w:sz w:val="21"/>
          <w:szCs w:val="21"/>
        </w:rPr>
        <w:t>495</w:t>
      </w:r>
      <w:r>
        <w:rPr>
          <w:rFonts w:ascii="宋体" w:hAnsi="宋体" w:cs="宋体" w:eastAsia="宋体" w:hint="default"/>
          <w:spacing w:val="-59"/>
          <w:sz w:val="21"/>
          <w:szCs w:val="21"/>
        </w:rPr>
        <w:t> </w:t>
      </w:r>
      <w:r>
        <w:rPr>
          <w:rFonts w:ascii="宋体" w:hAnsi="宋体" w:cs="宋体" w:eastAsia="宋体" w:hint="default"/>
          <w:sz w:val="21"/>
          <w:szCs w:val="21"/>
        </w:rPr>
        <w:t>万元人民币短期借款</w:t>
      </w:r>
      <w:r>
        <w:rPr>
          <w:rFonts w:ascii="宋体" w:hAnsi="宋体" w:cs="宋体" w:eastAsia="宋体" w:hint="default"/>
          <w:spacing w:val="-105"/>
          <w:sz w:val="21"/>
          <w:szCs w:val="21"/>
        </w:rPr>
        <w:t>。</w:t>
      </w:r>
      <w:r>
        <w:rPr>
          <w:rFonts w:ascii="宋体" w:hAnsi="宋体" w:cs="宋体" w:eastAsia="宋体" w:hint="default"/>
          <w:spacing w:val="-2"/>
          <w:sz w:val="21"/>
          <w:szCs w:val="21"/>
        </w:rPr>
        <w:t>该</w:t>
      </w:r>
      <w:r>
        <w:rPr>
          <w:rFonts w:ascii="宋体" w:hAnsi="宋体" w:cs="宋体" w:eastAsia="宋体" w:hint="default"/>
          <w:sz w:val="21"/>
          <w:szCs w:val="21"/>
        </w:rPr>
        <w:t>房地产抵押金额为</w:t>
      </w:r>
      <w:r>
        <w:rPr>
          <w:rFonts w:ascii="宋体" w:hAnsi="宋体" w:cs="宋体" w:eastAsia="宋体" w:hint="default"/>
          <w:spacing w:val="-59"/>
          <w:sz w:val="21"/>
          <w:szCs w:val="21"/>
        </w:rPr>
        <w:t> </w:t>
      </w:r>
      <w:r>
        <w:rPr>
          <w:rFonts w:ascii="宋体" w:hAnsi="宋体" w:cs="宋体" w:eastAsia="宋体" w:hint="default"/>
          <w:sz w:val="21"/>
          <w:szCs w:val="21"/>
        </w:rPr>
        <w:t>58,357,100.00</w:t>
      </w:r>
      <w:r>
        <w:rPr>
          <w:rFonts w:ascii="宋体" w:hAnsi="宋体" w:cs="宋体" w:eastAsia="宋体" w:hint="default"/>
          <w:spacing w:val="-58"/>
          <w:sz w:val="21"/>
          <w:szCs w:val="21"/>
        </w:rPr>
        <w:t> </w:t>
      </w:r>
      <w:r>
        <w:rPr>
          <w:rFonts w:ascii="宋体" w:hAnsi="宋体" w:cs="宋体" w:eastAsia="宋体" w:hint="default"/>
          <w:spacing w:val="-2"/>
          <w:sz w:val="21"/>
          <w:szCs w:val="21"/>
        </w:rPr>
        <w:t>元</w:t>
      </w:r>
      <w:r>
        <w:rPr>
          <w:rFonts w:ascii="宋体" w:hAnsi="宋体" w:cs="宋体" w:eastAsia="宋体" w:hint="default"/>
          <w:spacing w:val="-106"/>
          <w:sz w:val="21"/>
          <w:szCs w:val="21"/>
        </w:rPr>
        <w:t>，</w:t>
      </w:r>
      <w:r>
        <w:rPr>
          <w:rFonts w:ascii="宋体" w:hAnsi="宋体" w:cs="宋体" w:eastAsia="宋体" w:hint="default"/>
          <w:sz w:val="21"/>
          <w:szCs w:val="21"/>
        </w:rPr>
        <w:t>抵押期间为</w:t>
      </w:r>
      <w:r>
        <w:rPr>
          <w:rFonts w:ascii="宋体" w:hAnsi="宋体" w:cs="宋体" w:eastAsia="宋体" w:hint="default"/>
          <w:spacing w:val="-59"/>
          <w:sz w:val="21"/>
          <w:szCs w:val="21"/>
        </w:rPr>
        <w:t> </w:t>
      </w:r>
      <w:r>
        <w:rPr>
          <w:rFonts w:ascii="宋体" w:hAnsi="宋体" w:cs="宋体" w:eastAsia="宋体" w:hint="default"/>
          <w:sz w:val="21"/>
          <w:szCs w:val="21"/>
        </w:rPr>
        <w:t>2008</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日，其中国有土地使用权抵押金额为</w:t>
      </w:r>
      <w:r>
        <w:rPr>
          <w:rFonts w:ascii="宋体" w:hAnsi="宋体" w:cs="宋体" w:eastAsia="宋体" w:hint="default"/>
          <w:spacing w:val="-54"/>
          <w:sz w:val="21"/>
          <w:szCs w:val="21"/>
        </w:rPr>
        <w:t> </w:t>
      </w:r>
      <w:r>
        <w:rPr>
          <w:rFonts w:ascii="宋体" w:hAnsi="宋体" w:cs="宋体" w:eastAsia="宋体" w:hint="default"/>
          <w:sz w:val="21"/>
          <w:szCs w:val="21"/>
        </w:rPr>
        <w:t>25,896,700.00</w:t>
      </w:r>
      <w:r>
        <w:rPr>
          <w:rFonts w:ascii="宋体" w:hAnsi="宋体" w:cs="宋体" w:eastAsia="宋体" w:hint="default"/>
          <w:spacing w:val="-54"/>
          <w:sz w:val="21"/>
          <w:szCs w:val="21"/>
        </w:rPr>
        <w:t> </w:t>
      </w:r>
      <w:r>
        <w:rPr>
          <w:rFonts w:ascii="宋体" w:hAnsi="宋体" w:cs="宋体" w:eastAsia="宋体" w:hint="default"/>
          <w:sz w:val="21"/>
          <w:szCs w:val="21"/>
        </w:rPr>
        <w:t>元，房</w:t>
      </w:r>
    </w:p>
    <w:p>
      <w:pPr>
        <w:spacing w:before="66"/>
        <w:ind w:left="360" w:right="0" w:firstLine="0"/>
        <w:jc w:val="both"/>
        <w:rPr>
          <w:rFonts w:ascii="宋体" w:hAnsi="宋体" w:cs="宋体" w:eastAsia="宋体" w:hint="default"/>
          <w:sz w:val="21"/>
          <w:szCs w:val="21"/>
        </w:rPr>
      </w:pPr>
      <w:r>
        <w:rPr>
          <w:rFonts w:ascii="宋体" w:hAnsi="宋体" w:cs="宋体" w:eastAsia="宋体" w:hint="default"/>
          <w:sz w:val="21"/>
          <w:szCs w:val="21"/>
        </w:rPr>
        <w:t>屋抵押金额为</w:t>
      </w:r>
      <w:r>
        <w:rPr>
          <w:rFonts w:ascii="宋体" w:hAnsi="宋体" w:cs="宋体" w:eastAsia="宋体" w:hint="default"/>
          <w:spacing w:val="-51"/>
          <w:sz w:val="21"/>
          <w:szCs w:val="21"/>
        </w:rPr>
        <w:t> </w:t>
      </w:r>
      <w:r>
        <w:rPr>
          <w:rFonts w:ascii="宋体" w:hAnsi="宋体" w:cs="宋体" w:eastAsia="宋体" w:hint="default"/>
          <w:sz w:val="21"/>
          <w:szCs w:val="21"/>
        </w:rPr>
        <w:t>32,460,400.00</w:t>
      </w:r>
      <w:r>
        <w:rPr>
          <w:rFonts w:ascii="宋体" w:hAnsi="宋体" w:cs="宋体" w:eastAsia="宋体" w:hint="default"/>
          <w:spacing w:val="-51"/>
          <w:sz w:val="21"/>
          <w:szCs w:val="21"/>
        </w:rPr>
        <w:t> </w:t>
      </w:r>
      <w:r>
        <w:rPr>
          <w:rFonts w:ascii="宋体" w:hAnsi="宋体" w:cs="宋体" w:eastAsia="宋体" w:hint="default"/>
          <w:sz w:val="21"/>
          <w:szCs w:val="21"/>
        </w:rPr>
        <w:t>元，抵押的土地使用权账面原价</w:t>
      </w:r>
      <w:r>
        <w:rPr>
          <w:rFonts w:ascii="宋体" w:hAnsi="宋体" w:cs="宋体" w:eastAsia="宋体" w:hint="default"/>
          <w:spacing w:val="-51"/>
          <w:sz w:val="21"/>
          <w:szCs w:val="21"/>
        </w:rPr>
        <w:t> </w:t>
      </w:r>
      <w:r>
        <w:rPr>
          <w:rFonts w:ascii="宋体" w:hAnsi="宋体" w:cs="宋体" w:eastAsia="宋体" w:hint="default"/>
          <w:sz w:val="21"/>
          <w:szCs w:val="21"/>
        </w:rPr>
        <w:t>9,846,748.52</w:t>
      </w:r>
      <w:r>
        <w:rPr>
          <w:rFonts w:ascii="宋体" w:hAnsi="宋体" w:cs="宋体" w:eastAsia="宋体" w:hint="default"/>
          <w:spacing w:val="-51"/>
          <w:sz w:val="21"/>
          <w:szCs w:val="21"/>
        </w:rPr>
        <w:t> </w:t>
      </w:r>
      <w:r>
        <w:rPr>
          <w:rFonts w:ascii="宋体" w:hAnsi="宋体" w:cs="宋体" w:eastAsia="宋体" w:hint="default"/>
          <w:sz w:val="21"/>
          <w:szCs w:val="21"/>
        </w:rPr>
        <w:t>元，累计摊销</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902,618.42</w:t>
      </w:r>
      <w:r>
        <w:rPr>
          <w:rFonts w:ascii="宋体" w:hAnsi="宋体" w:cs="宋体" w:eastAsia="宋体" w:hint="default"/>
          <w:spacing w:val="-57"/>
          <w:sz w:val="21"/>
          <w:szCs w:val="21"/>
        </w:rPr>
        <w:t> </w:t>
      </w:r>
      <w:r>
        <w:rPr>
          <w:rFonts w:ascii="宋体" w:hAnsi="宋体" w:cs="宋体" w:eastAsia="宋体" w:hint="default"/>
          <w:spacing w:val="-4"/>
          <w:sz w:val="21"/>
          <w:szCs w:val="21"/>
        </w:rPr>
        <w:t>元，净额</w:t>
      </w:r>
      <w:r>
        <w:rPr>
          <w:rFonts w:ascii="宋体" w:hAnsi="宋体" w:cs="宋体" w:eastAsia="宋体" w:hint="default"/>
          <w:spacing w:val="-57"/>
          <w:sz w:val="21"/>
          <w:szCs w:val="21"/>
        </w:rPr>
        <w:t> </w:t>
      </w:r>
      <w:r>
        <w:rPr>
          <w:rFonts w:ascii="宋体" w:hAnsi="宋体" w:cs="宋体" w:eastAsia="宋体" w:hint="default"/>
          <w:sz w:val="21"/>
          <w:szCs w:val="21"/>
        </w:rPr>
        <w:t>8,944,130.10</w:t>
      </w:r>
      <w:r>
        <w:rPr>
          <w:rFonts w:ascii="宋体" w:hAnsi="宋体" w:cs="宋体" w:eastAsia="宋体" w:hint="default"/>
          <w:spacing w:val="-56"/>
          <w:sz w:val="21"/>
          <w:szCs w:val="21"/>
        </w:rPr>
        <w:t> </w:t>
      </w:r>
      <w:r>
        <w:rPr>
          <w:rFonts w:ascii="宋体" w:hAnsi="宋体" w:cs="宋体" w:eastAsia="宋体" w:hint="default"/>
          <w:sz w:val="21"/>
          <w:szCs w:val="21"/>
        </w:rPr>
        <w:t>元，抵押的房屋建筑物原值</w:t>
      </w:r>
      <w:r>
        <w:rPr>
          <w:rFonts w:ascii="宋体" w:hAnsi="宋体" w:cs="宋体" w:eastAsia="宋体" w:hint="default"/>
          <w:spacing w:val="-57"/>
          <w:sz w:val="21"/>
          <w:szCs w:val="21"/>
        </w:rPr>
        <w:t> </w:t>
      </w:r>
      <w:r>
        <w:rPr>
          <w:rFonts w:ascii="宋体" w:hAnsi="宋体" w:cs="宋体" w:eastAsia="宋体" w:hint="default"/>
          <w:sz w:val="21"/>
          <w:szCs w:val="21"/>
        </w:rPr>
        <w:t>30,963,277.49</w:t>
      </w:r>
      <w:r>
        <w:rPr>
          <w:rFonts w:ascii="宋体" w:hAnsi="宋体" w:cs="宋体" w:eastAsia="宋体" w:hint="default"/>
          <w:spacing w:val="-56"/>
          <w:sz w:val="21"/>
          <w:szCs w:val="21"/>
        </w:rPr>
        <w:t> </w:t>
      </w:r>
      <w:r>
        <w:rPr>
          <w:rFonts w:ascii="宋体" w:hAnsi="宋体" w:cs="宋体" w:eastAsia="宋体" w:hint="default"/>
          <w:spacing w:val="-4"/>
          <w:sz w:val="21"/>
          <w:szCs w:val="21"/>
        </w:rPr>
        <w:t>元，累计折</w:t>
      </w:r>
    </w:p>
    <w:p>
      <w:pPr>
        <w:spacing w:before="64"/>
        <w:ind w:left="359" w:right="0" w:firstLine="0"/>
        <w:jc w:val="both"/>
        <w:rPr>
          <w:rFonts w:ascii="宋体" w:hAnsi="宋体" w:cs="宋体" w:eastAsia="宋体" w:hint="default"/>
          <w:sz w:val="21"/>
          <w:szCs w:val="21"/>
        </w:rPr>
      </w:pPr>
      <w:r>
        <w:rPr>
          <w:rFonts w:ascii="宋体" w:hAnsi="宋体" w:cs="宋体" w:eastAsia="宋体" w:hint="default"/>
          <w:sz w:val="21"/>
          <w:szCs w:val="21"/>
        </w:rPr>
        <w:t>旧</w:t>
      </w:r>
      <w:r>
        <w:rPr>
          <w:rFonts w:ascii="宋体" w:hAnsi="宋体" w:cs="宋体" w:eastAsia="宋体" w:hint="default"/>
          <w:spacing w:val="-59"/>
          <w:sz w:val="21"/>
          <w:szCs w:val="21"/>
        </w:rPr>
        <w:t> </w:t>
      </w:r>
      <w:r>
        <w:rPr>
          <w:rFonts w:ascii="宋体" w:hAnsi="宋体" w:cs="宋体" w:eastAsia="宋体" w:hint="default"/>
          <w:sz w:val="21"/>
          <w:szCs w:val="21"/>
        </w:rPr>
        <w:t>691,583.03</w:t>
      </w:r>
      <w:r>
        <w:rPr>
          <w:rFonts w:ascii="宋体" w:hAnsi="宋体" w:cs="宋体" w:eastAsia="宋体" w:hint="default"/>
          <w:spacing w:val="-58"/>
          <w:sz w:val="21"/>
          <w:szCs w:val="21"/>
        </w:rPr>
        <w:t> </w:t>
      </w:r>
      <w:r>
        <w:rPr>
          <w:rFonts w:ascii="宋体" w:hAnsi="宋体" w:cs="宋体" w:eastAsia="宋体" w:hint="default"/>
          <w:sz w:val="21"/>
          <w:szCs w:val="21"/>
        </w:rPr>
        <w:t>元，净额</w:t>
      </w:r>
      <w:r>
        <w:rPr>
          <w:rFonts w:ascii="宋体" w:hAnsi="宋体" w:cs="宋体" w:eastAsia="宋体" w:hint="default"/>
          <w:spacing w:val="-60"/>
          <w:sz w:val="21"/>
          <w:szCs w:val="21"/>
        </w:rPr>
        <w:t> </w:t>
      </w:r>
      <w:r>
        <w:rPr>
          <w:rFonts w:ascii="宋体" w:hAnsi="宋体" w:cs="宋体" w:eastAsia="宋体" w:hint="default"/>
          <w:sz w:val="21"/>
          <w:szCs w:val="21"/>
        </w:rPr>
        <w:t>30,271,694.46</w:t>
      </w:r>
      <w:r>
        <w:rPr>
          <w:rFonts w:ascii="宋体" w:hAnsi="宋体" w:cs="宋体" w:eastAsia="宋体" w:hint="default"/>
          <w:spacing w:val="-58"/>
          <w:sz w:val="21"/>
          <w:szCs w:val="21"/>
        </w:rPr>
        <w:t> </w:t>
      </w:r>
      <w:r>
        <w:rPr>
          <w:rFonts w:ascii="宋体" w:hAnsi="宋体" w:cs="宋体" w:eastAsia="宋体" w:hint="default"/>
          <w:sz w:val="21"/>
          <w:szCs w:val="21"/>
        </w:rPr>
        <w:t>元。</w:t>
      </w:r>
    </w:p>
    <w:p>
      <w:pPr>
        <w:spacing w:before="66"/>
        <w:ind w:left="872" w:right="643" w:firstLine="0"/>
        <w:jc w:val="center"/>
        <w:rPr>
          <w:rFonts w:ascii="宋体" w:hAnsi="宋体" w:cs="宋体" w:eastAsia="宋体" w:hint="default"/>
          <w:sz w:val="21"/>
          <w:szCs w:val="21"/>
        </w:rPr>
      </w:pPr>
      <w:r>
        <w:rPr>
          <w:rFonts w:ascii="宋体" w:hAnsi="宋体" w:cs="宋体" w:eastAsia="宋体" w:hint="default"/>
          <w:sz w:val="21"/>
          <w:szCs w:val="21"/>
        </w:rPr>
        <w:t>本公司以 2,800,000.00 元人民币银行存款为保证金，与交通银行签订远期外汇</w:t>
      </w:r>
      <w:r>
        <w:rPr>
          <w:rFonts w:ascii="宋体" w:hAnsi="宋体" w:cs="宋体" w:eastAsia="宋体" w:hint="default"/>
          <w:spacing w:val="-1"/>
          <w:sz w:val="21"/>
          <w:szCs w:val="21"/>
        </w:rPr>
        <w:t> </w:t>
      </w:r>
      <w:r>
        <w:rPr>
          <w:rFonts w:ascii="宋体" w:hAnsi="宋体" w:cs="宋体" w:eastAsia="宋体" w:hint="default"/>
          <w:sz w:val="21"/>
          <w:szCs w:val="21"/>
        </w:rPr>
        <w:t>800</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万美元购汇协议。本公司以</w:t>
      </w:r>
      <w:r>
        <w:rPr>
          <w:rFonts w:ascii="宋体" w:hAnsi="宋体" w:cs="宋体" w:eastAsia="宋体" w:hint="default"/>
          <w:spacing w:val="-49"/>
          <w:sz w:val="21"/>
          <w:szCs w:val="21"/>
        </w:rPr>
        <w:t> </w:t>
      </w:r>
      <w:r>
        <w:rPr>
          <w:rFonts w:ascii="宋体" w:hAnsi="宋体" w:cs="宋体" w:eastAsia="宋体" w:hint="default"/>
          <w:sz w:val="21"/>
          <w:szCs w:val="21"/>
        </w:rPr>
        <w:t>1,500,000.00</w:t>
      </w:r>
      <w:r>
        <w:rPr>
          <w:rFonts w:ascii="宋体" w:hAnsi="宋体" w:cs="宋体" w:eastAsia="宋体" w:hint="default"/>
          <w:spacing w:val="-48"/>
          <w:sz w:val="21"/>
          <w:szCs w:val="21"/>
        </w:rPr>
        <w:t> </w:t>
      </w:r>
      <w:r>
        <w:rPr>
          <w:rFonts w:ascii="宋体" w:hAnsi="宋体" w:cs="宋体" w:eastAsia="宋体" w:hint="default"/>
          <w:sz w:val="21"/>
          <w:szCs w:val="21"/>
        </w:rPr>
        <w:t>元人民币银行存款为保证金，与建设银行科苑支</w:t>
      </w:r>
    </w:p>
    <w:p>
      <w:pPr>
        <w:spacing w:before="64"/>
        <w:ind w:left="360" w:right="0" w:firstLine="0"/>
        <w:jc w:val="both"/>
        <w:rPr>
          <w:rFonts w:ascii="宋体" w:hAnsi="宋体" w:cs="宋体" w:eastAsia="宋体" w:hint="default"/>
          <w:sz w:val="21"/>
          <w:szCs w:val="21"/>
        </w:rPr>
      </w:pPr>
      <w:r>
        <w:rPr>
          <w:rFonts w:ascii="宋体" w:hAnsi="宋体" w:cs="宋体" w:eastAsia="宋体" w:hint="default"/>
          <w:sz w:val="21"/>
          <w:szCs w:val="21"/>
        </w:rPr>
        <w:t>行签订远期外汇</w:t>
      </w:r>
      <w:r>
        <w:rPr>
          <w:rFonts w:ascii="宋体" w:hAnsi="宋体" w:cs="宋体" w:eastAsia="宋体" w:hint="default"/>
          <w:spacing w:val="-59"/>
          <w:sz w:val="21"/>
          <w:szCs w:val="21"/>
        </w:rPr>
        <w:t> </w:t>
      </w:r>
      <w:r>
        <w:rPr>
          <w:rFonts w:ascii="宋体" w:hAnsi="宋体" w:cs="宋体" w:eastAsia="宋体" w:hint="default"/>
          <w:sz w:val="21"/>
          <w:szCs w:val="21"/>
        </w:rPr>
        <w:t>2,100</w:t>
      </w:r>
      <w:r>
        <w:rPr>
          <w:rFonts w:ascii="宋体" w:hAnsi="宋体" w:cs="宋体" w:eastAsia="宋体" w:hint="default"/>
          <w:spacing w:val="-59"/>
          <w:sz w:val="21"/>
          <w:szCs w:val="21"/>
        </w:rPr>
        <w:t> </w:t>
      </w:r>
      <w:r>
        <w:rPr>
          <w:rFonts w:ascii="宋体" w:hAnsi="宋体" w:cs="宋体" w:eastAsia="宋体" w:hint="default"/>
          <w:spacing w:val="-8"/>
          <w:sz w:val="21"/>
          <w:szCs w:val="21"/>
        </w:rPr>
        <w:t>万美元购、售汇协议。本公司以</w:t>
      </w:r>
      <w:r>
        <w:rPr>
          <w:rFonts w:ascii="宋体" w:hAnsi="宋体" w:cs="宋体" w:eastAsia="宋体" w:hint="default"/>
          <w:spacing w:val="-59"/>
          <w:sz w:val="21"/>
          <w:szCs w:val="21"/>
        </w:rPr>
        <w:t> </w:t>
      </w:r>
      <w:r>
        <w:rPr>
          <w:rFonts w:ascii="宋体" w:hAnsi="宋体" w:cs="宋体" w:eastAsia="宋体" w:hint="default"/>
          <w:sz w:val="21"/>
          <w:szCs w:val="21"/>
        </w:rPr>
        <w:t>361,862.72</w:t>
      </w:r>
      <w:r>
        <w:rPr>
          <w:rFonts w:ascii="宋体" w:hAnsi="宋体" w:cs="宋体" w:eastAsia="宋体" w:hint="default"/>
          <w:spacing w:val="-59"/>
          <w:sz w:val="21"/>
          <w:szCs w:val="21"/>
        </w:rPr>
        <w:t> </w:t>
      </w:r>
      <w:r>
        <w:rPr>
          <w:rFonts w:ascii="宋体" w:hAnsi="宋体" w:cs="宋体" w:eastAsia="宋体" w:hint="default"/>
          <w:sz w:val="21"/>
          <w:szCs w:val="21"/>
        </w:rPr>
        <w:t>美元银行存款为保证金，</w:t>
      </w:r>
    </w:p>
    <w:p>
      <w:pPr>
        <w:spacing w:after="0"/>
        <w:jc w:val="both"/>
        <w:rPr>
          <w:rFonts w:ascii="宋体" w:hAnsi="宋体" w:cs="宋体" w:eastAsia="宋体" w:hint="default"/>
          <w:sz w:val="21"/>
          <w:szCs w:val="21"/>
        </w:rPr>
        <w:sectPr>
          <w:pgSz w:w="11910" w:h="16840"/>
          <w:pgMar w:header="918" w:footer="950" w:top="1160" w:bottom="1140" w:left="1440" w:right="1140"/>
        </w:sectPr>
      </w:pPr>
    </w:p>
    <w:p>
      <w:pPr>
        <w:spacing w:line="240" w:lineRule="auto" w:before="10"/>
        <w:rPr>
          <w:rFonts w:ascii="宋体" w:hAnsi="宋体" w:cs="宋体" w:eastAsia="宋体" w:hint="default"/>
          <w:sz w:val="20"/>
          <w:szCs w:val="20"/>
        </w:rPr>
      </w:pPr>
    </w:p>
    <w:p>
      <w:pPr>
        <w:spacing w:line="297" w:lineRule="auto" w:before="35"/>
        <w:ind w:left="950" w:right="4175" w:hanging="630"/>
        <w:jc w:val="left"/>
        <w:rPr>
          <w:rFonts w:ascii="宋体" w:hAnsi="宋体" w:cs="宋体" w:eastAsia="宋体" w:hint="default"/>
          <w:sz w:val="21"/>
          <w:szCs w:val="21"/>
        </w:rPr>
      </w:pPr>
      <w:r>
        <w:rPr>
          <w:rFonts w:ascii="宋体" w:hAnsi="宋体" w:cs="宋体" w:eastAsia="宋体" w:hint="default"/>
          <w:sz w:val="21"/>
          <w:szCs w:val="21"/>
        </w:rPr>
        <w:t>与招商振兴支行签订远期外汇</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万美元购汇协议。</w:t>
      </w:r>
      <w:r>
        <w:rPr>
          <w:rFonts w:ascii="宋体" w:hAnsi="宋体" w:cs="宋体" w:eastAsia="宋体" w:hint="default"/>
          <w:sz w:val="21"/>
          <w:szCs w:val="21"/>
        </w:rPr>
        <w:t> 本公司未到期的外汇合约情况如下表：</w:t>
      </w:r>
    </w:p>
    <w:tbl>
      <w:tblPr>
        <w:tblW w:w="0" w:type="auto"/>
        <w:jc w:val="left"/>
        <w:tblInd w:w="100" w:type="dxa"/>
        <w:tblLayout w:type="fixed"/>
        <w:tblCellMar>
          <w:top w:w="0" w:type="dxa"/>
          <w:left w:w="0" w:type="dxa"/>
          <w:bottom w:w="0" w:type="dxa"/>
          <w:right w:w="0" w:type="dxa"/>
        </w:tblCellMar>
        <w:tblLook w:val="01E0"/>
      </w:tblPr>
      <w:tblGrid>
        <w:gridCol w:w="2520"/>
        <w:gridCol w:w="2318"/>
        <w:gridCol w:w="1405"/>
        <w:gridCol w:w="1498"/>
        <w:gridCol w:w="1402"/>
      </w:tblGrid>
      <w:tr>
        <w:trPr>
          <w:trHeight w:val="704"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银行名称</w:t>
            </w:r>
            <w:r>
              <w:rPr>
                <w:rFonts w:ascii="宋体" w:hAnsi="宋体" w:cs="宋体" w:eastAsia="宋体" w:hint="default"/>
                <w:sz w:val="18"/>
                <w:szCs w:val="18"/>
              </w:rPr>
            </w:r>
          </w:p>
          <w:p>
            <w:pPr>
              <w:pStyle w:val="TableParagraph"/>
              <w:spacing w:line="240" w:lineRule="auto" w:before="69"/>
              <w:ind w:right="347"/>
              <w:jc w:val="center"/>
              <w:rPr>
                <w:rFonts w:ascii="宋体" w:hAnsi="宋体" w:cs="宋体" w:eastAsia="宋体" w:hint="default"/>
                <w:sz w:val="21"/>
                <w:szCs w:val="21"/>
              </w:rPr>
            </w:pPr>
            <w:r>
              <w:rPr>
                <w:rFonts w:ascii="宋体" w:hAnsi="宋体" w:cs="宋体" w:eastAsia="宋体" w:hint="default"/>
                <w:sz w:val="21"/>
                <w:szCs w:val="21"/>
              </w:rPr>
              <w:t>深圳建设银行科苑支行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合约金额（万美元）</w:t>
            </w:r>
            <w:r>
              <w:rPr>
                <w:rFonts w:ascii="宋体" w:hAnsi="宋体" w:cs="宋体" w:eastAsia="宋体" w:hint="default"/>
                <w:sz w:val="18"/>
                <w:szCs w:val="18"/>
              </w:rPr>
            </w:r>
          </w:p>
          <w:p>
            <w:pPr>
              <w:pStyle w:val="TableParagraph"/>
              <w:spacing w:line="240" w:lineRule="auto" w:before="146"/>
              <w:ind w:left="69" w:right="0"/>
              <w:jc w:val="center"/>
              <w:rPr>
                <w:rFonts w:ascii="Times New Roman" w:hAnsi="Times New Roman" w:cs="Times New Roman" w:eastAsia="Times New Roman" w:hint="default"/>
                <w:sz w:val="18"/>
                <w:szCs w:val="18"/>
              </w:rPr>
            </w:pPr>
            <w:r>
              <w:rPr>
                <w:rFonts w:ascii="Times New Roman"/>
                <w:sz w:val="18"/>
              </w:rPr>
              <w:t>700.00</w:t>
            </w:r>
          </w:p>
        </w:tc>
        <w:tc>
          <w:tcPr>
            <w:tcW w:w="1405" w:type="dxa"/>
            <w:tcBorders>
              <w:top w:val="nil" w:sz="6" w:space="0" w:color="auto"/>
              <w:left w:val="nil" w:sz="6" w:space="0" w:color="auto"/>
              <w:bottom w:val="nil" w:sz="6" w:space="0" w:color="auto"/>
              <w:right w:val="nil" w:sz="6" w:space="0" w:color="auto"/>
            </w:tcBorders>
          </w:tcPr>
          <w:p>
            <w:pPr>
              <w:pStyle w:val="TableParagraph"/>
              <w:spacing w:line="345" w:lineRule="auto" w:before="44"/>
              <w:ind w:left="493" w:right="368"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交易方向</w:t>
            </w:r>
            <w:r>
              <w:rPr>
                <w:rFonts w:ascii="宋体" w:hAnsi="宋体" w:cs="宋体" w:eastAsia="宋体" w:hint="default"/>
                <w:sz w:val="18"/>
                <w:szCs w:val="18"/>
              </w:rPr>
            </w:r>
            <w:r>
              <w:rPr>
                <w:rFonts w:ascii="宋体" w:hAnsi="宋体" w:cs="宋体" w:eastAsia="宋体" w:hint="default"/>
                <w:sz w:val="18"/>
                <w:szCs w:val="18"/>
              </w:rPr>
              <w:t> 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到期日</w:t>
            </w:r>
            <w:r>
              <w:rPr>
                <w:rFonts w:ascii="宋体" w:hAnsi="宋体" w:cs="宋体" w:eastAsia="宋体" w:hint="default"/>
                <w:sz w:val="18"/>
                <w:szCs w:val="18"/>
              </w:rPr>
            </w:r>
          </w:p>
          <w:p>
            <w:pPr>
              <w:pStyle w:val="TableParagraph"/>
              <w:spacing w:line="240" w:lineRule="auto" w:before="146"/>
              <w:ind w:left="83" w:right="0"/>
              <w:jc w:val="center"/>
              <w:rPr>
                <w:rFonts w:ascii="Times New Roman" w:hAnsi="Times New Roman" w:cs="Times New Roman" w:eastAsia="Times New Roman" w:hint="default"/>
                <w:sz w:val="18"/>
                <w:szCs w:val="18"/>
              </w:rPr>
            </w:pPr>
            <w:r>
              <w:rPr>
                <w:rFonts w:ascii="Times New Roman"/>
                <w:sz w:val="18"/>
              </w:rPr>
              <w:t>2009-12-02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协议约定汇率</w:t>
            </w:r>
            <w:r>
              <w:rPr>
                <w:rFonts w:ascii="宋体" w:hAnsi="宋体" w:cs="宋体" w:eastAsia="宋体" w:hint="default"/>
                <w:sz w:val="18"/>
                <w:szCs w:val="18"/>
              </w:rPr>
            </w:r>
          </w:p>
          <w:p>
            <w:pPr>
              <w:pStyle w:val="TableParagraph"/>
              <w:spacing w:line="240" w:lineRule="auto" w:before="146"/>
              <w:ind w:left="253" w:right="0"/>
              <w:jc w:val="center"/>
              <w:rPr>
                <w:rFonts w:ascii="Times New Roman" w:hAnsi="Times New Roman" w:cs="Times New Roman" w:eastAsia="Times New Roman" w:hint="default"/>
                <w:sz w:val="18"/>
                <w:szCs w:val="18"/>
              </w:rPr>
            </w:pPr>
            <w:r>
              <w:rPr>
                <w:rFonts w:ascii="Times New Roman"/>
                <w:sz w:val="18"/>
              </w:rPr>
              <w:t>7.0750</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7"/>
              <w:jc w:val="center"/>
              <w:rPr>
                <w:rFonts w:ascii="宋体" w:hAnsi="宋体" w:cs="宋体" w:eastAsia="宋体" w:hint="default"/>
                <w:sz w:val="18"/>
                <w:szCs w:val="18"/>
              </w:rPr>
            </w:pPr>
            <w:r>
              <w:rPr>
                <w:rFonts w:ascii="宋体" w:hAnsi="宋体" w:cs="宋体" w:eastAsia="宋体" w:hint="default"/>
                <w:sz w:val="18"/>
                <w:szCs w:val="18"/>
              </w:rPr>
              <w:t>深圳建设银行科苑支行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9" w:right="0"/>
              <w:jc w:val="center"/>
              <w:rPr>
                <w:rFonts w:ascii="Times New Roman" w:hAnsi="Times New Roman" w:cs="Times New Roman" w:eastAsia="Times New Roman" w:hint="default"/>
                <w:sz w:val="18"/>
                <w:szCs w:val="18"/>
              </w:rPr>
            </w:pPr>
            <w:r>
              <w:rPr>
                <w:rFonts w:ascii="Times New Roman"/>
                <w:sz w:val="18"/>
              </w:rPr>
              <w:t>700.00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3" w:right="0"/>
              <w:jc w:val="center"/>
              <w:rPr>
                <w:rFonts w:ascii="Times New Roman" w:hAnsi="Times New Roman" w:cs="Times New Roman" w:eastAsia="Times New Roman" w:hint="default"/>
                <w:sz w:val="18"/>
                <w:szCs w:val="18"/>
              </w:rPr>
            </w:pPr>
            <w:r>
              <w:rPr>
                <w:rFonts w:ascii="Times New Roman"/>
                <w:sz w:val="18"/>
              </w:rPr>
              <w:t>2009-12-02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7.0750</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7"/>
              <w:jc w:val="center"/>
              <w:rPr>
                <w:rFonts w:ascii="宋体" w:hAnsi="宋体" w:cs="宋体" w:eastAsia="宋体" w:hint="default"/>
                <w:sz w:val="18"/>
                <w:szCs w:val="18"/>
              </w:rPr>
            </w:pPr>
            <w:r>
              <w:rPr>
                <w:rFonts w:ascii="宋体" w:hAnsi="宋体" w:cs="宋体" w:eastAsia="宋体" w:hint="default"/>
                <w:sz w:val="18"/>
                <w:szCs w:val="18"/>
              </w:rPr>
              <w:t>深圳建设银行科苑支行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9" w:right="0"/>
              <w:jc w:val="center"/>
              <w:rPr>
                <w:rFonts w:ascii="Times New Roman" w:hAnsi="Times New Roman" w:cs="Times New Roman" w:eastAsia="Times New Roman" w:hint="default"/>
                <w:sz w:val="18"/>
                <w:szCs w:val="18"/>
              </w:rPr>
            </w:pPr>
            <w:r>
              <w:rPr>
                <w:rFonts w:ascii="Times New Roman"/>
                <w:sz w:val="18"/>
              </w:rPr>
              <w:t>700.00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3" w:right="0"/>
              <w:jc w:val="center"/>
              <w:rPr>
                <w:rFonts w:ascii="Times New Roman" w:hAnsi="Times New Roman" w:cs="Times New Roman" w:eastAsia="Times New Roman" w:hint="default"/>
                <w:sz w:val="18"/>
                <w:szCs w:val="18"/>
              </w:rPr>
            </w:pPr>
            <w:r>
              <w:rPr>
                <w:rFonts w:ascii="Times New Roman"/>
                <w:sz w:val="18"/>
              </w:rPr>
              <w:t>2009-12-02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sz w:val="18"/>
              </w:rPr>
              <w:t>7.0750</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7"/>
              <w:jc w:val="center"/>
              <w:rPr>
                <w:rFonts w:ascii="宋体" w:hAnsi="宋体" w:cs="宋体" w:eastAsia="宋体" w:hint="default"/>
                <w:sz w:val="18"/>
                <w:szCs w:val="18"/>
              </w:rPr>
            </w:pPr>
            <w:r>
              <w:rPr>
                <w:rFonts w:ascii="宋体" w:hAnsi="宋体" w:cs="宋体" w:eastAsia="宋体" w:hint="default"/>
                <w:sz w:val="18"/>
                <w:szCs w:val="18"/>
              </w:rPr>
              <w:t>招商银行振兴支行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9" w:right="0"/>
              <w:jc w:val="center"/>
              <w:rPr>
                <w:rFonts w:ascii="Times New Roman" w:hAnsi="Times New Roman" w:cs="Times New Roman" w:eastAsia="Times New Roman" w:hint="default"/>
                <w:sz w:val="18"/>
                <w:szCs w:val="18"/>
              </w:rPr>
            </w:pPr>
            <w:r>
              <w:rPr>
                <w:rFonts w:ascii="Times New Roman"/>
                <w:sz w:val="18"/>
              </w:rPr>
              <w:t>800.00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3" w:right="0"/>
              <w:jc w:val="center"/>
              <w:rPr>
                <w:rFonts w:ascii="Times New Roman" w:hAnsi="Times New Roman" w:cs="Times New Roman" w:eastAsia="Times New Roman" w:hint="default"/>
                <w:sz w:val="18"/>
                <w:szCs w:val="18"/>
              </w:rPr>
            </w:pPr>
            <w:r>
              <w:rPr>
                <w:rFonts w:ascii="Times New Roman"/>
                <w:sz w:val="18"/>
              </w:rPr>
              <w:t>2009-01-09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6.7714</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7"/>
              <w:jc w:val="center"/>
              <w:rPr>
                <w:rFonts w:ascii="宋体" w:hAnsi="宋体" w:cs="宋体" w:eastAsia="宋体" w:hint="default"/>
                <w:sz w:val="18"/>
                <w:szCs w:val="18"/>
              </w:rPr>
            </w:pPr>
            <w:r>
              <w:rPr>
                <w:rFonts w:ascii="宋体" w:hAnsi="宋体" w:cs="宋体" w:eastAsia="宋体" w:hint="default"/>
                <w:sz w:val="18"/>
                <w:szCs w:val="18"/>
              </w:rPr>
              <w:t>交通银行深圳分行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9" w:right="0"/>
              <w:jc w:val="center"/>
              <w:rPr>
                <w:rFonts w:ascii="Times New Roman" w:hAnsi="Times New Roman" w:cs="Times New Roman" w:eastAsia="Times New Roman" w:hint="default"/>
                <w:sz w:val="18"/>
                <w:szCs w:val="18"/>
              </w:rPr>
            </w:pPr>
            <w:r>
              <w:rPr>
                <w:rFonts w:ascii="Times New Roman"/>
                <w:sz w:val="18"/>
              </w:rPr>
              <w:t>800.00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3" w:right="0"/>
              <w:jc w:val="center"/>
              <w:rPr>
                <w:rFonts w:ascii="Times New Roman" w:hAnsi="Times New Roman" w:cs="Times New Roman" w:eastAsia="Times New Roman" w:hint="default"/>
                <w:sz w:val="18"/>
                <w:szCs w:val="18"/>
              </w:rPr>
            </w:pPr>
            <w:r>
              <w:rPr>
                <w:rFonts w:ascii="Times New Roman"/>
                <w:sz w:val="18"/>
              </w:rPr>
              <w:t>2009-02-27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6.7892</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7"/>
              <w:jc w:val="center"/>
              <w:rPr>
                <w:rFonts w:ascii="宋体" w:hAnsi="宋体" w:cs="宋体" w:eastAsia="宋体" w:hint="default"/>
                <w:sz w:val="18"/>
                <w:szCs w:val="18"/>
              </w:rPr>
            </w:pPr>
            <w:r>
              <w:rPr>
                <w:rFonts w:ascii="宋体" w:hAnsi="宋体" w:cs="宋体" w:eastAsia="宋体" w:hint="default"/>
                <w:sz w:val="18"/>
                <w:szCs w:val="18"/>
              </w:rPr>
              <w:t>花旗银行广州分行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9" w:right="0"/>
              <w:jc w:val="center"/>
              <w:rPr>
                <w:rFonts w:ascii="Times New Roman" w:hAnsi="Times New Roman" w:cs="Times New Roman" w:eastAsia="Times New Roman" w:hint="default"/>
                <w:sz w:val="18"/>
                <w:szCs w:val="18"/>
              </w:rPr>
            </w:pPr>
            <w:r>
              <w:rPr>
                <w:rFonts w:ascii="Times New Roman"/>
                <w:sz w:val="18"/>
              </w:rPr>
              <w:t>190.4676</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3" w:right="0"/>
              <w:jc w:val="center"/>
              <w:rPr>
                <w:rFonts w:ascii="Times New Roman" w:hAnsi="Times New Roman" w:cs="Times New Roman" w:eastAsia="Times New Roman" w:hint="default"/>
                <w:sz w:val="18"/>
                <w:szCs w:val="18"/>
              </w:rPr>
            </w:pPr>
            <w:r>
              <w:rPr>
                <w:rFonts w:ascii="Times New Roman"/>
                <w:sz w:val="18"/>
              </w:rPr>
              <w:t>2009-01-14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sz w:val="18"/>
              </w:rPr>
              <w:t>6.8825</w:t>
            </w:r>
          </w:p>
        </w:tc>
      </w:tr>
      <w:tr>
        <w:trPr>
          <w:trHeight w:val="34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7"/>
              <w:jc w:val="center"/>
              <w:rPr>
                <w:rFonts w:ascii="宋体" w:hAnsi="宋体" w:cs="宋体" w:eastAsia="宋体" w:hint="default"/>
                <w:sz w:val="18"/>
                <w:szCs w:val="18"/>
              </w:rPr>
            </w:pPr>
            <w:r>
              <w:rPr>
                <w:rFonts w:ascii="宋体" w:hAnsi="宋体" w:cs="宋体" w:eastAsia="宋体" w:hint="default"/>
                <w:sz w:val="18"/>
                <w:szCs w:val="18"/>
              </w:rPr>
              <w:t>花旗银行广州分行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9" w:right="0"/>
              <w:jc w:val="center"/>
              <w:rPr>
                <w:rFonts w:ascii="Times New Roman" w:hAnsi="Times New Roman" w:cs="Times New Roman" w:eastAsia="Times New Roman" w:hint="default"/>
                <w:sz w:val="18"/>
                <w:szCs w:val="18"/>
              </w:rPr>
            </w:pPr>
            <w:r>
              <w:rPr>
                <w:rFonts w:ascii="Times New Roman"/>
                <w:sz w:val="18"/>
              </w:rPr>
              <w:t>201.0491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3" w:right="0"/>
              <w:jc w:val="center"/>
              <w:rPr>
                <w:rFonts w:ascii="Times New Roman" w:hAnsi="Times New Roman" w:cs="Times New Roman" w:eastAsia="Times New Roman" w:hint="default"/>
                <w:sz w:val="18"/>
                <w:szCs w:val="18"/>
              </w:rPr>
            </w:pPr>
            <w:r>
              <w:rPr>
                <w:rFonts w:ascii="Times New Roman"/>
                <w:sz w:val="18"/>
              </w:rPr>
              <w:t>2009-01-14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6.8825</w:t>
            </w:r>
          </w:p>
        </w:tc>
      </w:tr>
      <w:tr>
        <w:trPr>
          <w:trHeight w:val="350" w:hRule="exact"/>
        </w:trPr>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47"/>
              <w:jc w:val="center"/>
              <w:rPr>
                <w:rFonts w:ascii="宋体" w:hAnsi="宋体" w:cs="宋体" w:eastAsia="宋体" w:hint="default"/>
                <w:sz w:val="18"/>
                <w:szCs w:val="18"/>
              </w:rPr>
            </w:pPr>
            <w:r>
              <w:rPr>
                <w:rFonts w:ascii="宋体" w:hAnsi="宋体" w:cs="宋体" w:eastAsia="宋体" w:hint="default"/>
                <w:sz w:val="18"/>
                <w:szCs w:val="18"/>
              </w:rPr>
              <w:t>花旗银行广州分行</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0" w:right="0"/>
              <w:jc w:val="center"/>
              <w:rPr>
                <w:rFonts w:ascii="Times New Roman" w:hAnsi="Times New Roman" w:cs="Times New Roman" w:eastAsia="Times New Roman" w:hint="default"/>
                <w:sz w:val="18"/>
                <w:szCs w:val="18"/>
              </w:rPr>
            </w:pPr>
            <w:r>
              <w:rPr>
                <w:rFonts w:ascii="Times New Roman"/>
                <w:sz w:val="18"/>
              </w:rPr>
              <w:t>116.134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3"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3" w:right="0"/>
              <w:jc w:val="center"/>
              <w:rPr>
                <w:rFonts w:ascii="Times New Roman" w:hAnsi="Times New Roman" w:cs="Times New Roman" w:eastAsia="Times New Roman" w:hint="default"/>
                <w:sz w:val="18"/>
                <w:szCs w:val="18"/>
              </w:rPr>
            </w:pPr>
            <w:r>
              <w:rPr>
                <w:rFonts w:ascii="Times New Roman"/>
                <w:sz w:val="18"/>
              </w:rPr>
              <w:t>2009-01-14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6.8825</w:t>
            </w:r>
          </w:p>
        </w:tc>
      </w:tr>
    </w:tbl>
    <w:p>
      <w:pPr>
        <w:spacing w:line="256" w:lineRule="exact" w:before="0"/>
        <w:ind w:left="740" w:right="0" w:firstLine="0"/>
        <w:jc w:val="left"/>
        <w:rPr>
          <w:rFonts w:ascii="宋体" w:hAnsi="宋体" w:cs="宋体" w:eastAsia="宋体" w:hint="default"/>
          <w:sz w:val="21"/>
          <w:szCs w:val="21"/>
        </w:rPr>
      </w:pPr>
      <w:r>
        <w:rPr>
          <w:rFonts w:ascii="宋体" w:hAnsi="宋体" w:cs="宋体" w:eastAsia="宋体" w:hint="default"/>
          <w:sz w:val="21"/>
          <w:szCs w:val="21"/>
        </w:rPr>
        <w:t>本公司之子公司实益达科技香港有限公司以</w:t>
      </w:r>
      <w:r>
        <w:rPr>
          <w:rFonts w:ascii="宋体" w:hAnsi="宋体" w:cs="宋体" w:eastAsia="宋体" w:hint="default"/>
          <w:spacing w:val="-49"/>
          <w:sz w:val="21"/>
          <w:szCs w:val="21"/>
        </w:rPr>
        <w:t> </w:t>
      </w:r>
      <w:r>
        <w:rPr>
          <w:rFonts w:ascii="宋体" w:hAnsi="宋体" w:cs="宋体" w:eastAsia="宋体" w:hint="default"/>
          <w:sz w:val="21"/>
          <w:szCs w:val="21"/>
        </w:rPr>
        <w:t>3,999,308.26</w:t>
      </w:r>
      <w:r>
        <w:rPr>
          <w:rFonts w:ascii="宋体" w:hAnsi="宋体" w:cs="宋体" w:eastAsia="宋体" w:hint="default"/>
          <w:spacing w:val="-48"/>
          <w:sz w:val="21"/>
          <w:szCs w:val="21"/>
        </w:rPr>
        <w:t> </w:t>
      </w:r>
      <w:r>
        <w:rPr>
          <w:rFonts w:ascii="宋体" w:hAnsi="宋体" w:cs="宋体" w:eastAsia="宋体" w:hint="default"/>
          <w:sz w:val="21"/>
          <w:szCs w:val="21"/>
        </w:rPr>
        <w:t>美元银行存款为保证金，与</w:t>
      </w:r>
    </w:p>
    <w:p>
      <w:pPr>
        <w:spacing w:line="297" w:lineRule="auto" w:before="64"/>
        <w:ind w:left="740" w:right="1444" w:hanging="420"/>
        <w:jc w:val="left"/>
        <w:rPr>
          <w:rFonts w:ascii="宋体" w:hAnsi="宋体" w:cs="宋体" w:eastAsia="宋体" w:hint="default"/>
          <w:sz w:val="21"/>
          <w:szCs w:val="21"/>
        </w:rPr>
      </w:pPr>
      <w:r>
        <w:rPr>
          <w:rFonts w:ascii="宋体" w:hAnsi="宋体" w:cs="宋体" w:eastAsia="宋体" w:hint="default"/>
          <w:sz w:val="21"/>
          <w:szCs w:val="21"/>
        </w:rPr>
        <w:t>香港交通银行签订不交割远期人民币外汇交易协议。 本公司之子公司实益达科技（香港）有限公司未到期的外汇合约情况如下表：</w:t>
      </w:r>
    </w:p>
    <w:tbl>
      <w:tblPr>
        <w:tblW w:w="0" w:type="auto"/>
        <w:jc w:val="left"/>
        <w:tblInd w:w="459" w:type="dxa"/>
        <w:tblLayout w:type="fixed"/>
        <w:tblCellMar>
          <w:top w:w="0" w:type="dxa"/>
          <w:left w:w="0" w:type="dxa"/>
          <w:bottom w:w="0" w:type="dxa"/>
          <w:right w:w="0" w:type="dxa"/>
        </w:tblCellMar>
        <w:tblLook w:val="01E0"/>
      </w:tblPr>
      <w:tblGrid>
        <w:gridCol w:w="1766"/>
        <w:gridCol w:w="2224"/>
        <w:gridCol w:w="1427"/>
        <w:gridCol w:w="1456"/>
        <w:gridCol w:w="1426"/>
      </w:tblGrid>
      <w:tr>
        <w:trPr>
          <w:trHeight w:val="704"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290" w:firstLine="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银行名称</w:t>
            </w:r>
            <w:r>
              <w:rPr>
                <w:rFonts w:ascii="宋体" w:hAnsi="宋体" w:cs="宋体" w:eastAsia="宋体" w:hint="default"/>
                <w:sz w:val="18"/>
                <w:szCs w:val="18"/>
              </w:rPr>
            </w:r>
            <w:r>
              <w:rPr>
                <w:rFonts w:ascii="宋体" w:hAnsi="宋体" w:cs="宋体" w:eastAsia="宋体" w:hint="default"/>
                <w:sz w:val="18"/>
                <w:szCs w:val="18"/>
              </w:rPr>
              <w:t> 交通银行香港分行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合约金额（万美元）</w:t>
            </w:r>
            <w:r>
              <w:rPr>
                <w:rFonts w:ascii="宋体" w:hAnsi="宋体" w:cs="宋体" w:eastAsia="宋体" w:hint="default"/>
                <w:sz w:val="18"/>
                <w:szCs w:val="18"/>
              </w:rPr>
            </w:r>
          </w:p>
          <w:p>
            <w:pPr>
              <w:pStyle w:val="TableParagraph"/>
              <w:spacing w:line="240" w:lineRule="auto" w:before="146"/>
              <w:ind w:right="19"/>
              <w:jc w:val="center"/>
              <w:rPr>
                <w:rFonts w:ascii="Times New Roman" w:hAnsi="Times New Roman" w:cs="Times New Roman" w:eastAsia="Times New Roman" w:hint="default"/>
                <w:sz w:val="18"/>
                <w:szCs w:val="18"/>
              </w:rPr>
            </w:pPr>
            <w:r>
              <w:rPr>
                <w:rFonts w:ascii="Times New Roman"/>
                <w:sz w:val="18"/>
              </w:rPr>
              <w:t>2,000</w:t>
            </w:r>
          </w:p>
        </w:tc>
        <w:tc>
          <w:tcPr>
            <w:tcW w:w="1427" w:type="dxa"/>
            <w:tcBorders>
              <w:top w:val="nil" w:sz="6" w:space="0" w:color="auto"/>
              <w:left w:val="nil" w:sz="6" w:space="0" w:color="auto"/>
              <w:bottom w:val="nil" w:sz="6" w:space="0" w:color="auto"/>
              <w:right w:val="nil" w:sz="6" w:space="0" w:color="auto"/>
            </w:tcBorders>
          </w:tcPr>
          <w:p>
            <w:pPr>
              <w:pStyle w:val="TableParagraph"/>
              <w:spacing w:line="345" w:lineRule="auto" w:before="44"/>
              <w:ind w:left="492" w:right="392"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交易方向</w:t>
            </w:r>
            <w:r>
              <w:rPr>
                <w:rFonts w:ascii="宋体" w:hAnsi="宋体" w:cs="宋体" w:eastAsia="宋体" w:hint="default"/>
                <w:sz w:val="18"/>
                <w:szCs w:val="18"/>
              </w:rPr>
            </w:r>
            <w:r>
              <w:rPr>
                <w:rFonts w:ascii="宋体" w:hAnsi="宋体" w:cs="宋体" w:eastAsia="宋体" w:hint="default"/>
                <w:sz w:val="18"/>
                <w:szCs w:val="18"/>
              </w:rPr>
              <w:t> 买入</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到期日</w:t>
            </w:r>
            <w:r>
              <w:rPr>
                <w:rFonts w:ascii="宋体" w:hAnsi="宋体" w:cs="宋体" w:eastAsia="宋体" w:hint="default"/>
                <w:sz w:val="18"/>
                <w:szCs w:val="18"/>
              </w:rPr>
            </w:r>
          </w:p>
          <w:p>
            <w:pPr>
              <w:pStyle w:val="TableParagraph"/>
              <w:spacing w:line="240" w:lineRule="auto" w:before="146"/>
              <w:ind w:left="439" w:right="0"/>
              <w:jc w:val="left"/>
              <w:rPr>
                <w:rFonts w:ascii="Times New Roman" w:hAnsi="Times New Roman" w:cs="Times New Roman" w:eastAsia="Times New Roman" w:hint="default"/>
                <w:sz w:val="18"/>
                <w:szCs w:val="18"/>
              </w:rPr>
            </w:pPr>
            <w:r>
              <w:rPr>
                <w:rFonts w:ascii="Times New Roman"/>
                <w:sz w:val="18"/>
              </w:rPr>
              <w:t>2009-4-8</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协议约定汇率</w:t>
            </w:r>
            <w:r>
              <w:rPr>
                <w:rFonts w:ascii="宋体" w:hAnsi="宋体" w:cs="宋体" w:eastAsia="宋体" w:hint="default"/>
                <w:sz w:val="18"/>
                <w:szCs w:val="18"/>
              </w:rPr>
            </w:r>
          </w:p>
          <w:p>
            <w:pPr>
              <w:pStyle w:val="TableParagraph"/>
              <w:spacing w:line="240" w:lineRule="auto" w:before="146"/>
              <w:ind w:left="275" w:right="0"/>
              <w:jc w:val="center"/>
              <w:rPr>
                <w:rFonts w:ascii="Times New Roman" w:hAnsi="Times New Roman" w:cs="Times New Roman" w:eastAsia="Times New Roman" w:hint="default"/>
                <w:sz w:val="18"/>
                <w:szCs w:val="18"/>
              </w:rPr>
            </w:pPr>
            <w:r>
              <w:rPr>
                <w:rFonts w:ascii="Times New Roman"/>
                <w:sz w:val="18"/>
              </w:rPr>
              <w:t>6.532</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交通银行香港分行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98" w:right="0"/>
              <w:jc w:val="left"/>
              <w:rPr>
                <w:rFonts w:ascii="Times New Roman" w:hAnsi="Times New Roman" w:cs="Times New Roman" w:eastAsia="Times New Roman" w:hint="default"/>
                <w:sz w:val="18"/>
                <w:szCs w:val="18"/>
              </w:rPr>
            </w:pPr>
            <w:r>
              <w:rPr>
                <w:rFonts w:ascii="Times New Roman"/>
                <w:sz w:val="18"/>
              </w:rPr>
              <w:t>2,000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z w:val="18"/>
              </w:rPr>
              <w:t>2009-4-14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6.5400</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交通银行香港分行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98" w:right="0"/>
              <w:jc w:val="left"/>
              <w:rPr>
                <w:rFonts w:ascii="Times New Roman" w:hAnsi="Times New Roman" w:cs="Times New Roman" w:eastAsia="Times New Roman" w:hint="default"/>
                <w:sz w:val="18"/>
                <w:szCs w:val="18"/>
              </w:rPr>
            </w:pPr>
            <w:r>
              <w:rPr>
                <w:rFonts w:ascii="Times New Roman"/>
                <w:sz w:val="18"/>
              </w:rPr>
              <w:t>2,000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4"/>
              <w:jc w:val="right"/>
              <w:rPr>
                <w:rFonts w:ascii="Times New Roman" w:hAnsi="Times New Roman" w:cs="Times New Roman" w:eastAsia="Times New Roman" w:hint="default"/>
                <w:sz w:val="18"/>
                <w:szCs w:val="18"/>
              </w:rPr>
            </w:pPr>
            <w:r>
              <w:rPr>
                <w:rFonts w:ascii="Times New Roman"/>
                <w:sz w:val="18"/>
              </w:rPr>
              <w:t>2009-4-8</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sz w:val="18"/>
              </w:rPr>
              <w:t>7.0155</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交通银行香港分行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98" w:right="0"/>
              <w:jc w:val="left"/>
              <w:rPr>
                <w:rFonts w:ascii="Times New Roman" w:hAnsi="Times New Roman" w:cs="Times New Roman" w:eastAsia="Times New Roman" w:hint="default"/>
                <w:sz w:val="18"/>
                <w:szCs w:val="18"/>
              </w:rPr>
            </w:pPr>
            <w:r>
              <w:rPr>
                <w:rFonts w:ascii="Times New Roman"/>
                <w:sz w:val="18"/>
              </w:rPr>
              <w:t>2,000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z w:val="18"/>
              </w:rPr>
              <w:t>2009-4-14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7.0165</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交通银行香港分行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98" w:right="0"/>
              <w:jc w:val="left"/>
              <w:rPr>
                <w:rFonts w:ascii="Times New Roman" w:hAnsi="Times New Roman" w:cs="Times New Roman" w:eastAsia="Times New Roman" w:hint="default"/>
                <w:sz w:val="18"/>
                <w:szCs w:val="18"/>
              </w:rPr>
            </w:pPr>
            <w:r>
              <w:rPr>
                <w:rFonts w:ascii="Times New Roman"/>
                <w:sz w:val="18"/>
              </w:rPr>
              <w:t>4,000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z w:val="18"/>
              </w:rPr>
              <w:t>2009-4-14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6.9750</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建银亚洲香港分行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66" w:right="0"/>
              <w:jc w:val="left"/>
              <w:rPr>
                <w:rFonts w:ascii="Times New Roman" w:hAnsi="Times New Roman" w:cs="Times New Roman" w:eastAsia="Times New Roman" w:hint="default"/>
                <w:sz w:val="18"/>
                <w:szCs w:val="18"/>
              </w:rPr>
            </w:pPr>
            <w:r>
              <w:rPr>
                <w:rFonts w:ascii="Times New Roman"/>
                <w:sz w:val="18"/>
              </w:rPr>
              <w:t>700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sz w:val="18"/>
              </w:rPr>
              <w:t>2009-12-4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24"/>
              <w:jc w:val="right"/>
              <w:rPr>
                <w:rFonts w:ascii="Times New Roman" w:hAnsi="Times New Roman" w:cs="Times New Roman" w:eastAsia="Times New Roman" w:hint="default"/>
                <w:sz w:val="18"/>
                <w:szCs w:val="18"/>
              </w:rPr>
            </w:pPr>
            <w:r>
              <w:rPr>
                <w:rFonts w:ascii="Times New Roman"/>
                <w:sz w:val="18"/>
              </w:rPr>
              <w:t>7.2750</w:t>
            </w:r>
          </w:p>
        </w:tc>
      </w:tr>
      <w:tr>
        <w:trPr>
          <w:trHeight w:val="340"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建银亚洲香港分行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66" w:right="0"/>
              <w:jc w:val="left"/>
              <w:rPr>
                <w:rFonts w:ascii="Times New Roman" w:hAnsi="Times New Roman" w:cs="Times New Roman" w:eastAsia="Times New Roman" w:hint="default"/>
                <w:sz w:val="18"/>
                <w:szCs w:val="18"/>
              </w:rPr>
            </w:pPr>
            <w:r>
              <w:rPr>
                <w:rFonts w:ascii="Times New Roman"/>
                <w:sz w:val="18"/>
              </w:rPr>
              <w:t>700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z w:val="18"/>
              </w:rPr>
              <w:t>2009-12-4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7.2750</w:t>
            </w:r>
          </w:p>
        </w:tc>
      </w:tr>
      <w:tr>
        <w:trPr>
          <w:trHeight w:val="36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建银亚洲香港分行</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66" w:right="0"/>
              <w:jc w:val="left"/>
              <w:rPr>
                <w:rFonts w:ascii="Times New Roman" w:hAnsi="Times New Roman" w:cs="Times New Roman" w:eastAsia="Times New Roman" w:hint="default"/>
                <w:sz w:val="18"/>
                <w:szCs w:val="18"/>
              </w:rPr>
            </w:pPr>
            <w:r>
              <w:rPr>
                <w:rFonts w:ascii="Times New Roman"/>
                <w:sz w:val="18"/>
              </w:rPr>
              <w:t>700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z w:val="18"/>
              </w:rPr>
              <w:t>2009-12-4</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4"/>
              <w:jc w:val="right"/>
              <w:rPr>
                <w:rFonts w:ascii="Times New Roman" w:hAnsi="Times New Roman" w:cs="Times New Roman" w:eastAsia="Times New Roman" w:hint="default"/>
                <w:sz w:val="18"/>
                <w:szCs w:val="18"/>
              </w:rPr>
            </w:pPr>
            <w:r>
              <w:rPr>
                <w:rFonts w:ascii="Times New Roman"/>
                <w:sz w:val="18"/>
              </w:rPr>
              <w:t>7.2750</w:t>
            </w:r>
          </w:p>
        </w:tc>
      </w:tr>
    </w:tbl>
    <w:p>
      <w:pPr>
        <w:spacing w:line="240" w:lineRule="auto" w:before="9"/>
        <w:rPr>
          <w:rFonts w:ascii="宋体" w:hAnsi="宋体" w:cs="宋体" w:eastAsia="宋体" w:hint="default"/>
          <w:sz w:val="20"/>
          <w:szCs w:val="20"/>
        </w:rPr>
      </w:pPr>
    </w:p>
    <w:p>
      <w:pPr>
        <w:spacing w:line="297" w:lineRule="auto" w:before="35"/>
        <w:ind w:left="740" w:right="6052" w:firstLine="2"/>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b/>
          <w:bCs/>
          <w:spacing w:val="1"/>
          <w:w w:val="99"/>
          <w:sz w:val="21"/>
          <w:szCs w:val="21"/>
        </w:rPr>
        <w:t> </w:t>
      </w:r>
      <w:r>
        <w:rPr>
          <w:rFonts w:ascii="宋体" w:hAnsi="宋体" w:cs="宋体" w:eastAsia="宋体" w:hint="default"/>
          <w:sz w:val="21"/>
          <w:szCs w:val="21"/>
        </w:rPr>
        <w:t>利润分配预案：</w:t>
      </w:r>
    </w:p>
    <w:p>
      <w:pPr>
        <w:spacing w:before="15"/>
        <w:ind w:left="740" w:right="0" w:firstLine="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18</w:t>
      </w:r>
      <w:r>
        <w:rPr>
          <w:rFonts w:ascii="宋体" w:hAnsi="宋体" w:cs="宋体" w:eastAsia="宋体" w:hint="default"/>
          <w:spacing w:val="-45"/>
          <w:sz w:val="21"/>
          <w:szCs w:val="21"/>
        </w:rPr>
        <w:t> </w:t>
      </w:r>
      <w:r>
        <w:rPr>
          <w:rFonts w:ascii="宋体" w:hAnsi="宋体" w:cs="宋体" w:eastAsia="宋体" w:hint="default"/>
          <w:sz w:val="21"/>
          <w:szCs w:val="21"/>
        </w:rPr>
        <w:t>日本公司董事会向股东大会提议的利润分配方案为：母公司</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w:t>
      </w:r>
    </w:p>
    <w:p>
      <w:pPr>
        <w:spacing w:before="64"/>
        <w:ind w:left="320" w:right="0" w:firstLine="0"/>
        <w:jc w:val="left"/>
        <w:rPr>
          <w:rFonts w:ascii="宋体" w:hAnsi="宋体" w:cs="宋体" w:eastAsia="宋体" w:hint="default"/>
          <w:sz w:val="21"/>
          <w:szCs w:val="21"/>
        </w:rPr>
      </w:pPr>
      <w:r>
        <w:rPr>
          <w:rFonts w:ascii="宋体" w:hAnsi="宋体" w:cs="宋体" w:eastAsia="宋体" w:hint="default"/>
          <w:sz w:val="21"/>
          <w:szCs w:val="21"/>
        </w:rPr>
        <w:t>实现净利润</w:t>
      </w:r>
      <w:r>
        <w:rPr>
          <w:rFonts w:ascii="宋体" w:hAnsi="宋体" w:cs="宋体" w:eastAsia="宋体" w:hint="default"/>
          <w:spacing w:val="-56"/>
          <w:sz w:val="21"/>
          <w:szCs w:val="21"/>
        </w:rPr>
        <w:t> </w:t>
      </w:r>
      <w:r>
        <w:rPr>
          <w:rFonts w:ascii="宋体" w:hAnsi="宋体" w:cs="宋体" w:eastAsia="宋体" w:hint="default"/>
          <w:sz w:val="21"/>
          <w:szCs w:val="21"/>
        </w:rPr>
        <w:t>28,690,477.79</w:t>
      </w:r>
      <w:r>
        <w:rPr>
          <w:rFonts w:ascii="宋体" w:hAnsi="宋体" w:cs="宋体" w:eastAsia="宋体" w:hint="default"/>
          <w:spacing w:val="-56"/>
          <w:sz w:val="21"/>
          <w:szCs w:val="21"/>
        </w:rPr>
        <w:t> </w:t>
      </w:r>
      <w:r>
        <w:rPr>
          <w:rFonts w:ascii="宋体" w:hAnsi="宋体" w:cs="宋体" w:eastAsia="宋体" w:hint="default"/>
          <w:spacing w:val="-6"/>
          <w:sz w:val="21"/>
          <w:szCs w:val="21"/>
        </w:rPr>
        <w:t>元，按照</w:t>
      </w:r>
      <w:r>
        <w:rPr>
          <w:rFonts w:ascii="宋体" w:hAnsi="宋体" w:cs="宋体" w:eastAsia="宋体" w:hint="default"/>
          <w:spacing w:val="-57"/>
          <w:sz w:val="21"/>
          <w:szCs w:val="21"/>
        </w:rPr>
        <w:t> </w:t>
      </w:r>
      <w:r>
        <w:rPr>
          <w:rFonts w:ascii="宋体" w:hAnsi="宋体" w:cs="宋体" w:eastAsia="宋体" w:hint="default"/>
          <w:sz w:val="21"/>
          <w:szCs w:val="21"/>
        </w:rPr>
        <w:t>10%计提法定公积金</w:t>
      </w:r>
      <w:r>
        <w:rPr>
          <w:rFonts w:ascii="宋体" w:hAnsi="宋体" w:cs="宋体" w:eastAsia="宋体" w:hint="default"/>
          <w:spacing w:val="-56"/>
          <w:sz w:val="21"/>
          <w:szCs w:val="21"/>
        </w:rPr>
        <w:t> </w:t>
      </w:r>
      <w:r>
        <w:rPr>
          <w:rFonts w:ascii="宋体" w:hAnsi="宋体" w:cs="宋体" w:eastAsia="宋体" w:hint="default"/>
          <w:sz w:val="21"/>
          <w:szCs w:val="21"/>
        </w:rPr>
        <w:t>2,869,047.78</w:t>
      </w:r>
      <w:r>
        <w:rPr>
          <w:rFonts w:ascii="宋体" w:hAnsi="宋体" w:cs="宋体" w:eastAsia="宋体" w:hint="default"/>
          <w:spacing w:val="-6"/>
          <w:sz w:val="21"/>
          <w:szCs w:val="21"/>
        </w:rPr>
        <w:t> </w:t>
      </w:r>
      <w:r>
        <w:rPr>
          <w:rFonts w:ascii="宋体" w:hAnsi="宋体" w:cs="宋体" w:eastAsia="宋体" w:hint="default"/>
          <w:spacing w:val="-4"/>
          <w:sz w:val="21"/>
          <w:szCs w:val="21"/>
        </w:rPr>
        <w:t>元；以本公司</w:t>
      </w:r>
      <w:r>
        <w:rPr>
          <w:rFonts w:ascii="宋体" w:hAnsi="宋体" w:cs="宋体" w:eastAsia="宋体" w:hint="default"/>
          <w:spacing w:val="-56"/>
          <w:sz w:val="21"/>
          <w:szCs w:val="21"/>
        </w:rPr>
        <w:t> </w:t>
      </w:r>
      <w:r>
        <w:rPr>
          <w:rFonts w:ascii="宋体" w:hAnsi="宋体" w:cs="宋体" w:eastAsia="宋体" w:hint="default"/>
          <w:sz w:val="21"/>
          <w:szCs w:val="21"/>
        </w:rPr>
        <w:t>2008</w:t>
      </w:r>
    </w:p>
    <w:p>
      <w:pPr>
        <w:spacing w:before="64"/>
        <w:ind w:left="320"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1"/>
          <w:sz w:val="21"/>
          <w:szCs w:val="21"/>
        </w:rPr>
        <w:t>日股本总</w:t>
      </w:r>
      <w:r>
        <w:rPr>
          <w:rFonts w:ascii="宋体" w:hAnsi="宋体" w:cs="宋体" w:eastAsia="宋体" w:hint="default"/>
          <w:sz w:val="21"/>
          <w:szCs w:val="21"/>
        </w:rPr>
        <w:t>数</w:t>
      </w:r>
      <w:r>
        <w:rPr>
          <w:rFonts w:ascii="宋体" w:hAnsi="宋体" w:cs="宋体" w:eastAsia="宋体" w:hint="default"/>
          <w:spacing w:val="-53"/>
          <w:sz w:val="21"/>
          <w:szCs w:val="21"/>
        </w:rPr>
        <w:t> </w:t>
      </w:r>
      <w:r>
        <w:rPr>
          <w:rFonts w:ascii="宋体" w:hAnsi="宋体" w:cs="宋体" w:eastAsia="宋体" w:hint="default"/>
          <w:spacing w:val="-1"/>
          <w:sz w:val="21"/>
          <w:szCs w:val="21"/>
        </w:rPr>
        <w:t>200,100,00</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pacing w:val="-1"/>
          <w:sz w:val="21"/>
          <w:szCs w:val="21"/>
        </w:rPr>
        <w:t>股为基数</w:t>
      </w:r>
      <w:r>
        <w:rPr>
          <w:rFonts w:ascii="宋体" w:hAnsi="宋体" w:cs="宋体" w:eastAsia="宋体" w:hint="default"/>
          <w:spacing w:val="-32"/>
          <w:sz w:val="21"/>
          <w:szCs w:val="21"/>
        </w:rPr>
        <w:t>，</w:t>
      </w: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股派</w:t>
      </w:r>
      <w:r>
        <w:rPr>
          <w:rFonts w:ascii="宋体" w:hAnsi="宋体" w:cs="宋体" w:eastAsia="宋体" w:hint="default"/>
          <w:spacing w:val="-2"/>
          <w:sz w:val="21"/>
          <w:szCs w:val="21"/>
        </w:rPr>
        <w:t>发</w:t>
      </w:r>
      <w:r>
        <w:rPr>
          <w:rFonts w:ascii="宋体" w:hAnsi="宋体" w:cs="宋体" w:eastAsia="宋体" w:hint="default"/>
          <w:spacing w:val="-1"/>
          <w:sz w:val="21"/>
          <w:szCs w:val="21"/>
        </w:rPr>
        <w:t>现金股</w:t>
      </w:r>
      <w:r>
        <w:rPr>
          <w:rFonts w:ascii="宋体" w:hAnsi="宋体" w:cs="宋体" w:eastAsia="宋体" w:hint="default"/>
          <w:sz w:val="21"/>
          <w:szCs w:val="21"/>
        </w:rPr>
        <w:t>利</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2"/>
          <w:sz w:val="21"/>
          <w:szCs w:val="21"/>
        </w:rPr>
        <w:t>元</w:t>
      </w:r>
      <w:r>
        <w:rPr>
          <w:rFonts w:ascii="宋体" w:hAnsi="宋体" w:cs="宋体" w:eastAsia="宋体" w:hint="default"/>
          <w:spacing w:val="-1"/>
          <w:sz w:val="21"/>
          <w:szCs w:val="21"/>
        </w:rPr>
        <w:t>（含税</w:t>
      </w:r>
      <w:r>
        <w:rPr>
          <w:rFonts w:ascii="宋体" w:hAnsi="宋体" w:cs="宋体" w:eastAsia="宋体" w:hint="default"/>
          <w:spacing w:val="-104"/>
          <w:sz w:val="21"/>
          <w:szCs w:val="21"/>
        </w:rPr>
        <w:t>）</w:t>
      </w:r>
      <w:r>
        <w:rPr>
          <w:rFonts w:ascii="宋体" w:hAnsi="宋体" w:cs="宋体" w:eastAsia="宋体" w:hint="default"/>
          <w:spacing w:val="-33"/>
          <w:sz w:val="21"/>
          <w:szCs w:val="21"/>
        </w:rPr>
        <w:t>，</w:t>
      </w:r>
      <w:r>
        <w:rPr>
          <w:rFonts w:ascii="宋体" w:hAnsi="宋体" w:cs="宋体" w:eastAsia="宋体" w:hint="default"/>
          <w:sz w:val="21"/>
          <w:szCs w:val="21"/>
        </w:rPr>
        <w:t>共计分</w:t>
      </w:r>
    </w:p>
    <w:p>
      <w:pPr>
        <w:spacing w:before="66"/>
        <w:ind w:left="320" w:right="0" w:firstLine="0"/>
        <w:jc w:val="left"/>
        <w:rPr>
          <w:rFonts w:ascii="宋体" w:hAnsi="宋体" w:cs="宋体" w:eastAsia="宋体" w:hint="default"/>
          <w:sz w:val="21"/>
          <w:szCs w:val="21"/>
        </w:rPr>
      </w:pPr>
      <w:r>
        <w:rPr>
          <w:rFonts w:ascii="宋体" w:hAnsi="宋体" w:cs="宋体" w:eastAsia="宋体" w:hint="default"/>
          <w:spacing w:val="-1"/>
          <w:sz w:val="21"/>
          <w:szCs w:val="21"/>
        </w:rPr>
        <w:t>配现金股</w:t>
      </w:r>
      <w:r>
        <w:rPr>
          <w:rFonts w:ascii="宋体" w:hAnsi="宋体" w:cs="宋体" w:eastAsia="宋体" w:hint="default"/>
          <w:sz w:val="21"/>
          <w:szCs w:val="21"/>
        </w:rPr>
        <w:t>利</w:t>
      </w:r>
      <w:r>
        <w:rPr>
          <w:rFonts w:ascii="宋体" w:hAnsi="宋体" w:cs="宋体" w:eastAsia="宋体" w:hint="default"/>
          <w:spacing w:val="-53"/>
          <w:sz w:val="21"/>
          <w:szCs w:val="21"/>
        </w:rPr>
        <w:t> </w:t>
      </w:r>
      <w:r>
        <w:rPr>
          <w:rFonts w:ascii="宋体" w:hAnsi="宋体" w:cs="宋体" w:eastAsia="宋体" w:hint="default"/>
          <w:spacing w:val="-1"/>
          <w:sz w:val="21"/>
          <w:szCs w:val="21"/>
        </w:rPr>
        <w:t>20,010,000.0</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5"/>
          <w:sz w:val="21"/>
          <w:szCs w:val="21"/>
        </w:rPr>
        <w:t>元</w:t>
      </w:r>
      <w:r>
        <w:rPr>
          <w:rFonts w:ascii="宋体" w:hAnsi="宋体" w:cs="宋体" w:eastAsia="宋体" w:hint="default"/>
          <w:spacing w:val="-1"/>
          <w:sz w:val="21"/>
          <w:szCs w:val="21"/>
        </w:rPr>
        <w:t>（含税</w:t>
      </w:r>
      <w:r>
        <w:rPr>
          <w:rFonts w:ascii="宋体" w:hAnsi="宋体" w:cs="宋体" w:eastAsia="宋体" w:hint="default"/>
          <w:spacing w:val="-106"/>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同时</w:t>
      </w:r>
      <w:r>
        <w:rPr>
          <w:rFonts w:ascii="宋体" w:hAnsi="宋体" w:cs="宋体" w:eastAsia="宋体" w:hint="default"/>
          <w:spacing w:val="-15"/>
          <w:sz w:val="21"/>
          <w:szCs w:val="21"/>
        </w:rPr>
        <w:t>，</w:t>
      </w:r>
      <w:r>
        <w:rPr>
          <w:rFonts w:ascii="宋体" w:hAnsi="宋体" w:cs="宋体" w:eastAsia="宋体" w:hint="default"/>
          <w:sz w:val="21"/>
          <w:szCs w:val="21"/>
        </w:rPr>
        <w:t>以</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日股本</w:t>
      </w:r>
      <w:r>
        <w:rPr>
          <w:rFonts w:ascii="宋体" w:hAnsi="宋体" w:cs="宋体" w:eastAsia="宋体" w:hint="default"/>
          <w:spacing w:val="-2"/>
          <w:sz w:val="21"/>
          <w:szCs w:val="21"/>
        </w:rPr>
        <w:t>总</w:t>
      </w:r>
      <w:r>
        <w:rPr>
          <w:rFonts w:ascii="宋体" w:hAnsi="宋体" w:cs="宋体" w:eastAsia="宋体" w:hint="default"/>
          <w:sz w:val="21"/>
          <w:szCs w:val="21"/>
        </w:rPr>
        <w:t>数</w:t>
      </w:r>
      <w:r>
        <w:rPr>
          <w:rFonts w:ascii="宋体" w:hAnsi="宋体" w:cs="宋体" w:eastAsia="宋体" w:hint="default"/>
          <w:spacing w:val="-53"/>
          <w:sz w:val="21"/>
          <w:szCs w:val="21"/>
        </w:rPr>
        <w:t> </w:t>
      </w:r>
      <w:r>
        <w:rPr>
          <w:rFonts w:ascii="宋体" w:hAnsi="宋体" w:cs="宋体" w:eastAsia="宋体" w:hint="default"/>
          <w:sz w:val="21"/>
          <w:szCs w:val="21"/>
        </w:rPr>
        <w:t>200,100,0</w:t>
      </w:r>
      <w:r>
        <w:rPr>
          <w:rFonts w:ascii="宋体" w:hAnsi="宋体" w:cs="宋体" w:eastAsia="宋体" w:hint="default"/>
          <w:spacing w:val="1"/>
          <w:sz w:val="21"/>
          <w:szCs w:val="21"/>
        </w:rPr>
        <w:t>0</w:t>
      </w:r>
      <w:r>
        <w:rPr>
          <w:rFonts w:ascii="宋体" w:hAnsi="宋体" w:cs="宋体" w:eastAsia="宋体" w:hint="default"/>
          <w:sz w:val="21"/>
          <w:szCs w:val="21"/>
        </w:rPr>
        <w:t>0</w:t>
      </w:r>
    </w:p>
    <w:p>
      <w:pPr>
        <w:spacing w:line="297" w:lineRule="auto" w:before="64"/>
        <w:ind w:left="320" w:right="0" w:firstLine="0"/>
        <w:jc w:val="left"/>
        <w:rPr>
          <w:rFonts w:ascii="宋体" w:hAnsi="宋体" w:cs="宋体" w:eastAsia="宋体" w:hint="default"/>
          <w:sz w:val="21"/>
          <w:szCs w:val="21"/>
        </w:rPr>
      </w:pPr>
      <w:r>
        <w:rPr>
          <w:rFonts w:ascii="宋体" w:hAnsi="宋体" w:cs="宋体" w:eastAsia="宋体" w:hint="default"/>
          <w:spacing w:val="-4"/>
          <w:sz w:val="21"/>
          <w:szCs w:val="21"/>
        </w:rPr>
        <w:t>股为基数，用资本公积转增股本，每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5"/>
          <w:sz w:val="21"/>
          <w:szCs w:val="21"/>
        </w:rPr>
        <w:t>股，共计增加</w:t>
      </w:r>
      <w:r>
        <w:rPr>
          <w:rFonts w:ascii="宋体" w:hAnsi="宋体" w:cs="宋体" w:eastAsia="宋体" w:hint="default"/>
          <w:spacing w:val="-54"/>
          <w:sz w:val="21"/>
          <w:szCs w:val="21"/>
        </w:rPr>
        <w:t> </w:t>
      </w:r>
      <w:r>
        <w:rPr>
          <w:rFonts w:ascii="宋体" w:hAnsi="宋体" w:cs="宋体" w:eastAsia="宋体" w:hint="default"/>
          <w:sz w:val="21"/>
          <w:szCs w:val="21"/>
        </w:rPr>
        <w:t>60,030,000</w:t>
      </w:r>
      <w:r>
        <w:rPr>
          <w:rFonts w:ascii="宋体" w:hAnsi="宋体" w:cs="宋体" w:eastAsia="宋体" w:hint="default"/>
          <w:spacing w:val="-53"/>
          <w:sz w:val="21"/>
          <w:szCs w:val="21"/>
        </w:rPr>
        <w:t> </w:t>
      </w:r>
      <w:r>
        <w:rPr>
          <w:rFonts w:ascii="宋体" w:hAnsi="宋体" w:cs="宋体" w:eastAsia="宋体" w:hint="default"/>
          <w:spacing w:val="-5"/>
          <w:sz w:val="21"/>
          <w:szCs w:val="21"/>
        </w:rPr>
        <w:t>股。该预案尚需</w:t>
      </w:r>
      <w:r>
        <w:rPr>
          <w:rFonts w:ascii="宋体" w:hAnsi="宋体" w:cs="宋体" w:eastAsia="宋体" w:hint="default"/>
          <w:spacing w:val="-1"/>
          <w:sz w:val="21"/>
          <w:szCs w:val="21"/>
        </w:rPr>
        <w:t> </w:t>
      </w:r>
      <w:r>
        <w:rPr>
          <w:rFonts w:ascii="宋体" w:hAnsi="宋体" w:cs="宋体" w:eastAsia="宋体" w:hint="default"/>
          <w:sz w:val="21"/>
          <w:szCs w:val="21"/>
        </w:rPr>
        <w:t>本公司股东大会审议通过。</w:t>
      </w:r>
    </w:p>
    <w:p>
      <w:pPr>
        <w:spacing w:line="297" w:lineRule="auto" w:before="15"/>
        <w:ind w:left="740" w:right="6274" w:firstLine="2"/>
        <w:jc w:val="left"/>
        <w:rPr>
          <w:rFonts w:ascii="宋体" w:hAnsi="宋体" w:cs="宋体" w:eastAsia="宋体" w:hint="default"/>
          <w:sz w:val="21"/>
          <w:szCs w:val="21"/>
        </w:rPr>
      </w:pPr>
      <w:r>
        <w:rPr>
          <w:rFonts w:ascii="宋体" w:hAnsi="宋体" w:cs="宋体" w:eastAsia="宋体" w:hint="default"/>
          <w:b/>
          <w:bCs/>
          <w:sz w:val="21"/>
          <w:szCs w:val="21"/>
        </w:rPr>
        <w:t>十二、其他事项说明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本公司无其他事项说明。</w:t>
      </w:r>
    </w:p>
    <w:p>
      <w:pPr>
        <w:spacing w:line="240" w:lineRule="auto" w:before="2"/>
        <w:rPr>
          <w:rFonts w:ascii="宋体" w:hAnsi="宋体" w:cs="宋体" w:eastAsia="宋体" w:hint="default"/>
          <w:sz w:val="27"/>
          <w:szCs w:val="27"/>
        </w:rPr>
      </w:pPr>
    </w:p>
    <w:p>
      <w:pPr>
        <w:spacing w:before="0"/>
        <w:ind w:left="742" w:right="4175" w:firstLine="0"/>
        <w:jc w:val="left"/>
        <w:rPr>
          <w:rFonts w:ascii="宋体" w:hAnsi="宋体" w:cs="宋体" w:eastAsia="宋体" w:hint="default"/>
          <w:sz w:val="21"/>
          <w:szCs w:val="21"/>
        </w:rPr>
      </w:pPr>
      <w:r>
        <w:rPr>
          <w:rFonts w:ascii="宋体" w:hAnsi="宋体" w:cs="宋体" w:eastAsia="宋体" w:hint="default"/>
          <w:b/>
          <w:bCs/>
          <w:sz w:val="21"/>
          <w:szCs w:val="21"/>
        </w:rPr>
        <w:t>十三、补充资料</w:t>
      </w:r>
      <w:r>
        <w:rPr>
          <w:rFonts w:ascii="宋体" w:hAnsi="宋体" w:cs="宋体" w:eastAsia="宋体" w:hint="default"/>
          <w:sz w:val="21"/>
          <w:szCs w:val="21"/>
        </w:rPr>
      </w:r>
    </w:p>
    <w:p>
      <w:pPr>
        <w:spacing w:before="64"/>
        <w:ind w:left="740" w:right="0" w:firstLine="0"/>
        <w:jc w:val="left"/>
        <w:rPr>
          <w:rFonts w:ascii="宋体" w:hAnsi="宋体" w:cs="宋体" w:eastAsia="宋体" w:hint="default"/>
          <w:sz w:val="21"/>
          <w:szCs w:val="21"/>
        </w:rPr>
      </w:pPr>
      <w:r>
        <w:rPr>
          <w:rFonts w:ascii="宋体" w:hAnsi="宋体" w:cs="宋体" w:eastAsia="宋体" w:hint="default"/>
          <w:sz w:val="21"/>
          <w:szCs w:val="21"/>
        </w:rPr>
        <w:t>（一）本年度归属于普通股股东的非经常性损益列示如下（收益＋、损失－</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2"/>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7128"/>
        <w:gridCol w:w="1390"/>
      </w:tblGrid>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宋体" w:hAnsi="宋体" w:cs="宋体" w:eastAsia="宋体" w:hint="default"/>
                <w:sz w:val="18"/>
                <w:szCs w:val="18"/>
              </w:rPr>
              <w:t>金  额</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（一）非流动性资产处置损益，包括已计提资产减值准备的冲销部分；</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21"/>
                <w:szCs w:val="21"/>
              </w:rPr>
            </w:pPr>
            <w:r>
              <w:rPr>
                <w:rFonts w:ascii="Times New Roman"/>
                <w:sz w:val="21"/>
              </w:rPr>
              <w:t>-534,997.40</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（二）越权审批，或无正式批准文件，或偶发性的税收返还、减免；</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54" w:right="0"/>
              <w:jc w:val="left"/>
              <w:rPr>
                <w:rFonts w:ascii="Times New Roman" w:hAnsi="Times New Roman" w:cs="Times New Roman" w:eastAsia="Times New Roman" w:hint="default"/>
                <w:sz w:val="18"/>
                <w:szCs w:val="18"/>
              </w:rPr>
            </w:pPr>
            <w:r>
              <w:rPr>
                <w:rFonts w:ascii="Times New Roman"/>
                <w:sz w:val="18"/>
              </w:rPr>
              <w:t>34,779.42</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950" w:top="1160" w:bottom="1140" w:left="1480" w:right="1080"/>
        </w:sectPr>
      </w:pPr>
    </w:p>
    <w:p>
      <w:pPr>
        <w:spacing w:line="240" w:lineRule="auto" w:before="5"/>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7128"/>
        <w:gridCol w:w="1390"/>
      </w:tblGrid>
      <w:tr>
        <w:trPr>
          <w:trHeight w:val="69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2"/>
              <w:ind w:left="103" w:right="11"/>
              <w:jc w:val="left"/>
              <w:rPr>
                <w:rFonts w:ascii="宋体" w:hAnsi="宋体" w:cs="宋体" w:eastAsia="宋体" w:hint="default"/>
                <w:sz w:val="18"/>
                <w:szCs w:val="18"/>
              </w:rPr>
            </w:pPr>
            <w:r>
              <w:rPr>
                <w:rFonts w:ascii="宋体" w:hAnsi="宋体" w:cs="宋体" w:eastAsia="宋体" w:hint="default"/>
                <w:spacing w:val="-1"/>
                <w:sz w:val="18"/>
                <w:szCs w:val="18"/>
              </w:rPr>
              <w:t>（三）计入当期损益的政府补助，但与公司正常经营业务密切相关，符合国家政策规定、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按照一定标准定额或定量持续享受的政府补助除外；</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（四）计入当期损益的对非金融企业收取的资金占用费；</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69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2"/>
              <w:ind w:left="103" w:right="100"/>
              <w:jc w:val="left"/>
              <w:rPr>
                <w:rFonts w:ascii="宋体" w:hAnsi="宋体" w:cs="宋体" w:eastAsia="宋体" w:hint="default"/>
                <w:sz w:val="18"/>
                <w:szCs w:val="18"/>
              </w:rPr>
            </w:pPr>
            <w:r>
              <w:rPr>
                <w:rFonts w:ascii="宋体" w:hAnsi="宋体" w:cs="宋体" w:eastAsia="宋体" w:hint="default"/>
                <w:sz w:val="18"/>
                <w:szCs w:val="18"/>
              </w:rPr>
              <w:t>（五）企业取得子公司、联营企业及合营企业的投资成本小于取得投资时应享有被投资</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单位可辨认净资产公允价值产生的收益；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（七）委托他人投资或管理资产的损益；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（八）因不可抗力因素，如遭受自然灾害而计提的各项资产减值准备；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（十）企业重组费用，如安置职工的支出、整合费用等；</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（十一）交易价格显失公允的交易产生的超过公允价值部分的损益；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（十二）同一控制下企业合并产生的子公司年初至合并日的当期净损益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（十三）与公司正常经营业务无关的或有事项产生的损益；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103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2"/>
              <w:ind w:left="103" w:right="100"/>
              <w:jc w:val="both"/>
              <w:rPr>
                <w:rFonts w:ascii="宋体" w:hAnsi="宋体" w:cs="宋体" w:eastAsia="宋体" w:hint="default"/>
                <w:sz w:val="18"/>
                <w:szCs w:val="18"/>
              </w:rPr>
            </w:pPr>
            <w:r>
              <w:rPr>
                <w:rFonts w:ascii="宋体" w:hAnsi="宋体" w:cs="宋体" w:eastAsia="宋体" w:hint="default"/>
                <w:sz w:val="18"/>
                <w:szCs w:val="18"/>
              </w:rPr>
              <w:t>（十四）除同公司正常经营业务相关的有效套期保值业务外，持有交易性金融资产、交</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易性金融负债产生的公允价值变动损益，以及处置交易性金融资产、交易性金融负债和</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可供出售金融资产取得的投资收益；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17,907,168.97</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（十五）单独进行减值测试的应收款项减值准备转回；</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（十六）对外委托贷款取得的损益；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（十七）采用公允价值模式进行后续计量的投资性房地产公允价值变动产生的损益；</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69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62"/>
              <w:ind w:left="103" w:right="100"/>
              <w:jc w:val="left"/>
              <w:rPr>
                <w:rFonts w:ascii="宋体" w:hAnsi="宋体" w:cs="宋体" w:eastAsia="宋体" w:hint="default"/>
                <w:sz w:val="18"/>
                <w:szCs w:val="18"/>
              </w:rPr>
            </w:pPr>
            <w:r>
              <w:rPr>
                <w:rFonts w:ascii="宋体" w:hAnsi="宋体" w:cs="宋体" w:eastAsia="宋体" w:hint="default"/>
                <w:sz w:val="18"/>
                <w:szCs w:val="18"/>
              </w:rPr>
              <w:t>（十八）根据税收、会计等法律、法规的要求对当期损益进行一次性调整对当期损益的</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影响；</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（十九）受托经营取得的托管费收入；</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（二十）除上述各项之外的其他营业外收入和支出；</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w w:val="95"/>
                <w:sz w:val="18"/>
              </w:rPr>
              <w:t>-474,514.99</w:t>
            </w:r>
            <w:r>
              <w:rPr>
                <w:rFonts w:ascii="Times New Roman"/>
                <w:sz w:val="18"/>
              </w:rPr>
            </w:r>
          </w:p>
        </w:tc>
      </w:tr>
      <w:tr>
        <w:trPr>
          <w:trHeight w:val="349"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（二十一）其他符合非经常性损益定义的损益项目；</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（二十二）少数股东损益的影响数；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z w:val="18"/>
              </w:rPr>
              <w:t>3,804.63</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（二十三）所得税的影响数；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pacing w:val="-1"/>
                <w:sz w:val="18"/>
              </w:rPr>
              <w:t>-2,773,432.99</w:t>
            </w:r>
          </w:p>
        </w:tc>
      </w:tr>
      <w:tr>
        <w:trPr>
          <w:trHeight w:val="350" w:hRule="exact"/>
        </w:trPr>
        <w:tc>
          <w:tcPr>
            <w:tcW w:w="7128"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8"/>
                <w:szCs w:val="18"/>
              </w:rPr>
            </w:pPr>
            <w:r>
              <w:rPr>
                <w:rFonts w:ascii="Times New Roman"/>
                <w:spacing w:val="-1"/>
                <w:sz w:val="18"/>
              </w:rPr>
              <w:t>15,162,807.64</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950" w:top="1160" w:bottom="1140" w:left="1580" w:right="1580"/>
        </w:sectPr>
      </w:pPr>
    </w:p>
    <w:p>
      <w:pPr>
        <w:spacing w:before="27"/>
        <w:ind w:left="640" w:right="-20" w:firstLine="0"/>
        <w:jc w:val="left"/>
        <w:rPr>
          <w:rFonts w:ascii="宋体" w:hAnsi="宋体" w:cs="宋体" w:eastAsia="宋体" w:hint="default"/>
          <w:sz w:val="21"/>
          <w:szCs w:val="21"/>
        </w:rPr>
      </w:pPr>
      <w:r>
        <w:rPr>
          <w:rFonts w:ascii="宋体" w:hAnsi="宋体" w:cs="宋体" w:eastAsia="宋体" w:hint="default"/>
          <w:sz w:val="21"/>
          <w:szCs w:val="21"/>
        </w:rPr>
        <w:t>（二）净资产收益率及每股收益：</w:t>
      </w:r>
    </w:p>
    <w:p>
      <w:pPr>
        <w:spacing w:line="240" w:lineRule="auto" w:before="0"/>
        <w:rPr>
          <w:rFonts w:ascii="宋体" w:hAnsi="宋体" w:cs="宋体" w:eastAsia="宋体" w:hint="default"/>
          <w:sz w:val="21"/>
          <w:szCs w:val="21"/>
        </w:rPr>
      </w:pPr>
    </w:p>
    <w:p>
      <w:pPr>
        <w:spacing w:line="230" w:lineRule="exact" w:before="0"/>
        <w:ind w:left="1211" w:right="-20" w:firstLine="0"/>
        <w:jc w:val="left"/>
        <w:rPr>
          <w:rFonts w:ascii="宋体" w:hAnsi="宋体" w:cs="宋体" w:eastAsia="宋体" w:hint="default"/>
          <w:sz w:val="18"/>
          <w:szCs w:val="18"/>
        </w:rPr>
      </w:pPr>
      <w:r>
        <w:rPr/>
        <w:pict>
          <v:group style="position:absolute;margin-left:233.820007pt;margin-top:5.352334pt;width:272.55pt;height:.1pt;mso-position-horizontal-relative:page;mso-position-vertical-relative:paragraph;z-index:7192" coordorigin="4676,107" coordsize="5451,2">
            <v:shape style="position:absolute;left:4676;top:107;width:5451;height:2" coordorigin="4676,107" coordsize="5451,0" path="m4676,107l10127,107e" filled="false" stroked="true" strokeweight=".47998pt" strokecolor="#000000">
              <v:path arrowok="t"/>
            </v:shape>
            <w10:wrap type="none"/>
          </v:group>
        </w:pict>
      </w:r>
      <w:r>
        <w:rPr>
          <w:rFonts w:ascii="宋体" w:hAnsi="宋体" w:cs="宋体" w:eastAsia="宋体" w:hint="default"/>
          <w:sz w:val="18"/>
          <w:szCs w:val="18"/>
        </w:rPr>
        <w:t>报告期利润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tabs>
          <w:tab w:pos="2764" w:val="left" w:leader="none"/>
        </w:tabs>
        <w:spacing w:before="0"/>
        <w:ind w:left="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净资产收益率</w:t>
        <w:tab/>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020" w:bottom="1520" w:left="1580" w:right="1580"/>
          <w:cols w:num="2" w:equalWidth="0">
            <w:col w:w="3791" w:space="40"/>
            <w:col w:w="4919"/>
          </w:cols>
        </w:sectPr>
      </w:pPr>
    </w:p>
    <w:p>
      <w:pPr>
        <w:spacing w:line="20" w:lineRule="exact"/>
        <w:ind w:left="12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312" w:lineRule="auto" w:before="0"/>
        <w:ind w:left="328" w:right="-16" w:firstLine="0"/>
        <w:jc w:val="left"/>
        <w:rPr>
          <w:rFonts w:ascii="宋体" w:hAnsi="宋体" w:cs="宋体" w:eastAsia="宋体" w:hint="default"/>
          <w:sz w:val="18"/>
          <w:szCs w:val="18"/>
        </w:rPr>
      </w:pPr>
      <w:r>
        <w:rPr>
          <w:rFonts w:ascii="宋体" w:hAnsi="宋体" w:cs="宋体" w:eastAsia="宋体" w:hint="default"/>
          <w:spacing w:val="13"/>
          <w:sz w:val="21"/>
          <w:szCs w:val="21"/>
        </w:rPr>
        <w:t>归属于公司普通股股东的净 </w:t>
      </w:r>
      <w:r>
        <w:rPr>
          <w:rFonts w:ascii="宋体" w:hAnsi="宋体" w:cs="宋体" w:eastAsia="宋体" w:hint="default"/>
          <w:sz w:val="21"/>
          <w:szCs w:val="21"/>
        </w:rPr>
        <w:t>利润</w:t>
      </w:r>
      <w:r>
        <w:rPr>
          <w:rFonts w:ascii="宋体" w:hAnsi="宋体" w:cs="宋体" w:eastAsia="宋体" w:hint="default"/>
          <w:sz w:val="21"/>
          <w:szCs w:val="21"/>
        </w:rPr>
        <w:t> </w:t>
      </w:r>
      <w:r>
        <w:rPr>
          <w:rFonts w:ascii="宋体" w:hAnsi="宋体" w:cs="宋体" w:eastAsia="宋体" w:hint="default"/>
          <w:sz w:val="18"/>
          <w:szCs w:val="18"/>
        </w:rPr>
        <w:t>扣除非经常性损益后归属于公司</w:t>
      </w:r>
    </w:p>
    <w:p>
      <w:pPr>
        <w:spacing w:before="50"/>
        <w:ind w:left="851" w:right="-16" w:firstLine="0"/>
        <w:jc w:val="left"/>
        <w:rPr>
          <w:rFonts w:ascii="宋体" w:hAnsi="宋体" w:cs="宋体" w:eastAsia="宋体" w:hint="default"/>
          <w:sz w:val="18"/>
          <w:szCs w:val="18"/>
        </w:rPr>
      </w:pPr>
      <w:r>
        <w:rPr>
          <w:rFonts w:ascii="宋体" w:hAnsi="宋体" w:cs="宋体" w:eastAsia="宋体" w:hint="default"/>
          <w:sz w:val="18"/>
          <w:szCs w:val="18"/>
        </w:rPr>
        <w:t>普通股股东的净利润</w:t>
      </w:r>
    </w:p>
    <w:p>
      <w:pPr>
        <w:spacing w:before="69"/>
        <w:ind w:left="640" w:right="-16" w:firstLine="0"/>
        <w:jc w:val="left"/>
        <w:rPr>
          <w:rFonts w:ascii="宋体" w:hAnsi="宋体" w:cs="宋体" w:eastAsia="宋体" w:hint="default"/>
          <w:sz w:val="21"/>
          <w:szCs w:val="21"/>
        </w:rPr>
      </w:pPr>
      <w:r>
        <w:rPr>
          <w:rFonts w:ascii="宋体" w:hAnsi="宋体" w:cs="宋体" w:eastAsia="宋体" w:hint="default"/>
          <w:sz w:val="21"/>
          <w:szCs w:val="21"/>
        </w:rPr>
        <w:t>1、计算过程</w:t>
      </w:r>
    </w:p>
    <w:p>
      <w:pPr>
        <w:tabs>
          <w:tab w:pos="1604" w:val="left" w:leader="none"/>
          <w:tab w:pos="2772" w:val="left" w:leader="none"/>
          <w:tab w:pos="4220" w:val="left" w:leader="none"/>
        </w:tabs>
        <w:spacing w:line="180" w:lineRule="exact" w:before="0"/>
        <w:ind w:left="32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全面摊薄</w:t>
        <w:tab/>
        <w:t>加权平均</w:t>
        <w:tab/>
        <w:t>基本每股收益</w:t>
        <w:tab/>
        <w:t>稀释每股收益</w:t>
      </w:r>
    </w:p>
    <w:p>
      <w:pPr>
        <w:tabs>
          <w:tab w:pos="1600" w:val="left" w:leader="none"/>
          <w:tab w:pos="2767" w:val="left" w:leader="none"/>
          <w:tab w:pos="4216" w:val="left" w:leader="none"/>
        </w:tabs>
        <w:spacing w:line="20" w:lineRule="exact"/>
        <w:ind w:left="323"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22"/>
          <w:szCs w:val="22"/>
        </w:rPr>
      </w:pPr>
    </w:p>
    <w:p>
      <w:pPr>
        <w:tabs>
          <w:tab w:pos="1731" w:val="left" w:leader="none"/>
          <w:tab w:pos="3063" w:val="left" w:leader="none"/>
          <w:tab w:pos="4513" w:val="left" w:leader="none"/>
        </w:tabs>
        <w:spacing w:before="0"/>
        <w:ind w:left="455" w:right="0" w:firstLine="0"/>
        <w:jc w:val="left"/>
        <w:rPr>
          <w:rFonts w:ascii="Times New Roman" w:hAnsi="Times New Roman" w:cs="Times New Roman" w:eastAsia="Times New Roman" w:hint="default"/>
          <w:sz w:val="18"/>
          <w:szCs w:val="18"/>
        </w:rPr>
      </w:pPr>
      <w:r>
        <w:rPr>
          <w:rFonts w:ascii="Times New Roman"/>
          <w:sz w:val="18"/>
        </w:rPr>
        <w:t>6.65%</w:t>
        <w:tab/>
        <w:t>6.69%</w:t>
        <w:tab/>
        <w:t>0.1688</w:t>
        <w:tab/>
        <w:t>0.1688</w:t>
      </w: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tabs>
          <w:tab w:pos="1731" w:val="left" w:leader="none"/>
          <w:tab w:pos="3063" w:val="left" w:leader="none"/>
          <w:tab w:pos="4513" w:val="left" w:leader="none"/>
        </w:tabs>
        <w:spacing w:before="0"/>
        <w:ind w:left="455" w:right="0" w:firstLine="0"/>
        <w:jc w:val="left"/>
        <w:rPr>
          <w:rFonts w:ascii="Times New Roman" w:hAnsi="Times New Roman" w:cs="Times New Roman" w:eastAsia="Times New Roman" w:hint="default"/>
          <w:sz w:val="18"/>
          <w:szCs w:val="18"/>
        </w:rPr>
      </w:pPr>
      <w:r>
        <w:rPr>
          <w:rFonts w:ascii="Times New Roman"/>
          <w:sz w:val="18"/>
        </w:rPr>
        <w:t>3.66%</w:t>
        <w:tab/>
        <w:t>3.74%</w:t>
        <w:tab/>
        <w:t>0.0930</w:t>
        <w:tab/>
        <w:t>0.0930</w:t>
      </w:r>
    </w:p>
    <w:p>
      <w:pPr>
        <w:spacing w:after="0"/>
        <w:jc w:val="left"/>
        <w:rPr>
          <w:rFonts w:ascii="Times New Roman" w:hAnsi="Times New Roman" w:cs="Times New Roman" w:eastAsia="Times New Roman" w:hint="default"/>
          <w:sz w:val="18"/>
          <w:szCs w:val="18"/>
        </w:rPr>
        <w:sectPr>
          <w:type w:val="continuous"/>
          <w:pgSz w:w="11910" w:h="16840"/>
          <w:pgMar w:top="1020" w:bottom="1520" w:left="1580" w:right="1580"/>
          <w:cols w:num="2" w:equalWidth="0">
            <w:col w:w="3009" w:space="43"/>
            <w:col w:w="5698"/>
          </w:cols>
        </w:sectPr>
      </w:pPr>
    </w:p>
    <w:p>
      <w:pPr>
        <w:spacing w:line="297" w:lineRule="auto" w:before="66"/>
        <w:ind w:left="640" w:right="4514" w:firstLine="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 </w:t>
      </w:r>
      <w:r>
        <w:rPr>
          <w:rFonts w:ascii="宋体" w:hAnsi="宋体" w:cs="宋体" w:eastAsia="宋体" w:hint="default"/>
          <w:b/>
          <w:bCs/>
          <w:sz w:val="21"/>
          <w:szCs w:val="21"/>
        </w:rPr>
        <w:t>全面摊薄净资产收益率</w:t>
      </w:r>
      <w:r>
        <w:rPr>
          <w:rFonts w:ascii="宋体" w:hAnsi="宋体" w:cs="宋体" w:eastAsia="宋体" w:hint="default"/>
          <w:b/>
          <w:bCs/>
          <w:w w:val="99"/>
          <w:sz w:val="21"/>
          <w:szCs w:val="21"/>
        </w:rPr>
        <w:t> </w:t>
      </w:r>
      <w:r>
        <w:rPr>
          <w:rFonts w:ascii="宋体" w:hAnsi="宋体" w:cs="宋体" w:eastAsia="宋体" w:hint="default"/>
          <w:sz w:val="21"/>
          <w:szCs w:val="21"/>
        </w:rPr>
        <w:t>全面摊薄净资产收益率=P÷E</w:t>
      </w:r>
    </w:p>
    <w:p>
      <w:pPr>
        <w:spacing w:line="297" w:lineRule="auto" w:before="15"/>
        <w:ind w:left="220" w:right="96" w:firstLine="420"/>
        <w:jc w:val="left"/>
        <w:rPr>
          <w:rFonts w:ascii="宋体" w:hAnsi="宋体" w:cs="宋体" w:eastAsia="宋体" w:hint="default"/>
          <w:sz w:val="21"/>
          <w:szCs w:val="21"/>
        </w:rPr>
      </w:pPr>
      <w:r>
        <w:rPr>
          <w:rFonts w:ascii="宋体" w:hAnsi="宋体" w:cs="宋体" w:eastAsia="宋体" w:hint="default"/>
          <w:spacing w:val="-11"/>
          <w:sz w:val="21"/>
          <w:szCs w:val="21"/>
        </w:rPr>
        <w:t>其中，P</w:t>
      </w:r>
      <w:r>
        <w:rPr>
          <w:rFonts w:ascii="宋体" w:hAnsi="宋体" w:cs="宋体" w:eastAsia="宋体" w:hint="default"/>
          <w:spacing w:val="-52"/>
          <w:sz w:val="21"/>
          <w:szCs w:val="21"/>
        </w:rPr>
        <w:t> </w:t>
      </w:r>
      <w:r>
        <w:rPr>
          <w:rFonts w:ascii="宋体" w:hAnsi="宋体" w:cs="宋体" w:eastAsia="宋体" w:hint="default"/>
          <w:sz w:val="21"/>
          <w:szCs w:val="21"/>
        </w:rPr>
        <w:t>为归属于公司普通股股东的净利润或扣除非经常性损益后归属于公司普通股股</w:t>
      </w:r>
      <w:r>
        <w:rPr>
          <w:rFonts w:ascii="宋体" w:hAnsi="宋体" w:cs="宋体" w:eastAsia="宋体" w:hint="default"/>
          <w:sz w:val="21"/>
          <w:szCs w:val="21"/>
        </w:rPr>
        <w:t> </w:t>
      </w:r>
      <w:r>
        <w:rPr>
          <w:rFonts w:ascii="宋体" w:hAnsi="宋体" w:cs="宋体" w:eastAsia="宋体" w:hint="default"/>
          <w:spacing w:val="-3"/>
          <w:sz w:val="21"/>
          <w:szCs w:val="21"/>
        </w:rPr>
        <w:t>东的净利润；E</w:t>
      </w:r>
      <w:r>
        <w:rPr>
          <w:rFonts w:ascii="宋体" w:hAnsi="宋体" w:cs="宋体" w:eastAsia="宋体" w:hint="default"/>
          <w:spacing w:val="-45"/>
          <w:sz w:val="21"/>
          <w:szCs w:val="21"/>
        </w:rPr>
        <w:t> </w:t>
      </w:r>
      <w:r>
        <w:rPr>
          <w:rFonts w:ascii="宋体" w:hAnsi="宋体" w:cs="宋体" w:eastAsia="宋体" w:hint="default"/>
          <w:spacing w:val="-4"/>
          <w:sz w:val="21"/>
          <w:szCs w:val="21"/>
        </w:rPr>
        <w:t>为归属于公司普通股股东的年末净资产。“归属于公司普通股股东的净利润”</w:t>
      </w:r>
    </w:p>
    <w:p>
      <w:pPr>
        <w:spacing w:after="0" w:line="297" w:lineRule="auto"/>
        <w:jc w:val="left"/>
        <w:rPr>
          <w:rFonts w:ascii="宋体" w:hAnsi="宋体" w:cs="宋体" w:eastAsia="宋体" w:hint="default"/>
          <w:sz w:val="21"/>
          <w:szCs w:val="21"/>
        </w:rPr>
        <w:sectPr>
          <w:type w:val="continuous"/>
          <w:pgSz w:w="11910" w:h="16840"/>
          <w:pgMar w:top="1020" w:bottom="1520" w:left="1580" w:right="1580"/>
        </w:sectPr>
      </w:pPr>
    </w:p>
    <w:p>
      <w:pPr>
        <w:spacing w:line="240" w:lineRule="auto" w:before="10"/>
        <w:rPr>
          <w:rFonts w:ascii="宋体" w:hAnsi="宋体" w:cs="宋体" w:eastAsia="宋体" w:hint="default"/>
          <w:sz w:val="20"/>
          <w:szCs w:val="20"/>
        </w:rPr>
      </w:pPr>
    </w:p>
    <w:p>
      <w:pPr>
        <w:spacing w:line="297" w:lineRule="auto" w:before="35"/>
        <w:ind w:left="139" w:right="217" w:firstLine="0"/>
        <w:jc w:val="both"/>
        <w:rPr>
          <w:rFonts w:ascii="宋体" w:hAnsi="宋体" w:cs="宋体" w:eastAsia="宋体" w:hint="default"/>
          <w:sz w:val="21"/>
          <w:szCs w:val="21"/>
        </w:rPr>
      </w:pPr>
      <w:r>
        <w:rPr>
          <w:rFonts w:ascii="宋体" w:hAnsi="宋体" w:cs="宋体" w:eastAsia="宋体" w:hint="default"/>
          <w:spacing w:val="-3"/>
          <w:sz w:val="21"/>
          <w:szCs w:val="21"/>
        </w:rPr>
        <w:t>不包括少数股东损益金额；“扣除非经常性损益后归属于公司普通股股东的净利润”以扣除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少数股东损益后的合并净利润为基础，扣除母公司非经常性损益（考虑所得税影响）、各子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公司非经常性损益（考虑所得税影响）中母公司普通股股东所占份额；“归属于公司普通股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股东的年末净资产”不包括少数股东权益金额。</w:t>
      </w:r>
    </w:p>
    <w:p>
      <w:pPr>
        <w:spacing w:before="14"/>
        <w:ind w:left="562" w:right="2126" w:firstLine="0"/>
        <w:jc w:val="left"/>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spacing w:before="66"/>
        <w:ind w:left="560" w:right="101"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加权平均净资产收益率=P/（E0 ＋ NP÷2 ＋ Ei×Mi÷M0 －</w:t>
      </w:r>
      <w:r>
        <w:rPr>
          <w:rFonts w:ascii="宋体" w:hAnsi="宋体" w:cs="宋体" w:eastAsia="宋体" w:hint="default"/>
          <w:spacing w:val="96"/>
          <w:sz w:val="21"/>
          <w:szCs w:val="21"/>
        </w:rPr>
        <w:t> </w:t>
      </w:r>
      <w:r>
        <w:rPr>
          <w:rFonts w:ascii="宋体" w:hAnsi="宋体" w:cs="宋体" w:eastAsia="宋体" w:hint="default"/>
          <w:sz w:val="21"/>
          <w:szCs w:val="21"/>
        </w:rPr>
        <w:t>Ej×Mj÷M0±Ek×Mk÷</w:t>
      </w:r>
    </w:p>
    <w:p>
      <w:pPr>
        <w:spacing w:before="64"/>
        <w:ind w:left="140" w:right="0" w:firstLine="0"/>
        <w:jc w:val="both"/>
        <w:rPr>
          <w:rFonts w:ascii="宋体" w:hAnsi="宋体" w:cs="宋体" w:eastAsia="宋体" w:hint="default"/>
          <w:sz w:val="21"/>
          <w:szCs w:val="21"/>
        </w:rPr>
      </w:pPr>
      <w:r>
        <w:rPr>
          <w:rFonts w:ascii="宋体" w:hAnsi="宋体" w:cs="宋体" w:eastAsia="宋体" w:hint="default"/>
          <w:sz w:val="21"/>
          <w:szCs w:val="21"/>
        </w:rPr>
        <w:t>M0）</w:t>
      </w:r>
    </w:p>
    <w:p>
      <w:pPr>
        <w:spacing w:line="297" w:lineRule="auto" w:before="64"/>
        <w:ind w:left="140" w:right="101" w:firstLine="420"/>
        <w:jc w:val="left"/>
        <w:rPr>
          <w:rFonts w:ascii="宋体" w:hAnsi="宋体" w:cs="宋体" w:eastAsia="宋体" w:hint="default"/>
          <w:sz w:val="21"/>
          <w:szCs w:val="21"/>
        </w:rPr>
      </w:pPr>
      <w:r>
        <w:rPr>
          <w:rFonts w:ascii="宋体" w:hAnsi="宋体" w:cs="宋体" w:eastAsia="宋体" w:hint="default"/>
          <w:spacing w:val="-6"/>
          <w:sz w:val="21"/>
          <w:szCs w:val="21"/>
        </w:rPr>
        <w:t>其中：P</w:t>
      </w:r>
      <w:r>
        <w:rPr>
          <w:rFonts w:ascii="宋体" w:hAnsi="宋体" w:cs="宋体" w:eastAsia="宋体" w:hint="default"/>
          <w:spacing w:val="-59"/>
          <w:sz w:val="21"/>
          <w:szCs w:val="21"/>
        </w:rPr>
        <w:t> </w:t>
      </w:r>
      <w:r>
        <w:rPr>
          <w:rFonts w:ascii="宋体" w:hAnsi="宋体" w:cs="宋体" w:eastAsia="宋体" w:hint="default"/>
          <w:sz w:val="21"/>
          <w:szCs w:val="21"/>
        </w:rPr>
        <w:t>分别对应于归属于公司普通股股东的净利润、扣除非经常性损益后归属于公司</w:t>
      </w:r>
      <w:r>
        <w:rPr>
          <w:rFonts w:ascii="宋体" w:hAnsi="宋体" w:cs="宋体" w:eastAsia="宋体" w:hint="default"/>
          <w:sz w:val="21"/>
          <w:szCs w:val="21"/>
        </w:rPr>
        <w:t> 普通股股东的净利润；NP</w:t>
      </w:r>
      <w:r>
        <w:rPr>
          <w:rFonts w:ascii="宋体" w:hAnsi="宋体" w:cs="宋体" w:eastAsia="宋体" w:hint="default"/>
          <w:spacing w:val="-48"/>
          <w:sz w:val="21"/>
          <w:szCs w:val="21"/>
        </w:rPr>
        <w:t> </w:t>
      </w:r>
      <w:r>
        <w:rPr>
          <w:rFonts w:ascii="宋体" w:hAnsi="宋体" w:cs="宋体" w:eastAsia="宋体" w:hint="default"/>
          <w:sz w:val="21"/>
          <w:szCs w:val="21"/>
        </w:rPr>
        <w:t>为归属于公司普通股股东的净利润；E0</w:t>
      </w:r>
      <w:r>
        <w:rPr>
          <w:rFonts w:ascii="宋体" w:hAnsi="宋体" w:cs="宋体" w:eastAsia="宋体" w:hint="default"/>
          <w:spacing w:val="-48"/>
          <w:sz w:val="21"/>
          <w:szCs w:val="21"/>
        </w:rPr>
        <w:t> </w:t>
      </w:r>
      <w:r>
        <w:rPr>
          <w:rFonts w:ascii="宋体" w:hAnsi="宋体" w:cs="宋体" w:eastAsia="宋体" w:hint="default"/>
          <w:sz w:val="21"/>
          <w:szCs w:val="21"/>
        </w:rPr>
        <w:t>为归属于公司普通股股东</w:t>
      </w:r>
      <w:r>
        <w:rPr>
          <w:rFonts w:ascii="宋体" w:hAnsi="宋体" w:cs="宋体" w:eastAsia="宋体" w:hint="default"/>
          <w:sz w:val="21"/>
          <w:szCs w:val="21"/>
        </w:rPr>
        <w:t> </w:t>
      </w:r>
      <w:r>
        <w:rPr>
          <w:rFonts w:ascii="宋体" w:hAnsi="宋体" w:cs="宋体" w:eastAsia="宋体" w:hint="default"/>
          <w:spacing w:val="-4"/>
          <w:sz w:val="21"/>
          <w:szCs w:val="21"/>
        </w:rPr>
        <w:t>的年初净资产；Ei</w:t>
      </w:r>
      <w:r>
        <w:rPr>
          <w:rFonts w:ascii="宋体" w:hAnsi="宋体" w:cs="宋体" w:eastAsia="宋体" w:hint="default"/>
          <w:spacing w:val="-76"/>
          <w:sz w:val="21"/>
          <w:szCs w:val="21"/>
        </w:rPr>
        <w:t> </w:t>
      </w:r>
      <w:r>
        <w:rPr>
          <w:rFonts w:ascii="宋体" w:hAnsi="宋体" w:cs="宋体" w:eastAsia="宋体" w:hint="default"/>
          <w:sz w:val="21"/>
          <w:szCs w:val="21"/>
        </w:rPr>
        <w:t>为报告期发行新股或债转股等新增的、归属于公司普通股股东的净资产；</w:t>
      </w:r>
      <w:r>
        <w:rPr>
          <w:rFonts w:ascii="宋体" w:hAnsi="宋体" w:cs="宋体" w:eastAsia="宋体" w:hint="default"/>
          <w:spacing w:val="-1"/>
          <w:sz w:val="21"/>
          <w:szCs w:val="21"/>
        </w:rPr>
        <w:t> </w:t>
      </w:r>
      <w:r>
        <w:rPr>
          <w:rFonts w:ascii="宋体" w:hAnsi="宋体" w:cs="宋体" w:eastAsia="宋体" w:hint="default"/>
          <w:sz w:val="21"/>
          <w:szCs w:val="21"/>
        </w:rPr>
        <w:t>Ej</w:t>
      </w:r>
      <w:r>
        <w:rPr>
          <w:rFonts w:ascii="宋体" w:hAnsi="宋体" w:cs="宋体" w:eastAsia="宋体" w:hint="default"/>
          <w:spacing w:val="-48"/>
          <w:sz w:val="21"/>
          <w:szCs w:val="21"/>
        </w:rPr>
        <w:t> </w:t>
      </w:r>
      <w:r>
        <w:rPr>
          <w:rFonts w:ascii="宋体" w:hAnsi="宋体" w:cs="宋体" w:eastAsia="宋体" w:hint="default"/>
          <w:sz w:val="21"/>
          <w:szCs w:val="21"/>
        </w:rPr>
        <w:t>为报告期回购或现金分红等减少的、归属于公司普通股股东的净资产；M0</w:t>
      </w:r>
      <w:r>
        <w:rPr>
          <w:rFonts w:ascii="宋体" w:hAnsi="宋体" w:cs="宋体" w:eastAsia="宋体" w:hint="default"/>
          <w:spacing w:val="-48"/>
          <w:sz w:val="21"/>
          <w:szCs w:val="21"/>
        </w:rPr>
        <w:t> </w:t>
      </w:r>
      <w:r>
        <w:rPr>
          <w:rFonts w:ascii="宋体" w:hAnsi="宋体" w:cs="宋体" w:eastAsia="宋体" w:hint="default"/>
          <w:sz w:val="21"/>
          <w:szCs w:val="21"/>
        </w:rPr>
        <w:t>为报告期月份</w:t>
      </w:r>
      <w:r>
        <w:rPr>
          <w:rFonts w:ascii="宋体" w:hAnsi="宋体" w:cs="宋体" w:eastAsia="宋体" w:hint="default"/>
          <w:sz w:val="21"/>
          <w:szCs w:val="21"/>
        </w:rPr>
        <w:t> 数；Mi</w:t>
      </w:r>
      <w:r>
        <w:rPr>
          <w:rFonts w:ascii="宋体" w:hAnsi="宋体" w:cs="宋体" w:eastAsia="宋体" w:hint="default"/>
          <w:spacing w:val="-48"/>
          <w:sz w:val="21"/>
          <w:szCs w:val="21"/>
        </w:rPr>
        <w:t> </w:t>
      </w:r>
      <w:r>
        <w:rPr>
          <w:rFonts w:ascii="宋体" w:hAnsi="宋体" w:cs="宋体" w:eastAsia="宋体" w:hint="default"/>
          <w:sz w:val="21"/>
          <w:szCs w:val="21"/>
        </w:rPr>
        <w:t>为新增净资产下一月份起至报告期年末的月份数；Mj</w:t>
      </w:r>
      <w:r>
        <w:rPr>
          <w:rFonts w:ascii="宋体" w:hAnsi="宋体" w:cs="宋体" w:eastAsia="宋体" w:hint="default"/>
          <w:spacing w:val="-48"/>
          <w:sz w:val="21"/>
          <w:szCs w:val="21"/>
        </w:rPr>
        <w:t> </w:t>
      </w:r>
      <w:r>
        <w:rPr>
          <w:rFonts w:ascii="宋体" w:hAnsi="宋体" w:cs="宋体" w:eastAsia="宋体" w:hint="default"/>
          <w:sz w:val="21"/>
          <w:szCs w:val="21"/>
        </w:rPr>
        <w:t>为减少净资产下一月份起至报</w:t>
      </w:r>
      <w:r>
        <w:rPr>
          <w:rFonts w:ascii="宋体" w:hAnsi="宋体" w:cs="宋体" w:eastAsia="宋体" w:hint="default"/>
          <w:sz w:val="21"/>
          <w:szCs w:val="21"/>
        </w:rPr>
        <w:t> 告期年末的月份数；Ek</w:t>
      </w:r>
      <w:r>
        <w:rPr>
          <w:rFonts w:ascii="宋体" w:hAnsi="宋体" w:cs="宋体" w:eastAsia="宋体" w:hint="default"/>
          <w:spacing w:val="-48"/>
          <w:sz w:val="21"/>
          <w:szCs w:val="21"/>
        </w:rPr>
        <w:t> </w:t>
      </w:r>
      <w:r>
        <w:rPr>
          <w:rFonts w:ascii="宋体" w:hAnsi="宋体" w:cs="宋体" w:eastAsia="宋体" w:hint="default"/>
          <w:sz w:val="21"/>
          <w:szCs w:val="21"/>
        </w:rPr>
        <w:t>为因其他交易或事项引起的净资产增减变动；Mk</w:t>
      </w:r>
      <w:r>
        <w:rPr>
          <w:rFonts w:ascii="宋体" w:hAnsi="宋体" w:cs="宋体" w:eastAsia="宋体" w:hint="default"/>
          <w:spacing w:val="-47"/>
          <w:sz w:val="21"/>
          <w:szCs w:val="21"/>
        </w:rPr>
        <w:t> </w:t>
      </w:r>
      <w:r>
        <w:rPr>
          <w:rFonts w:ascii="宋体" w:hAnsi="宋体" w:cs="宋体" w:eastAsia="宋体" w:hint="default"/>
          <w:sz w:val="21"/>
          <w:szCs w:val="21"/>
        </w:rPr>
        <w:t>为发生其他净资产</w:t>
      </w:r>
      <w:r>
        <w:rPr>
          <w:rFonts w:ascii="宋体" w:hAnsi="宋体" w:cs="宋体" w:eastAsia="宋体" w:hint="default"/>
          <w:sz w:val="21"/>
          <w:szCs w:val="21"/>
        </w:rPr>
        <w:t> 增减变动下一月份起至报告期年末的月份数。</w:t>
      </w:r>
    </w:p>
    <w:p>
      <w:pPr>
        <w:spacing w:line="297" w:lineRule="auto" w:before="15"/>
        <w:ind w:left="560" w:right="6299" w:firstLine="2"/>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基本每股收益=P÷S</w:t>
      </w:r>
    </w:p>
    <w:p>
      <w:pPr>
        <w:spacing w:before="14"/>
        <w:ind w:left="560" w:right="2126" w:firstLine="0"/>
        <w:jc w:val="left"/>
        <w:rPr>
          <w:rFonts w:ascii="宋体" w:hAnsi="宋体" w:cs="宋体" w:eastAsia="宋体" w:hint="default"/>
          <w:sz w:val="21"/>
          <w:szCs w:val="21"/>
        </w:rPr>
      </w:pPr>
      <w:r>
        <w:rPr>
          <w:rFonts w:ascii="宋体" w:hAnsi="宋体" w:cs="宋体" w:eastAsia="宋体" w:hint="default"/>
          <w:sz w:val="21"/>
          <w:szCs w:val="21"/>
        </w:rPr>
        <w:t>S= S0 ＋ S1 ＋ Si×Mi÷M0 －</w:t>
      </w:r>
      <w:r>
        <w:rPr>
          <w:rFonts w:ascii="宋体" w:hAnsi="宋体" w:cs="宋体" w:eastAsia="宋体" w:hint="default"/>
          <w:spacing w:val="-15"/>
          <w:sz w:val="21"/>
          <w:szCs w:val="21"/>
        </w:rPr>
        <w:t> </w:t>
      </w:r>
      <w:r>
        <w:rPr>
          <w:rFonts w:ascii="宋体" w:hAnsi="宋体" w:cs="宋体" w:eastAsia="宋体" w:hint="default"/>
          <w:sz w:val="21"/>
          <w:szCs w:val="21"/>
        </w:rPr>
        <w:t>Sj×Mj÷M0－Sk</w:t>
      </w:r>
    </w:p>
    <w:p>
      <w:pPr>
        <w:spacing w:line="297" w:lineRule="auto" w:before="66"/>
        <w:ind w:left="140" w:right="217" w:firstLine="420"/>
        <w:jc w:val="both"/>
        <w:rPr>
          <w:rFonts w:ascii="宋体" w:hAnsi="宋体" w:cs="宋体" w:eastAsia="宋体" w:hint="default"/>
          <w:sz w:val="21"/>
          <w:szCs w:val="21"/>
        </w:rPr>
      </w:pPr>
      <w:r>
        <w:rPr>
          <w:rFonts w:ascii="宋体" w:hAnsi="宋体" w:cs="宋体" w:eastAsia="宋体" w:hint="default"/>
          <w:spacing w:val="-11"/>
          <w:sz w:val="21"/>
          <w:szCs w:val="21"/>
        </w:rPr>
        <w:t>其中：P</w:t>
      </w:r>
      <w:r>
        <w:rPr>
          <w:rFonts w:ascii="宋体" w:hAnsi="宋体" w:cs="宋体" w:eastAsia="宋体" w:hint="default"/>
          <w:spacing w:val="-51"/>
          <w:sz w:val="21"/>
          <w:szCs w:val="21"/>
        </w:rPr>
        <w:t> </w:t>
      </w:r>
      <w:r>
        <w:rPr>
          <w:rFonts w:ascii="宋体" w:hAnsi="宋体" w:cs="宋体" w:eastAsia="宋体" w:hint="default"/>
          <w:sz w:val="21"/>
          <w:szCs w:val="21"/>
        </w:rPr>
        <w:t>为归属于公司普通股股东的净利润或扣除非经常性损益后归属于普通股股东的</w:t>
      </w:r>
      <w:r>
        <w:rPr>
          <w:rFonts w:ascii="宋体" w:hAnsi="宋体" w:cs="宋体" w:eastAsia="宋体" w:hint="default"/>
          <w:sz w:val="21"/>
          <w:szCs w:val="21"/>
        </w:rPr>
        <w:t> 净利润；S</w:t>
      </w:r>
      <w:r>
        <w:rPr>
          <w:rFonts w:ascii="宋体" w:hAnsi="宋体" w:cs="宋体" w:eastAsia="宋体" w:hint="default"/>
          <w:spacing w:val="-32"/>
          <w:sz w:val="21"/>
          <w:szCs w:val="21"/>
        </w:rPr>
        <w:t> </w:t>
      </w:r>
      <w:r>
        <w:rPr>
          <w:rFonts w:ascii="宋体" w:hAnsi="宋体" w:cs="宋体" w:eastAsia="宋体" w:hint="default"/>
          <w:sz w:val="21"/>
          <w:szCs w:val="21"/>
        </w:rPr>
        <w:t>为发行在外的普通股加权平均数；S0</w:t>
      </w:r>
      <w:r>
        <w:rPr>
          <w:rFonts w:ascii="宋体" w:hAnsi="宋体" w:cs="宋体" w:eastAsia="宋体" w:hint="default"/>
          <w:spacing w:val="-32"/>
          <w:sz w:val="21"/>
          <w:szCs w:val="21"/>
        </w:rPr>
        <w:t> </w:t>
      </w:r>
      <w:r>
        <w:rPr>
          <w:rFonts w:ascii="宋体" w:hAnsi="宋体" w:cs="宋体" w:eastAsia="宋体" w:hint="default"/>
          <w:sz w:val="21"/>
          <w:szCs w:val="21"/>
        </w:rPr>
        <w:t>为年初股份总数；S1</w:t>
      </w:r>
      <w:r>
        <w:rPr>
          <w:rFonts w:ascii="宋体" w:hAnsi="宋体" w:cs="宋体" w:eastAsia="宋体" w:hint="default"/>
          <w:spacing w:val="-33"/>
          <w:sz w:val="21"/>
          <w:szCs w:val="21"/>
        </w:rPr>
        <w:t> </w:t>
      </w:r>
      <w:r>
        <w:rPr>
          <w:rFonts w:ascii="宋体" w:hAnsi="宋体" w:cs="宋体" w:eastAsia="宋体" w:hint="default"/>
          <w:sz w:val="21"/>
          <w:szCs w:val="21"/>
        </w:rPr>
        <w:t>为报告期因公积金转</w:t>
      </w:r>
      <w:r>
        <w:rPr>
          <w:rFonts w:ascii="宋体" w:hAnsi="宋体" w:cs="宋体" w:eastAsia="宋体" w:hint="default"/>
          <w:sz w:val="21"/>
          <w:szCs w:val="21"/>
        </w:rPr>
        <w:t> 增股本或股票股利分配等增加股份数；Si</w:t>
      </w:r>
      <w:r>
        <w:rPr>
          <w:rFonts w:ascii="宋体" w:hAnsi="宋体" w:cs="宋体" w:eastAsia="宋体" w:hint="default"/>
          <w:spacing w:val="6"/>
          <w:sz w:val="21"/>
          <w:szCs w:val="21"/>
        </w:rPr>
        <w:t> </w:t>
      </w:r>
      <w:r>
        <w:rPr>
          <w:rFonts w:ascii="宋体" w:hAnsi="宋体" w:cs="宋体" w:eastAsia="宋体" w:hint="default"/>
          <w:sz w:val="21"/>
          <w:szCs w:val="21"/>
        </w:rPr>
        <w:t>为报告期因发行新股或债转股等增加股份数；Sj</w:t>
      </w:r>
      <w:r>
        <w:rPr>
          <w:rFonts w:ascii="宋体" w:hAnsi="宋体" w:cs="宋体" w:eastAsia="宋体" w:hint="default"/>
          <w:sz w:val="21"/>
          <w:szCs w:val="21"/>
        </w:rPr>
        <w:t> 为报告期因回购等减少股份数；Sk</w:t>
      </w:r>
      <w:r>
        <w:rPr>
          <w:rFonts w:ascii="宋体" w:hAnsi="宋体" w:cs="宋体" w:eastAsia="宋体" w:hint="default"/>
          <w:spacing w:val="-68"/>
          <w:sz w:val="21"/>
          <w:szCs w:val="21"/>
        </w:rPr>
        <w:t> </w:t>
      </w:r>
      <w:r>
        <w:rPr>
          <w:rFonts w:ascii="宋体" w:hAnsi="宋体" w:cs="宋体" w:eastAsia="宋体" w:hint="default"/>
          <w:sz w:val="21"/>
          <w:szCs w:val="21"/>
        </w:rPr>
        <w:t>为报告期缩股数；M0</w:t>
      </w:r>
      <w:r>
        <w:rPr>
          <w:rFonts w:ascii="宋体" w:hAnsi="宋体" w:cs="宋体" w:eastAsia="宋体" w:hint="default"/>
          <w:spacing w:val="-68"/>
          <w:sz w:val="21"/>
          <w:szCs w:val="21"/>
        </w:rPr>
        <w:t> </w:t>
      </w:r>
      <w:r>
        <w:rPr>
          <w:rFonts w:ascii="宋体" w:hAnsi="宋体" w:cs="宋体" w:eastAsia="宋体" w:hint="default"/>
          <w:sz w:val="21"/>
          <w:szCs w:val="21"/>
        </w:rPr>
        <w:t>报告期月份数；Mi</w:t>
      </w:r>
      <w:r>
        <w:rPr>
          <w:rFonts w:ascii="宋体" w:hAnsi="宋体" w:cs="宋体" w:eastAsia="宋体" w:hint="default"/>
          <w:spacing w:val="-68"/>
          <w:sz w:val="21"/>
          <w:szCs w:val="21"/>
        </w:rPr>
        <w:t> </w:t>
      </w:r>
      <w:r>
        <w:rPr>
          <w:rFonts w:ascii="宋体" w:hAnsi="宋体" w:cs="宋体" w:eastAsia="宋体" w:hint="default"/>
          <w:sz w:val="21"/>
          <w:szCs w:val="21"/>
        </w:rPr>
        <w:t>为增加股份下一</w:t>
      </w:r>
      <w:r>
        <w:rPr>
          <w:rFonts w:ascii="宋体" w:hAnsi="宋体" w:cs="宋体" w:eastAsia="宋体" w:hint="default"/>
          <w:sz w:val="21"/>
          <w:szCs w:val="21"/>
        </w:rPr>
        <w:t> 月份起至报告期年末的月份数；Mj</w:t>
      </w:r>
      <w:r>
        <w:rPr>
          <w:rFonts w:ascii="宋体" w:hAnsi="宋体" w:cs="宋体" w:eastAsia="宋体" w:hint="default"/>
          <w:spacing w:val="-53"/>
          <w:sz w:val="21"/>
          <w:szCs w:val="21"/>
        </w:rPr>
        <w:t> </w:t>
      </w:r>
      <w:r>
        <w:rPr>
          <w:rFonts w:ascii="宋体" w:hAnsi="宋体" w:cs="宋体" w:eastAsia="宋体" w:hint="default"/>
          <w:sz w:val="21"/>
          <w:szCs w:val="21"/>
        </w:rPr>
        <w:t>为减少股份下一月份起至报告期年末的月份数。</w:t>
      </w:r>
    </w:p>
    <w:p>
      <w:pPr>
        <w:spacing w:line="297" w:lineRule="auto" w:before="14"/>
        <w:ind w:left="560" w:right="215" w:firstLine="2"/>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b/>
          <w:bCs/>
          <w:w w:val="99"/>
          <w:sz w:val="21"/>
          <w:szCs w:val="21"/>
        </w:rPr>
        <w:t> </w:t>
      </w:r>
      <w:r>
        <w:rPr>
          <w:rFonts w:ascii="宋体" w:hAnsi="宋体" w:cs="宋体" w:eastAsia="宋体" w:hint="default"/>
          <w:spacing w:val="-3"/>
          <w:sz w:val="21"/>
          <w:szCs w:val="21"/>
        </w:rPr>
        <w:t>稀释每股收益=[P+（已确认为费用的稀释性潜在普通股利息－转换费用）×（1-所得税</w:t>
      </w:r>
    </w:p>
    <w:p>
      <w:pPr>
        <w:spacing w:line="297" w:lineRule="auto" w:before="14"/>
        <w:ind w:left="140" w:right="217" w:firstLine="0"/>
        <w:jc w:val="both"/>
        <w:rPr>
          <w:rFonts w:ascii="宋体" w:hAnsi="宋体" w:cs="宋体" w:eastAsia="宋体" w:hint="default"/>
          <w:sz w:val="21"/>
          <w:szCs w:val="21"/>
        </w:rPr>
      </w:pPr>
      <w:r>
        <w:rPr>
          <w:rFonts w:ascii="宋体" w:hAnsi="宋体" w:cs="宋体" w:eastAsia="宋体" w:hint="default"/>
          <w:sz w:val="21"/>
          <w:szCs w:val="21"/>
        </w:rPr>
        <w:t>率）]/（S0 ＋ S1 ＋ Si×Mi÷M0 －</w:t>
      </w:r>
      <w:r>
        <w:rPr>
          <w:rFonts w:ascii="宋体" w:hAnsi="宋体" w:cs="宋体" w:eastAsia="宋体" w:hint="default"/>
          <w:spacing w:val="-5"/>
          <w:sz w:val="21"/>
          <w:szCs w:val="21"/>
        </w:rPr>
        <w:t> </w:t>
      </w:r>
      <w:r>
        <w:rPr>
          <w:rFonts w:ascii="宋体" w:hAnsi="宋体" w:cs="宋体" w:eastAsia="宋体" w:hint="default"/>
          <w:sz w:val="21"/>
          <w:szCs w:val="21"/>
        </w:rPr>
        <w:t>Sj×Mj÷M0—Sk+认股权证、股份期权、可转换债券</w:t>
      </w:r>
      <w:r>
        <w:rPr>
          <w:rFonts w:ascii="宋体" w:hAnsi="宋体" w:cs="宋体" w:eastAsia="宋体" w:hint="default"/>
          <w:sz w:val="21"/>
          <w:szCs w:val="21"/>
        </w:rPr>
        <w:t> 等增加的普通股加权平均数）</w:t>
      </w:r>
    </w:p>
    <w:p>
      <w:pPr>
        <w:spacing w:line="297" w:lineRule="auto" w:before="15"/>
        <w:ind w:left="140" w:right="217" w:firstLine="420"/>
        <w:jc w:val="both"/>
        <w:rPr>
          <w:rFonts w:ascii="宋体" w:hAnsi="宋体" w:cs="宋体" w:eastAsia="宋体" w:hint="default"/>
          <w:sz w:val="21"/>
          <w:szCs w:val="21"/>
        </w:rPr>
      </w:pPr>
      <w:r>
        <w:rPr>
          <w:rFonts w:ascii="宋体" w:hAnsi="宋体" w:cs="宋体" w:eastAsia="宋体" w:hint="default"/>
          <w:spacing w:val="-11"/>
          <w:sz w:val="21"/>
          <w:szCs w:val="21"/>
        </w:rPr>
        <w:t>其中，P</w:t>
      </w:r>
      <w:r>
        <w:rPr>
          <w:rFonts w:ascii="宋体" w:hAnsi="宋体" w:cs="宋体" w:eastAsia="宋体" w:hint="default"/>
          <w:spacing w:val="-51"/>
          <w:sz w:val="21"/>
          <w:szCs w:val="21"/>
        </w:rPr>
        <w:t> </w:t>
      </w:r>
      <w:r>
        <w:rPr>
          <w:rFonts w:ascii="宋体" w:hAnsi="宋体" w:cs="宋体" w:eastAsia="宋体" w:hint="default"/>
          <w:sz w:val="21"/>
          <w:szCs w:val="21"/>
        </w:rPr>
        <w:t>为归属于公司普通股股东的净利润或扣除非经常性损益后归属于公司普通股股</w:t>
      </w:r>
      <w:r>
        <w:rPr>
          <w:rFonts w:ascii="宋体" w:hAnsi="宋体" w:cs="宋体" w:eastAsia="宋体" w:hint="default"/>
          <w:sz w:val="21"/>
          <w:szCs w:val="21"/>
        </w:rPr>
        <w:t> </w:t>
      </w:r>
      <w:r>
        <w:rPr>
          <w:rFonts w:ascii="宋体" w:hAnsi="宋体" w:cs="宋体" w:eastAsia="宋体" w:hint="default"/>
          <w:spacing w:val="-3"/>
          <w:sz w:val="21"/>
          <w:szCs w:val="21"/>
        </w:rPr>
        <w:t>东的净利润。公司在计算稀释每股收益时，已考虑所有稀释性潜在普通股的影响，直至稀释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每股收益达到最小。</w:t>
      </w:r>
    </w:p>
    <w:p>
      <w:pPr>
        <w:spacing w:before="15"/>
        <w:ind w:left="560" w:right="101" w:firstLine="0"/>
        <w:jc w:val="left"/>
        <w:rPr>
          <w:rFonts w:ascii="宋体" w:hAnsi="宋体" w:cs="宋体" w:eastAsia="宋体" w:hint="default"/>
          <w:sz w:val="21"/>
          <w:szCs w:val="21"/>
        </w:rPr>
      </w:pPr>
      <w:r>
        <w:rPr>
          <w:rFonts w:ascii="宋体" w:hAnsi="宋体" w:cs="宋体" w:eastAsia="宋体" w:hint="default"/>
          <w:sz w:val="21"/>
          <w:szCs w:val="21"/>
        </w:rPr>
        <w:t>2、本年不具有稀释性但以后期间很可能具有稀释性的潜在普通股</w:t>
      </w:r>
    </w:p>
    <w:p>
      <w:pPr>
        <w:spacing w:line="297" w:lineRule="auto" w:before="64"/>
        <w:ind w:left="140" w:right="209" w:firstLine="420"/>
        <w:jc w:val="left"/>
        <w:rPr>
          <w:rFonts w:ascii="宋体" w:hAnsi="宋体" w:cs="宋体" w:eastAsia="宋体" w:hint="default"/>
          <w:sz w:val="21"/>
          <w:szCs w:val="21"/>
        </w:rPr>
      </w:pPr>
      <w:r>
        <w:rPr>
          <w:rFonts w:ascii="宋体" w:hAnsi="宋体" w:cs="宋体" w:eastAsia="宋体" w:hint="default"/>
          <w:sz w:val="21"/>
          <w:szCs w:val="21"/>
        </w:rPr>
        <w:t>3、资产负债表日至财务报告批准报出日之间，公司发行在外普通股或潜在普通股股数 发生的重大变化</w:t>
      </w:r>
    </w:p>
    <w:p>
      <w:pPr>
        <w:spacing w:line="240" w:lineRule="auto" w:before="2"/>
        <w:rPr>
          <w:rFonts w:ascii="宋体" w:hAnsi="宋体" w:cs="宋体" w:eastAsia="宋体" w:hint="default"/>
          <w:sz w:val="27"/>
          <w:szCs w:val="27"/>
        </w:rPr>
      </w:pPr>
    </w:p>
    <w:p>
      <w:pPr>
        <w:spacing w:before="0"/>
        <w:ind w:left="562" w:right="2126" w:firstLine="0"/>
        <w:jc w:val="left"/>
        <w:rPr>
          <w:rFonts w:ascii="宋体" w:hAnsi="宋体" w:cs="宋体" w:eastAsia="宋体" w:hint="default"/>
          <w:sz w:val="21"/>
          <w:szCs w:val="21"/>
        </w:rPr>
      </w:pPr>
      <w:r>
        <w:rPr>
          <w:rFonts w:ascii="宋体" w:hAnsi="宋体" w:cs="宋体" w:eastAsia="宋体" w:hint="default"/>
          <w:b/>
          <w:bCs/>
          <w:sz w:val="21"/>
          <w:szCs w:val="21"/>
        </w:rPr>
        <w:t>十四、财务报表的批准报出</w:t>
      </w:r>
      <w:r>
        <w:rPr>
          <w:rFonts w:ascii="宋体" w:hAnsi="宋体" w:cs="宋体" w:eastAsia="宋体" w:hint="default"/>
          <w:sz w:val="21"/>
          <w:szCs w:val="21"/>
        </w:rPr>
      </w:r>
    </w:p>
    <w:p>
      <w:pPr>
        <w:spacing w:before="64"/>
        <w:ind w:left="560" w:right="2126" w:firstLine="0"/>
        <w:jc w:val="left"/>
        <w:rPr>
          <w:rFonts w:ascii="宋体" w:hAnsi="宋体" w:cs="宋体" w:eastAsia="宋体" w:hint="default"/>
          <w:sz w:val="21"/>
          <w:szCs w:val="21"/>
        </w:rPr>
      </w:pPr>
      <w:r>
        <w:rPr>
          <w:rFonts w:ascii="宋体" w:hAnsi="宋体" w:cs="宋体" w:eastAsia="宋体" w:hint="default"/>
          <w:sz w:val="21"/>
          <w:szCs w:val="21"/>
        </w:rPr>
        <w:t>本财务报表业经公司全体董事于</w:t>
      </w:r>
      <w:r>
        <w:rPr>
          <w:rFonts w:ascii="宋体" w:hAnsi="宋体" w:cs="宋体" w:eastAsia="宋体" w:hint="default"/>
          <w:spacing w:val="-57"/>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日批准报出。</w:t>
      </w:r>
    </w:p>
    <w:p>
      <w:pPr>
        <w:spacing w:after="0"/>
        <w:jc w:val="left"/>
        <w:rPr>
          <w:rFonts w:ascii="宋体" w:hAnsi="宋体" w:cs="宋体" w:eastAsia="宋体" w:hint="default"/>
          <w:sz w:val="21"/>
          <w:szCs w:val="21"/>
        </w:rPr>
        <w:sectPr>
          <w:pgSz w:w="11910" w:h="16840"/>
          <w:pgMar w:header="918" w:footer="950" w:top="1160" w:bottom="1140" w:left="1660" w:right="1580"/>
        </w:sectPr>
      </w:pPr>
    </w:p>
    <w:p>
      <w:pPr>
        <w:spacing w:line="240" w:lineRule="auto" w:before="12"/>
        <w:rPr>
          <w:rFonts w:ascii="宋体" w:hAnsi="宋体" w:cs="宋体" w:eastAsia="宋体" w:hint="default"/>
          <w:sz w:val="24"/>
          <w:szCs w:val="24"/>
        </w:rPr>
      </w:pPr>
    </w:p>
    <w:p>
      <w:pPr>
        <w:pStyle w:val="Heading1"/>
        <w:spacing w:line="240" w:lineRule="auto" w:before="26"/>
        <w:ind w:left="2967" w:right="129"/>
        <w:jc w:val="left"/>
        <w:rPr>
          <w:b w:val="0"/>
          <w:bCs w:val="0"/>
        </w:rPr>
      </w:pPr>
      <w:r>
        <w:rPr/>
        <w:t>第十二节、被查文件目录</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5"/>
          <w:szCs w:val="25"/>
        </w:rPr>
      </w:pPr>
    </w:p>
    <w:p>
      <w:pPr>
        <w:pStyle w:val="BodyText"/>
        <w:spacing w:line="338" w:lineRule="auto" w:before="0"/>
        <w:ind w:left="140" w:right="123" w:firstLine="480"/>
        <w:jc w:val="left"/>
      </w:pPr>
      <w:r>
        <w:rPr>
          <w:spacing w:val="-3"/>
        </w:rPr>
        <w:t>一、载有公司法定代表人陈亚妹女士、主管会计工作负责人乔昕先生、会计</w:t>
      </w:r>
      <w:r>
        <w:rPr/>
        <w:t> 机构负责人吕培荣先生签名并盖章的会计报表；</w:t>
      </w:r>
    </w:p>
    <w:p>
      <w:pPr>
        <w:pStyle w:val="BodyText"/>
        <w:spacing w:line="336" w:lineRule="auto" w:before="66"/>
        <w:ind w:left="140" w:right="123" w:firstLine="480"/>
        <w:jc w:val="left"/>
      </w:pPr>
      <w:r>
        <w:rPr>
          <w:spacing w:val="-3"/>
        </w:rPr>
        <w:t>二、载有立信会计师事务所有限公司有限公司盖章、注册会计师签名并盖章</w:t>
      </w:r>
      <w:r>
        <w:rPr/>
        <w:t> 的审计报告原件；</w:t>
      </w:r>
    </w:p>
    <w:p>
      <w:pPr>
        <w:pStyle w:val="BodyText"/>
        <w:spacing w:line="338" w:lineRule="auto" w:before="68"/>
        <w:ind w:left="140" w:right="123" w:firstLine="480"/>
        <w:jc w:val="left"/>
      </w:pPr>
      <w:r>
        <w:rPr>
          <w:spacing w:val="-3"/>
        </w:rPr>
        <w:t>三、报告期内在中国证监会指定信息披露报刊《证券时报》上公开披露过的</w:t>
      </w:r>
      <w:r>
        <w:rPr/>
        <w:t> 所有公司文件的正本及公告的原稿；</w:t>
      </w:r>
    </w:p>
    <w:p>
      <w:pPr>
        <w:pStyle w:val="BodyText"/>
        <w:spacing w:line="240" w:lineRule="auto" w:before="67"/>
        <w:ind w:left="620" w:right="129"/>
        <w:jc w:val="left"/>
      </w:pPr>
      <w:r>
        <w:rPr/>
        <w:t>四、以上文件备置地：公司董事会秘书办公室。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BodyText"/>
        <w:spacing w:line="240" w:lineRule="auto" w:before="0"/>
        <w:ind w:left="0" w:right="137"/>
        <w:jc w:val="right"/>
      </w:pPr>
      <w:r>
        <w:rPr/>
        <w:t>深圳市实益达科技股份有限公司</w:t>
      </w:r>
    </w:p>
    <w:p>
      <w:pPr>
        <w:pStyle w:val="BodyText"/>
        <w:spacing w:line="367" w:lineRule="auto" w:before="166"/>
        <w:ind w:left="6046" w:right="137" w:firstLine="240"/>
        <w:jc w:val="right"/>
      </w:pPr>
      <w:r>
        <w:rPr/>
        <w:t>法定代表人：陈亚妹 二零零九年三月十八日</w:t>
      </w:r>
    </w:p>
    <w:sectPr>
      <w:pgSz w:w="11910" w:h="16840"/>
      <w:pgMar w:header="918" w:footer="950" w:top="1160" w:bottom="114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626776" type="#_x0000_t75" stroked="false">
          <v:imagedata r:id="rId1" o:title=""/>
        </v:shape>
      </w:pict>
    </w:r>
    <w:r>
      <w:rPr/>
      <w:pict>
        <v:shape style="position:absolute;margin-left:291.160004pt;margin-top:795.457642pt;width:13pt;height:11pt;mso-position-horizontal-relative:page;mso-position-vertical-relative:page;z-index:-62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3pt;height:11pt;mso-position-horizontal-relative:page;mso-position-vertical-relative:page;z-index:-626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3pt;height:11pt;mso-position-horizontal-relative:page;mso-position-vertical-relative:page;z-index:-626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pt;margin-top:783.517944pt;width:15.5pt;height:11pt;mso-position-horizontal-relative:page;mso-position-vertical-relative:page;z-index:-626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7.5pt;height:11pt;mso-position-horizontal-relative:page;mso-position-vertical-relative:page;z-index:-626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457642pt;width:11pt;height:11pt;mso-position-horizontal-relative:page;mso-position-vertical-relative:page;z-index:-626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626704" type="#_x0000_t75" stroked="false">
          <v:imagedata r:id="rId1" o:title=""/>
        </v:shape>
      </w:pict>
    </w:r>
    <w:r>
      <w:rPr/>
      <w:pict>
        <v:shape style="position:absolute;margin-left:291.160004pt;margin-top:795.457642pt;width:13pt;height:11pt;mso-position-horizontal-relative:page;mso-position-vertical-relative:page;z-index:-62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457642pt;width:11pt;height:11pt;mso-position-horizontal-relative:page;mso-position-vertical-relative:page;z-index:-626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626632" type="#_x0000_t75" stroked="false">
          <v:imagedata r:id="rId1" o:title=""/>
        </v:shape>
      </w:pict>
    </w:r>
    <w:r>
      <w:rPr/>
      <w:pict>
        <v:shape style="position:absolute;margin-left:291.160004pt;margin-top:795.457642pt;width:13pt;height:11pt;mso-position-horizontal-relative:page;mso-position-vertical-relative:page;z-index:-62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6.450531pt;margin-top:512.039978pt;width:480pt;height:31.499998pt;mso-position-horizontal-relative:page;mso-position-vertical-relative:page;z-index:-626512" type="#_x0000_t75" stroked="false">
          <v:imagedata r:id="rId1" o:title=""/>
        </v:shape>
      </w:pict>
    </w:r>
    <w:r>
      <w:rPr/>
      <w:pict>
        <v:shape style="position:absolute;margin-left:654.4505pt;margin-top:535.297913pt;width:13pt;height:11pt;mso-position-horizontal-relative:page;mso-position-vertical-relative:page;z-index:-626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3pt;height:11pt;mso-position-horizontal-relative:page;mso-position-vertical-relative:page;z-index:-626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3pt;height:11pt;mso-position-horizontal-relative:page;mso-position-vertical-relative:page;z-index:-626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pt;margin-top:783.517944pt;width:13pt;height:11pt;mso-position-horizontal-relative:page;mso-position-vertical-relative:page;z-index:-626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1.060017pt;width:484.95pt;height:.1pt;mso-position-horizontal-relative:page;mso-position-vertical-relative:page;z-index:-626848" coordorigin="1104,1021" coordsize="9699,2">
          <v:shape style="position:absolute;left:1104;top:1021;width:9699;height:2" coordorigin="1104,1021" coordsize="9699,0" path="m1104,1021l10802,1021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7.159698pt;margin-top:38.365326pt;width:202.4pt;height:11.5pt;mso-position-horizontal-relative:page;mso-position-vertical-relative:page;z-index:-626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55.700001pt;margin-top:38.857635pt;width:27.05pt;height:11pt;mso-position-horizontal-relative:page;mso-position-vertical-relative:page;z-index:-626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7.659996pt;width:731.55pt;height:.1pt;mso-position-horizontal-relative:page;mso-position-vertical-relative:page;z-index:-626584" coordorigin="1104,1153" coordsize="14631,2">
          <v:shape style="position:absolute;left:1104;top:1153;width:14631;height:2" coordorigin="1104,1153" coordsize="14631,0" path="m1104,1153l15734,1153e" filled="false" stroked="true" strokeweight=".71999pt" strokecolor="#000000">
            <v:path arrowok="t"/>
          </v:shape>
          <w10:wrap type="none"/>
        </v:group>
      </w:pict>
    </w:r>
    <w:r>
      <w:rPr/>
      <w:pict>
        <v:shape style="position:absolute;margin-left:177.970505pt;margin-top:45.397938pt;width:27.05pt;height:11pt;mso-position-horizontal-relative:page;mso-position-vertical-relative:page;z-index:-626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r>
      <w:rPr/>
      <w:pict>
        <v:shape style="position:absolute;margin-left:459.430206pt;margin-top:44.905624pt;width:204.5pt;height:11.5pt;mso-position-horizontal-relative:page;mso-position-vertical-relative:page;z-index:-626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7.660015pt;width:418.35pt;height:.1pt;mso-position-horizontal-relative:page;mso-position-vertical-relative:page;z-index:-626464" coordorigin="1770,1153" coordsize="8367,2">
          <v:shape style="position:absolute;left:1770;top:1153;width:8367;height:2" coordorigin="1770,1153" coordsize="8367,0" path="m1770,1153l10136,1153e" filled="false" stroked="true" strokeweight=".71997pt" strokecolor="#000000">
            <v:path arrowok="t"/>
          </v:shape>
          <w10:wrap type="none"/>
        </v:group>
      </w:pict>
    </w:r>
    <w:r>
      <w:rPr/>
      <w:pict>
        <v:shape style="position:absolute;margin-left:89pt;margin-top:45.397537pt;width:27.05pt;height:11pt;mso-position-horizontal-relative:page;mso-position-vertical-relative:page;z-index:-626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r>
      <w:rPr/>
      <w:pict>
        <v:shape style="position:absolute;margin-left:302.959686pt;margin-top:44.905224pt;width:203.4pt;height:11.5pt;mso-position-horizontal-relative:page;mso-position-vertical-relative:page;z-index:-626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154"/>
    </w:pPr>
    <w:rPr>
      <w:rFonts w:ascii="宋体" w:hAnsi="宋体" w:eastAsia="宋体"/>
      <w:b/>
      <w:bCs/>
      <w:sz w:val="24"/>
      <w:szCs w:val="24"/>
    </w:rPr>
  </w:style>
  <w:style w:styleId="BodyText" w:type="paragraph">
    <w:name w:val="Body Text"/>
    <w:basedOn w:val="Normal"/>
    <w:uiPriority w:val="1"/>
    <w:qFormat/>
    <w:pPr>
      <w:spacing w:before="20"/>
      <w:ind w:left="153"/>
    </w:pPr>
    <w:rPr>
      <w:rFonts w:ascii="宋体" w:hAnsi="宋体" w:eastAsia="宋体"/>
      <w:sz w:val="24"/>
      <w:szCs w:val="24"/>
    </w:rPr>
  </w:style>
  <w:style w:styleId="Heading1" w:type="paragraph">
    <w:name w:val="Heading 1"/>
    <w:basedOn w:val="Normal"/>
    <w:uiPriority w:val="1"/>
    <w:qFormat/>
    <w:pPr>
      <w:ind w:left="153"/>
      <w:outlineLvl w:val="1"/>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mb@sz-seastar.com" TargetMode="External"/><Relationship Id="rId8" Type="http://schemas.openxmlformats.org/officeDocument/2006/relationships/hyperlink" Target="mailto:markli@sz-seastar.com" TargetMode="External"/><Relationship Id="rId9" Type="http://schemas.openxmlformats.org/officeDocument/2006/relationships/hyperlink" Target="http://www.sz-seastar.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irm.p5w.net&#20030;&#34892;/"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2.xml"/><Relationship Id="rId21" Type="http://schemas.openxmlformats.org/officeDocument/2006/relationships/footer" Target="footer6.xml"/><Relationship Id="rId22" Type="http://schemas.openxmlformats.org/officeDocument/2006/relationships/header" Target="header3.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AR2008002137b定期报告全文_Word中文版_.doc</dc:title>
  <dcterms:created xsi:type="dcterms:W3CDTF">2020-04-01T23:39:46Z</dcterms:created>
  <dcterms:modified xsi:type="dcterms:W3CDTF">2020-04-01T23:39:46Z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2009-03-19T00:00:00Z</vt:filetime>
  </property>
  <property fmtid="{D5CDD505-2E9C-101B-9397-08002B2CF9AE}" pid="3" name="Creator">
    <vt:lpwstr>PScript5.dll Version 5.2.2</vt:lpwstr>
  </property>
  <property fmtid="{D5CDD505-2E9C-101B-9397-08002B2CF9AE}" pid="4" name="LastSaved">
    <vt:filetime>2020-04-01T00:00:00Z</vt:filetime>
  </property>
</Properties>
</file>