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spacing w:line="460" w:lineRule="exact" w:before="0"/>
        <w:ind w:left="0" w:right="0" w:firstLine="0"/>
        <w:jc w:val="center"/>
        <w:rPr>
          <w:rFonts w:ascii="宋体" w:hAnsi="宋体" w:cs="宋体" w:eastAsia="宋体" w:hint="default"/>
          <w:sz w:val="36"/>
          <w:szCs w:val="36"/>
        </w:rPr>
      </w:pPr>
      <w:r>
        <w:rPr/>
        <w:pict>
          <v:group style="position:absolute;margin-left:55.200001pt;margin-top:-90.291252pt;width:484.8pt;height:.1pt;mso-position-horizontal-relative:page;mso-position-vertical-relative:paragraph;z-index:0" coordorigin="1104,-1806" coordsize="9696,2">
            <v:shape style="position:absolute;left:1104;top:-1806;width:9696;height:2" coordorigin="1104,-1806" coordsize="9696,0" path="m1104,-1806l10800,-1806e" filled="false" stroked="true" strokeweight=".72pt" strokecolor="#000000">
              <v:path arrowok="t"/>
            </v:shape>
            <w10:wrap type="none"/>
          </v:group>
        </w:pict>
      </w:r>
      <w:r>
        <w:rPr>
          <w:rFonts w:ascii="宋体" w:hAnsi="宋体" w:cs="宋体" w:eastAsia="宋体" w:hint="default"/>
          <w:sz w:val="36"/>
          <w:szCs w:val="36"/>
        </w:rPr>
        <w:t>深圳市实益达科技股份有限公司</w:t>
      </w:r>
    </w:p>
    <w:p>
      <w:pPr>
        <w:spacing w:before="304"/>
        <w:ind w:left="0" w:right="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7"/>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7"/>
          <w:szCs w:val="27"/>
        </w:rPr>
      </w:pPr>
    </w:p>
    <w:p>
      <w:pPr>
        <w:spacing w:line="1689" w:lineRule="exact"/>
        <w:ind w:left="417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3"/>
          <w:sz w:val="20"/>
          <w:szCs w:val="20"/>
        </w:rPr>
        <w:drawing>
          <wp:inline distT="0" distB="0" distL="0" distR="0">
            <wp:extent cx="1011936" cy="10728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011936" cy="1072896"/>
                    </a:xfrm>
                    <a:prstGeom prst="rect">
                      <a:avLst/>
                    </a:prstGeom>
                  </pic:spPr>
                </pic:pic>
              </a:graphicData>
            </a:graphic>
          </wp:inline>
        </w:drawing>
      </w:r>
      <w:r>
        <w:rPr>
          <w:rFonts w:ascii="Microsoft JhengHei" w:hAnsi="Microsoft JhengHei" w:cs="Microsoft JhengHei" w:eastAsia="Microsoft JhengHei" w:hint="default"/>
          <w:position w:val="-33"/>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1"/>
          <w:szCs w:val="21"/>
        </w:rPr>
      </w:pPr>
    </w:p>
    <w:p>
      <w:pPr>
        <w:spacing w:line="458" w:lineRule="exact" w:before="0"/>
        <w:ind w:left="0" w:right="0"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2015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line="458" w:lineRule="exact"/>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1" w:footer="979" w:top="1060" w:bottom="1160" w:left="980" w:right="980"/>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240" w:lineRule="auto"/>
        <w:ind w:left="2802" w:right="0"/>
        <w:jc w:val="left"/>
      </w:pPr>
      <w:bookmarkStart w:name="_TOC_250011" w:id="1"/>
      <w:r>
        <w:rPr/>
        <w:t>第一节</w:t>
      </w:r>
      <w:r>
        <w:rPr>
          <w:spacing w:val="18"/>
        </w:rPr>
        <w:t> </w:t>
      </w:r>
      <w:bookmarkEnd w:id="1"/>
      <w:r>
        <w:rPr/>
        <w:t>重要提示、目录和释义</w:t>
      </w:r>
    </w:p>
    <w:p>
      <w:pPr>
        <w:spacing w:line="240" w:lineRule="auto" w:before="1"/>
        <w:rPr>
          <w:rFonts w:ascii="宋体" w:hAnsi="宋体" w:cs="宋体" w:eastAsia="宋体" w:hint="default"/>
          <w:sz w:val="41"/>
          <w:szCs w:val="41"/>
        </w:rPr>
      </w:pPr>
    </w:p>
    <w:p>
      <w:pPr>
        <w:spacing w:line="307" w:lineRule="auto" w:before="0"/>
        <w:ind w:left="152" w:right="15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本公司董事会、监事会及董事、监事、高级管理人员保证年度报告内容的</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真实、准确、完整，不存在虚假记载、误导性陈述或重大遗漏，并承担个别和</w:t>
      </w:r>
      <w:r>
        <w:rPr>
          <w:rFonts w:ascii="Microsoft JhengHei" w:hAnsi="Microsoft JhengHei" w:cs="Microsoft JhengHei" w:eastAsia="Microsoft JhengHei" w:hint="default"/>
          <w:b/>
          <w:bCs/>
          <w:spacing w:val="13"/>
          <w:w w:val="95"/>
          <w:sz w:val="28"/>
          <w:szCs w:val="28"/>
        </w:rPr>
        <w:t> </w:t>
      </w:r>
      <w:r>
        <w:rPr>
          <w:rFonts w:ascii="Microsoft JhengHei" w:hAnsi="Microsoft JhengHei" w:cs="Microsoft JhengHei" w:eastAsia="Microsoft JhengHei" w:hint="default"/>
          <w:b/>
          <w:bCs/>
          <w:spacing w:val="13"/>
          <w:w w:val="95"/>
          <w:sz w:val="28"/>
          <w:szCs w:val="28"/>
        </w:rPr>
      </w:r>
      <w:r>
        <w:rPr>
          <w:rFonts w:ascii="Microsoft JhengHei" w:hAnsi="Microsoft JhengHei" w:cs="Microsoft JhengHei" w:eastAsia="Microsoft JhengHei" w:hint="default"/>
          <w:b/>
          <w:bCs/>
          <w:sz w:val="28"/>
          <w:szCs w:val="28"/>
        </w:rPr>
        <w:t>连带的法律责任。</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除下列董事外，其他董事亲自出席了审议本次年报的董事会会议</w:t>
      </w:r>
      <w:r>
        <w:rPr>
          <w:rFonts w:ascii="Microsoft JhengHei" w:hAnsi="Microsoft JhengHei" w:cs="Microsoft JhengHei" w:eastAsia="Microsoft JhengHei" w:hint="default"/>
          <w:spacing w:val="2"/>
          <w:sz w:val="28"/>
          <w:szCs w:val="28"/>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933"/>
        <w:gridCol w:w="2213"/>
        <w:gridCol w:w="2213"/>
        <w:gridCol w:w="2208"/>
      </w:tblGrid>
      <w:tr>
        <w:trPr>
          <w:trHeight w:val="403" w:hRule="exact"/>
        </w:trPr>
        <w:tc>
          <w:tcPr>
            <w:tcW w:w="2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pacing w:val="-3"/>
                <w:sz w:val="18"/>
                <w:szCs w:val="18"/>
              </w:rPr>
              <w:t>未亲自出席董事姓名</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pacing w:val="-3"/>
                <w:sz w:val="18"/>
                <w:szCs w:val="18"/>
              </w:rPr>
              <w:t>未亲自出席董事职务</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pacing w:val="-3"/>
                <w:sz w:val="18"/>
                <w:szCs w:val="18"/>
              </w:rPr>
              <w:t>未亲自出席会议原因</w:t>
            </w:r>
          </w:p>
        </w:tc>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398"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唐忠诚</w:t>
            </w:r>
          </w:p>
        </w:tc>
      </w:tr>
      <w:tr>
        <w:trPr>
          <w:trHeight w:val="403"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洪兵</w:t>
            </w:r>
          </w:p>
        </w:tc>
      </w:tr>
    </w:tbl>
    <w:p>
      <w:pPr>
        <w:spacing w:line="240" w:lineRule="auto" w:before="0"/>
        <w:rPr>
          <w:rFonts w:ascii="Microsoft JhengHei" w:hAnsi="Microsoft JhengHei" w:cs="Microsoft JhengHei" w:eastAsia="Microsoft JhengHei" w:hint="default"/>
          <w:b/>
          <w:bCs/>
          <w:sz w:val="10"/>
          <w:szCs w:val="10"/>
        </w:rPr>
      </w:pPr>
    </w:p>
    <w:p>
      <w:pPr>
        <w:spacing w:line="410" w:lineRule="exact" w:before="0"/>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公司计划不派发现金红利，不送红股，不以公积金转增股本。</w:t>
      </w:r>
      <w:r>
        <w:rPr>
          <w:rFonts w:ascii="Microsoft JhengHei" w:hAnsi="Microsoft JhengHei" w:cs="Microsoft JhengHei" w:eastAsia="Microsoft JhengHei" w:hint="default"/>
          <w:spacing w:val="2"/>
          <w:sz w:val="28"/>
          <w:szCs w:val="28"/>
        </w:rPr>
      </w:r>
    </w:p>
    <w:p>
      <w:pPr>
        <w:spacing w:line="307" w:lineRule="auto" w:before="237"/>
        <w:ind w:left="153"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公司负责人陈亚妹、主管会计工作负责人刘爱民及会计机构负责人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袁素华声明：保证年度报告中财务报告的真实、准确、完整。</w:t>
      </w:r>
      <w:r>
        <w:rPr>
          <w:rFonts w:ascii="Microsoft JhengHei" w:hAnsi="Microsoft JhengHei" w:cs="Microsoft JhengHei" w:eastAsia="Microsoft JhengHei" w:hint="default"/>
          <w:spacing w:val="2"/>
          <w:sz w:val="28"/>
          <w:szCs w:val="28"/>
        </w:rPr>
      </w:r>
    </w:p>
    <w:p>
      <w:pPr>
        <w:spacing w:after="0" w:line="307" w:lineRule="auto"/>
        <w:jc w:val="left"/>
        <w:rPr>
          <w:rFonts w:ascii="Microsoft JhengHei" w:hAnsi="Microsoft JhengHei" w:cs="Microsoft JhengHei" w:eastAsia="Microsoft JhengHei" w:hint="default"/>
          <w:sz w:val="28"/>
          <w:szCs w:val="28"/>
        </w:rPr>
        <w:sectPr>
          <w:footerReference w:type="default" r:id="rId8"/>
          <w:pgSz w:w="11910" w:h="16840"/>
          <w:pgMar w:footer="979" w:header="741" w:top="1060" w:bottom="1160" w:left="980" w:right="980"/>
          <w:pgNumType w:start="2"/>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4"/>
          <w:szCs w:val="14"/>
        </w:rPr>
      </w:pPr>
    </w:p>
    <w:p>
      <w:pPr>
        <w:tabs>
          <w:tab w:pos="1084" w:val="left" w:leader="none"/>
        </w:tabs>
        <w:spacing w:line="501" w:lineRule="exact" w:before="0"/>
        <w:ind w:left="0" w:right="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18"/>
          <w:szCs w:val="1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hyperlink w:history="true" w:anchor="_TOC_250011">
            <w:r>
              <w:rPr/>
              <w:t>第一节</w:t>
            </w:r>
            <w:r>
              <w:rPr>
                <w:spacing w:val="2"/>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10">
            <w:r>
              <w:rPr/>
              <w:t>第二节</w:t>
            </w:r>
            <w:r>
              <w:rPr>
                <w:spacing w:val="2"/>
              </w:rPr>
              <w:t> </w:t>
            </w:r>
            <w:r>
              <w:rPr/>
              <w:t>公司简介</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9">
            <w:r>
              <w:rPr/>
              <w:t>第三节</w:t>
            </w:r>
            <w:r>
              <w:rPr>
                <w:spacing w:val="2"/>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2"/>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7">
            <w:r>
              <w:rPr/>
              <w:t>第五节</w:t>
            </w:r>
            <w:r>
              <w:rPr>
                <w:spacing w:val="2"/>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31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第六节</w:t>
            </w:r>
            <w:r>
              <w:rPr>
                <w:spacing w:val="2"/>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41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2"/>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48</w:t>
            </w:r>
          </w:hyperlink>
        </w:p>
        <w:p>
          <w:pPr>
            <w:pStyle w:val="TOC1"/>
            <w:tabs>
              <w:tab w:pos="9780" w:val="right" w:leader="dot"/>
            </w:tabs>
            <w:spacing w:line="240" w:lineRule="auto" w:before="279"/>
            <w:ind w:right="0"/>
            <w:jc w:val="left"/>
            <w:rPr>
              <w:rFonts w:ascii="Times New Roman" w:hAnsi="Times New Roman" w:cs="Times New Roman" w:eastAsia="Times New Roman" w:hint="default"/>
            </w:rPr>
          </w:pPr>
          <w:hyperlink w:history="true" w:anchor="_TOC_250004">
            <w:r>
              <w:rPr/>
              <w:t>第八节</w:t>
            </w:r>
            <w:r>
              <w:rPr>
                <w:spacing w:val="2"/>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49</w:t>
            </w:r>
          </w:hyperlink>
        </w:p>
        <w:p>
          <w:pPr>
            <w:pStyle w:val="TOC1"/>
            <w:tabs>
              <w:tab w:pos="9780" w:val="right" w:leader="dot"/>
            </w:tabs>
            <w:spacing w:line="240" w:lineRule="auto"/>
            <w:ind w:left="151" w:right="0"/>
            <w:jc w:val="left"/>
            <w:rPr>
              <w:rFonts w:ascii="Times New Roman" w:hAnsi="Times New Roman" w:cs="Times New Roman" w:eastAsia="Times New Roman" w:hint="default"/>
            </w:rPr>
          </w:pPr>
          <w:hyperlink w:history="true" w:anchor="_TOC_250003">
            <w:r>
              <w:rPr/>
              <w:t>第九节</w:t>
            </w:r>
            <w:r>
              <w:rPr>
                <w:spacing w:val="2"/>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56</w:t>
            </w:r>
          </w:hyperlink>
        </w:p>
        <w:p>
          <w:pPr>
            <w:pStyle w:val="TOC1"/>
            <w:tabs>
              <w:tab w:pos="9780" w:val="right" w:leader="dot"/>
            </w:tabs>
            <w:spacing w:line="240" w:lineRule="auto"/>
            <w:ind w:left="151" w:right="0"/>
            <w:jc w:val="left"/>
            <w:rPr>
              <w:rFonts w:ascii="Times New Roman" w:hAnsi="Times New Roman" w:cs="Times New Roman" w:eastAsia="Times New Roman" w:hint="default"/>
            </w:rPr>
          </w:pPr>
          <w:hyperlink w:history="true" w:anchor="_TOC_250002">
            <w:r>
              <w:rPr/>
              <w:t>第十节</w:t>
            </w:r>
            <w:r>
              <w:rPr>
                <w:spacing w:val="2"/>
              </w:rPr>
              <w:t> </w:t>
            </w:r>
            <w:r>
              <w:rPr/>
              <w:t>内部控制</w:t>
            </w:r>
            <w:r>
              <w:rPr>
                <w:rFonts w:ascii="Times New Roman" w:hAnsi="Times New Roman" w:cs="Times New Roman" w:eastAsia="Times New Roman" w:hint="default"/>
              </w:rPr>
              <w:tab/>
            </w:r>
            <w:r>
              <w:rPr>
                <w:rFonts w:ascii="Times New Roman" w:hAnsi="Times New Roman" w:cs="Times New Roman" w:eastAsia="Times New Roman" w:hint="default"/>
              </w:rPr>
              <w:t>61</w:t>
            </w:r>
          </w:hyperlink>
        </w:p>
        <w:p>
          <w:pPr>
            <w:pStyle w:val="TOC1"/>
            <w:tabs>
              <w:tab w:pos="9780" w:val="right" w:leader="dot"/>
            </w:tabs>
            <w:spacing w:line="240" w:lineRule="auto" w:before="279"/>
            <w:ind w:left="151" w:right="0"/>
            <w:jc w:val="left"/>
            <w:rPr>
              <w:rFonts w:ascii="Times New Roman" w:hAnsi="Times New Roman" w:cs="Times New Roman" w:eastAsia="Times New Roman" w:hint="default"/>
            </w:rPr>
          </w:pPr>
          <w:hyperlink w:history="true" w:anchor="_TOC_250001">
            <w:r>
              <w:rPr/>
              <w:t>第十一节</w:t>
            </w:r>
            <w:r>
              <w:rPr>
                <w:spacing w:val="2"/>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63</w:t>
            </w:r>
          </w:hyperlink>
        </w:p>
        <w:p>
          <w:pPr>
            <w:pStyle w:val="TOC1"/>
            <w:tabs>
              <w:tab w:pos="9780" w:val="right" w:leader="dot"/>
            </w:tabs>
            <w:spacing w:line="240" w:lineRule="auto"/>
            <w:ind w:left="151" w:right="0"/>
            <w:jc w:val="left"/>
            <w:rPr>
              <w:rFonts w:ascii="Times New Roman" w:hAnsi="Times New Roman" w:cs="Times New Roman" w:eastAsia="Times New Roman" w:hint="default"/>
            </w:rPr>
          </w:pPr>
          <w:hyperlink w:history="true" w:anchor="_TOC_250000">
            <w:r>
              <w:rPr/>
              <w:t>第十二节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158</w:t>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980"/>
        </w:sectPr>
      </w:pPr>
    </w:p>
    <w:p>
      <w:pPr>
        <w:tabs>
          <w:tab w:pos="643" w:val="left" w:leader="none"/>
        </w:tabs>
        <w:spacing w:before="852"/>
        <w:ind w:left="0" w:right="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w:t>
        <w:tab/>
        <w:t>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3"/>
        <w:gridCol w:w="624"/>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实益达</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实益达实业</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公司前身深圳市实益达实业有限公司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公司控股股东的控股股东陈亚妹、乔昕夫妇</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天道酬勤</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88"/>
              <w:jc w:val="left"/>
              <w:rPr>
                <w:rFonts w:ascii="宋体" w:hAnsi="宋体" w:cs="宋体" w:eastAsia="宋体" w:hint="default"/>
                <w:sz w:val="18"/>
                <w:szCs w:val="18"/>
              </w:rPr>
            </w:pPr>
            <w:r>
              <w:rPr>
                <w:rFonts w:ascii="宋体" w:hAnsi="宋体" w:cs="宋体" w:eastAsia="宋体" w:hint="default"/>
                <w:spacing w:val="-3"/>
                <w:sz w:val="18"/>
                <w:szCs w:val="18"/>
              </w:rPr>
              <w:t>深圳市恒顺昌投资发展有限公司，于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日变更为新余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天道酬勤投资发展有限公司</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冠德成</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深圳市冠德成科技发展有限公司，于</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日变更为拉萨市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冠德成科技发展有限公司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香港实益达</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实益达科技（香港）有限公司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电明科技</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深圳市电明科技有限责任公司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无锡实益达照明</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无锡实益达照明科技有限公司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百华科技</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百华科技发展有限公司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凯扬商贸</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凯扬商贸（香港）有限公司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中国证监会、证监会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登记结算公司</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中国证券登记结算有限责任公司深圳分公司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深圳市实益达科技股份有限公司章程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EMS</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31"/>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Electronic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w w:val="101"/>
                <w:sz w:val="18"/>
                <w:szCs w:val="18"/>
              </w:rPr>
              <w:t>Manufacturing</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6"/>
                <w:w w:val="101"/>
                <w:sz w:val="18"/>
                <w:szCs w:val="18"/>
              </w:rPr>
              <w:t>Services</w:t>
            </w:r>
            <w:r>
              <w:rPr>
                <w:rFonts w:ascii="宋体" w:hAnsi="宋体" w:cs="宋体" w:eastAsia="宋体" w:hint="default"/>
                <w:spacing w:val="-6"/>
                <w:w w:val="101"/>
                <w:sz w:val="18"/>
                <w:szCs w:val="18"/>
              </w:rPr>
              <w:t>（电子制造服务），</w:t>
            </w:r>
            <w:r>
              <w:rPr>
                <w:rFonts w:ascii="Times New Roman" w:hAnsi="Times New Roman" w:cs="Times New Roman" w:eastAsia="Times New Roman" w:hint="default"/>
                <w:spacing w:val="-6"/>
                <w:w w:val="101"/>
                <w:sz w:val="18"/>
                <w:szCs w:val="18"/>
              </w:rPr>
              <w:t>EMS</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2"/>
                <w:w w:val="101"/>
                <w:sz w:val="18"/>
                <w:szCs w:val="18"/>
              </w:rPr>
              <w:t>公司为品牌</w:t>
            </w:r>
            <w:r>
              <w:rPr>
                <w:rFonts w:ascii="宋体" w:hAnsi="宋体" w:cs="宋体" w:eastAsia="宋体" w:hint="default"/>
                <w:w w:val="101"/>
                <w:sz w:val="18"/>
                <w:szCs w:val="18"/>
              </w:rPr>
              <w:t> </w:t>
            </w:r>
            <w:r>
              <w:rPr>
                <w:rFonts w:ascii="宋体" w:hAnsi="宋体" w:cs="宋体" w:eastAsia="宋体" w:hint="default"/>
                <w:spacing w:val="-3"/>
                <w:sz w:val="18"/>
                <w:szCs w:val="18"/>
              </w:rPr>
              <w:t>生产商提供设计、工程、制造、测试以及物流管理等一系列服务</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LED</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7"/>
              <w:jc w:val="both"/>
              <w:rPr>
                <w:rFonts w:ascii="宋体" w:hAnsi="宋体" w:cs="宋体" w:eastAsia="宋体" w:hint="default"/>
                <w:sz w:val="18"/>
                <w:szCs w:val="18"/>
              </w:rPr>
            </w:pPr>
            <w:r>
              <w:rPr>
                <w:rFonts w:ascii="宋体" w:hAnsi="宋体" w:cs="宋体" w:eastAsia="宋体" w:hint="default"/>
                <w:spacing w:val="-4"/>
                <w:w w:val="101"/>
                <w:sz w:val="18"/>
                <w:szCs w:val="18"/>
              </w:rPr>
              <w:t>发光二极管（</w:t>
            </w:r>
            <w:r>
              <w:rPr>
                <w:rFonts w:ascii="Times New Roman" w:hAnsi="Times New Roman" w:cs="Times New Roman" w:eastAsia="Times New Roman" w:hint="default"/>
                <w:spacing w:val="-4"/>
                <w:w w:val="101"/>
                <w:sz w:val="18"/>
                <w:szCs w:val="18"/>
              </w:rPr>
              <w:t>Light</w:t>
            </w:r>
            <w:r>
              <w:rPr>
                <w:rFonts w:ascii="Times New Roman" w:hAnsi="Times New Roman" w:cs="Times New Roman" w:eastAsia="Times New Roman" w:hint="default"/>
                <w:spacing w:val="17"/>
                <w:w w:val="101"/>
                <w:sz w:val="18"/>
                <w:szCs w:val="18"/>
              </w:rPr>
              <w:t> </w:t>
            </w:r>
            <w:r>
              <w:rPr>
                <w:rFonts w:ascii="Times New Roman" w:hAnsi="Times New Roman" w:cs="Times New Roman" w:eastAsia="Times New Roman" w:hint="default"/>
                <w:spacing w:val="-2"/>
                <w:w w:val="101"/>
                <w:sz w:val="18"/>
                <w:szCs w:val="18"/>
              </w:rPr>
              <w:t>Emitting</w:t>
            </w:r>
            <w:r>
              <w:rPr>
                <w:rFonts w:ascii="Times New Roman" w:hAnsi="Times New Roman" w:cs="Times New Roman" w:eastAsia="Times New Roman" w:hint="default"/>
                <w:spacing w:val="6"/>
                <w:w w:val="101"/>
                <w:sz w:val="18"/>
                <w:szCs w:val="18"/>
              </w:rPr>
              <w:t> </w:t>
            </w:r>
            <w:r>
              <w:rPr>
                <w:rFonts w:ascii="Times New Roman" w:hAnsi="Times New Roman" w:cs="Times New Roman" w:eastAsia="Times New Roman" w:hint="default"/>
                <w:spacing w:val="-9"/>
                <w:w w:val="101"/>
                <w:sz w:val="18"/>
                <w:szCs w:val="18"/>
              </w:rPr>
              <w:t>Diode</w:t>
            </w:r>
            <w:r>
              <w:rPr>
                <w:rFonts w:ascii="宋体" w:hAnsi="宋体" w:cs="宋体" w:eastAsia="宋体" w:hint="default"/>
                <w:spacing w:val="-9"/>
                <w:w w:val="101"/>
                <w:sz w:val="18"/>
                <w:szCs w:val="18"/>
              </w:rPr>
              <w:t>），可以通过控制其发光方式，组成</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4"/>
                <w:sz w:val="18"/>
                <w:szCs w:val="18"/>
              </w:rPr>
              <w:t>用来显示文字、图形、图像、动画、行情、视频、录像信号等各种信</w:t>
            </w:r>
            <w:r>
              <w:rPr>
                <w:rFonts w:ascii="宋体" w:hAnsi="宋体" w:cs="宋体" w:eastAsia="宋体" w:hint="default"/>
                <w:spacing w:val="-3"/>
                <w:sz w:val="18"/>
                <w:szCs w:val="18"/>
              </w:rPr>
              <w:t> </w:t>
            </w:r>
            <w:r>
              <w:rPr>
                <w:rFonts w:ascii="宋体" w:hAnsi="宋体" w:cs="宋体" w:eastAsia="宋体" w:hint="default"/>
                <w:spacing w:val="-3"/>
                <w:sz w:val="18"/>
                <w:szCs w:val="18"/>
              </w:rPr>
              <w:t>息的显示屏幕。</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安信证券</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深圳前海实益达投资发展有限公司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九派凯阳</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新余九派凯阳投资合伙企业（有限合伙）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九派资本</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深圳市九派资本管理有限公司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5"/>
          <w:szCs w:val="25"/>
        </w:rPr>
      </w:pPr>
    </w:p>
    <w:p>
      <w:pPr>
        <w:spacing w:before="2"/>
        <w:ind w:left="3993" w:right="4091" w:firstLine="0"/>
        <w:jc w:val="center"/>
        <w:rPr>
          <w:rFonts w:ascii="宋体" w:hAnsi="宋体" w:cs="宋体" w:eastAsia="宋体" w:hint="default"/>
          <w:sz w:val="32"/>
          <w:szCs w:val="32"/>
        </w:rPr>
      </w:pPr>
      <w:r>
        <w:rPr>
          <w:rFonts w:ascii="宋体" w:hAnsi="宋体" w:cs="宋体" w:eastAsia="宋体" w:hint="default"/>
          <w:sz w:val="32"/>
          <w:szCs w:val="32"/>
        </w:rPr>
        <w:t>重大风险提示</w:t>
      </w:r>
    </w:p>
    <w:p>
      <w:pPr>
        <w:spacing w:line="307" w:lineRule="auto" w:before="249"/>
        <w:ind w:left="152"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本年度报告涉及的未来计划等前瞻性陈述，不构成公司对投资者的实质承</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诺，请投资者注意投资风险。</w:t>
      </w:r>
      <w:r>
        <w:rPr>
          <w:rFonts w:ascii="Microsoft JhengHei" w:hAnsi="Microsoft JhengHei" w:cs="Microsoft JhengHei" w:eastAsia="Microsoft JhengHei" w:hint="default"/>
          <w:spacing w:val="2"/>
          <w:sz w:val="28"/>
          <w:szCs w:val="28"/>
        </w:rPr>
      </w:r>
    </w:p>
    <w:p>
      <w:pPr>
        <w:spacing w:line="307" w:lineRule="auto" w:before="133"/>
        <w:ind w:left="152"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公司传统 </w:t>
      </w:r>
      <w:r>
        <w:rPr>
          <w:rFonts w:ascii="Times New Roman" w:hAnsi="Times New Roman" w:cs="Times New Roman" w:eastAsia="Times New Roman" w:hint="default"/>
          <w:b/>
          <w:bCs/>
          <w:sz w:val="28"/>
          <w:szCs w:val="28"/>
        </w:rPr>
        <w:t>EMS </w:t>
      </w:r>
      <w:r>
        <w:rPr>
          <w:rFonts w:ascii="Microsoft JhengHei" w:hAnsi="Microsoft JhengHei" w:cs="Microsoft JhengHei" w:eastAsia="Microsoft JhengHei" w:hint="default"/>
          <w:b/>
          <w:bCs/>
          <w:sz w:val="28"/>
          <w:szCs w:val="28"/>
        </w:rPr>
        <w:t>业务快速萎缩，</w:t>
      </w:r>
      <w:r>
        <w:rPr>
          <w:rFonts w:ascii="Times New Roman" w:hAnsi="Times New Roman" w:cs="Times New Roman" w:eastAsia="Times New Roman" w:hint="default"/>
          <w:b/>
          <w:bCs/>
          <w:sz w:val="28"/>
          <w:szCs w:val="28"/>
        </w:rPr>
        <w:t>LED</w:t>
      </w:r>
      <w:r>
        <w:rPr>
          <w:rFonts w:ascii="Times New Roman" w:hAnsi="Times New Roman" w:cs="Times New Roman" w:eastAsia="Times New Roman" w:hint="default"/>
          <w:b/>
          <w:bCs/>
          <w:spacing w:val="31"/>
          <w:sz w:val="28"/>
          <w:szCs w:val="28"/>
        </w:rPr>
        <w:t> </w:t>
      </w:r>
      <w:r>
        <w:rPr>
          <w:rFonts w:ascii="Microsoft JhengHei" w:hAnsi="Microsoft JhengHei" w:cs="Microsoft JhengHei" w:eastAsia="Microsoft JhengHei" w:hint="default"/>
          <w:b/>
          <w:bCs/>
          <w:sz w:val="28"/>
          <w:szCs w:val="28"/>
        </w:rPr>
        <w:t>照明业务的收入规模和盈利水平持续</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w w:val="95"/>
          <w:sz w:val="28"/>
          <w:szCs w:val="28"/>
        </w:rPr>
        <w:t>上升，公司业务结构发生重大变化，公司在产、供、销等方面均面临较大挑战，</w:t>
      </w:r>
      <w:r>
        <w:rPr>
          <w:rFonts w:ascii="Microsoft JhengHei" w:hAnsi="Microsoft JhengHei" w:cs="Microsoft JhengHei" w:eastAsia="Microsoft JhengHei" w:hint="default"/>
          <w:b/>
          <w:bCs/>
          <w:spacing w:val="48"/>
          <w:w w:val="95"/>
          <w:sz w:val="28"/>
          <w:szCs w:val="28"/>
        </w:rPr>
        <w:t> </w:t>
      </w:r>
      <w:r>
        <w:rPr>
          <w:rFonts w:ascii="Microsoft JhengHei" w:hAnsi="Microsoft JhengHei" w:cs="Microsoft JhengHei" w:eastAsia="Microsoft JhengHei" w:hint="default"/>
          <w:b/>
          <w:bCs/>
          <w:spacing w:val="48"/>
          <w:w w:val="95"/>
          <w:sz w:val="28"/>
          <w:szCs w:val="28"/>
        </w:rPr>
      </w:r>
      <w:r>
        <w:rPr>
          <w:rFonts w:ascii="Microsoft JhengHei" w:hAnsi="Microsoft JhengHei" w:cs="Microsoft JhengHei" w:eastAsia="Microsoft JhengHei" w:hint="default"/>
          <w:b/>
          <w:bCs/>
          <w:spacing w:val="2"/>
          <w:sz w:val="28"/>
          <w:szCs w:val="28"/>
        </w:rPr>
        <w:t>此外随着实力雄厚的传统照明企业进入 </w:t>
      </w:r>
      <w:r>
        <w:rPr>
          <w:rFonts w:ascii="Times New Roman" w:hAnsi="Times New Roman" w:cs="Times New Roman" w:eastAsia="Times New Roman" w:hint="default"/>
          <w:b/>
          <w:bCs/>
          <w:sz w:val="28"/>
          <w:szCs w:val="28"/>
        </w:rPr>
        <w:t>LED </w:t>
      </w:r>
      <w:r>
        <w:rPr>
          <w:rFonts w:ascii="Microsoft JhengHei" w:hAnsi="Microsoft JhengHei" w:cs="Microsoft JhengHei" w:eastAsia="Microsoft JhengHei" w:hint="default"/>
          <w:b/>
          <w:bCs/>
          <w:spacing w:val="3"/>
          <w:sz w:val="28"/>
          <w:szCs w:val="28"/>
        </w:rPr>
        <w:t>行业，以及 </w:t>
      </w:r>
      <w:r>
        <w:rPr>
          <w:rFonts w:ascii="Times New Roman" w:hAnsi="Times New Roman" w:cs="Times New Roman" w:eastAsia="Times New Roman" w:hint="default"/>
          <w:b/>
          <w:bCs/>
          <w:sz w:val="28"/>
          <w:szCs w:val="28"/>
        </w:rPr>
        <w:t>LED</w:t>
      </w:r>
      <w:r>
        <w:rPr>
          <w:rFonts w:ascii="Times New Roman" w:hAnsi="Times New Roman" w:cs="Times New Roman" w:eastAsia="Times New Roman" w:hint="default"/>
          <w:b/>
          <w:bCs/>
          <w:spacing w:val="15"/>
          <w:sz w:val="28"/>
          <w:szCs w:val="28"/>
        </w:rPr>
        <w:t> </w:t>
      </w:r>
      <w:r>
        <w:rPr>
          <w:rFonts w:ascii="Microsoft JhengHei" w:hAnsi="Microsoft JhengHei" w:cs="Microsoft JhengHei" w:eastAsia="Microsoft JhengHei" w:hint="default"/>
          <w:b/>
          <w:bCs/>
          <w:spacing w:val="2"/>
          <w:sz w:val="28"/>
          <w:szCs w:val="28"/>
        </w:rPr>
        <w:t>照明产品的价格</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持续走低，</w:t>
      </w:r>
      <w:r>
        <w:rPr>
          <w:rFonts w:ascii="Times New Roman" w:hAnsi="Times New Roman" w:cs="Times New Roman" w:eastAsia="Times New Roman" w:hint="default"/>
          <w:b/>
          <w:bCs/>
          <w:spacing w:val="2"/>
          <w:sz w:val="28"/>
          <w:szCs w:val="28"/>
        </w:rPr>
        <w:t>LED </w:t>
      </w:r>
      <w:r>
        <w:rPr>
          <w:rFonts w:ascii="Microsoft JhengHei" w:hAnsi="Microsoft JhengHei" w:cs="Microsoft JhengHei" w:eastAsia="Microsoft JhengHei" w:hint="default"/>
          <w:b/>
          <w:bCs/>
          <w:spacing w:val="2"/>
          <w:sz w:val="28"/>
          <w:szCs w:val="28"/>
        </w:rPr>
        <w:t>照明行业的竞争日益加剧。若未来 </w:t>
      </w:r>
      <w:r>
        <w:rPr>
          <w:rFonts w:ascii="Times New Roman" w:hAnsi="Times New Roman" w:cs="Times New Roman" w:eastAsia="Times New Roman" w:hint="default"/>
          <w:b/>
          <w:bCs/>
          <w:sz w:val="28"/>
          <w:szCs w:val="28"/>
        </w:rPr>
        <w:t>LED</w:t>
      </w:r>
      <w:r>
        <w:rPr>
          <w:rFonts w:ascii="Times New Roman" w:hAnsi="Times New Roman" w:cs="Times New Roman" w:eastAsia="Times New Roman" w:hint="default"/>
          <w:b/>
          <w:bCs/>
          <w:spacing w:val="26"/>
          <w:sz w:val="28"/>
          <w:szCs w:val="28"/>
        </w:rPr>
        <w:t> </w:t>
      </w:r>
      <w:r>
        <w:rPr>
          <w:rFonts w:ascii="Microsoft JhengHei" w:hAnsi="Microsoft JhengHei" w:cs="Microsoft JhengHei" w:eastAsia="Microsoft JhengHei" w:hint="default"/>
          <w:b/>
          <w:bCs/>
          <w:sz w:val="28"/>
          <w:szCs w:val="28"/>
        </w:rPr>
        <w:t>照明产品普及不及预</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sz w:val="28"/>
          <w:szCs w:val="28"/>
        </w:rPr>
        <w:t>期、技术升级替代加快，或者公司在品牌建设、市场开拓等方面落后于竞争对</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6"/>
          <w:sz w:val="28"/>
          <w:szCs w:val="28"/>
        </w:rPr>
        <w:t>手，则公司 </w:t>
      </w:r>
      <w:r>
        <w:rPr>
          <w:rFonts w:ascii="Times New Roman" w:hAnsi="Times New Roman" w:cs="Times New Roman" w:eastAsia="Times New Roman" w:hint="default"/>
          <w:b/>
          <w:bCs/>
          <w:sz w:val="28"/>
          <w:szCs w:val="28"/>
        </w:rPr>
        <w:t>LED</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z w:val="28"/>
          <w:szCs w:val="28"/>
        </w:rPr>
        <w:t>照明业务将面临较大的业绩增长压力，公司持续盈利能力和财</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务状况也将遭受重大风险。</w:t>
      </w:r>
      <w:r>
        <w:rPr>
          <w:rFonts w:ascii="Microsoft JhengHei" w:hAnsi="Microsoft JhengHei" w:cs="Microsoft JhengHei" w:eastAsia="Microsoft JhengHei" w:hint="default"/>
          <w:spacing w:val="2"/>
          <w:sz w:val="28"/>
          <w:szCs w:val="28"/>
        </w:rPr>
      </w:r>
    </w:p>
    <w:p>
      <w:pPr>
        <w:spacing w:line="307" w:lineRule="auto" w:before="128"/>
        <w:ind w:left="153"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公司正在开展投资并购，投资并购能否顺利实施、未来整合能否达到预期</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z w:val="28"/>
          <w:szCs w:val="28"/>
        </w:rPr>
        <w:t>存在不确定性，请投资者注意投资风险。</w:t>
      </w:r>
      <w:r>
        <w:rPr>
          <w:rFonts w:ascii="Microsoft JhengHei" w:hAnsi="Microsoft JhengHei" w:cs="Microsoft JhengHei" w:eastAsia="Microsoft JhengHei" w:hint="default"/>
          <w:sz w:val="28"/>
          <w:szCs w:val="28"/>
        </w:rPr>
      </w:r>
    </w:p>
    <w:p>
      <w:pPr>
        <w:spacing w:after="0" w:line="307" w:lineRule="auto"/>
        <w:jc w:val="left"/>
        <w:rPr>
          <w:rFonts w:ascii="Microsoft JhengHei" w:hAnsi="Microsoft JhengHei" w:cs="Microsoft JhengHei" w:eastAsia="Microsoft JhengHei" w:hint="default"/>
          <w:sz w:val="28"/>
          <w:szCs w:val="28"/>
        </w:rPr>
        <w:sectPr>
          <w:pgSz w:w="11910" w:h="16840"/>
          <w:pgMar w:header="741" w:footer="979" w:top="1060" w:bottom="1160" w:left="980" w:right="88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171.119995pt;margin-top:269.759979pt;width:363.85pt;height:19.7pt;mso-position-horizontal-relative:page;mso-position-vertical-relative:page;z-index:-821920" coordorigin="3422,5395" coordsize="7277,394">
            <v:group style="position:absolute;left:10675;top:5395;width:24;height:394" coordorigin="10675,5395" coordsize="24,394">
              <v:shape style="position:absolute;left:10675;top:5395;width:24;height:394" coordorigin="10675,5395" coordsize="24,394" path="m10675,5789l10699,5789,10699,5395,10675,5395,10675,5789xe" filled="true" fillcolor="#ffffff" stroked="false">
                <v:path arrowok="t"/>
                <v:fill type="solid"/>
              </v:shape>
            </v:group>
            <v:group style="position:absolute;left:3422;top:5395;width:24;height:394" coordorigin="3422,5395" coordsize="24,394">
              <v:shape style="position:absolute;left:3422;top:5395;width:24;height:394" coordorigin="3422,5395" coordsize="24,394" path="m3422,5789l3446,5789,3446,5395,3422,5395,3422,5789xe" filled="true" fillcolor="#ffffff" stroked="false">
                <v:path arrowok="t"/>
                <v:fill type="solid"/>
              </v:shape>
            </v:group>
            <v:group style="position:absolute;left:3446;top:5395;width:7229;height:394" coordorigin="3446,5395" coordsize="7229,394">
              <v:shape style="position:absolute;left:3446;top:5395;width:7229;height:394" coordorigin="3446,5395" coordsize="7229,394" path="m3446,5789l10675,5789,10675,5395,3446,5395,3446,5789xe" filled="true" fillcolor="#ffffff" stroked="false">
                <v:path arrowok="t"/>
                <v:fill type="solid"/>
              </v:shape>
            </v:group>
            <w10:wrap type="none"/>
          </v:group>
        </w:pict>
      </w:r>
    </w:p>
    <w:p>
      <w:pPr>
        <w:spacing w:line="240" w:lineRule="auto" w:before="4"/>
        <w:rPr>
          <w:rFonts w:ascii="Microsoft JhengHei" w:hAnsi="Microsoft JhengHei" w:cs="Microsoft JhengHei" w:eastAsia="Microsoft JhengHei" w:hint="default"/>
          <w:b/>
          <w:bCs/>
          <w:sz w:val="22"/>
          <w:szCs w:val="22"/>
        </w:rPr>
      </w:pPr>
    </w:p>
    <w:p>
      <w:pPr>
        <w:pStyle w:val="Heading1"/>
        <w:spacing w:line="240" w:lineRule="auto"/>
        <w:ind w:left="2432" w:right="2432"/>
        <w:jc w:val="center"/>
      </w:pPr>
      <w:bookmarkStart w:name="_TOC_250010" w:id="2"/>
      <w:r>
        <w:rPr/>
        <w:t>第二节</w:t>
      </w:r>
      <w:r>
        <w:rPr>
          <w:spacing w:val="9"/>
        </w:rPr>
        <w:t> </w:t>
      </w:r>
      <w:bookmarkEnd w:id="2"/>
      <w:r>
        <w:rPr/>
        <w:t>公司简介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0"/>
        <w:jc w:val="left"/>
        <w:rPr>
          <w:b w:val="0"/>
          <w:bCs w:val="0"/>
        </w:rPr>
      </w:pP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285"/>
        <w:gridCol w:w="2952"/>
        <w:gridCol w:w="2155"/>
        <w:gridCol w:w="2179"/>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实益达</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002137</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实益达</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SHENZHEN SEA </w:t>
            </w:r>
            <w:r>
              <w:rPr>
                <w:rFonts w:ascii="Times New Roman"/>
                <w:spacing w:val="-6"/>
                <w:sz w:val="18"/>
              </w:rPr>
              <w:t>STAR </w:t>
            </w:r>
            <w:r>
              <w:rPr>
                <w:rFonts w:ascii="Times New Roman"/>
                <w:spacing w:val="-3"/>
                <w:sz w:val="18"/>
              </w:rPr>
              <w:t>TECHNOLOGY </w:t>
            </w:r>
            <w:r>
              <w:rPr>
                <w:rFonts w:ascii="Times New Roman"/>
                <w:sz w:val="18"/>
              </w:rPr>
              <w:t>CO.,</w:t>
            </w:r>
            <w:r>
              <w:rPr>
                <w:rFonts w:ascii="Times New Roman"/>
                <w:spacing w:val="32"/>
                <w:sz w:val="18"/>
              </w:rPr>
              <w:t> </w:t>
            </w:r>
            <w:r>
              <w:rPr>
                <w:rFonts w:ascii="Times New Roman"/>
                <w:spacing w:val="-7"/>
                <w:sz w:val="18"/>
              </w:rPr>
              <w:t>LTD.</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Sea</w:t>
            </w:r>
            <w:r>
              <w:rPr>
                <w:rFonts w:ascii="Times New Roman"/>
                <w:spacing w:val="11"/>
                <w:sz w:val="18"/>
              </w:rPr>
              <w:t> </w:t>
            </w:r>
            <w:r>
              <w:rPr>
                <w:rFonts w:ascii="Times New Roman"/>
                <w:spacing w:val="-3"/>
                <w:sz w:val="18"/>
              </w:rPr>
              <w:t>Star</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陈亚妹</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深圳市龙岗区宝龙工业城宝龙六路实益达科技园</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518116</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深圳市龙岗区宝龙工业城宝龙六路实益达科技园</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518116</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9">
              <w:r>
                <w:rPr>
                  <w:rFonts w:ascii="Times New Roman"/>
                  <w:spacing w:val="-3"/>
                  <w:sz w:val="18"/>
                </w:rPr>
                <w:t>www.sz-seastar.com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0">
              <w:r>
                <w:rPr>
                  <w:rFonts w:ascii="Times New Roman"/>
                  <w:spacing w:val="-3"/>
                  <w:sz w:val="18"/>
                </w:rPr>
                <w:t>dmb@sz-seastar.com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陈世蓉</w:t>
            </w:r>
          </w:p>
        </w:tc>
      </w:tr>
      <w:tr>
        <w:trPr>
          <w:trHeight w:val="158" w:hRule="exact"/>
        </w:trPr>
        <w:tc>
          <w:tcPr>
            <w:tcW w:w="31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2"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达科技园</w:t>
            </w:r>
          </w:p>
        </w:tc>
        <w:tc>
          <w:tcPr>
            <w:tcW w:w="3192"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深圳市龙岗区宝龙工业城宝龙六路实益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达科技园</w:t>
            </w:r>
          </w:p>
        </w:tc>
      </w:tr>
      <w:tr>
        <w:trPr>
          <w:trHeight w:val="394" w:hRule="exact"/>
        </w:trPr>
        <w:tc>
          <w:tcPr>
            <w:tcW w:w="31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2"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158" w:hRule="exact"/>
        </w:trPr>
        <w:tc>
          <w:tcPr>
            <w:tcW w:w="3187"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2" w:type="dxa"/>
            <w:vMerge/>
            <w:tcBorders>
              <w:left w:val="single" w:sz="4" w:space="0" w:color="000000"/>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0755-29672878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dmb@sz-seastar.com</w:t>
              </w:r>
            </w:hyperlink>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SRChen@sz-seastar.com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994"/>
        <w:gridCol w:w="5573"/>
      </w:tblGrid>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公司选定的信息披露报纸的名称</w:t>
            </w:r>
          </w:p>
        </w:tc>
        <w:tc>
          <w:tcPr>
            <w:tcW w:w="5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4"/>
                <w:sz w:val="18"/>
                <w:szCs w:val="18"/>
              </w:rPr>
              <w:t> </w:t>
            </w:r>
            <w:hyperlink r:id="rId12">
              <w:r>
                <w:rPr>
                  <w:rFonts w:ascii="Times New Roman" w:hAnsi="Times New Roman" w:cs="Times New Roman" w:eastAsia="Times New Roman" w:hint="default"/>
                  <w:spacing w:val="-3"/>
                  <w:sz w:val="18"/>
                  <w:szCs w:val="18"/>
                </w:rPr>
                <w:t>www.cninfo.com.cn</w:t>
              </w:r>
            </w:hyperlink>
          </w:p>
        </w:tc>
      </w:tr>
      <w:tr>
        <w:trPr>
          <w:trHeight w:val="398"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5"/>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企业法人营业执照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pacing w:val="-2"/>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3"/>
              <w:jc w:val="left"/>
              <w:rPr>
                <w:rFonts w:ascii="宋体" w:hAnsi="宋体" w:cs="宋体" w:eastAsia="宋体" w:hint="default"/>
                <w:sz w:val="18"/>
                <w:szCs w:val="18"/>
              </w:rPr>
            </w:pPr>
            <w:r>
              <w:rPr>
                <w:rFonts w:ascii="宋体" w:hAnsi="宋体" w:cs="宋体" w:eastAsia="宋体" w:hint="default"/>
                <w:spacing w:val="-2"/>
                <w:sz w:val="18"/>
                <w:szCs w:val="18"/>
              </w:rPr>
              <w:t>深圳市市场监督管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27955887-9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440301708414057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70841405-7</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深圳市市场监督管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440301102743049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440301708414057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70841405-7</w:t>
            </w:r>
          </w:p>
        </w:tc>
      </w:tr>
      <w:tr>
        <w:trPr>
          <w:trHeight w:val="163" w:hRule="exact"/>
        </w:trPr>
        <w:tc>
          <w:tcPr>
            <w:tcW w:w="319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4" w:type="dxa"/>
            <w:gridSpan w:val="4"/>
            <w:vMerge w:val="restart"/>
            <w:tcBorders>
              <w:top w:val="single" w:sz="4" w:space="0" w:color="000000"/>
              <w:left w:val="single" w:sz="4" w:space="0" w:color="000000"/>
              <w:right w:val="single" w:sz="4" w:space="0" w:color="000000"/>
            </w:tcBorders>
          </w:tcPr>
          <w:p>
            <w:pPr>
              <w:pStyle w:val="TableParagraph"/>
              <w:spacing w:line="300" w:lineRule="auto" w:before="54"/>
              <w:ind w:left="23" w:right="17"/>
              <w:jc w:val="both"/>
              <w:rPr>
                <w:rFonts w:ascii="宋体" w:hAnsi="宋体" w:cs="宋体" w:eastAsia="宋体" w:hint="default"/>
                <w:sz w:val="18"/>
                <w:szCs w:val="18"/>
              </w:rPr>
            </w:pPr>
            <w:r>
              <w:rPr>
                <w:rFonts w:ascii="宋体" w:hAnsi="宋体" w:cs="宋体" w:eastAsia="宋体" w:hint="default"/>
                <w:sz w:val="18"/>
                <w:szCs w:val="18"/>
              </w:rPr>
              <w:t>公司传统</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15"/>
                <w:sz w:val="18"/>
                <w:szCs w:val="18"/>
              </w:rPr>
              <w:t> </w:t>
            </w:r>
            <w:r>
              <w:rPr>
                <w:rFonts w:ascii="宋体" w:hAnsi="宋体" w:cs="宋体" w:eastAsia="宋体" w:hint="default"/>
                <w:spacing w:val="-8"/>
                <w:sz w:val="18"/>
                <w:szCs w:val="18"/>
              </w:rPr>
              <w:t>主营业务快速萎缩、毛利率水平偏低，公司调整业务重点，把</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pacing w:val="-3"/>
                <w:sz w:val="18"/>
                <w:szCs w:val="18"/>
              </w:rPr>
              <w:t>业务收缩调整为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小而美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（规模小、运营健康、盈利）的业务单元，同时将公司</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收入及利润增长的重点转向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照明等自主品牌业务。</w:t>
            </w:r>
          </w:p>
        </w:tc>
      </w:tr>
      <w:tr>
        <w:trPr>
          <w:trHeight w:val="701" w:hRule="exact"/>
        </w:trPr>
        <w:tc>
          <w:tcPr>
            <w:tcW w:w="319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4" w:type="dxa"/>
            <w:gridSpan w:val="4"/>
            <w:vMerge/>
            <w:tcBorders>
              <w:left w:val="single" w:sz="4" w:space="0" w:color="000000"/>
              <w:right w:val="single" w:sz="4" w:space="0" w:color="000000"/>
            </w:tcBorders>
          </w:tcPr>
          <w:p>
            <w:pPr/>
          </w:p>
        </w:tc>
      </w:tr>
      <w:tr>
        <w:trPr>
          <w:trHeight w:val="163" w:hRule="exact"/>
        </w:trPr>
        <w:tc>
          <w:tcPr>
            <w:tcW w:w="319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4" w:type="dxa"/>
            <w:gridSpan w:val="4"/>
            <w:vMerge/>
            <w:tcBorders>
              <w:left w:val="single" w:sz="4" w:space="0" w:color="000000"/>
              <w:bottom w:val="single" w:sz="4" w:space="0" w:color="000000"/>
              <w:right w:val="single" w:sz="4" w:space="0" w:color="000000"/>
            </w:tcBorders>
          </w:tcPr>
          <w:p>
            <w:pPr/>
          </w:p>
        </w:tc>
      </w:tr>
      <w:tr>
        <w:trPr>
          <w:trHeight w:val="403"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五、其他有关资料</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公司聘请的会计师事务所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4"/>
        <w:gridCol w:w="6902"/>
      </w:tblGrid>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1101</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杨熹、徐书华</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641"/>
              <w:jc w:val="right"/>
              <w:rPr>
                <w:rFonts w:ascii="宋体" w:hAnsi="宋体" w:cs="宋体" w:eastAsia="宋体" w:hint="default"/>
                <w:sz w:val="18"/>
                <w:szCs w:val="18"/>
              </w:rPr>
            </w:pPr>
            <w:r>
              <w:rPr>
                <w:rFonts w:ascii="宋体" w:hAnsi="宋体" w:cs="宋体" w:eastAsia="宋体" w:hint="default"/>
                <w:spacing w:val="-2"/>
                <w:sz w:val="18"/>
                <w:szCs w:val="18"/>
              </w:rPr>
              <w:t>持续督导期间</w:t>
            </w:r>
          </w:p>
        </w:tc>
      </w:tr>
      <w:tr>
        <w:trPr>
          <w:trHeight w:val="364" w:hRule="exact"/>
        </w:trPr>
        <w:tc>
          <w:tcPr>
            <w:tcW w:w="2390" w:type="dxa"/>
            <w:tcBorders>
              <w:top w:val="single" w:sz="4" w:space="0" w:color="000000"/>
              <w:left w:val="single" w:sz="4" w:space="0" w:color="000000"/>
              <w:bottom w:val="nil" w:sz="6" w:space="0" w:color="auto"/>
              <w:right w:val="single" w:sz="4" w:space="0" w:color="000000"/>
            </w:tcBorders>
          </w:tcPr>
          <w:p>
            <w:pPr/>
          </w:p>
        </w:tc>
        <w:tc>
          <w:tcPr>
            <w:tcW w:w="2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0"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安联大厦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A02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范文明、于冬梅</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40"/>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49" w:hRule="exact"/>
        </w:trPr>
        <w:tc>
          <w:tcPr>
            <w:tcW w:w="2390" w:type="dxa"/>
            <w:tcBorders>
              <w:top w:val="nil" w:sz="6" w:space="0" w:color="auto"/>
              <w:left w:val="single" w:sz="4" w:space="0" w:color="000000"/>
              <w:bottom w:val="single" w:sz="4" w:space="0" w:color="000000"/>
              <w:right w:val="single" w:sz="4" w:space="0" w:color="000000"/>
            </w:tcBorders>
          </w:tcPr>
          <w:p>
            <w:pPr/>
          </w:p>
        </w:tc>
        <w:tc>
          <w:tcPr>
            <w:tcW w:w="2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2390"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644" w:right="0"/>
        <w:jc w:val="left"/>
      </w:pPr>
      <w:bookmarkStart w:name="_TOC_250009" w:id="3"/>
      <w:r>
        <w:rPr/>
        <w:t>第三节</w:t>
      </w:r>
      <w:r>
        <w:rPr>
          <w:spacing w:val="20"/>
        </w:rPr>
        <w:t> </w:t>
      </w:r>
      <w:bookmarkEnd w:id="3"/>
      <w:r>
        <w:rPr/>
        <w:t>会计数据和财务指标摘要</w:t>
      </w:r>
    </w:p>
    <w:p>
      <w:pPr>
        <w:spacing w:line="240" w:lineRule="auto" w:before="5"/>
        <w:rPr>
          <w:rFonts w:ascii="宋体" w:hAnsi="宋体" w:cs="宋体" w:eastAsia="宋体" w:hint="default"/>
          <w:sz w:val="32"/>
          <w:szCs w:val="32"/>
        </w:rPr>
      </w:pPr>
    </w:p>
    <w:p>
      <w:pPr>
        <w:pStyle w:val="Heading2"/>
        <w:spacing w:line="240" w:lineRule="auto"/>
        <w:ind w:right="0"/>
        <w:jc w:val="left"/>
        <w:rPr>
          <w:b w:val="0"/>
          <w:bCs w:val="0"/>
        </w:rPr>
      </w:pPr>
      <w:r>
        <w:rPr/>
        <w:t>一、主要会计数据和财务指标</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公司是否因会计政策变更及会计差错更正等追溯调整或重述以前年度会计数据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8"/>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546,517,722.00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618,647,930.91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1,135,537,622.20</w:t>
            </w:r>
          </w:p>
        </w:tc>
      </w:tr>
      <w:tr>
        <w:trPr>
          <w:trHeight w:val="7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14,276,265.68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-187,575,136.11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32,171,346.99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8"/>
              <w:ind w:left="23"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6,655,923.16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-188,824,085.90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103.52%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15,395,757.43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4,297,043.03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-25,136,121.28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127,631,373.52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0.0311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0.0763</w:t>
            </w:r>
          </w:p>
        </w:tc>
      </w:tr>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0.0763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-38.59%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5.94%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50"/>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663,914,567.51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869,753,577.15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883,988,089.11</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500,172,490.41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483,682,579.34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536,992,480.16</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二、非经常性损益项目及金额</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45"/>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8"/>
        <w:gridCol w:w="1517"/>
        <w:gridCol w:w="1522"/>
        <w:gridCol w:w="1522"/>
        <w:gridCol w:w="1709"/>
      </w:tblGrid>
      <w:tr>
        <w:trPr>
          <w:trHeight w:val="401"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-488,288.18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-75,083.94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1517"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319" w:hRule="exact"/>
        </w:trPr>
        <w:tc>
          <w:tcPr>
            <w:tcW w:w="32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5"/>
              <w:jc w:val="right"/>
              <w:rPr>
                <w:rFonts w:ascii="Times New Roman" w:hAnsi="Times New Roman" w:cs="Times New Roman" w:eastAsia="Times New Roman" w:hint="default"/>
                <w:sz w:val="18"/>
                <w:szCs w:val="18"/>
              </w:rPr>
            </w:pPr>
            <w:r>
              <w:rPr>
                <w:rFonts w:ascii="Times New Roman"/>
                <w:spacing w:val="-1"/>
                <w:sz w:val="18"/>
              </w:rPr>
              <w:t>270,364.00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1,692,806.67</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19,133,620.00</w:t>
            </w:r>
          </w:p>
        </w:tc>
        <w:tc>
          <w:tcPr>
            <w:tcW w:w="1709" w:type="dxa"/>
            <w:vMerge/>
            <w:tcBorders>
              <w:left w:val="single" w:sz="4" w:space="0" w:color="000000"/>
              <w:right w:val="single" w:sz="4" w:space="0" w:color="000000"/>
            </w:tcBorders>
          </w:tcPr>
          <w:p>
            <w:pPr/>
          </w:p>
        </w:tc>
      </w:tr>
      <w:tr>
        <w:trPr>
          <w:trHeight w:val="351" w:hRule="exact"/>
        </w:trPr>
        <w:tc>
          <w:tcPr>
            <w:tcW w:w="32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受的政府补助除外）</w:t>
            </w:r>
          </w:p>
        </w:tc>
        <w:tc>
          <w:tcPr>
            <w:tcW w:w="1517" w:type="dxa"/>
            <w:tcBorders>
              <w:top w:val="nil" w:sz="6" w:space="0" w:color="auto"/>
              <w:left w:val="single" w:sz="10" w:space="0" w:color="D3D3D3"/>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398"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4,317,499.57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无需支付的款项及冲</w:t>
            </w:r>
          </w:p>
        </w:tc>
      </w:tr>
      <w:tr>
        <w:trPr>
          <w:trHeight w:val="389" w:hRule="exact"/>
        </w:trPr>
        <w:tc>
          <w:tcPr>
            <w:tcW w:w="32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6,647,312.19</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-4,696,666.58</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-61,452.94</w:t>
            </w:r>
          </w:p>
        </w:tc>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回上期计提的预计负</w:t>
            </w:r>
          </w:p>
        </w:tc>
      </w:tr>
      <w:tr>
        <w:trPr>
          <w:trHeight w:val="317" w:hRule="exact"/>
        </w:trPr>
        <w:tc>
          <w:tcPr>
            <w:tcW w:w="3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09"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r>
    </w:tbl>
    <w:p>
      <w:pPr>
        <w:spacing w:after="0" w:line="212" w:lineRule="exact"/>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8"/>
        <w:gridCol w:w="1517"/>
        <w:gridCol w:w="1522"/>
        <w:gridCol w:w="1522"/>
        <w:gridCol w:w="1709"/>
      </w:tblGrid>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1,153,495.43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r>
      <w:tr>
        <w:trPr>
          <w:trHeight w:val="398"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2,296,577.50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-37,459.08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-10,394.07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7,620,342.52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1,248,949.79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16,775,589.56</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3"/>
        <w:ind w:left="153" w:right="145" w:hanging="1"/>
        <w:jc w:val="both"/>
      </w:pPr>
      <w:r>
        <w:rPr>
          <w:spacing w:val="-5"/>
        </w:rPr>
        <w:t>对公司根据《公开发行证券的公司信息披露解释性公告第 </w:t>
      </w:r>
      <w:r>
        <w:rPr>
          <w:rFonts w:ascii="Times New Roman" w:hAnsi="Times New Roman" w:cs="Times New Roman" w:eastAsia="Times New Roman" w:hint="default"/>
        </w:rPr>
        <w:t>1 </w:t>
      </w:r>
      <w:r>
        <w:rPr>
          <w:spacing w:val="-10"/>
        </w:rPr>
        <w:t>号</w:t>
      </w:r>
      <w:r>
        <w:rPr>
          <w:rFonts w:ascii="Times New Roman" w:hAnsi="Times New Roman" w:cs="Times New Roman" w:eastAsia="Times New Roman" w:hint="default"/>
          <w:spacing w:val="-10"/>
        </w:rPr>
        <w:t>——</w:t>
      </w:r>
      <w:r>
        <w:rPr>
          <w:spacing w:val="-10"/>
        </w:rPr>
        <w:t>非经常性损益》定义界定的非经常性损益项目，以及把《公</w:t>
      </w:r>
      <w:r>
        <w:rPr>
          <w:spacing w:val="-24"/>
        </w:rPr>
        <w:t> </w:t>
      </w:r>
      <w:r>
        <w:rPr>
          <w:spacing w:val="-24"/>
        </w:rPr>
      </w: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7"/>
        </w:rPr>
        <w:t> </w:t>
      </w:r>
      <w:r>
        <w:rPr>
          <w:spacing w:val="-37"/>
        </w:rPr>
      </w:r>
      <w:r>
        <w:rPr/>
        <w:t>说明原因</w:t>
      </w:r>
    </w:p>
    <w:p>
      <w:pPr>
        <w:pStyle w:val="BodyText"/>
        <w:spacing w:line="240" w:lineRule="auto" w:before="74"/>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left="153" w:right="145" w:hanging="1"/>
        <w:jc w:val="both"/>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5"/>
        </w:rPr>
        <w:t> </w:t>
      </w:r>
      <w:r>
        <w:rPr>
          <w:spacing w:val="-25"/>
        </w:rPr>
      </w:r>
      <w:r>
        <w:rPr>
          <w:spacing w:val="-3"/>
        </w:rPr>
        <w:t>项目界定为经常性损益的项目的情形。</w:t>
      </w:r>
    </w:p>
    <w:p>
      <w:pPr>
        <w:spacing w:after="0" w:line="304"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648"/>
        <w:jc w:val="center"/>
      </w:pPr>
      <w:bookmarkStart w:name="_TOC_250008" w:id="4"/>
      <w:r>
        <w:rPr/>
        <w:t>第四节</w:t>
      </w:r>
      <w:r>
        <w:rPr>
          <w:spacing w:val="10"/>
        </w:rPr>
        <w:t> </w:t>
      </w:r>
      <w:bookmarkEnd w:id="4"/>
      <w:r>
        <w:rPr/>
        <w:t>董事会报告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26"/>
        <w:ind w:right="0"/>
        <w:jc w:val="left"/>
      </w:pPr>
      <w:r>
        <w:rPr/>
        <w:t>一、概述</w:t>
      </w:r>
    </w:p>
    <w:p>
      <w:pPr>
        <w:spacing w:line="240" w:lineRule="auto" w:before="3"/>
        <w:rPr>
          <w:rFonts w:ascii="宋体" w:hAnsi="宋体" w:cs="宋体" w:eastAsia="宋体" w:hint="default"/>
          <w:sz w:val="27"/>
          <w:szCs w:val="27"/>
        </w:rPr>
      </w:pPr>
    </w:p>
    <w:p>
      <w:pPr>
        <w:pStyle w:val="BodyText"/>
        <w:spacing w:line="302" w:lineRule="auto"/>
        <w:ind w:right="0" w:firstLine="365"/>
        <w:jc w:val="left"/>
      </w:pPr>
      <w:r>
        <w:rPr>
          <w:rFonts w:ascii="Times New Roman" w:hAnsi="Times New Roman" w:cs="Times New Roman" w:eastAsia="Times New Roman" w:hint="default"/>
          <w:spacing w:val="-4"/>
        </w:rPr>
        <w:t>2014</w:t>
      </w:r>
      <w:r>
        <w:rPr>
          <w:spacing w:val="-4"/>
        </w:rPr>
        <w:t>年度在全国经济运行下行，主要经济指标整体下滑，尤其投资、出口增速降幅较大的宏观经济背景下，公司整体经</w:t>
      </w:r>
      <w:r>
        <w:rPr>
          <w:w w:val="101"/>
        </w:rPr>
        <w:t> </w:t>
      </w:r>
      <w:r>
        <w:rPr>
          <w:spacing w:val="-4"/>
        </w:rPr>
        <w:t>营及战略转型面临较大的外部环境压力。为实现公司持续、快速、健康发展的长远目标，并全力扭转公司的业绩亏损面，报</w:t>
      </w:r>
      <w:r>
        <w:rPr>
          <w:spacing w:val="40"/>
        </w:rPr>
        <w:t> </w:t>
      </w:r>
      <w:r>
        <w:rPr>
          <w:spacing w:val="40"/>
        </w:rPr>
      </w:r>
      <w:r>
        <w:rPr>
          <w:spacing w:val="-4"/>
        </w:rPr>
        <w:t>告期内公司在董事会领导下，根据发展战略规划及年初设定的经营计划，继续推进</w:t>
      </w:r>
      <w:r>
        <w:rPr>
          <w:rFonts w:ascii="Times New Roman" w:hAnsi="Times New Roman" w:cs="Times New Roman" w:eastAsia="Times New Roman" w:hint="default"/>
          <w:spacing w:val="-4"/>
        </w:rPr>
        <w:t>EMS</w:t>
      </w:r>
      <w:r>
        <w:rPr>
          <w:spacing w:val="-4"/>
        </w:rPr>
        <w:t>业务向</w:t>
      </w:r>
      <w:r>
        <w:rPr>
          <w:rFonts w:ascii="Times New Roman" w:hAnsi="Times New Roman" w:cs="Times New Roman" w:eastAsia="Times New Roman" w:hint="default"/>
          <w:spacing w:val="-4"/>
        </w:rPr>
        <w:t>“</w:t>
      </w:r>
      <w:r>
        <w:rPr>
          <w:spacing w:val="-4"/>
        </w:rPr>
        <w:t>小而美</w:t>
      </w:r>
      <w:r>
        <w:rPr>
          <w:rFonts w:ascii="Times New Roman" w:hAnsi="Times New Roman" w:cs="Times New Roman" w:eastAsia="Times New Roman" w:hint="default"/>
          <w:spacing w:val="-4"/>
        </w:rPr>
        <w:t>”</w:t>
      </w:r>
      <w:r>
        <w:rPr>
          <w:spacing w:val="-4"/>
        </w:rPr>
        <w:t>稳步收缩、</w:t>
      </w:r>
      <w:r>
        <w:rPr>
          <w:rFonts w:ascii="Times New Roman" w:hAnsi="Times New Roman" w:cs="Times New Roman" w:eastAsia="Times New Roman" w:hint="default"/>
          <w:spacing w:val="-4"/>
        </w:rPr>
        <w:t>LED</w:t>
      </w:r>
      <w:r>
        <w:rPr>
          <w:spacing w:val="-4"/>
        </w:rPr>
        <w:t>照明</w:t>
      </w:r>
      <w:r>
        <w:rPr>
          <w:spacing w:val="71"/>
        </w:rPr>
        <w:t> </w:t>
      </w:r>
      <w:r>
        <w:rPr>
          <w:spacing w:val="-3"/>
        </w:rPr>
        <w:t>业务快速渗透发展的步伐，全年战略调整的效果基本符合预期。报告期内，公司虽</w:t>
      </w:r>
      <w:r>
        <w:rPr>
          <w:rFonts w:ascii="Times New Roman" w:hAnsi="Times New Roman" w:cs="Times New Roman" w:eastAsia="Times New Roman" w:hint="default"/>
          <w:spacing w:val="-3"/>
        </w:rPr>
        <w:t>EMS</w:t>
      </w:r>
      <w:r>
        <w:rPr>
          <w:spacing w:val="-3"/>
        </w:rPr>
        <w:t>业务收入下降明显，并导致公司全</w:t>
      </w:r>
      <w:r>
        <w:rPr>
          <w:spacing w:val="67"/>
        </w:rPr>
        <w:t> </w:t>
      </w:r>
      <w:r>
        <w:rPr>
          <w:spacing w:val="67"/>
        </w:rPr>
      </w:r>
      <w:r>
        <w:rPr>
          <w:spacing w:val="-3"/>
        </w:rPr>
        <w:t>年营业收入有所下滑，但</w:t>
      </w:r>
      <w:r>
        <w:rPr>
          <w:rFonts w:ascii="Times New Roman" w:hAnsi="Times New Roman" w:cs="Times New Roman" w:eastAsia="Times New Roman" w:hint="default"/>
          <w:spacing w:val="-3"/>
        </w:rPr>
        <w:t>EMS</w:t>
      </w:r>
      <w:r>
        <w:rPr>
          <w:spacing w:val="-3"/>
        </w:rPr>
        <w:t>业务的盈利状况改善明显，单个项目的附加值明显提高，客户结构和产品结构也得以极大优</w:t>
      </w:r>
      <w:r>
        <w:rPr>
          <w:spacing w:val="67"/>
        </w:rPr>
        <w:t> </w:t>
      </w:r>
      <w:r>
        <w:rPr>
          <w:spacing w:val="67"/>
        </w:rPr>
      </w:r>
      <w:r>
        <w:rPr>
          <w:spacing w:val="-4"/>
        </w:rPr>
        <w:t>化，</w:t>
      </w:r>
      <w:r>
        <w:rPr>
          <w:rFonts w:ascii="Times New Roman" w:hAnsi="Times New Roman" w:cs="Times New Roman" w:eastAsia="Times New Roman" w:hint="default"/>
          <w:spacing w:val="-4"/>
        </w:rPr>
        <w:t>EMS</w:t>
      </w:r>
      <w:r>
        <w:rPr>
          <w:spacing w:val="-4"/>
        </w:rPr>
        <w:t>业务基本实现健康运营的调整目标；报告期内，公司抓住</w:t>
      </w:r>
      <w:r>
        <w:rPr>
          <w:rFonts w:ascii="Times New Roman" w:hAnsi="Times New Roman" w:cs="Times New Roman" w:eastAsia="Times New Roman" w:hint="default"/>
          <w:spacing w:val="-4"/>
        </w:rPr>
        <w:t>LED</w:t>
      </w:r>
      <w:r>
        <w:rPr>
          <w:spacing w:val="-4"/>
        </w:rPr>
        <w:t>照明产业高速增长的行业发展机遇，立足</w:t>
      </w:r>
      <w:r>
        <w:rPr>
          <w:rFonts w:ascii="Times New Roman" w:hAnsi="Times New Roman" w:cs="Times New Roman" w:eastAsia="Times New Roman" w:hint="default"/>
          <w:spacing w:val="-4"/>
        </w:rPr>
        <w:t>LED</w:t>
      </w:r>
      <w:r>
        <w:rPr>
          <w:spacing w:val="-4"/>
        </w:rPr>
        <w:t>室内商</w:t>
      </w:r>
      <w:r>
        <w:rPr>
          <w:spacing w:val="56"/>
        </w:rPr>
        <w:t> </w:t>
      </w:r>
      <w:r>
        <w:rPr>
          <w:spacing w:val="56"/>
        </w:rPr>
      </w:r>
      <w:r>
        <w:rPr>
          <w:spacing w:val="-4"/>
        </w:rPr>
        <w:t>业照明细分市场领域，以市场需求定位产品研发，不断开拓通用照明、重点照明等业务的市场份额，</w:t>
      </w:r>
      <w:r>
        <w:rPr>
          <w:rFonts w:ascii="Times New Roman" w:hAnsi="Times New Roman" w:cs="Times New Roman" w:eastAsia="Times New Roman" w:hint="default"/>
          <w:spacing w:val="-4"/>
        </w:rPr>
        <w:t>2014</w:t>
      </w:r>
      <w:r>
        <w:rPr>
          <w:spacing w:val="-4"/>
        </w:rPr>
        <w:t>年度公司</w:t>
      </w:r>
      <w:r>
        <w:rPr>
          <w:rFonts w:ascii="Times New Roman" w:hAnsi="Times New Roman" w:cs="Times New Roman" w:eastAsia="Times New Roman" w:hint="default"/>
          <w:spacing w:val="-4"/>
        </w:rPr>
        <w:t>LED</w:t>
      </w:r>
      <w:r>
        <w:rPr>
          <w:spacing w:val="-4"/>
        </w:rPr>
        <w:t>照明</w:t>
      </w:r>
      <w:r>
        <w:rPr>
          <w:spacing w:val="62"/>
        </w:rPr>
        <w:t> </w:t>
      </w:r>
      <w:r>
        <w:rPr>
          <w:spacing w:val="-3"/>
        </w:rPr>
        <w:t>业务收入实现较大幅度上升，毛利状况较去年同期得到稳步改善。</w:t>
      </w:r>
    </w:p>
    <w:p>
      <w:pPr>
        <w:pStyle w:val="BodyText"/>
        <w:spacing w:line="314" w:lineRule="auto" w:before="29"/>
        <w:ind w:right="206" w:firstLine="364"/>
        <w:jc w:val="both"/>
      </w:pPr>
      <w:r>
        <w:rPr>
          <w:spacing w:val="-5"/>
        </w:rPr>
        <w:t>为增强公司的核心竞争力，拓宽业务领域和盈利来源，公司在靠自身式发展的同时，也迫切需要借助资本的力量，通过</w:t>
      </w:r>
      <w:r>
        <w:rPr>
          <w:w w:val="101"/>
        </w:rPr>
        <w:t> </w:t>
      </w:r>
      <w:r>
        <w:rPr>
          <w:spacing w:val="-4"/>
        </w:rPr>
        <w:t>产业投资及并购等资本运营方式，将具有战略协同性、前瞻性的行业和商业模式领先的企业纳入公司，为公司后续发展积蓄</w:t>
      </w:r>
      <w:r>
        <w:rPr>
          <w:spacing w:val="43"/>
        </w:rPr>
        <w:t> </w:t>
      </w:r>
      <w:r>
        <w:rPr>
          <w:spacing w:val="43"/>
        </w:rPr>
      </w:r>
      <w:r>
        <w:rPr>
          <w:spacing w:val="-4"/>
        </w:rPr>
        <w:t>力量。报告期内，公司正式将产业并购纳入发展策略，并积极进行由点到面的系统性布局，公司首先在深圳前海成立了专业</w:t>
      </w:r>
      <w:r>
        <w:rPr>
          <w:spacing w:val="40"/>
        </w:rPr>
        <w:t> </w:t>
      </w:r>
      <w:r>
        <w:rPr>
          <w:spacing w:val="40"/>
        </w:rPr>
      </w:r>
      <w:r>
        <w:rPr>
          <w:spacing w:val="-4"/>
        </w:rPr>
        <w:t>的投资公司，为公司提供投资管理和决策服务，以及为公司的产业并购提供前瞻性研究等服务的专业机构；公司还与九派资</w:t>
      </w:r>
      <w:r>
        <w:rPr>
          <w:spacing w:val="43"/>
        </w:rPr>
        <w:t> </w:t>
      </w:r>
      <w:r>
        <w:rPr>
          <w:spacing w:val="43"/>
        </w:rPr>
      </w:r>
      <w:r>
        <w:rPr>
          <w:spacing w:val="-3"/>
        </w:rPr>
        <w:t>本在产业整合等方面开展了深入合作，共同投资成立了产业并购基金</w:t>
      </w:r>
      <w:r>
        <w:rPr>
          <w:rFonts w:ascii="Times New Roman" w:hAnsi="Times New Roman" w:cs="Times New Roman" w:eastAsia="Times New Roman" w:hint="default"/>
          <w:spacing w:val="-3"/>
        </w:rPr>
        <w:t>-</w:t>
      </w:r>
      <w:r>
        <w:rPr>
          <w:spacing w:val="-3"/>
        </w:rPr>
        <w:t>九派凯阳，九派凯阳将主要围绕公司的战略规划进行</w:t>
      </w:r>
      <w:r>
        <w:rPr>
          <w:spacing w:val="65"/>
        </w:rPr>
        <w:t> </w:t>
      </w:r>
      <w:r>
        <w:rPr>
          <w:spacing w:val="65"/>
        </w:rPr>
      </w:r>
      <w:r>
        <w:rPr/>
        <w:t>产业整合和投资并购。</w:t>
      </w:r>
    </w:p>
    <w:p>
      <w:pPr>
        <w:pStyle w:val="BodyText"/>
        <w:spacing w:line="316" w:lineRule="auto" w:before="20"/>
        <w:ind w:right="0" w:firstLine="364"/>
        <w:jc w:val="left"/>
      </w:pPr>
      <w:r>
        <w:rPr>
          <w:spacing w:val="-5"/>
        </w:rPr>
        <w:t>为进一步支撑公司自身式发展和外延式发展的战略构架，报告期内公司增加了互联网相关内容的经营范围，报告期内公</w:t>
      </w:r>
      <w:r>
        <w:rPr>
          <w:w w:val="101"/>
        </w:rPr>
        <w:t> </w:t>
      </w:r>
      <w:r>
        <w:rPr>
          <w:spacing w:val="-4"/>
        </w:rPr>
        <w:t>司成立了产业互联网部门，通过人才引进等方式，配备了一支经验丰富的互联网技术团队，未来公司将借助资本和互联网技</w:t>
      </w:r>
      <w:r>
        <w:rPr>
          <w:spacing w:val="43"/>
        </w:rPr>
        <w:t> </w:t>
      </w:r>
      <w:r>
        <w:rPr>
          <w:spacing w:val="43"/>
        </w:rPr>
      </w:r>
      <w:r>
        <w:rPr>
          <w:spacing w:val="-3"/>
        </w:rPr>
        <w:t>术的双刃力量，利用互联网、大数据等具有变革性的先进技术，创新自身的商业模式，拓展公司的业务单元和产业链结构，</w:t>
      </w:r>
      <w:r>
        <w:rPr>
          <w:spacing w:val="66"/>
        </w:rPr>
        <w:t> </w:t>
      </w:r>
      <w:r>
        <w:rPr>
          <w:spacing w:val="66"/>
        </w:rPr>
      </w:r>
      <w:r>
        <w:rPr/>
        <w:t>构建产业生态圈。</w:t>
      </w:r>
    </w:p>
    <w:p>
      <w:pPr>
        <w:pStyle w:val="BodyText"/>
        <w:spacing w:line="316" w:lineRule="auto" w:before="19"/>
        <w:ind w:right="0" w:firstLine="364"/>
        <w:jc w:val="left"/>
      </w:pPr>
      <w:r>
        <w:rPr>
          <w:spacing w:val="-5"/>
        </w:rPr>
        <w:t>报告期内公司首次实施了股权激励计划，股权激励对象涵盖公司核心高管及技术人员，极大地调动了员工的积极性、主</w:t>
      </w:r>
      <w:r>
        <w:rPr>
          <w:w w:val="101"/>
        </w:rPr>
        <w:t> </w:t>
      </w:r>
      <w:r>
        <w:rPr>
          <w:spacing w:val="-3"/>
        </w:rPr>
        <w:t>动性和创新性，有利于进一步推动公司战略转型的成功实施。</w:t>
      </w:r>
    </w:p>
    <w:p>
      <w:pPr>
        <w:pStyle w:val="BodyText"/>
        <w:spacing w:line="316" w:lineRule="auto" w:before="19"/>
        <w:ind w:right="0" w:firstLine="364"/>
        <w:jc w:val="left"/>
      </w:pPr>
      <w:r>
        <w:rPr>
          <w:spacing w:val="-6"/>
        </w:rPr>
        <w:t>综上，报告期内公司在立足现有业务的基础上，进一步进行战略调整，公司整体收入虽出现下滑，但盈利状况明显改善，</w:t>
      </w:r>
      <w:r>
        <w:rPr>
          <w:w w:val="101"/>
        </w:rPr>
        <w:t> </w:t>
      </w:r>
      <w:r>
        <w:rPr>
          <w:spacing w:val="-4"/>
        </w:rPr>
        <w:t>并成功实现扭亏为盈，同时公司将产业并购和互联网技术纳入整体战略规划，有利于推动公司未来的转型发展，提高公司的</w:t>
      </w:r>
      <w:r>
        <w:rPr>
          <w:spacing w:val="43"/>
        </w:rPr>
        <w:t> </w:t>
      </w:r>
      <w:r>
        <w:rPr>
          <w:spacing w:val="43"/>
        </w:rPr>
      </w:r>
      <w:r>
        <w:rPr>
          <w:spacing w:val="-3"/>
        </w:rPr>
        <w:t>核心竞争力和盈利能力。</w:t>
      </w:r>
    </w:p>
    <w:p>
      <w:pPr>
        <w:pStyle w:val="BodyText"/>
        <w:spacing w:line="300" w:lineRule="auto" w:before="19"/>
        <w:ind w:left="153" w:right="205" w:firstLine="364"/>
        <w:jc w:val="both"/>
      </w:pPr>
      <w:r>
        <w:rPr>
          <w:spacing w:val="-4"/>
        </w:rPr>
        <w:t>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28</w:t>
      </w:r>
      <w:r>
        <w:rPr>
          <w:spacing w:val="-4"/>
        </w:rPr>
        <w:t>日在《</w:t>
      </w:r>
      <w:r>
        <w:rPr>
          <w:rFonts w:ascii="Times New Roman" w:hAnsi="Times New Roman" w:cs="Times New Roman" w:eastAsia="Times New Roman" w:hint="default"/>
          <w:spacing w:val="-4"/>
        </w:rPr>
        <w:t>2014</w:t>
      </w:r>
      <w:r>
        <w:rPr>
          <w:spacing w:val="-4"/>
        </w:rPr>
        <w:t>年第三季度报告正文》中披露</w:t>
      </w:r>
      <w:r>
        <w:rPr>
          <w:rFonts w:ascii="Times New Roman" w:hAnsi="Times New Roman" w:cs="Times New Roman" w:eastAsia="Times New Roman" w:hint="default"/>
          <w:spacing w:val="-4"/>
        </w:rPr>
        <w:t>2014</w:t>
      </w:r>
      <w:r>
        <w:rPr>
          <w:spacing w:val="-4"/>
        </w:rPr>
        <w:t>年度经营业绩的预计：</w:t>
      </w:r>
      <w:r>
        <w:rPr>
          <w:rFonts w:ascii="Times New Roman" w:hAnsi="Times New Roman" w:cs="Times New Roman" w:eastAsia="Times New Roman" w:hint="default"/>
          <w:spacing w:val="-4"/>
        </w:rPr>
        <w:t>2014</w:t>
      </w:r>
      <w:r>
        <w:rPr>
          <w:spacing w:val="-4"/>
        </w:rPr>
        <w:t>年度净利润与上年同期相比</w:t>
      </w:r>
      <w:r>
        <w:rPr>
          <w:w w:val="101"/>
        </w:rPr>
        <w:t> </w:t>
      </w:r>
      <w:r>
        <w:rPr>
          <w:spacing w:val="-3"/>
        </w:rPr>
        <w:t>扭亏为盈，归属于上市公司股东的净利润预计区间为</w:t>
      </w:r>
      <w:r>
        <w:rPr>
          <w:rFonts w:ascii="Times New Roman" w:hAnsi="Times New Roman" w:cs="Times New Roman" w:eastAsia="Times New Roman" w:hint="default"/>
          <w:spacing w:val="-3"/>
        </w:rPr>
        <w:t>900</w:t>
      </w:r>
      <w:r>
        <w:rPr>
          <w:spacing w:val="-3"/>
        </w:rPr>
        <w:t>万元至</w:t>
      </w:r>
      <w:r>
        <w:rPr>
          <w:rFonts w:ascii="Times New Roman" w:hAnsi="Times New Roman" w:cs="Times New Roman" w:eastAsia="Times New Roman" w:hint="default"/>
          <w:spacing w:val="-3"/>
        </w:rPr>
        <w:t>1500</w:t>
      </w:r>
      <w:r>
        <w:rPr>
          <w:spacing w:val="-3"/>
        </w:rPr>
        <w:t>万元。报告期内，公司实现归属于母公司所有者的净利</w:t>
      </w:r>
      <w:r>
        <w:rPr>
          <w:spacing w:val="79"/>
        </w:rPr>
        <w:t> </w:t>
      </w:r>
      <w:r>
        <w:rPr>
          <w:spacing w:val="79"/>
        </w:rPr>
      </w:r>
      <w:r>
        <w:rPr>
          <w:spacing w:val="-3"/>
        </w:rPr>
        <w:t>润</w:t>
      </w:r>
      <w:r>
        <w:rPr>
          <w:rFonts w:ascii="Times New Roman" w:hAnsi="Times New Roman" w:cs="Times New Roman" w:eastAsia="Times New Roman" w:hint="default"/>
          <w:spacing w:val="-3"/>
        </w:rPr>
        <w:t>1427.63</w:t>
      </w:r>
      <w:r>
        <w:rPr>
          <w:spacing w:val="-3"/>
        </w:rPr>
        <w:t>万元，在前次业绩预测范围内，不存在差异。</w:t>
      </w:r>
    </w:p>
    <w:p>
      <w:pPr>
        <w:spacing w:line="240" w:lineRule="auto" w:before="9"/>
        <w:rPr>
          <w:rFonts w:ascii="宋体" w:hAnsi="宋体" w:cs="宋体" w:eastAsia="宋体" w:hint="default"/>
          <w:sz w:val="19"/>
          <w:szCs w:val="19"/>
        </w:rPr>
      </w:pPr>
    </w:p>
    <w:p>
      <w:pPr>
        <w:pStyle w:val="Heading3"/>
        <w:spacing w:line="240" w:lineRule="auto"/>
        <w:ind w:right="0"/>
        <w:jc w:val="left"/>
      </w:pPr>
      <w:r>
        <w:rPr/>
        <w:t>二、主营业务分析</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right="0" w:firstLine="364"/>
        <w:jc w:val="left"/>
      </w:pPr>
      <w:r>
        <w:rPr>
          <w:spacing w:val="-5"/>
        </w:rPr>
        <w:t>报告期内，虽然受公司业务调整的影响，公司营业收入出现下滑，但公司整体盈利状况明显改善，公司转型效果基本符</w:t>
      </w:r>
      <w:r>
        <w:rPr>
          <w:w w:val="101"/>
        </w:rPr>
        <w:t> </w:t>
      </w:r>
      <w:r>
        <w:rPr/>
        <w:t>合预期。</w:t>
      </w:r>
    </w:p>
    <w:p>
      <w:pPr>
        <w:pStyle w:val="BodyText"/>
        <w:spacing w:line="240" w:lineRule="auto" w:before="19"/>
        <w:ind w:left="517" w:right="0"/>
        <w:jc w:val="left"/>
      </w:pPr>
      <w:r>
        <w:rPr>
          <w:spacing w:val="-3"/>
        </w:rPr>
        <w:t>（</w:t>
      </w:r>
      <w:r>
        <w:rPr>
          <w:rFonts w:ascii="Times New Roman" w:hAnsi="Times New Roman" w:cs="Times New Roman" w:eastAsia="Times New Roman" w:hint="default"/>
          <w:spacing w:val="-3"/>
        </w:rPr>
        <w:t>1</w:t>
      </w:r>
      <w:r>
        <w:rPr>
          <w:spacing w:val="-3"/>
        </w:rPr>
        <w:t>）营业收入  </w:t>
      </w:r>
      <w:r>
        <w:rPr>
          <w:rFonts w:ascii="Times New Roman" w:hAnsi="Times New Roman" w:cs="Times New Roman" w:eastAsia="Times New Roman" w:hint="default"/>
        </w:rPr>
        <w:t>54,651.77 </w:t>
      </w:r>
      <w:r>
        <w:rPr>
          <w:rFonts w:ascii="Times New Roman" w:hAnsi="Times New Roman" w:cs="Times New Roman" w:eastAsia="Times New Roman" w:hint="default"/>
          <w:spacing w:val="30"/>
        </w:rPr>
        <w:t> </w:t>
      </w:r>
      <w:r>
        <w:rPr>
          <w:spacing w:val="-3"/>
        </w:rPr>
        <w:t>万元，与上年同期相比下降</w:t>
      </w:r>
      <w:r>
        <w:rPr>
          <w:rFonts w:ascii="Times New Roman" w:hAnsi="Times New Roman" w:cs="Times New Roman" w:eastAsia="Times New Roman" w:hint="default"/>
          <w:spacing w:val="-3"/>
        </w:rPr>
        <w:t>11.66%</w:t>
      </w:r>
      <w:r>
        <w:rPr>
          <w:spacing w:val="-3"/>
        </w:rPr>
        <w:t>，其中主营业务收入</w:t>
      </w:r>
      <w:r>
        <w:rPr>
          <w:rFonts w:ascii="Times New Roman" w:hAnsi="Times New Roman" w:cs="Times New Roman" w:eastAsia="Times New Roman" w:hint="default"/>
          <w:spacing w:val="-3"/>
        </w:rPr>
        <w:t>51,732.50</w:t>
      </w:r>
      <w:r>
        <w:rPr>
          <w:spacing w:val="-3"/>
        </w:rPr>
        <w:t>万元，与上年同期相比下降</w:t>
      </w:r>
    </w:p>
    <w:p>
      <w:pPr>
        <w:pStyle w:val="BodyText"/>
        <w:spacing w:line="240" w:lineRule="auto" w:before="63"/>
        <w:ind w:right="0"/>
        <w:jc w:val="left"/>
      </w:pPr>
      <w:r>
        <w:rPr>
          <w:rFonts w:ascii="Times New Roman" w:hAnsi="Times New Roman" w:cs="Times New Roman" w:eastAsia="Times New Roman" w:hint="default"/>
          <w:spacing w:val="-3"/>
        </w:rPr>
        <w:t>13.45%</w:t>
      </w:r>
      <w:r>
        <w:rPr>
          <w:spacing w:val="-3"/>
        </w:rPr>
        <w:t>。主要系因报告期内公司</w:t>
      </w:r>
      <w:r>
        <w:rPr>
          <w:rFonts w:ascii="Times New Roman" w:hAnsi="Times New Roman" w:cs="Times New Roman" w:eastAsia="Times New Roman" w:hint="default"/>
          <w:spacing w:val="-3"/>
        </w:rPr>
        <w:t>EMS</w:t>
      </w:r>
      <w:r>
        <w:rPr>
          <w:spacing w:val="-3"/>
        </w:rPr>
        <w:t>业务收入减少所致。</w:t>
      </w:r>
    </w:p>
    <w:p>
      <w:pPr>
        <w:pStyle w:val="BodyText"/>
        <w:spacing w:line="300" w:lineRule="auto" w:before="63"/>
        <w:ind w:right="0" w:firstLine="364"/>
        <w:jc w:val="left"/>
      </w:pPr>
      <w:r>
        <w:rPr>
          <w:spacing w:val="-3"/>
        </w:rPr>
        <w:t>（</w:t>
      </w:r>
      <w:r>
        <w:rPr>
          <w:rFonts w:ascii="Times New Roman" w:hAnsi="Times New Roman" w:cs="Times New Roman" w:eastAsia="Times New Roman" w:hint="default"/>
          <w:spacing w:val="-3"/>
        </w:rPr>
        <w:t>2</w:t>
      </w:r>
      <w:r>
        <w:rPr>
          <w:spacing w:val="-3"/>
        </w:rPr>
        <w:t>）营业成本</w:t>
      </w:r>
      <w:r>
        <w:rPr>
          <w:rFonts w:ascii="Times New Roman" w:hAnsi="Times New Roman" w:cs="Times New Roman" w:eastAsia="Times New Roman" w:hint="default"/>
          <w:spacing w:val="-3"/>
        </w:rPr>
        <w:t>47,067.72</w:t>
      </w:r>
      <w:r>
        <w:rPr>
          <w:spacing w:val="-3"/>
        </w:rPr>
        <w:t>万元，同比下降</w:t>
      </w:r>
      <w:r>
        <w:rPr>
          <w:rFonts w:ascii="Times New Roman" w:hAnsi="Times New Roman" w:cs="Times New Roman" w:eastAsia="Times New Roman" w:hint="default"/>
          <w:spacing w:val="-3"/>
        </w:rPr>
        <w:t>21.99%</w:t>
      </w:r>
      <w:r>
        <w:rPr>
          <w:spacing w:val="-3"/>
        </w:rPr>
        <w:t>，其中主营业务成本</w:t>
      </w:r>
      <w:r>
        <w:rPr>
          <w:rFonts w:ascii="Times New Roman" w:hAnsi="Times New Roman" w:cs="Times New Roman" w:eastAsia="Times New Roman" w:hint="default"/>
          <w:spacing w:val="-3"/>
        </w:rPr>
        <w:t>44,915.71</w:t>
      </w:r>
      <w:r>
        <w:rPr>
          <w:spacing w:val="-3"/>
        </w:rPr>
        <w:t>万元，同比下降</w:t>
      </w:r>
      <w:r>
        <w:rPr>
          <w:rFonts w:ascii="Times New Roman" w:hAnsi="Times New Roman" w:cs="Times New Roman" w:eastAsia="Times New Roman" w:hint="default"/>
          <w:spacing w:val="-3"/>
        </w:rPr>
        <w:t>22.93%</w:t>
      </w:r>
      <w:r>
        <w:rPr>
          <w:spacing w:val="-3"/>
        </w:rPr>
        <w:t>，主要系因报告期</w:t>
      </w:r>
      <w:r>
        <w:rPr>
          <w:w w:val="101"/>
        </w:rPr>
        <w:t> </w:t>
      </w:r>
      <w:r>
        <w:rPr>
          <w:spacing w:val="-3"/>
        </w:rPr>
        <w:t>内公司销售收入下降所致。</w:t>
      </w:r>
    </w:p>
    <w:p>
      <w:pPr>
        <w:pStyle w:val="BodyText"/>
        <w:spacing w:line="240" w:lineRule="auto" w:before="31"/>
        <w:ind w:left="517" w:right="0"/>
        <w:jc w:val="left"/>
      </w:pPr>
      <w:r>
        <w:rPr>
          <w:spacing w:val="-3"/>
        </w:rPr>
        <w:t>（</w:t>
      </w:r>
      <w:r>
        <w:rPr>
          <w:rFonts w:ascii="Times New Roman" w:hAnsi="Times New Roman" w:cs="Times New Roman" w:eastAsia="Times New Roman" w:hint="default"/>
          <w:spacing w:val="-3"/>
        </w:rPr>
        <w:t>3</w:t>
      </w:r>
      <w:r>
        <w:rPr>
          <w:spacing w:val="-3"/>
        </w:rPr>
        <w:t>）利润总额</w:t>
      </w:r>
      <w:r>
        <w:rPr>
          <w:rFonts w:ascii="Times New Roman" w:hAnsi="Times New Roman" w:cs="Times New Roman" w:eastAsia="Times New Roman" w:hint="default"/>
          <w:spacing w:val="-3"/>
        </w:rPr>
        <w:t>1,283.94</w:t>
      </w:r>
      <w:r>
        <w:rPr>
          <w:spacing w:val="-3"/>
        </w:rPr>
        <w:t>万元，同比增加</w:t>
      </w:r>
      <w:r>
        <w:rPr>
          <w:rFonts w:ascii="Times New Roman" w:hAnsi="Times New Roman" w:cs="Times New Roman" w:eastAsia="Times New Roman" w:hint="default"/>
          <w:spacing w:val="-3"/>
        </w:rPr>
        <w:t>106.94%</w:t>
      </w:r>
      <w:r>
        <w:rPr>
          <w:spacing w:val="-3"/>
        </w:rPr>
        <w:t>，归属于母公司所有者的净利润</w:t>
      </w:r>
      <w:r>
        <w:rPr>
          <w:rFonts w:ascii="Times New Roman" w:hAnsi="Times New Roman" w:cs="Times New Roman" w:eastAsia="Times New Roman" w:hint="default"/>
          <w:spacing w:val="-3"/>
        </w:rPr>
        <w:t>1,427.63</w:t>
      </w:r>
      <w:r>
        <w:rPr>
          <w:spacing w:val="-3"/>
        </w:rPr>
        <w:t>万元，同比增加</w:t>
      </w:r>
      <w:r>
        <w:rPr>
          <w:rFonts w:ascii="Times New Roman" w:hAnsi="Times New Roman" w:cs="Times New Roman" w:eastAsia="Times New Roman" w:hint="default"/>
          <w:spacing w:val="-3"/>
        </w:rPr>
        <w:t>107.61%</w:t>
      </w:r>
      <w:r>
        <w:rPr>
          <w:spacing w:val="-3"/>
        </w:rPr>
        <w:t>。主要</w:t>
      </w:r>
    </w:p>
    <w:p>
      <w:pPr>
        <w:spacing w:after="0" w:line="24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spacing w:val="-4"/>
        </w:rPr>
        <w:t>系报告期内公司主动调整</w:t>
      </w:r>
      <w:r>
        <w:rPr>
          <w:rFonts w:ascii="Times New Roman" w:hAnsi="Times New Roman" w:cs="Times New Roman" w:eastAsia="Times New Roman" w:hint="default"/>
          <w:spacing w:val="-4"/>
        </w:rPr>
        <w:t>EMS</w:t>
      </w:r>
      <w:r>
        <w:rPr>
          <w:spacing w:val="-4"/>
        </w:rPr>
        <w:t>业务结构，保留并开拓了部分盈利状况较好的业务，</w:t>
      </w:r>
      <w:r>
        <w:rPr>
          <w:rFonts w:ascii="Times New Roman" w:hAnsi="Times New Roman" w:cs="Times New Roman" w:eastAsia="Times New Roman" w:hint="default"/>
          <w:spacing w:val="-4"/>
        </w:rPr>
        <w:t>EMS</w:t>
      </w:r>
      <w:r>
        <w:rPr>
          <w:spacing w:val="-4"/>
        </w:rPr>
        <w:t>业务的盈利状况得以改善；公司</w:t>
      </w:r>
      <w:r>
        <w:rPr>
          <w:rFonts w:ascii="Times New Roman" w:hAnsi="Times New Roman" w:cs="Times New Roman" w:eastAsia="Times New Roman" w:hint="default"/>
          <w:spacing w:val="-4"/>
        </w:rPr>
        <w:t>LED</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3"/>
        </w:rPr>
        <w:t>照明业务的收入和毛利相比去年同期增加；计提资产减值损失、各项费用同比减少所致。</w:t>
      </w:r>
    </w:p>
    <w:p>
      <w:pPr>
        <w:pStyle w:val="BodyText"/>
        <w:spacing w:line="300" w:lineRule="auto" w:before="31"/>
        <w:ind w:right="263" w:firstLine="364"/>
        <w:jc w:val="both"/>
      </w:pPr>
      <w:r>
        <w:rPr>
          <w:spacing w:val="-3"/>
        </w:rPr>
        <w:t>（</w:t>
      </w:r>
      <w:r>
        <w:rPr>
          <w:rFonts w:ascii="Times New Roman" w:hAnsi="Times New Roman" w:cs="Times New Roman" w:eastAsia="Times New Roman" w:hint="default"/>
          <w:spacing w:val="-3"/>
        </w:rPr>
        <w:t>4</w:t>
      </w:r>
      <w:r>
        <w:rPr>
          <w:spacing w:val="-3"/>
        </w:rPr>
        <w:t>）经营活动产生的现金流量净额</w:t>
      </w:r>
      <w:r>
        <w:rPr>
          <w:rFonts w:ascii="Times New Roman" w:hAnsi="Times New Roman" w:cs="Times New Roman" w:eastAsia="Times New Roman" w:hint="default"/>
          <w:spacing w:val="-3"/>
        </w:rPr>
        <w:t>429.70</w:t>
      </w:r>
      <w:r>
        <w:rPr>
          <w:rFonts w:ascii="Times New Roman" w:hAnsi="Times New Roman" w:cs="Times New Roman" w:eastAsia="Times New Roman" w:hint="default"/>
          <w:spacing w:val="32"/>
        </w:rPr>
        <w:t> </w:t>
      </w:r>
      <w:r>
        <w:rPr>
          <w:spacing w:val="-3"/>
        </w:rPr>
        <w:t>万元，同比增加</w:t>
      </w:r>
      <w:r>
        <w:rPr>
          <w:rFonts w:ascii="Times New Roman" w:hAnsi="Times New Roman" w:cs="Times New Roman" w:eastAsia="Times New Roman" w:hint="default"/>
          <w:spacing w:val="-3"/>
        </w:rPr>
        <w:t>117.10%</w:t>
      </w:r>
      <w:r>
        <w:rPr>
          <w:spacing w:val="-3"/>
        </w:rPr>
        <w:t>，主要系报告期内经营活动所支付款项较收取款项</w:t>
      </w:r>
      <w:r>
        <w:rPr>
          <w:w w:val="101"/>
        </w:rPr>
        <w:t> </w:t>
      </w:r>
      <w:r>
        <w:rPr>
          <w:spacing w:val="-3"/>
        </w:rPr>
        <w:t>减少幅度较多所致。</w:t>
      </w:r>
    </w:p>
    <w:p>
      <w:pPr>
        <w:spacing w:line="240" w:lineRule="auto" w:before="2"/>
        <w:rPr>
          <w:rFonts w:ascii="宋体" w:hAnsi="宋体" w:cs="宋体" w:eastAsia="宋体" w:hint="default"/>
          <w:sz w:val="25"/>
          <w:szCs w:val="25"/>
        </w:rPr>
      </w:pPr>
    </w:p>
    <w:p>
      <w:pPr>
        <w:pStyle w:val="Heading6"/>
        <w:spacing w:line="240" w:lineRule="auto"/>
        <w:ind w:right="0"/>
        <w:jc w:val="left"/>
        <w:rPr>
          <w:b w:val="0"/>
          <w:bCs w:val="0"/>
        </w:rPr>
      </w:pPr>
      <w:r>
        <w:rPr/>
        <w:t>公司回顾总结前期披露的发展战略和经营计划在报告期内的进展情况</w:t>
      </w:r>
      <w:r>
        <w:rPr>
          <w:b w:val="0"/>
          <w:bCs w:val="0"/>
        </w:rPr>
      </w:r>
    </w:p>
    <w:p>
      <w:pPr>
        <w:pStyle w:val="BodyText"/>
        <w:spacing w:line="300" w:lineRule="auto" w:before="94"/>
        <w:ind w:right="207" w:firstLine="422"/>
        <w:jc w:val="both"/>
      </w:pPr>
      <w:r>
        <w:rPr>
          <w:rFonts w:ascii="Times New Roman" w:hAnsi="Times New Roman" w:cs="Times New Roman" w:eastAsia="Times New Roman" w:hint="default"/>
          <w:spacing w:val="-3"/>
        </w:rPr>
        <w:t>2014</w:t>
      </w:r>
      <w:r>
        <w:rPr>
          <w:spacing w:val="-3"/>
        </w:rPr>
        <w:t>年是公司战略转型初见成效的一年，为增强公司的核心竞争力和持续盈利能力，并全面减亏止损，报告期内公司</w:t>
      </w:r>
      <w:r>
        <w:rPr>
          <w:w w:val="101"/>
        </w:rPr>
        <w:t> </w:t>
      </w:r>
      <w:r>
        <w:rPr>
          <w:spacing w:val="-4"/>
        </w:rPr>
        <w:t>在董事会的领导下，围绕年度经营目标，逐步落实各项经营计划，</w:t>
      </w:r>
      <w:r>
        <w:rPr>
          <w:rFonts w:ascii="Times New Roman" w:hAnsi="Times New Roman" w:cs="Times New Roman" w:eastAsia="Times New Roman" w:hint="default"/>
          <w:spacing w:val="-4"/>
        </w:rPr>
        <w:t>EMS</w:t>
      </w:r>
      <w:r>
        <w:rPr>
          <w:spacing w:val="-4"/>
        </w:rPr>
        <w:t>业务向</w:t>
      </w:r>
      <w:r>
        <w:rPr>
          <w:rFonts w:ascii="Times New Roman" w:hAnsi="Times New Roman" w:cs="Times New Roman" w:eastAsia="Times New Roman" w:hint="default"/>
          <w:spacing w:val="-4"/>
        </w:rPr>
        <w:t>“</w:t>
      </w:r>
      <w:r>
        <w:rPr>
          <w:spacing w:val="-4"/>
        </w:rPr>
        <w:t>小而美</w:t>
      </w:r>
      <w:r>
        <w:rPr>
          <w:rFonts w:ascii="Times New Roman" w:hAnsi="Times New Roman" w:cs="Times New Roman" w:eastAsia="Times New Roman" w:hint="default"/>
          <w:spacing w:val="-4"/>
        </w:rPr>
        <w:t>”</w:t>
      </w:r>
      <w:r>
        <w:rPr>
          <w:spacing w:val="-4"/>
        </w:rPr>
        <w:t>收缩调整、</w:t>
      </w:r>
      <w:r>
        <w:rPr>
          <w:rFonts w:ascii="Times New Roman" w:hAnsi="Times New Roman" w:cs="Times New Roman" w:eastAsia="Times New Roman" w:hint="default"/>
          <w:spacing w:val="-4"/>
        </w:rPr>
        <w:t>LED</w:t>
      </w:r>
      <w:r>
        <w:rPr>
          <w:spacing w:val="-4"/>
        </w:rPr>
        <w:t>照明业务收入比重扩</w:t>
      </w:r>
      <w:r>
        <w:rPr>
          <w:spacing w:val="71"/>
        </w:rPr>
        <w:t> </w:t>
      </w:r>
      <w:r>
        <w:rPr>
          <w:spacing w:val="71"/>
        </w:rPr>
      </w:r>
      <w:r>
        <w:rPr>
          <w:spacing w:val="-3"/>
        </w:rPr>
        <w:t>大的业务调整目标得以执行并达成预期。</w:t>
      </w:r>
    </w:p>
    <w:p>
      <w:pPr>
        <w:pStyle w:val="BodyText"/>
        <w:spacing w:line="300" w:lineRule="auto" w:before="31"/>
        <w:ind w:left="575"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照明业务</w:t>
      </w:r>
      <w:r>
        <w:rPr>
          <w:spacing w:val="-88"/>
        </w:rPr>
        <w:t> </w:t>
      </w:r>
      <w:r>
        <w:rPr>
          <w:spacing w:val="-88"/>
        </w:rPr>
      </w:r>
      <w:r>
        <w:rPr>
          <w:spacing w:val="-3"/>
        </w:rPr>
        <w:t>报告期内，公司在品牌建设、产品研发等方面主要围绕</w:t>
      </w:r>
      <w:r>
        <w:rPr>
          <w:rFonts w:ascii="Times New Roman" w:hAnsi="Times New Roman" w:cs="Times New Roman" w:eastAsia="Times New Roman" w:hint="default"/>
          <w:spacing w:val="-3"/>
        </w:rPr>
        <w:t>LED</w:t>
      </w:r>
      <w:r>
        <w:rPr>
          <w:spacing w:val="-3"/>
        </w:rPr>
        <w:t>照明业务开展，</w:t>
      </w:r>
      <w:r>
        <w:rPr>
          <w:rFonts w:ascii="Times New Roman" w:hAnsi="Times New Roman" w:cs="Times New Roman" w:eastAsia="Times New Roman" w:hint="default"/>
          <w:spacing w:val="-3"/>
        </w:rPr>
        <w:t>2014</w:t>
      </w:r>
      <w:r>
        <w:rPr>
          <w:spacing w:val="-3"/>
        </w:rPr>
        <w:t>年度公司</w:t>
      </w:r>
      <w:r>
        <w:rPr>
          <w:rFonts w:ascii="Times New Roman" w:hAnsi="Times New Roman" w:cs="Times New Roman" w:eastAsia="Times New Roman" w:hint="default"/>
          <w:spacing w:val="-3"/>
        </w:rPr>
        <w:t>LED</w:t>
      </w:r>
      <w:r>
        <w:rPr>
          <w:spacing w:val="-3"/>
        </w:rPr>
        <w:t>照明业务的收入及比重</w:t>
      </w:r>
    </w:p>
    <w:p>
      <w:pPr>
        <w:pStyle w:val="BodyText"/>
        <w:spacing w:line="240" w:lineRule="auto" w:before="13"/>
        <w:ind w:left="153" w:right="0"/>
        <w:jc w:val="left"/>
      </w:pPr>
      <w:r>
        <w:rPr/>
        <w:t>大幅上升：</w:t>
      </w:r>
    </w:p>
    <w:p>
      <w:pPr>
        <w:pStyle w:val="BodyText"/>
        <w:spacing w:line="300" w:lineRule="auto" w:before="76"/>
        <w:ind w:left="153" w:right="172" w:firstLine="422"/>
        <w:jc w:val="both"/>
      </w:pPr>
      <w:r>
        <w:rPr>
          <w:spacing w:val="-3"/>
        </w:rPr>
        <w:t>（</w:t>
      </w:r>
      <w:r>
        <w:rPr>
          <w:rFonts w:ascii="Times New Roman" w:hAnsi="Times New Roman" w:cs="Times New Roman" w:eastAsia="Times New Roman" w:hint="default"/>
          <w:spacing w:val="-3"/>
        </w:rPr>
        <w:t>1</w:t>
      </w:r>
      <w:r>
        <w:rPr>
          <w:spacing w:val="-3"/>
        </w:rPr>
        <w:t>）产品定位：</w:t>
      </w:r>
      <w:r>
        <w:rPr>
          <w:rFonts w:ascii="Times New Roman" w:hAnsi="Times New Roman" w:cs="Times New Roman" w:eastAsia="Times New Roman" w:hint="default"/>
          <w:spacing w:val="-3"/>
        </w:rPr>
        <w:t>LED</w:t>
      </w:r>
      <w:r>
        <w:rPr>
          <w:spacing w:val="-3"/>
        </w:rPr>
        <w:t>室内商业照明产品作为公司</w:t>
      </w:r>
      <w:r>
        <w:rPr>
          <w:rFonts w:ascii="Times New Roman" w:hAnsi="Times New Roman" w:cs="Times New Roman" w:eastAsia="Times New Roman" w:hint="default"/>
          <w:spacing w:val="-3"/>
        </w:rPr>
        <w:t>LED</w:t>
      </w:r>
      <w:r>
        <w:rPr>
          <w:spacing w:val="-3"/>
        </w:rPr>
        <w:t>照明业务的发展基石，公司在报告期内主要通过强化产品定位、</w:t>
      </w:r>
      <w:r>
        <w:rPr>
          <w:w w:val="101"/>
        </w:rPr>
        <w:t> </w:t>
      </w:r>
      <w:r>
        <w:rPr>
          <w:spacing w:val="-4"/>
        </w:rPr>
        <w:t>提高单位产品的附加值、提升技术含量等措施，提高产品的市场竞争力，实现做精、做细</w:t>
      </w:r>
      <w:r>
        <w:rPr>
          <w:rFonts w:ascii="Times New Roman" w:hAnsi="Times New Roman" w:cs="Times New Roman" w:eastAsia="Times New Roman" w:hint="default"/>
          <w:spacing w:val="-4"/>
        </w:rPr>
        <w:t>LED</w:t>
      </w:r>
      <w:r>
        <w:rPr>
          <w:spacing w:val="-4"/>
        </w:rPr>
        <w:t>室内商业照明业务的目标，报</w:t>
      </w:r>
      <w:r>
        <w:rPr>
          <w:spacing w:val="48"/>
        </w:rPr>
        <w:t> </w:t>
      </w:r>
      <w:r>
        <w:rPr>
          <w:spacing w:val="48"/>
        </w:rPr>
      </w:r>
      <w:r>
        <w:rPr>
          <w:spacing w:val="-4"/>
        </w:rPr>
        <w:t>告期内公司</w:t>
      </w:r>
      <w:r>
        <w:rPr>
          <w:rFonts w:ascii="Times New Roman" w:hAnsi="Times New Roman" w:cs="Times New Roman" w:eastAsia="Times New Roman" w:hint="default"/>
          <w:spacing w:val="-4"/>
        </w:rPr>
        <w:t>LED</w:t>
      </w:r>
      <w:r>
        <w:rPr>
          <w:spacing w:val="-4"/>
        </w:rPr>
        <w:t>室内商业照明业务实现快速发展。在做精、做强现有</w:t>
      </w:r>
      <w:r>
        <w:rPr>
          <w:rFonts w:ascii="Times New Roman" w:hAnsi="Times New Roman" w:cs="Times New Roman" w:eastAsia="Times New Roman" w:hint="default"/>
          <w:spacing w:val="-4"/>
        </w:rPr>
        <w:t>LED</w:t>
      </w:r>
      <w:r>
        <w:rPr>
          <w:spacing w:val="-4"/>
        </w:rPr>
        <w:t>室内商业照明业务的基础上，报告期内公司还大力</w:t>
      </w:r>
      <w:r>
        <w:rPr>
          <w:spacing w:val="67"/>
        </w:rPr>
        <w:t> </w:t>
      </w:r>
      <w:r>
        <w:rPr>
          <w:spacing w:val="67"/>
        </w:rPr>
      </w:r>
      <w:r>
        <w:rPr>
          <w:spacing w:val="-3"/>
        </w:rPr>
        <w:t>开拓</w:t>
      </w:r>
      <w:r>
        <w:rPr>
          <w:rFonts w:ascii="Times New Roman" w:hAnsi="Times New Roman" w:cs="Times New Roman" w:eastAsia="Times New Roman" w:hint="default"/>
          <w:spacing w:val="-3"/>
        </w:rPr>
        <w:t>LED</w:t>
      </w:r>
      <w:r>
        <w:rPr>
          <w:spacing w:val="-3"/>
        </w:rPr>
        <w:t>户外照明市场，并已取得成功案例，同时公司在</w:t>
      </w:r>
      <w:r>
        <w:rPr>
          <w:rFonts w:ascii="Times New Roman" w:hAnsi="Times New Roman" w:cs="Times New Roman" w:eastAsia="Times New Roman" w:hint="default"/>
          <w:spacing w:val="-3"/>
        </w:rPr>
        <w:t>LED</w:t>
      </w:r>
      <w:r>
        <w:rPr>
          <w:spacing w:val="-3"/>
        </w:rPr>
        <w:t>流通产品、智能照明产品等方面也加大了开发力度。</w:t>
      </w:r>
    </w:p>
    <w:p>
      <w:pPr>
        <w:pStyle w:val="BodyText"/>
        <w:spacing w:line="300" w:lineRule="auto" w:before="13"/>
        <w:ind w:right="0" w:firstLine="422"/>
        <w:jc w:val="left"/>
      </w:pPr>
      <w:r>
        <w:rPr>
          <w:spacing w:val="-5"/>
        </w:rPr>
        <w:t>（</w:t>
      </w:r>
      <w:r>
        <w:rPr>
          <w:rFonts w:ascii="Times New Roman" w:hAnsi="Times New Roman" w:cs="Times New Roman" w:eastAsia="Times New Roman" w:hint="default"/>
          <w:spacing w:val="-5"/>
        </w:rPr>
        <w:t>2</w:t>
      </w:r>
      <w:r>
        <w:rPr>
          <w:spacing w:val="-5"/>
        </w:rPr>
        <w:t>）品牌建设：公司在无锡、上海、西安、宁波、北京、广州等多地举办了系列</w:t>
      </w:r>
      <w:r>
        <w:rPr>
          <w:rFonts w:ascii="Times New Roman" w:hAnsi="Times New Roman" w:cs="Times New Roman" w:eastAsia="Times New Roman" w:hint="default"/>
          <w:spacing w:val="-5"/>
        </w:rPr>
        <w:t>LED</w:t>
      </w:r>
      <w:r>
        <w:rPr>
          <w:spacing w:val="-5"/>
        </w:rPr>
        <w:t>产品专业推广会，通过与设计院、</w:t>
      </w:r>
      <w:r>
        <w:rPr>
          <w:w w:val="101"/>
        </w:rPr>
        <w:t> </w:t>
      </w:r>
      <w:r>
        <w:rPr>
          <w:spacing w:val="-4"/>
        </w:rPr>
        <w:t>终端用户等直接互动等方式，进一步探索追求</w:t>
      </w:r>
      <w:r>
        <w:rPr>
          <w:rFonts w:ascii="Times New Roman" w:hAnsi="Times New Roman" w:cs="Times New Roman" w:eastAsia="Times New Roman" w:hint="default"/>
          <w:spacing w:val="-4"/>
        </w:rPr>
        <w:t>“</w:t>
      </w:r>
      <w:r>
        <w:rPr>
          <w:spacing w:val="-4"/>
        </w:rPr>
        <w:t>快速反应、优质服务、贴近需求和定位准确</w:t>
      </w:r>
      <w:r>
        <w:rPr>
          <w:rFonts w:ascii="Times New Roman" w:hAnsi="Times New Roman" w:cs="Times New Roman" w:eastAsia="Times New Roman" w:hint="default"/>
          <w:spacing w:val="-4"/>
        </w:rPr>
        <w:t>”</w:t>
      </w:r>
      <w:r>
        <w:rPr>
          <w:spacing w:val="-4"/>
        </w:rPr>
        <w:t>的品牌策略；公司并携传统的室</w:t>
      </w:r>
      <w:r>
        <w:rPr>
          <w:spacing w:val="64"/>
        </w:rPr>
        <w:t> </w:t>
      </w:r>
      <w:r>
        <w:rPr>
          <w:spacing w:val="64"/>
        </w:rPr>
      </w:r>
      <w:r>
        <w:rPr>
          <w:spacing w:val="-4"/>
        </w:rPr>
        <w:t>内商业照明产品和户外照明产品、家居照明产品，以及部分代表前沿技术的智能照明产品成功亮相第</w:t>
      </w:r>
      <w:r>
        <w:rPr>
          <w:rFonts w:ascii="Times New Roman" w:hAnsi="Times New Roman" w:cs="Times New Roman" w:eastAsia="Times New Roman" w:hint="default"/>
          <w:spacing w:val="-4"/>
        </w:rPr>
        <w:t>19</w:t>
      </w:r>
      <w:r>
        <w:rPr>
          <w:spacing w:val="-4"/>
        </w:rPr>
        <w:t>届广州国际照明展览</w:t>
      </w:r>
      <w:r>
        <w:rPr>
          <w:spacing w:val="43"/>
        </w:rPr>
        <w:t> </w:t>
      </w:r>
      <w:r>
        <w:rPr>
          <w:spacing w:val="43"/>
        </w:rPr>
      </w:r>
      <w:r>
        <w:rPr>
          <w:spacing w:val="-3"/>
        </w:rPr>
        <w:t>会，取得了良好的市场反应；此外，报告期末公司已持有</w:t>
      </w:r>
      <w:r>
        <w:rPr>
          <w:rFonts w:ascii="Times New Roman" w:hAnsi="Times New Roman" w:cs="Times New Roman" w:eastAsia="Times New Roman" w:hint="default"/>
          <w:spacing w:val="-3"/>
        </w:rPr>
        <w:t>9</w:t>
      </w:r>
      <w:r>
        <w:rPr>
          <w:spacing w:val="-3"/>
        </w:rPr>
        <w:t>件照明类的注册商标，并在日本、欧盟等多个国家申请了注册商</w:t>
      </w:r>
      <w:r>
        <w:rPr>
          <w:spacing w:val="69"/>
        </w:rPr>
        <w:t> </w:t>
      </w:r>
      <w:r>
        <w:rPr>
          <w:spacing w:val="69"/>
        </w:rPr>
      </w:r>
      <w:r>
        <w:rPr>
          <w:spacing w:val="-3"/>
        </w:rPr>
        <w:t>标，不仅为公司未来品牌建设奠定了基础，也提供了法律保障。</w:t>
      </w:r>
    </w:p>
    <w:p>
      <w:pPr>
        <w:pStyle w:val="BodyText"/>
        <w:spacing w:line="300" w:lineRule="auto" w:before="31"/>
        <w:ind w:left="153" w:right="205" w:firstLine="422"/>
        <w:jc w:val="both"/>
      </w:pPr>
      <w:r>
        <w:rPr>
          <w:spacing w:val="-4"/>
        </w:rPr>
        <w:t>（</w:t>
      </w:r>
      <w:r>
        <w:rPr>
          <w:rFonts w:ascii="Times New Roman" w:hAnsi="Times New Roman" w:cs="Times New Roman" w:eastAsia="Times New Roman" w:hint="default"/>
          <w:spacing w:val="-4"/>
        </w:rPr>
        <w:t>3</w:t>
      </w:r>
      <w:r>
        <w:rPr>
          <w:spacing w:val="-4"/>
        </w:rPr>
        <w:t>）产品研发：公司初步建立了战略研发、应用研发分类式研发体系，搭建了通用照明、重点照明和驱动及智能照明</w:t>
      </w:r>
      <w:r>
        <w:rPr>
          <w:w w:val="101"/>
        </w:rPr>
        <w:t> </w:t>
      </w:r>
      <w:r>
        <w:rPr>
          <w:spacing w:val="-4"/>
        </w:rPr>
        <w:t>三大研发平台，截止报告期末公司共累计申请与</w:t>
      </w:r>
      <w:r>
        <w:rPr>
          <w:rFonts w:ascii="Times New Roman" w:hAnsi="Times New Roman" w:cs="Times New Roman" w:eastAsia="Times New Roman" w:hint="default"/>
          <w:spacing w:val="-4"/>
        </w:rPr>
        <w:t>LED</w:t>
      </w:r>
      <w:r>
        <w:rPr>
          <w:spacing w:val="-4"/>
        </w:rPr>
        <w:t>照明产品有关的专利</w:t>
      </w:r>
      <w:r>
        <w:rPr>
          <w:rFonts w:ascii="Times New Roman" w:hAnsi="Times New Roman" w:cs="Times New Roman" w:eastAsia="Times New Roman" w:hint="default"/>
          <w:spacing w:val="-4"/>
        </w:rPr>
        <w:t>71</w:t>
      </w:r>
      <w:r>
        <w:rPr>
          <w:spacing w:val="-4"/>
        </w:rPr>
        <w:t>项，并已取得</w:t>
      </w:r>
      <w:r>
        <w:rPr>
          <w:rFonts w:ascii="Times New Roman" w:hAnsi="Times New Roman" w:cs="Times New Roman" w:eastAsia="Times New Roman" w:hint="default"/>
          <w:spacing w:val="-4"/>
        </w:rPr>
        <w:t>66</w:t>
      </w:r>
      <w:r>
        <w:rPr>
          <w:spacing w:val="-4"/>
        </w:rPr>
        <w:t>项专利授权，其中报告期内公司</w:t>
      </w:r>
      <w:r>
        <w:rPr>
          <w:spacing w:val="59"/>
        </w:rPr>
        <w:t> </w:t>
      </w:r>
      <w:r>
        <w:rPr>
          <w:spacing w:val="59"/>
        </w:rPr>
      </w:r>
      <w:r>
        <w:rPr>
          <w:spacing w:val="-3"/>
        </w:rPr>
        <w:t>申请了</w:t>
      </w:r>
      <w:r>
        <w:rPr>
          <w:rFonts w:ascii="Times New Roman" w:hAnsi="Times New Roman" w:cs="Times New Roman" w:eastAsia="Times New Roman" w:hint="default"/>
          <w:spacing w:val="-3"/>
        </w:rPr>
        <w:t>4</w:t>
      </w:r>
      <w:r>
        <w:rPr>
          <w:spacing w:val="-3"/>
        </w:rPr>
        <w:t>项与</w:t>
      </w:r>
      <w:r>
        <w:rPr>
          <w:rFonts w:ascii="Times New Roman" w:hAnsi="Times New Roman" w:cs="Times New Roman" w:eastAsia="Times New Roman" w:hint="default"/>
          <w:spacing w:val="-3"/>
        </w:rPr>
        <w:t>LED</w:t>
      </w:r>
      <w:r>
        <w:rPr>
          <w:spacing w:val="-3"/>
        </w:rPr>
        <w:t>有关的专利，其中两项为发明专利。</w:t>
      </w:r>
    </w:p>
    <w:p>
      <w:pPr>
        <w:pStyle w:val="BodyText"/>
        <w:spacing w:line="309" w:lineRule="auto" w:before="13"/>
        <w:ind w:left="153" w:right="205" w:firstLine="422"/>
        <w:jc w:val="both"/>
      </w:pPr>
      <w:r>
        <w:rPr>
          <w:spacing w:val="-4"/>
        </w:rPr>
        <w:t>（</w:t>
      </w:r>
      <w:r>
        <w:rPr>
          <w:rFonts w:ascii="Times New Roman" w:hAnsi="Times New Roman" w:cs="Times New Roman" w:eastAsia="Times New Roman" w:hint="default"/>
          <w:spacing w:val="-4"/>
        </w:rPr>
        <w:t>4</w:t>
      </w:r>
      <w:r>
        <w:rPr>
          <w:spacing w:val="-4"/>
        </w:rPr>
        <w:t>）渠道建设：公司始终坚持以与渠道经销商求同存异、共赢发展为核心，大力开拓国内市场，同时通过为经销商提</w:t>
      </w:r>
      <w:r>
        <w:rPr>
          <w:w w:val="101"/>
        </w:rPr>
        <w:t> </w:t>
      </w:r>
      <w:r>
        <w:rPr>
          <w:spacing w:val="-4"/>
        </w:rPr>
        <w:t>供前期参与招标设计、方案讨论、照明解决方案设计等增值服务等方式，不断拓展营销渠道、稳定核心经销商队伍，形成了</w:t>
      </w:r>
      <w:r>
        <w:rPr>
          <w:spacing w:val="40"/>
        </w:rPr>
        <w:t> </w:t>
      </w:r>
      <w:r>
        <w:rPr>
          <w:spacing w:val="40"/>
        </w:rPr>
      </w:r>
      <w:r>
        <w:rPr/>
        <w:t>一批核心经销商。</w:t>
      </w:r>
    </w:p>
    <w:p>
      <w:pPr>
        <w:pStyle w:val="BodyText"/>
        <w:spacing w:line="300" w:lineRule="auto" w:before="24"/>
        <w:ind w:left="153" w:right="205" w:firstLine="422"/>
        <w:jc w:val="both"/>
      </w:pPr>
      <w:r>
        <w:rPr>
          <w:spacing w:val="-4"/>
        </w:rPr>
        <w:t>（</w:t>
      </w:r>
      <w:r>
        <w:rPr>
          <w:rFonts w:ascii="Times New Roman" w:hAnsi="Times New Roman" w:cs="Times New Roman" w:eastAsia="Times New Roman" w:hint="default"/>
          <w:spacing w:val="-4"/>
        </w:rPr>
        <w:t>5</w:t>
      </w:r>
      <w:r>
        <w:rPr>
          <w:spacing w:val="-4"/>
        </w:rPr>
        <w:t>）报告期内公司成立了产业并购基金，并在深圳前海成立了专业投资公司，公司将在自身式发展的同时，借助资本</w:t>
      </w:r>
      <w:r>
        <w:rPr>
          <w:w w:val="101"/>
        </w:rPr>
        <w:t> </w:t>
      </w:r>
      <w:r>
        <w:rPr>
          <w:spacing w:val="-3"/>
        </w:rPr>
        <w:t>的力量，促进公司相关业务实现快速、跨越式发展。</w:t>
      </w:r>
    </w:p>
    <w:p>
      <w:pPr>
        <w:pStyle w:val="BodyText"/>
        <w:spacing w:line="300" w:lineRule="auto" w:before="31"/>
        <w:ind w:left="575"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EMS</w:t>
      </w:r>
      <w:r>
        <w:rPr/>
        <w:t>业务</w:t>
      </w:r>
      <w:r>
        <w:rPr>
          <w:spacing w:val="-88"/>
        </w:rPr>
        <w:t> </w:t>
      </w:r>
      <w:r>
        <w:rPr>
          <w:spacing w:val="-88"/>
        </w:rPr>
      </w:r>
      <w:r>
        <w:rPr>
          <w:spacing w:val="-3"/>
        </w:rPr>
        <w:t>报告期内，公司在</w:t>
      </w:r>
      <w:r>
        <w:rPr>
          <w:rFonts w:ascii="Times New Roman" w:hAnsi="Times New Roman" w:cs="Times New Roman" w:eastAsia="Times New Roman" w:hint="default"/>
          <w:spacing w:val="-3"/>
        </w:rPr>
        <w:t>EMS</w:t>
      </w:r>
      <w:r>
        <w:rPr>
          <w:spacing w:val="-3"/>
        </w:rPr>
        <w:t>业务领域继续采取收缩、调整、健康运营的策略，公司通过对</w:t>
      </w:r>
      <w:r>
        <w:rPr>
          <w:rFonts w:ascii="Times New Roman" w:hAnsi="Times New Roman" w:cs="Times New Roman" w:eastAsia="Times New Roman" w:hint="default"/>
          <w:spacing w:val="-3"/>
        </w:rPr>
        <w:t>EMS</w:t>
      </w:r>
      <w:r>
        <w:rPr>
          <w:spacing w:val="-3"/>
        </w:rPr>
        <w:t>业务进行全面的盈利分析，</w:t>
      </w:r>
    </w:p>
    <w:p>
      <w:pPr>
        <w:pStyle w:val="BodyText"/>
        <w:spacing w:line="300" w:lineRule="auto" w:before="13"/>
        <w:ind w:right="205"/>
        <w:jc w:val="both"/>
      </w:pPr>
      <w:r>
        <w:rPr>
          <w:spacing w:val="-4"/>
        </w:rPr>
        <w:t>主动淘汰了部分</w:t>
      </w:r>
      <w:r>
        <w:rPr>
          <w:rFonts w:ascii="Times New Roman" w:hAnsi="Times New Roman" w:cs="Times New Roman" w:eastAsia="Times New Roman" w:hint="default"/>
          <w:spacing w:val="-4"/>
        </w:rPr>
        <w:t>“</w:t>
      </w:r>
      <w:r>
        <w:rPr>
          <w:spacing w:val="-4"/>
        </w:rPr>
        <w:t>鸡肋订单</w:t>
      </w:r>
      <w:r>
        <w:rPr>
          <w:rFonts w:ascii="Times New Roman" w:hAnsi="Times New Roman" w:cs="Times New Roman" w:eastAsia="Times New Roman" w:hint="default"/>
          <w:spacing w:val="-4"/>
        </w:rPr>
        <w:t>”</w:t>
      </w:r>
      <w:r>
        <w:rPr>
          <w:spacing w:val="-4"/>
        </w:rPr>
        <w:t>，在选择并保留了部分毛利率相对较高的客户单元的同时，新开拓了部分业务稳定、毛利水平较</w:t>
      </w:r>
      <w:r>
        <w:rPr>
          <w:spacing w:val="64"/>
        </w:rPr>
        <w:t> </w:t>
      </w:r>
      <w:r>
        <w:rPr>
          <w:spacing w:val="64"/>
        </w:rPr>
      </w:r>
      <w:r>
        <w:rPr>
          <w:spacing w:val="-3"/>
        </w:rPr>
        <w:t>高的客户单元以及部分</w:t>
      </w:r>
      <w:r>
        <w:rPr>
          <w:rFonts w:ascii="Times New Roman" w:hAnsi="Times New Roman" w:cs="Times New Roman" w:eastAsia="Times New Roman" w:hint="default"/>
          <w:spacing w:val="-3"/>
        </w:rPr>
        <w:t>ODM</w:t>
      </w:r>
      <w:r>
        <w:rPr>
          <w:spacing w:val="-3"/>
        </w:rPr>
        <w:t>订单，大幅优化了公司的客户结构、产品结构，报告期内虽然公司</w:t>
      </w:r>
      <w:r>
        <w:rPr>
          <w:rFonts w:ascii="Times New Roman" w:hAnsi="Times New Roman" w:cs="Times New Roman" w:eastAsia="Times New Roman" w:hint="default"/>
          <w:spacing w:val="-3"/>
        </w:rPr>
        <w:t>EMS</w:t>
      </w:r>
      <w:r>
        <w:rPr>
          <w:spacing w:val="-3"/>
        </w:rPr>
        <w:t>业务收入下降，但盈利</w:t>
      </w:r>
      <w:r>
        <w:rPr>
          <w:spacing w:val="67"/>
        </w:rPr>
        <w:t> </w:t>
      </w:r>
      <w:r>
        <w:rPr>
          <w:spacing w:val="67"/>
        </w:rPr>
      </w:r>
      <w:r>
        <w:rPr>
          <w:spacing w:val="-3"/>
        </w:rPr>
        <w:t>状况明显好转。</w:t>
      </w:r>
    </w:p>
    <w:p>
      <w:pPr>
        <w:pStyle w:val="BodyText"/>
        <w:spacing w:line="300" w:lineRule="auto" w:before="31"/>
        <w:ind w:left="575" w:right="0"/>
        <w:jc w:val="left"/>
      </w:pPr>
      <w:r>
        <w:rPr>
          <w:rFonts w:ascii="Times New Roman" w:hAnsi="Times New Roman" w:cs="Times New Roman" w:eastAsia="Times New Roman" w:hint="default"/>
        </w:rPr>
        <w:t>3</w:t>
      </w:r>
      <w:r>
        <w:rPr/>
        <w:t>、管理方面：</w:t>
      </w:r>
      <w:r>
        <w:rPr>
          <w:spacing w:val="-85"/>
        </w:rPr>
        <w:t> </w:t>
      </w:r>
      <w:r>
        <w:rPr>
          <w:spacing w:val="-85"/>
        </w:rPr>
      </w:r>
      <w:r>
        <w:rPr>
          <w:spacing w:val="-3"/>
        </w:rPr>
        <w:t>报告期内公司在保证产品质量、管理有效的基础上，强化成本管控意识，通过实现全面预算、滚动预测，严格控制、</w:t>
      </w:r>
    </w:p>
    <w:p>
      <w:pPr>
        <w:pStyle w:val="BodyText"/>
        <w:spacing w:line="316" w:lineRule="auto" w:before="31"/>
        <w:ind w:right="0"/>
        <w:jc w:val="left"/>
      </w:pPr>
      <w:r>
        <w:rPr>
          <w:spacing w:val="-4"/>
        </w:rPr>
        <w:t>全面管理公司的各项成本开支，报告期内公司各项费用较去年均有下降；公司还进一步完善了财务风险预警机制，严格控制</w:t>
      </w:r>
      <w:r>
        <w:rPr>
          <w:spacing w:val="43"/>
        </w:rPr>
        <w:t> </w:t>
      </w:r>
      <w:r>
        <w:rPr>
          <w:spacing w:val="43"/>
        </w:rPr>
      </w:r>
      <w:r>
        <w:rPr>
          <w:spacing w:val="-4"/>
        </w:rPr>
        <w:t>公司的财务风险，保证公司资产的安全；同时为适应公司发展的实际情况，合理管控子公司的各项潜在风险，进一步完善公</w:t>
      </w:r>
      <w:r>
        <w:rPr>
          <w:spacing w:val="43"/>
        </w:rPr>
        <w:t> </w:t>
      </w:r>
      <w:r>
        <w:rPr>
          <w:spacing w:val="43"/>
        </w:rPr>
      </w:r>
      <w:r>
        <w:rPr>
          <w:spacing w:val="-3"/>
        </w:rPr>
        <w:t>司治理结构，报告期内公司制定了《子公司管理制度》，从经营、人事、财务、信息、审计管理等各方面做了严格的规定，</w:t>
      </w:r>
      <w:r>
        <w:rPr>
          <w:spacing w:val="66"/>
        </w:rPr>
        <w:t> </w:t>
      </w:r>
      <w:r>
        <w:rPr>
          <w:spacing w:val="66"/>
        </w:rPr>
      </w:r>
      <w:r>
        <w:rPr>
          <w:spacing w:val="-4"/>
        </w:rPr>
        <w:t>并明确了相关事项的决策程序，有利于公司整体治理水平的提升。报告期内公司实施了股权激励计划，激励对象揽括了公司</w:t>
      </w:r>
      <w:r>
        <w:rPr>
          <w:spacing w:val="43"/>
        </w:rPr>
        <w:t> </w:t>
      </w:r>
      <w:r>
        <w:rPr>
          <w:spacing w:val="43"/>
        </w:rPr>
      </w:r>
      <w:r>
        <w:rPr>
          <w:spacing w:val="-3"/>
        </w:rPr>
        <w:t>核心人员和骨干人员，有利于实现人才的稳定，激发相关人员的创造性，支撑公司战略转型的成功实施。</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left"/>
      </w:pPr>
      <w:r>
        <w:rPr>
          <w:spacing w:val="-3"/>
        </w:rPr>
        <w:t>公司实际经营业绩较曾公开披露过的本年度盈利预测低于或高于</w:t>
      </w:r>
      <w:r>
        <w:rPr>
          <w:spacing w:val="36"/>
        </w:rPr>
        <w:t> </w:t>
      </w:r>
      <w:r>
        <w:rPr>
          <w:rFonts w:ascii="Times New Roman" w:hAnsi="Times New Roman" w:cs="Times New Roman" w:eastAsia="Times New Roman" w:hint="default"/>
        </w:rPr>
        <w:t>20%</w:t>
      </w:r>
      <w:r>
        <w:rPr/>
        <w:t>以上的差异原因</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92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说明</w:t>
      </w:r>
    </w:p>
    <w:p>
      <w:pPr>
        <w:pStyle w:val="BodyText"/>
        <w:spacing w:line="240" w:lineRule="auto" w:before="115"/>
        <w:ind w:left="0" w:right="1929"/>
        <w:jc w:val="right"/>
      </w:pPr>
      <w:r>
        <w:rPr>
          <w:spacing w:val="-2"/>
        </w:rPr>
        <w:t>单位：万元</w:t>
      </w:r>
    </w:p>
    <w:p>
      <w:pPr>
        <w:spacing w:line="240" w:lineRule="auto" w:before="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752"/>
        <w:gridCol w:w="1680"/>
        <w:gridCol w:w="1733"/>
        <w:gridCol w:w="2155"/>
        <w:gridCol w:w="2270"/>
      </w:tblGrid>
      <w:tr>
        <w:trPr>
          <w:trHeight w:val="312" w:hRule="exact"/>
        </w:trPr>
        <w:tc>
          <w:tcPr>
            <w:tcW w:w="175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73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15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7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55" w:hRule="exact"/>
        </w:trPr>
        <w:tc>
          <w:tcPr>
            <w:tcW w:w="17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left="4" w:right="0"/>
              <w:jc w:val="left"/>
              <w:rPr>
                <w:rFonts w:ascii="Times New Roman" w:hAnsi="Times New Roman" w:cs="Times New Roman" w:eastAsia="Times New Roman" w:hint="default"/>
                <w:sz w:val="18"/>
                <w:szCs w:val="18"/>
              </w:rPr>
            </w:pPr>
            <w:r>
              <w:rPr>
                <w:rFonts w:ascii="Times New Roman"/>
                <w:sz w:val="18"/>
              </w:rPr>
              <w:t>54,651.77</w:t>
            </w:r>
          </w:p>
        </w:tc>
        <w:tc>
          <w:tcPr>
            <w:tcW w:w="17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left="4" w:right="0"/>
              <w:jc w:val="left"/>
              <w:rPr>
                <w:rFonts w:ascii="Times New Roman" w:hAnsi="Times New Roman" w:cs="Times New Roman" w:eastAsia="Times New Roman" w:hint="default"/>
                <w:sz w:val="18"/>
                <w:szCs w:val="18"/>
              </w:rPr>
            </w:pPr>
            <w:r>
              <w:rPr>
                <w:rFonts w:ascii="Times New Roman"/>
                <w:sz w:val="18"/>
              </w:rPr>
              <w:t>61,864.79</w:t>
            </w:r>
          </w:p>
        </w:tc>
        <w:tc>
          <w:tcPr>
            <w:tcW w:w="21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left="9" w:right="0"/>
              <w:jc w:val="left"/>
              <w:rPr>
                <w:rFonts w:ascii="Times New Roman" w:hAnsi="Times New Roman" w:cs="Times New Roman" w:eastAsia="Times New Roman" w:hint="default"/>
                <w:sz w:val="18"/>
                <w:szCs w:val="18"/>
              </w:rPr>
            </w:pPr>
            <w:r>
              <w:rPr>
                <w:rFonts w:ascii="Times New Roman"/>
                <w:sz w:val="18"/>
              </w:rPr>
              <w:t>-11.66%</w:t>
            </w:r>
          </w:p>
        </w:tc>
        <w:tc>
          <w:tcPr>
            <w:tcW w:w="22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left="9" w:right="0"/>
              <w:jc w:val="left"/>
              <w:rPr>
                <w:rFonts w:ascii="Times New Roman" w:hAnsi="Times New Roman" w:cs="Times New Roman" w:eastAsia="Times New Roman" w:hint="default"/>
                <w:sz w:val="18"/>
                <w:szCs w:val="18"/>
              </w:rPr>
            </w:pPr>
            <w:r>
              <w:rPr>
                <w:rFonts w:ascii="Times New Roman"/>
                <w:sz w:val="18"/>
              </w:rPr>
              <w:t>113,553.76</w:t>
            </w:r>
          </w:p>
        </w:tc>
      </w:tr>
      <w:tr>
        <w:trPr>
          <w:trHeight w:val="34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51,732.50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59,770.17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 w:right="0"/>
              <w:jc w:val="left"/>
              <w:rPr>
                <w:rFonts w:ascii="Times New Roman" w:hAnsi="Times New Roman" w:cs="Times New Roman" w:eastAsia="Times New Roman" w:hint="default"/>
                <w:sz w:val="18"/>
                <w:szCs w:val="18"/>
              </w:rPr>
            </w:pPr>
            <w:r>
              <w:rPr>
                <w:rFonts w:ascii="Times New Roman"/>
                <w:sz w:val="18"/>
              </w:rPr>
              <w:t>-13.45%</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 w:right="0"/>
              <w:jc w:val="left"/>
              <w:rPr>
                <w:rFonts w:ascii="Times New Roman" w:hAnsi="Times New Roman" w:cs="Times New Roman" w:eastAsia="Times New Roman" w:hint="default"/>
                <w:sz w:val="18"/>
                <w:szCs w:val="18"/>
              </w:rPr>
            </w:pPr>
            <w:r>
              <w:rPr>
                <w:rFonts w:ascii="Times New Roman"/>
                <w:sz w:val="18"/>
              </w:rPr>
              <w:t>112,236.75</w:t>
            </w:r>
          </w:p>
        </w:tc>
      </w:tr>
    </w:tbl>
    <w:p>
      <w:pPr>
        <w:spacing w:line="240" w:lineRule="auto" w:before="4"/>
        <w:rPr>
          <w:rFonts w:ascii="宋体" w:hAnsi="宋体" w:cs="宋体" w:eastAsia="宋体" w:hint="default"/>
          <w:sz w:val="27"/>
          <w:szCs w:val="27"/>
        </w:rPr>
      </w:pPr>
    </w:p>
    <w:p>
      <w:pPr>
        <w:pStyle w:val="BodyText"/>
        <w:spacing w:line="300" w:lineRule="auto" w:before="46"/>
        <w:ind w:right="0"/>
        <w:jc w:val="left"/>
      </w:pPr>
      <w:r>
        <w:rPr>
          <w:spacing w:val="-3"/>
        </w:rPr>
        <w:t>报告期内，公司实现营业收入</w:t>
      </w:r>
      <w:r>
        <w:rPr>
          <w:rFonts w:ascii="Times New Roman" w:hAnsi="Times New Roman" w:cs="Times New Roman" w:eastAsia="Times New Roman" w:hint="default"/>
          <w:spacing w:val="-3"/>
        </w:rPr>
        <w:t>54,654.77</w:t>
      </w:r>
      <w:r>
        <w:rPr>
          <w:spacing w:val="-3"/>
        </w:rPr>
        <w:t>万元、主营业务收入</w:t>
      </w:r>
      <w:r>
        <w:rPr>
          <w:rFonts w:ascii="Times New Roman" w:hAnsi="Times New Roman" w:cs="Times New Roman" w:eastAsia="Times New Roman" w:hint="default"/>
          <w:spacing w:val="-3"/>
        </w:rPr>
        <w:t>51,732.5</w:t>
      </w:r>
      <w:r>
        <w:rPr>
          <w:spacing w:val="-3"/>
        </w:rPr>
        <w:t>万元，同比分别下降</w:t>
      </w:r>
      <w:r>
        <w:rPr>
          <w:rFonts w:ascii="Times New Roman" w:hAnsi="Times New Roman" w:cs="Times New Roman" w:eastAsia="Times New Roman" w:hint="default"/>
          <w:spacing w:val="-3"/>
        </w:rPr>
        <w:t>11.66%</w:t>
      </w:r>
      <w:r>
        <w:rPr>
          <w:spacing w:val="-3"/>
        </w:rPr>
        <w:t>、</w:t>
      </w:r>
      <w:r>
        <w:rPr>
          <w:rFonts w:ascii="Times New Roman" w:hAnsi="Times New Roman" w:cs="Times New Roman" w:eastAsia="Times New Roman" w:hint="default"/>
          <w:spacing w:val="-3"/>
        </w:rPr>
        <w:t>13.45%</w:t>
      </w:r>
      <w:r>
        <w:rPr>
          <w:spacing w:val="-3"/>
        </w:rPr>
        <w:t>，主要系报告期内</w:t>
      </w:r>
      <w:r>
        <w:rPr>
          <w:spacing w:val="-1"/>
        </w:rPr>
        <w:t> </w:t>
      </w:r>
      <w:r>
        <w:rPr>
          <w:spacing w:val="-1"/>
        </w:rPr>
      </w:r>
      <w:r>
        <w:rPr/>
        <w:t>公司</w:t>
      </w:r>
      <w:r>
        <w:rPr>
          <w:rFonts w:ascii="Times New Roman" w:hAnsi="Times New Roman" w:cs="Times New Roman" w:eastAsia="Times New Roman" w:hint="default"/>
        </w:rPr>
        <w:t>EMS</w:t>
      </w:r>
      <w:r>
        <w:rPr/>
        <w:t>业务收入减少所致。</w:t>
      </w:r>
    </w:p>
    <w:p>
      <w:pPr>
        <w:spacing w:line="240" w:lineRule="auto" w:before="0"/>
        <w:rPr>
          <w:rFonts w:ascii="宋体" w:hAnsi="宋体" w:cs="宋体" w:eastAsia="宋体" w:hint="default"/>
          <w:sz w:val="18"/>
          <w:szCs w:val="18"/>
        </w:rPr>
      </w:pPr>
    </w:p>
    <w:p>
      <w:pPr>
        <w:pStyle w:val="BodyText"/>
        <w:spacing w:line="240" w:lineRule="auto" w:before="132"/>
        <w:ind w:right="0"/>
        <w:jc w:val="left"/>
      </w:pPr>
      <w:r>
        <w:rPr>
          <w:spacing w:val="-3"/>
        </w:rPr>
        <w:t>公司实物销售收入是否大于劳务收入</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-15.81%</w:t>
            </w:r>
          </w:p>
        </w:tc>
      </w:tr>
      <w:tr>
        <w:trPr>
          <w:trHeight w:val="403" w:hRule="exact"/>
        </w:trPr>
        <w:tc>
          <w:tcPr>
            <w:tcW w:w="1598"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-17.06%</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-5.86%</w:t>
            </w:r>
          </w:p>
        </w:tc>
      </w:tr>
    </w:tbl>
    <w:p>
      <w:pPr>
        <w:pStyle w:val="BodyText"/>
        <w:spacing w:line="240" w:lineRule="auto" w:before="53"/>
        <w:ind w:right="0"/>
        <w:jc w:val="left"/>
      </w:pPr>
      <w:r>
        <w:rPr>
          <w:spacing w:val="-2"/>
        </w:rPr>
        <w:t>相关数据同比发生变动</w:t>
      </w:r>
      <w:r>
        <w:rPr>
          <w:spacing w:val="-1"/>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6"/>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153" w:right="0"/>
        <w:jc w:val="left"/>
      </w:pPr>
      <w:r>
        <w:rPr>
          <w:spacing w:val="-3"/>
        </w:rPr>
        <w:t>公司重大的在手订单情况</w:t>
      </w:r>
    </w:p>
    <w:p>
      <w:pPr>
        <w:pStyle w:val="BodyText"/>
        <w:spacing w:line="240" w:lineRule="auto" w:before="119"/>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153" w:right="0"/>
        <w:jc w:val="left"/>
      </w:pPr>
      <w:r>
        <w:rPr>
          <w:spacing w:val="-3"/>
        </w:rPr>
        <w:t>公司报告期内产品或服务发生重大变化或调整有关情况</w:t>
      </w:r>
    </w:p>
    <w:p>
      <w:pPr>
        <w:pStyle w:val="BodyText"/>
        <w:spacing w:line="319" w:lineRule="auto" w:before="119"/>
        <w:ind w:left="153" w:right="0" w:hanging="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6"/>
        </w:rPr>
        <w:t>因公司进行业务调整，报告期内，公司</w:t>
      </w:r>
      <w:r>
        <w:rPr>
          <w:rFonts w:ascii="Times New Roman" w:hAnsi="Times New Roman" w:cs="Times New Roman" w:eastAsia="Times New Roman" w:hint="default"/>
          <w:spacing w:val="-6"/>
        </w:rPr>
        <w:t>EMS</w:t>
      </w:r>
      <w:r>
        <w:rPr>
          <w:spacing w:val="-6"/>
        </w:rPr>
        <w:t>业务的规模继续下滑，</w:t>
      </w:r>
      <w:r>
        <w:rPr>
          <w:rFonts w:ascii="Times New Roman" w:hAnsi="Times New Roman" w:cs="Times New Roman" w:eastAsia="Times New Roman" w:hint="default"/>
          <w:spacing w:val="-6"/>
        </w:rPr>
        <w:t>LED</w:t>
      </w:r>
      <w:r>
        <w:rPr>
          <w:spacing w:val="-6"/>
        </w:rPr>
        <w:t>照明业务的收入规模和盈利水平持续上升，报告期末，</w:t>
      </w:r>
      <w:r>
        <w:rPr>
          <w:spacing w:val="77"/>
        </w:rPr>
        <w:t> </w:t>
      </w:r>
      <w:r>
        <w:rPr>
          <w:spacing w:val="77"/>
        </w:rPr>
      </w:r>
      <w:r>
        <w:rPr>
          <w:spacing w:val="-3"/>
        </w:rPr>
        <w:t>公司业务结构进一步发生变化，公司业务收入及利润贡献正在转向</w:t>
      </w:r>
      <w:r>
        <w:rPr>
          <w:rFonts w:ascii="Times New Roman" w:hAnsi="Times New Roman" w:cs="Times New Roman" w:eastAsia="Times New Roman" w:hint="default"/>
          <w:spacing w:val="-3"/>
        </w:rPr>
        <w:t>LED</w:t>
      </w:r>
      <w:r>
        <w:rPr>
          <w:spacing w:val="-3"/>
        </w:rPr>
        <w:t>照明业务。</w:t>
      </w:r>
    </w:p>
    <w:p>
      <w:pPr>
        <w:spacing w:line="240" w:lineRule="auto" w:before="0"/>
        <w:rPr>
          <w:rFonts w:ascii="宋体" w:hAnsi="宋体" w:cs="宋体" w:eastAsia="宋体" w:hint="default"/>
          <w:sz w:val="18"/>
          <w:szCs w:val="18"/>
        </w:rPr>
      </w:pPr>
    </w:p>
    <w:p>
      <w:pPr>
        <w:pStyle w:val="BodyText"/>
        <w:spacing w:line="240" w:lineRule="auto" w:before="155"/>
        <w:ind w:left="153"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317,822,163.63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58.15%</w:t>
            </w:r>
          </w:p>
        </w:tc>
      </w:tr>
    </w:tbl>
    <w:p>
      <w:pPr>
        <w:spacing w:line="240" w:lineRule="auto" w:before="4"/>
        <w:rPr>
          <w:rFonts w:ascii="宋体" w:hAnsi="宋体" w:cs="宋体" w:eastAsia="宋体" w:hint="default"/>
          <w:sz w:val="27"/>
          <w:szCs w:val="27"/>
        </w:rPr>
      </w:pPr>
    </w:p>
    <w:p>
      <w:pPr>
        <w:pStyle w:val="BodyText"/>
        <w:spacing w:line="240" w:lineRule="auto" w:before="46"/>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pStyle w:val="BodyText"/>
        <w:spacing w:line="240" w:lineRule="auto" w:before="106"/>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3"/>
        <w:gridCol w:w="3139"/>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93,614,130.12</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17.13%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70,290,598.17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12.86%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62,777,338.33</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11.49%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3"/>
        <w:gridCol w:w="3139"/>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4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59,493,055.25</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10.89%</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4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31,647,041.76</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01"/>
              <w:jc w:val="righ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317,822,163.63</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58.15%</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行业分类</w:t>
      </w:r>
    </w:p>
    <w:p>
      <w:pPr>
        <w:pStyle w:val="BodyText"/>
        <w:spacing w:line="240" w:lineRule="auto" w:before="115"/>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5"/>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z w:val="18"/>
              </w:rPr>
              <w:t>449,157,064.11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pacing w:val="-2"/>
                <w:sz w:val="18"/>
              </w:rPr>
              <w:t>582,763,011.61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0" w:right="0"/>
              <w:jc w:val="left"/>
              <w:rPr>
                <w:rFonts w:ascii="Times New Roman" w:hAnsi="Times New Roman" w:cs="Times New Roman" w:eastAsia="Times New Roman" w:hint="default"/>
                <w:sz w:val="18"/>
                <w:szCs w:val="18"/>
              </w:rPr>
            </w:pPr>
            <w:r>
              <w:rPr>
                <w:rFonts w:ascii="Times New Roman"/>
                <w:sz w:val="18"/>
              </w:rPr>
              <w:t>-22.93%</w:t>
            </w:r>
          </w:p>
        </w:tc>
      </w:tr>
    </w:tbl>
    <w:p>
      <w:pPr>
        <w:pStyle w:val="BodyText"/>
        <w:spacing w:line="240" w:lineRule="auto" w:before="53"/>
        <w:ind w:right="0"/>
        <w:jc w:val="left"/>
      </w:pPr>
      <w:r>
        <w:rPr/>
        <w:t>产品分类</w:t>
      </w:r>
    </w:p>
    <w:p>
      <w:pPr>
        <w:pStyle w:val="BodyText"/>
        <w:spacing w:line="240" w:lineRule="auto" w:before="115"/>
        <w:ind w:left="0" w:right="146"/>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398"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5"/>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96,921,382.02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75,047,433.08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消费类电子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352,235,682.09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74.84%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507,715,578.53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-30.62%</w:t>
            </w:r>
          </w:p>
        </w:tc>
      </w:tr>
    </w:tbl>
    <w:p>
      <w:pPr>
        <w:pStyle w:val="BodyText"/>
        <w:spacing w:line="352" w:lineRule="auto" w:before="54"/>
        <w:ind w:right="1226"/>
        <w:jc w:val="left"/>
      </w:pPr>
      <w:r>
        <w:rPr/>
        <w:t>说明</w:t>
      </w:r>
      <w:r>
        <w:rPr>
          <w:spacing w:val="-86"/>
        </w:rPr>
        <w:t> </w:t>
      </w:r>
      <w:r>
        <w:rPr>
          <w:spacing w:val="-2"/>
        </w:rPr>
        <w:t>报告期内公司主营业务成本</w:t>
      </w:r>
      <w:r>
        <w:rPr>
          <w:rFonts w:ascii="Times New Roman" w:hAnsi="Times New Roman" w:cs="Times New Roman" w:eastAsia="Times New Roman" w:hint="default"/>
          <w:spacing w:val="-2"/>
        </w:rPr>
        <w:t>449,157,064.11</w:t>
      </w:r>
      <w:r>
        <w:rPr>
          <w:spacing w:val="-2"/>
        </w:rPr>
        <w:t>元，同比减少</w:t>
      </w:r>
      <w:r>
        <w:rPr>
          <w:rFonts w:ascii="Times New Roman" w:hAnsi="Times New Roman" w:cs="Times New Roman" w:eastAsia="Times New Roman" w:hint="default"/>
          <w:spacing w:val="-2"/>
        </w:rPr>
        <w:t>22.93%</w:t>
      </w:r>
      <w:r>
        <w:rPr>
          <w:spacing w:val="-2"/>
        </w:rPr>
        <w:t>，主要系报告期内公司销售收入减少所致。</w:t>
      </w:r>
    </w:p>
    <w:p>
      <w:pPr>
        <w:spacing w:line="240" w:lineRule="auto" w:before="0"/>
        <w:rPr>
          <w:rFonts w:ascii="宋体" w:hAnsi="宋体" w:cs="宋体" w:eastAsia="宋体" w:hint="default"/>
          <w:sz w:val="18"/>
          <w:szCs w:val="18"/>
        </w:rPr>
      </w:pPr>
    </w:p>
    <w:p>
      <w:pPr>
        <w:pStyle w:val="BodyText"/>
        <w:spacing w:line="240" w:lineRule="auto" w:before="132"/>
        <w:ind w:right="0"/>
        <w:jc w:val="left"/>
      </w:pPr>
      <w:r>
        <w:rPr>
          <w:spacing w:val="-3"/>
        </w:rPr>
        <w:t>公司主要供应商情况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188,705,402.80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47.50%</w:t>
            </w:r>
          </w:p>
        </w:tc>
      </w:tr>
    </w:tbl>
    <w:p>
      <w:pPr>
        <w:spacing w:line="240" w:lineRule="auto" w:before="9"/>
        <w:rPr>
          <w:rFonts w:ascii="宋体" w:hAnsi="宋体" w:cs="宋体" w:eastAsia="宋体" w:hint="default"/>
          <w:sz w:val="27"/>
          <w:szCs w:val="27"/>
        </w:rPr>
      </w:pPr>
    </w:p>
    <w:p>
      <w:pPr>
        <w:pStyle w:val="BodyText"/>
        <w:spacing w:line="240" w:lineRule="auto" w:before="46"/>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3"/>
        <w:gridCol w:w="3139"/>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79,983,910.21</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20.13%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56,548,729.05</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14.23%</w:t>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19,537,976.84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16,358,299.00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16,276,487.70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188,705,402.80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47.50%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509"/>
        <w:jc w:val="right"/>
      </w:pPr>
      <w:r>
        <w:rPr>
          <w:spacing w:val="-2"/>
        </w:rPr>
        <w:t>单位：万元</w:t>
      </w:r>
    </w:p>
    <w:p>
      <w:pPr>
        <w:spacing w:after="0" w:line="240" w:lineRule="auto"/>
        <w:jc w:val="right"/>
        <w:sectPr>
          <w:pgSz w:w="11910" w:h="16840"/>
          <w:pgMar w:header="741" w:footer="979" w:top="1060" w:bottom="1160" w:left="980" w:right="980"/>
        </w:sectPr>
      </w:pPr>
    </w:p>
    <w:p>
      <w:pPr>
        <w:spacing w:line="240" w:lineRule="auto" w:before="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088"/>
        <w:gridCol w:w="1747"/>
        <w:gridCol w:w="1805"/>
        <w:gridCol w:w="1891"/>
        <w:gridCol w:w="2045"/>
      </w:tblGrid>
      <w:tr>
        <w:trPr>
          <w:trHeight w:val="336" w:hRule="exact"/>
        </w:trPr>
        <w:tc>
          <w:tcPr>
            <w:tcW w:w="20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80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89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
              <w:ind w:right="45"/>
              <w:jc w:val="right"/>
              <w:rPr>
                <w:rFonts w:ascii="宋体" w:hAnsi="宋体" w:cs="宋体" w:eastAsia="宋体" w:hint="default"/>
                <w:sz w:val="18"/>
                <w:szCs w:val="18"/>
              </w:rPr>
            </w:pPr>
            <w:r>
              <w:rPr>
                <w:rFonts w:ascii="宋体" w:hAnsi="宋体" w:cs="宋体" w:eastAsia="宋体" w:hint="default"/>
                <w:spacing w:val="-2"/>
                <w:sz w:val="18"/>
                <w:szCs w:val="18"/>
              </w:rPr>
              <w:t>本年比上年增减（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204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422" w:hRule="exact"/>
        </w:trPr>
        <w:tc>
          <w:tcPr>
            <w:tcW w:w="20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4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1,801.18</w:t>
            </w:r>
          </w:p>
        </w:tc>
        <w:tc>
          <w:tcPr>
            <w:tcW w:w="180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2,507.32</w:t>
            </w:r>
          </w:p>
        </w:tc>
        <w:tc>
          <w:tcPr>
            <w:tcW w:w="18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-28.16%</w:t>
            </w:r>
          </w:p>
        </w:tc>
        <w:tc>
          <w:tcPr>
            <w:tcW w:w="20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2,469.85</w:t>
            </w:r>
          </w:p>
        </w:tc>
      </w:tr>
      <w:tr>
        <w:trPr>
          <w:trHeight w:val="422" w:hRule="exact"/>
        </w:trPr>
        <w:tc>
          <w:tcPr>
            <w:tcW w:w="20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4,246.96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6,368.04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-33.31%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5,283.89</w:t>
            </w:r>
          </w:p>
        </w:tc>
      </w:tr>
      <w:tr>
        <w:trPr>
          <w:trHeight w:val="422" w:hRule="exact"/>
        </w:trPr>
        <w:tc>
          <w:tcPr>
            <w:tcW w:w="2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-616.07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314.01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-296.19%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-169.4</w:t>
            </w:r>
          </w:p>
        </w:tc>
      </w:tr>
      <w:tr>
        <w:trPr>
          <w:trHeight w:val="422" w:hRule="exact"/>
        </w:trPr>
        <w:tc>
          <w:tcPr>
            <w:tcW w:w="20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334.84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269.28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24.35%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236.85</w:t>
            </w:r>
          </w:p>
        </w:tc>
      </w:tr>
      <w:tr>
        <w:trPr>
          <w:trHeight w:val="422" w:hRule="exact"/>
        </w:trPr>
        <w:tc>
          <w:tcPr>
            <w:tcW w:w="20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1291.48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10,704.97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-87.94%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-861.87</w:t>
            </w:r>
          </w:p>
        </w:tc>
      </w:tr>
    </w:tbl>
    <w:p>
      <w:pPr>
        <w:pStyle w:val="BodyText"/>
        <w:spacing w:line="240" w:lineRule="auto" w:before="10"/>
        <w:ind w:right="0"/>
        <w:jc w:val="left"/>
      </w:pPr>
      <w:r>
        <w:rPr>
          <w:spacing w:val="-3"/>
        </w:rPr>
        <w:t>（</w:t>
      </w:r>
      <w:r>
        <w:rPr>
          <w:rFonts w:ascii="Times New Roman" w:hAnsi="Times New Roman" w:cs="Times New Roman" w:eastAsia="Times New Roman" w:hint="default"/>
          <w:spacing w:val="-3"/>
        </w:rPr>
        <w:t>1</w:t>
      </w:r>
      <w:r>
        <w:rPr>
          <w:spacing w:val="-3"/>
        </w:rPr>
        <w:t>）报告期内管理费用为人民币</w:t>
      </w:r>
      <w:r>
        <w:rPr>
          <w:rFonts w:ascii="Times New Roman" w:hAnsi="Times New Roman" w:cs="Times New Roman" w:eastAsia="Times New Roman" w:hint="default"/>
          <w:spacing w:val="-3"/>
        </w:rPr>
        <w:t>4,246.96</w:t>
      </w:r>
      <w:r>
        <w:rPr>
          <w:spacing w:val="-3"/>
        </w:rPr>
        <w:t>万元，同比减少</w:t>
      </w:r>
      <w:r>
        <w:rPr>
          <w:rFonts w:ascii="Times New Roman" w:hAnsi="Times New Roman" w:cs="Times New Roman" w:eastAsia="Times New Roman" w:hint="default"/>
          <w:spacing w:val="-3"/>
        </w:rPr>
        <w:t>33.31%</w:t>
      </w:r>
      <w:r>
        <w:rPr>
          <w:spacing w:val="-3"/>
        </w:rPr>
        <w:t>，主要系研发支出减少所致；</w:t>
      </w:r>
    </w:p>
    <w:p>
      <w:pPr>
        <w:pStyle w:val="BodyText"/>
        <w:spacing w:line="240" w:lineRule="auto" w:before="63"/>
        <w:ind w:right="0"/>
        <w:jc w:val="left"/>
      </w:pPr>
      <w:r>
        <w:rPr>
          <w:spacing w:val="-3"/>
        </w:rPr>
        <w:t>（</w:t>
      </w:r>
      <w:r>
        <w:rPr>
          <w:rFonts w:ascii="Times New Roman" w:hAnsi="Times New Roman" w:cs="Times New Roman" w:eastAsia="Times New Roman" w:hint="default"/>
          <w:spacing w:val="-3"/>
        </w:rPr>
        <w:t>2</w:t>
      </w:r>
      <w:r>
        <w:rPr>
          <w:spacing w:val="-3"/>
        </w:rPr>
        <w:t>）报告期内财务费用为人民币</w:t>
      </w:r>
      <w:r>
        <w:rPr>
          <w:rFonts w:ascii="Times New Roman" w:hAnsi="Times New Roman" w:cs="Times New Roman" w:eastAsia="Times New Roman" w:hint="default"/>
          <w:spacing w:val="-3"/>
        </w:rPr>
        <w:t>-616.07</w:t>
      </w:r>
      <w:r>
        <w:rPr>
          <w:spacing w:val="-3"/>
        </w:rPr>
        <w:t>万元，同比减少</w:t>
      </w:r>
      <w:r>
        <w:rPr>
          <w:rFonts w:ascii="Times New Roman" w:hAnsi="Times New Roman" w:cs="Times New Roman" w:eastAsia="Times New Roman" w:hint="default"/>
          <w:spacing w:val="-3"/>
        </w:rPr>
        <w:t>296.19%</w:t>
      </w:r>
      <w:r>
        <w:rPr>
          <w:spacing w:val="-3"/>
        </w:rPr>
        <w:t>，主要系利息收入增加所致；</w:t>
      </w:r>
    </w:p>
    <w:p>
      <w:pPr>
        <w:pStyle w:val="BodyText"/>
        <w:spacing w:line="300" w:lineRule="auto" w:before="63"/>
        <w:ind w:right="0"/>
        <w:jc w:val="left"/>
      </w:pPr>
      <w:r>
        <w:rPr>
          <w:spacing w:val="-4"/>
        </w:rPr>
        <w:t>（</w:t>
      </w:r>
      <w:r>
        <w:rPr>
          <w:rFonts w:ascii="Times New Roman" w:hAnsi="Times New Roman" w:cs="Times New Roman" w:eastAsia="Times New Roman" w:hint="default"/>
          <w:spacing w:val="-4"/>
        </w:rPr>
        <w:t>3</w:t>
      </w:r>
      <w:r>
        <w:rPr>
          <w:spacing w:val="-4"/>
        </w:rPr>
        <w:t>）报告期内资产减值损失为人民币</w:t>
      </w:r>
      <w:r>
        <w:rPr>
          <w:rFonts w:ascii="Times New Roman" w:hAnsi="Times New Roman" w:cs="Times New Roman" w:eastAsia="Times New Roman" w:hint="default"/>
          <w:spacing w:val="-4"/>
        </w:rPr>
        <w:t>1291.48</w:t>
      </w:r>
      <w:r>
        <w:rPr>
          <w:spacing w:val="-4"/>
        </w:rPr>
        <w:t>万元，同比减少</w:t>
      </w:r>
      <w:r>
        <w:rPr>
          <w:rFonts w:ascii="Times New Roman" w:hAnsi="Times New Roman" w:cs="Times New Roman" w:eastAsia="Times New Roman" w:hint="default"/>
          <w:spacing w:val="-4"/>
        </w:rPr>
        <w:t>87.94%</w:t>
      </w:r>
      <w:r>
        <w:rPr>
          <w:spacing w:val="-4"/>
        </w:rPr>
        <w:t>，主要系报告期内未计提固定资产减值准备、长期股权</w:t>
      </w:r>
      <w:r>
        <w:rPr>
          <w:spacing w:val="7"/>
        </w:rPr>
        <w:t> </w:t>
      </w:r>
      <w:r>
        <w:rPr>
          <w:spacing w:val="7"/>
        </w:rPr>
      </w:r>
      <w:r>
        <w:rPr>
          <w:spacing w:val="-3"/>
        </w:rPr>
        <w:t>投资商誉减值，以及对存货、应收账款等资产计提的减值损失减少所致。</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7"/>
        <w:rPr>
          <w:rFonts w:ascii="Microsoft JhengHei" w:hAnsi="Microsoft JhengHei" w:cs="Microsoft JhengHei" w:eastAsia="Microsoft JhengHei" w:hint="default"/>
          <w:b/>
          <w:bCs/>
          <w:sz w:val="17"/>
          <w:szCs w:val="17"/>
        </w:rPr>
      </w:pPr>
    </w:p>
    <w:p>
      <w:pPr>
        <w:pStyle w:val="BodyText"/>
        <w:spacing w:line="240" w:lineRule="auto"/>
        <w:ind w:left="6455" w:right="0"/>
        <w:jc w:val="left"/>
      </w:pPr>
      <w:r>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51"/>
        <w:gridCol w:w="1656"/>
        <w:gridCol w:w="1637"/>
        <w:gridCol w:w="1930"/>
        <w:gridCol w:w="2088"/>
      </w:tblGrid>
      <w:tr>
        <w:trPr>
          <w:trHeight w:val="418" w:hRule="exact"/>
        </w:trPr>
        <w:tc>
          <w:tcPr>
            <w:tcW w:w="22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5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63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93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422" w:hRule="exact"/>
        </w:trPr>
        <w:tc>
          <w:tcPr>
            <w:tcW w:w="22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6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1,358.46</w:t>
            </w:r>
          </w:p>
        </w:tc>
        <w:tc>
          <w:tcPr>
            <w:tcW w:w="163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2,390.45</w:t>
            </w:r>
          </w:p>
        </w:tc>
        <w:tc>
          <w:tcPr>
            <w:tcW w:w="19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-43.17%</w:t>
            </w:r>
          </w:p>
        </w:tc>
        <w:tc>
          <w:tcPr>
            <w:tcW w:w="208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2,296.46</w:t>
            </w:r>
          </w:p>
        </w:tc>
      </w:tr>
      <w:tr>
        <w:trPr>
          <w:trHeight w:val="422" w:hRule="exact"/>
        </w:trPr>
        <w:tc>
          <w:tcPr>
            <w:tcW w:w="22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54,651.77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61,864.79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-11.66%</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113,553.76</w:t>
            </w:r>
          </w:p>
        </w:tc>
      </w:tr>
      <w:tr>
        <w:trPr>
          <w:trHeight w:val="422" w:hRule="exact"/>
        </w:trPr>
        <w:tc>
          <w:tcPr>
            <w:tcW w:w="22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3"/>
                <w:sz w:val="18"/>
                <w:szCs w:val="18"/>
              </w:rPr>
              <w:t>研发支出占营业收入的比例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3.86%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2"/>
                <w:sz w:val="18"/>
              </w:rPr>
              <w:t>-1.37%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2.02%</w:t>
            </w:r>
          </w:p>
        </w:tc>
      </w:tr>
      <w:tr>
        <w:trPr>
          <w:trHeight w:val="418" w:hRule="exact"/>
        </w:trPr>
        <w:tc>
          <w:tcPr>
            <w:tcW w:w="22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50,935.87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49,438.99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3.03%</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55,088.84</w:t>
            </w:r>
          </w:p>
        </w:tc>
      </w:tr>
      <w:tr>
        <w:trPr>
          <w:trHeight w:val="422" w:hRule="exact"/>
        </w:trPr>
        <w:tc>
          <w:tcPr>
            <w:tcW w:w="225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pacing w:val="-3"/>
                <w:sz w:val="18"/>
                <w:szCs w:val="18"/>
              </w:rPr>
              <w:t>研发支出占净资产的比例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2.67%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4.84%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2"/>
                <w:sz w:val="18"/>
              </w:rPr>
              <w:t>-2.17%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4.17%</w:t>
            </w:r>
          </w:p>
        </w:tc>
      </w:tr>
    </w:tbl>
    <w:p>
      <w:pPr>
        <w:pStyle w:val="BodyText"/>
        <w:spacing w:line="240" w:lineRule="auto" w:before="10"/>
        <w:ind w:left="0" w:right="114"/>
        <w:jc w:val="right"/>
      </w:pPr>
      <w:r>
        <w:rPr>
          <w:spacing w:val="-4"/>
        </w:rPr>
        <w:t>报告期内研发支出人民币</w:t>
      </w:r>
      <w:r>
        <w:rPr>
          <w:rFonts w:ascii="Times New Roman" w:hAnsi="Times New Roman" w:cs="Times New Roman" w:eastAsia="Times New Roman" w:hint="default"/>
          <w:spacing w:val="-4"/>
        </w:rPr>
        <w:t>1,358.46</w:t>
      </w:r>
      <w:r>
        <w:rPr>
          <w:spacing w:val="-4"/>
        </w:rPr>
        <w:t>万元，同比减少</w:t>
      </w:r>
      <w:r>
        <w:rPr>
          <w:rFonts w:ascii="Times New Roman" w:hAnsi="Times New Roman" w:cs="Times New Roman" w:eastAsia="Times New Roman" w:hint="default"/>
          <w:spacing w:val="-4"/>
        </w:rPr>
        <w:t>43.17%</w:t>
      </w:r>
      <w:r>
        <w:rPr>
          <w:spacing w:val="-4"/>
        </w:rPr>
        <w:t>，主要系研发投入已基本在前期完成，报告期内研发项目减少所致。</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20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532,676,878.05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633,620,678.68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-15.93%</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528,379,835.02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658,756,799.96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-19.79%</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9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4,297,043.03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-25,136,121.28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117.10%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108,216,087.50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2,461,283.10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4,296.73%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20,019,831.21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138,546,846.26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-85.55%</w:t>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88,196,256.29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-136,085,563.16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164.81%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110,064,350.00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566,105,619.63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-80.56%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205,307,214.87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342,392,040.47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-95,242,864.87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223,713,579.16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-142.57%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-2,547,381.54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60,986,299.76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-104.18%</w:t>
            </w:r>
          </w:p>
        </w:tc>
      </w:tr>
    </w:tbl>
    <w:p>
      <w:pPr>
        <w:pStyle w:val="BodyText"/>
        <w:spacing w:line="240" w:lineRule="auto" w:before="53"/>
        <w:ind w:right="0"/>
        <w:jc w:val="left"/>
      </w:pPr>
      <w:r>
        <w:rPr>
          <w:spacing w:val="-2"/>
        </w:rPr>
        <w:t>相关数据同比发生变动</w:t>
      </w:r>
      <w:r>
        <w:rPr>
          <w:spacing w:val="-1"/>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1"/>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0" w:lineRule="auto" w:before="101"/>
        <w:ind w:left="153" w:right="0" w:hanging="1"/>
        <w:jc w:val="left"/>
      </w:pPr>
      <w:r>
        <w:rPr>
          <w:spacing w:val="-3"/>
        </w:rPr>
        <w:t>（</w:t>
      </w:r>
      <w:r>
        <w:rPr>
          <w:rFonts w:ascii="Times New Roman" w:hAnsi="Times New Roman" w:cs="Times New Roman" w:eastAsia="Times New Roman" w:hint="default"/>
          <w:spacing w:val="-3"/>
        </w:rPr>
        <w:t>1</w:t>
      </w:r>
      <w:r>
        <w:rPr>
          <w:spacing w:val="-3"/>
        </w:rPr>
        <w:t>）报告期内公司经营活动产生的现金流量净额为</w:t>
      </w:r>
      <w:r>
        <w:rPr>
          <w:rFonts w:ascii="Times New Roman" w:hAnsi="Times New Roman" w:cs="Times New Roman" w:eastAsia="Times New Roman" w:hint="default"/>
          <w:spacing w:val="-3"/>
        </w:rPr>
        <w:t>429.70</w:t>
      </w:r>
      <w:r>
        <w:rPr>
          <w:spacing w:val="-3"/>
        </w:rPr>
        <w:t>万元，同比增加</w:t>
      </w:r>
      <w:r>
        <w:rPr>
          <w:rFonts w:ascii="Times New Roman" w:hAnsi="Times New Roman" w:cs="Times New Roman" w:eastAsia="Times New Roman" w:hint="default"/>
          <w:spacing w:val="-3"/>
        </w:rPr>
        <w:t>117.1%</w:t>
      </w:r>
      <w:r>
        <w:rPr>
          <w:spacing w:val="-3"/>
        </w:rPr>
        <w:t>，主要系经营活动所支付款项较收取款项</w:t>
      </w:r>
      <w:r>
        <w:rPr/>
        <w:t> </w:t>
      </w:r>
      <w:r>
        <w:rPr/>
        <w:t>较少所致。</w:t>
      </w:r>
    </w:p>
    <w:p>
      <w:pPr>
        <w:pStyle w:val="BodyText"/>
        <w:spacing w:line="300" w:lineRule="auto" w:before="31"/>
        <w:ind w:left="153" w:right="0"/>
        <w:jc w:val="left"/>
      </w:pPr>
      <w:r>
        <w:rPr>
          <w:spacing w:val="-3"/>
        </w:rPr>
        <w:t>（</w:t>
      </w:r>
      <w:r>
        <w:rPr>
          <w:rFonts w:ascii="Times New Roman" w:hAnsi="Times New Roman" w:cs="Times New Roman" w:eastAsia="Times New Roman" w:hint="default"/>
          <w:spacing w:val="-3"/>
        </w:rPr>
        <w:t>2</w:t>
      </w:r>
      <w:r>
        <w:rPr>
          <w:spacing w:val="-3"/>
        </w:rPr>
        <w:t>）报告期内公司投资活动产生的现金流量净额为</w:t>
      </w:r>
      <w:r>
        <w:rPr>
          <w:rFonts w:ascii="Times New Roman" w:hAnsi="Times New Roman" w:cs="Times New Roman" w:eastAsia="Times New Roman" w:hint="default"/>
          <w:spacing w:val="-3"/>
        </w:rPr>
        <w:t>8,819.63</w:t>
      </w:r>
      <w:r>
        <w:rPr>
          <w:spacing w:val="-3"/>
        </w:rPr>
        <w:t>万元，同比增加</w:t>
      </w:r>
      <w:r>
        <w:rPr>
          <w:rFonts w:ascii="Times New Roman" w:hAnsi="Times New Roman" w:cs="Times New Roman" w:eastAsia="Times New Roman" w:hint="default"/>
          <w:spacing w:val="-3"/>
        </w:rPr>
        <w:t>164.81%</w:t>
      </w:r>
      <w:r>
        <w:rPr>
          <w:spacing w:val="-3"/>
        </w:rPr>
        <w:t>，主要系本期收回上期投资理财产品，</w:t>
      </w:r>
      <w:r>
        <w:rPr>
          <w:spacing w:val="-1"/>
        </w:rPr>
        <w:t> </w:t>
      </w:r>
      <w:r>
        <w:rPr>
          <w:spacing w:val="-1"/>
        </w:rPr>
      </w:r>
      <w:r>
        <w:rPr>
          <w:spacing w:val="-3"/>
        </w:rPr>
        <w:t>同时报告期内投资理财产品减少所致。</w:t>
      </w:r>
    </w:p>
    <w:p>
      <w:pPr>
        <w:pStyle w:val="BodyText"/>
        <w:spacing w:line="300" w:lineRule="auto" w:before="31"/>
        <w:ind w:left="153" w:right="0"/>
        <w:jc w:val="left"/>
      </w:pPr>
      <w:r>
        <w:rPr>
          <w:spacing w:val="-4"/>
        </w:rPr>
        <w:t>（</w:t>
      </w:r>
      <w:r>
        <w:rPr>
          <w:rFonts w:ascii="Times New Roman" w:hAnsi="Times New Roman" w:cs="Times New Roman" w:eastAsia="Times New Roman" w:hint="default"/>
          <w:spacing w:val="-4"/>
        </w:rPr>
        <w:t>3</w:t>
      </w:r>
      <w:r>
        <w:rPr>
          <w:spacing w:val="-4"/>
        </w:rPr>
        <w:t>）报告期内公司筹资活动产生的现金流量净额为</w:t>
      </w:r>
      <w:r>
        <w:rPr>
          <w:rFonts w:ascii="Times New Roman" w:hAnsi="Times New Roman" w:cs="Times New Roman" w:eastAsia="Times New Roman" w:hint="default"/>
          <w:spacing w:val="-4"/>
        </w:rPr>
        <w:t>-9,524.29</w:t>
      </w:r>
      <w:r>
        <w:rPr>
          <w:spacing w:val="-4"/>
        </w:rPr>
        <w:t>万元，同比减少</w:t>
      </w:r>
      <w:r>
        <w:rPr>
          <w:rFonts w:ascii="Times New Roman" w:hAnsi="Times New Roman" w:cs="Times New Roman" w:eastAsia="Times New Roman" w:hint="default"/>
          <w:spacing w:val="-4"/>
        </w:rPr>
        <w:t>142.57%</w:t>
      </w:r>
      <w:r>
        <w:rPr>
          <w:spacing w:val="-4"/>
        </w:rPr>
        <w:t>，主要系主要为报告期内公司偿还借款</w:t>
      </w:r>
      <w:r>
        <w:rPr>
          <w:spacing w:val="-1"/>
        </w:rPr>
        <w:t> </w:t>
      </w:r>
      <w:r>
        <w:rPr>
          <w:spacing w:val="-1"/>
        </w:rPr>
      </w:r>
      <w:r>
        <w:rPr/>
        <w:t>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153" w:right="0"/>
        <w:jc w:val="left"/>
      </w:pPr>
      <w:r>
        <w:rPr>
          <w:spacing w:val="-3"/>
        </w:rPr>
        <w:t>报告期内公司经营活动的现金流量与本年度净利润存在重大差异的原因说明</w:t>
      </w:r>
    </w:p>
    <w:p>
      <w:pPr>
        <w:pStyle w:val="BodyText"/>
        <w:spacing w:line="240" w:lineRule="auto" w:before="119"/>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三、主营业务构成情况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3"/>
        <w:gridCol w:w="1368"/>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316" w:right="45"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316" w:right="45"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412" w:right="41"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517,324,959.04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449,157,064.11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10.68%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119,290,476.74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96,921,382.02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消费类电子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398,034,482.30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352,235,682.09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3"/>
                <w:sz w:val="18"/>
              </w:rPr>
              <w:t>11.51%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3"/>
                <w:sz w:val="18"/>
              </w:rPr>
              <w:t>11.08%</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175,992,685.11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147,550,406.41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341,332,273.93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301,606,657.70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3"/>
                <w:sz w:val="18"/>
              </w:rPr>
              <w:t>11.64%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9.22%</w:t>
            </w:r>
          </w:p>
        </w:tc>
      </w:tr>
    </w:tbl>
    <w:p>
      <w:pPr>
        <w:pStyle w:val="BodyText"/>
        <w:spacing w:line="240" w:lineRule="auto" w:before="54"/>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spacing w:val="-3"/>
        </w:rPr>
        <w:t>年按报告期末口径调整后的主营业务数据</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3"/>
        <w:spacing w:line="240" w:lineRule="auto"/>
        <w:ind w:right="0"/>
        <w:jc w:val="left"/>
      </w:pPr>
      <w:r>
        <w:rPr/>
        <w:t>四、资产、负债状况分析</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445"/>
        <w:gridCol w:w="1416"/>
        <w:gridCol w:w="1104"/>
        <w:gridCol w:w="1150"/>
        <w:gridCol w:w="1049"/>
        <w:gridCol w:w="2040"/>
      </w:tblGrid>
      <w:tr>
        <w:trPr>
          <w:trHeight w:val="398"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8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22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10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8"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24"/>
              <w:jc w:val="right"/>
              <w:rPr>
                <w:rFonts w:ascii="宋体" w:hAnsi="宋体" w:cs="宋体" w:eastAsia="宋体" w:hint="default"/>
                <w:sz w:val="18"/>
                <w:szCs w:val="18"/>
              </w:rPr>
            </w:pPr>
            <w:r>
              <w:rPr>
                <w:rFonts w:ascii="宋体" w:hAnsi="宋体" w:cs="宋体" w:eastAsia="宋体" w:hint="default"/>
                <w:spacing w:val="-2"/>
                <w:sz w:val="18"/>
                <w:szCs w:val="18"/>
              </w:rPr>
              <w:t>占总资产比例</w:t>
            </w:r>
          </w:p>
        </w:tc>
        <w:tc>
          <w:tcPr>
            <w:tcW w:w="1049" w:type="dxa"/>
            <w:vMerge/>
            <w:tcBorders>
              <w:left w:val="single" w:sz="4" w:space="0" w:color="000000"/>
              <w:bottom w:val="single" w:sz="4" w:space="0" w:color="000000"/>
              <w:right w:val="single" w:sz="4" w:space="0" w:color="000000"/>
            </w:tcBorders>
            <w:shd w:val="clear" w:color="auto" w:fill="D3D3D3"/>
          </w:tcPr>
          <w:p>
            <w:pPr/>
          </w:p>
        </w:tc>
        <w:tc>
          <w:tcPr>
            <w:tcW w:w="2040" w:type="dxa"/>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2" w:right="0"/>
              <w:jc w:val="left"/>
              <w:rPr>
                <w:rFonts w:ascii="Times New Roman" w:hAnsi="Times New Roman" w:cs="Times New Roman" w:eastAsia="Times New Roman" w:hint="default"/>
                <w:sz w:val="18"/>
                <w:szCs w:val="18"/>
              </w:rPr>
            </w:pPr>
            <w:r>
              <w:rPr>
                <w:rFonts w:ascii="Times New Roman"/>
                <w:sz w:val="18"/>
              </w:rPr>
              <w:t>170,321,490.34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5" w:right="0"/>
              <w:jc w:val="left"/>
              <w:rPr>
                <w:rFonts w:ascii="Times New Roman" w:hAnsi="Times New Roman" w:cs="Times New Roman" w:eastAsia="Times New Roman" w:hint="default"/>
                <w:sz w:val="18"/>
                <w:szCs w:val="18"/>
              </w:rPr>
            </w:pPr>
            <w:r>
              <w:rPr>
                <w:rFonts w:ascii="Times New Roman"/>
                <w:sz w:val="18"/>
              </w:rPr>
              <w:t>25.65%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center"/>
              <w:rPr>
                <w:rFonts w:ascii="Times New Roman" w:hAnsi="Times New Roman" w:cs="Times New Roman" w:eastAsia="Times New Roman" w:hint="default"/>
                <w:sz w:val="18"/>
                <w:szCs w:val="18"/>
              </w:rPr>
            </w:pPr>
            <w:r>
              <w:rPr>
                <w:rFonts w:ascii="Times New Roman"/>
                <w:sz w:val="18"/>
              </w:rPr>
              <w:t>271,150,821.8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31.18%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2" w:right="0"/>
              <w:jc w:val="left"/>
              <w:rPr>
                <w:rFonts w:ascii="Times New Roman" w:hAnsi="Times New Roman" w:cs="Times New Roman" w:eastAsia="Times New Roman" w:hint="default"/>
                <w:sz w:val="18"/>
                <w:szCs w:val="18"/>
              </w:rPr>
            </w:pPr>
            <w:r>
              <w:rPr>
                <w:rFonts w:ascii="Times New Roman"/>
                <w:sz w:val="18"/>
              </w:rPr>
              <w:t>-5.53%</w:t>
            </w:r>
          </w:p>
        </w:tc>
        <w:tc>
          <w:tcPr>
            <w:tcW w:w="20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45"/>
        <w:gridCol w:w="1416"/>
        <w:gridCol w:w="1104"/>
        <w:gridCol w:w="1147"/>
        <w:gridCol w:w="1051"/>
        <w:gridCol w:w="2040"/>
      </w:tblGrid>
      <w:tr>
        <w:trPr>
          <w:trHeight w:val="36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141,588,680.47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106,839,355.6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9.05%</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27,329,970.57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52,900,035.49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-1.96%</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65,744,674.72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9.90%</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650,163.67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123,643,362.87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167,186,297.0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-0.60%</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885,940.05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33,381,001.09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-3.71%</w:t>
            </w:r>
          </w:p>
        </w:tc>
        <w:tc>
          <w:tcPr>
            <w:tcW w:w="20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17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86"/>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325"/>
        <w:gridCol w:w="1238"/>
        <w:gridCol w:w="1310"/>
        <w:gridCol w:w="1138"/>
        <w:gridCol w:w="202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5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1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8" w:type="dxa"/>
            <w:vMerge/>
            <w:tcBorders>
              <w:left w:val="single" w:sz="4" w:space="0" w:color="000000"/>
              <w:bottom w:val="single" w:sz="4" w:space="0" w:color="000000"/>
              <w:right w:val="single" w:sz="4" w:space="0" w:color="000000"/>
            </w:tcBorders>
            <w:shd w:val="clear" w:color="auto" w:fill="D3D3D3"/>
          </w:tcPr>
          <w:p>
            <w:pPr/>
          </w:p>
        </w:tc>
        <w:tc>
          <w:tcPr>
            <w:tcW w:w="202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Times New Roman" w:hAnsi="Times New Roman" w:cs="Times New Roman" w:eastAsia="Times New Roman" w:hint="default"/>
                <w:sz w:val="18"/>
                <w:szCs w:val="18"/>
              </w:rPr>
            </w:pPr>
            <w:r>
              <w:rPr>
                <w:rFonts w:ascii="Times New Roman"/>
                <w:sz w:val="18"/>
              </w:rPr>
              <w:t>6,119,000.00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0" w:right="0"/>
              <w:jc w:val="left"/>
              <w:rPr>
                <w:rFonts w:ascii="Times New Roman" w:hAnsi="Times New Roman" w:cs="Times New Roman" w:eastAsia="Times New Roman" w:hint="default"/>
                <w:sz w:val="18"/>
                <w:szCs w:val="18"/>
              </w:rPr>
            </w:pPr>
            <w:r>
              <w:rPr>
                <w:rFonts w:ascii="Times New Roman"/>
                <w:sz w:val="18"/>
              </w:rPr>
              <w:t>0.92%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202,489,191.98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0" w:right="0"/>
              <w:jc w:val="left"/>
              <w:rPr>
                <w:rFonts w:ascii="Times New Roman" w:hAnsi="Times New Roman" w:cs="Times New Roman" w:eastAsia="Times New Roman" w:hint="default"/>
                <w:sz w:val="18"/>
                <w:szCs w:val="18"/>
              </w:rPr>
            </w:pPr>
            <w:r>
              <w:rPr>
                <w:rFonts w:ascii="Times New Roman"/>
                <w:sz w:val="18"/>
              </w:rPr>
              <w:t>23.28%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-22.36%</w:t>
            </w:r>
          </w:p>
        </w:tc>
        <w:tc>
          <w:tcPr>
            <w:tcW w:w="20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17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3"/>
        <w:spacing w:line="240" w:lineRule="auto"/>
        <w:ind w:right="173"/>
        <w:jc w:val="left"/>
      </w:pPr>
      <w:r>
        <w:rPr/>
        <w:t>五、核心竞争力分析</w:t>
      </w:r>
    </w:p>
    <w:p>
      <w:pPr>
        <w:spacing w:line="240" w:lineRule="auto" w:before="3"/>
        <w:rPr>
          <w:rFonts w:ascii="宋体" w:hAnsi="宋体" w:cs="宋体" w:eastAsia="宋体" w:hint="default"/>
          <w:sz w:val="27"/>
          <w:szCs w:val="27"/>
        </w:rPr>
      </w:pPr>
    </w:p>
    <w:p>
      <w:pPr>
        <w:pStyle w:val="BodyText"/>
        <w:spacing w:line="314" w:lineRule="auto"/>
        <w:ind w:right="173"/>
        <w:jc w:val="left"/>
      </w:pPr>
      <w:r>
        <w:rPr>
          <w:spacing w:val="-3"/>
        </w:rPr>
        <w:t>公司自成立以来，一直致力于为世界级客户提供优质服务，公司在沉淀了一批优秀客户，并从中吸取优质管理经验的同时，</w:t>
      </w:r>
      <w:r>
        <w:rPr>
          <w:spacing w:val="66"/>
        </w:rPr>
        <w:t> </w:t>
      </w:r>
      <w:r>
        <w:rPr>
          <w:spacing w:val="66"/>
        </w:rPr>
      </w:r>
      <w:r>
        <w:rPr>
          <w:spacing w:val="-4"/>
        </w:rPr>
        <w:t>公司的设计能力、制造能力、供应链管理能力等均得到了极大提升，公司传统的核心竞争力即在于公司具有国内领先的生产</w:t>
      </w:r>
      <w:r>
        <w:rPr>
          <w:spacing w:val="43"/>
        </w:rPr>
        <w:t> </w:t>
      </w:r>
      <w:r>
        <w:rPr>
          <w:spacing w:val="43"/>
        </w:rPr>
      </w:r>
      <w:r>
        <w:rPr>
          <w:spacing w:val="-4"/>
        </w:rPr>
        <w:t>制造、供应链服务、质量控制和成本管控能力，并形成了完善的制度和流程，尤其在供应链管理方面，公司在订单驱动生产</w:t>
      </w:r>
      <w:r>
        <w:rPr>
          <w:spacing w:val="40"/>
        </w:rPr>
        <w:t> </w:t>
      </w:r>
      <w:r>
        <w:rPr>
          <w:spacing w:val="40"/>
        </w:rPr>
      </w:r>
      <w:r>
        <w:rPr>
          <w:spacing w:val="-4"/>
        </w:rPr>
        <w:t>的业务模式中，探索形成了一套成熟的采购、库存管理、物流管理经验。自</w:t>
      </w:r>
      <w:r>
        <w:rPr>
          <w:rFonts w:ascii="Times New Roman" w:hAnsi="Times New Roman" w:cs="Times New Roman" w:eastAsia="Times New Roman" w:hint="default"/>
          <w:spacing w:val="-4"/>
        </w:rPr>
        <w:t>2010</w:t>
      </w:r>
      <w:r>
        <w:rPr>
          <w:spacing w:val="-4"/>
        </w:rPr>
        <w:t>年开始战略转型以来，公司依托传统核心竞</w:t>
      </w:r>
      <w:r>
        <w:rPr>
          <w:spacing w:val="48"/>
        </w:rPr>
        <w:t> </w:t>
      </w:r>
      <w:r>
        <w:rPr>
          <w:spacing w:val="48"/>
        </w:rPr>
      </w:r>
      <w:r>
        <w:rPr/>
        <w:t>争力，为公司 </w:t>
      </w:r>
      <w:r>
        <w:rPr>
          <w:rFonts w:ascii="Times New Roman" w:hAnsi="Times New Roman" w:cs="Times New Roman" w:eastAsia="Times New Roman" w:hint="default"/>
          <w:spacing w:val="-3"/>
        </w:rPr>
        <w:t>LED</w:t>
      </w:r>
      <w:r>
        <w:rPr>
          <w:spacing w:val="-3"/>
        </w:rPr>
        <w:t>照明业务及自主品牌业务铸建起了一条较高的起跑线，无论在设备制造能力、供应链管理、质量控制，</w:t>
      </w:r>
      <w:r>
        <w:rPr>
          <w:spacing w:val="33"/>
        </w:rPr>
        <w:t> </w:t>
      </w:r>
      <w:r>
        <w:rPr>
          <w:spacing w:val="33"/>
        </w:rPr>
      </w:r>
      <w:r>
        <w:rPr>
          <w:spacing w:val="-4"/>
        </w:rPr>
        <w:t>还是成本管控等方面，公司均具有同类行业无法比拟的优势，在此基础上，公司参照国际知名企业的开发流程和经验，建立</w:t>
      </w:r>
      <w:r>
        <w:rPr>
          <w:spacing w:val="44"/>
        </w:rPr>
        <w:t> </w:t>
      </w:r>
      <w:r>
        <w:rPr>
          <w:spacing w:val="44"/>
        </w:rPr>
      </w:r>
      <w:r>
        <w:rPr>
          <w:spacing w:val="-6"/>
        </w:rPr>
        <w:t>了一整套行之有效的研发管理制度和流程，构建了以市场需求为导向，以产品规划为基础的研发体系，并通过强化研发投入、</w:t>
      </w:r>
      <w:r>
        <w:rPr>
          <w:spacing w:val="62"/>
        </w:rPr>
        <w:t> </w:t>
      </w:r>
      <w:r>
        <w:rPr>
          <w:spacing w:val="62"/>
        </w:rPr>
      </w:r>
      <w:r>
        <w:rPr>
          <w:spacing w:val="-4"/>
        </w:rPr>
        <w:t>开展产学研合作等措施增强公司的设计能力和研发水平。报告期内，公司的核心竞争力没有发生重大变化，也没有发生因替</w:t>
      </w:r>
      <w:r>
        <w:rPr>
          <w:spacing w:val="43"/>
        </w:rPr>
        <w:t> </w:t>
      </w:r>
      <w:r>
        <w:rPr>
          <w:spacing w:val="43"/>
        </w:rPr>
      </w:r>
      <w:r>
        <w:rPr>
          <w:spacing w:val="-3"/>
        </w:rPr>
        <w:t>代资产或技术升级换代等导致公司核心竞争力和盈利能力受到严重影响的不良情形。</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3"/>
        <w:spacing w:line="240" w:lineRule="auto"/>
        <w:ind w:right="173"/>
        <w:jc w:val="left"/>
      </w:pPr>
      <w:r>
        <w:rPr/>
        <w:t>六、投资状况分析</w:t>
      </w:r>
    </w:p>
    <w:p>
      <w:pPr>
        <w:spacing w:line="240" w:lineRule="auto" w:before="10"/>
        <w:rPr>
          <w:rFonts w:ascii="宋体" w:hAnsi="宋体" w:cs="宋体" w:eastAsia="宋体" w:hint="default"/>
          <w:sz w:val="19"/>
          <w:szCs w:val="19"/>
        </w:rPr>
      </w:pPr>
    </w:p>
    <w:p>
      <w:pPr>
        <w:pStyle w:val="Heading4"/>
        <w:spacing w:line="240" w:lineRule="auto"/>
        <w:ind w:right="17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17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after="0" w:line="240" w:lineRule="auto"/>
        <w:jc w:val="left"/>
        <w:sectPr>
          <w:pgSz w:w="11910" w:h="16840"/>
          <w:pgMar w:header="741" w:footer="979" w:top="1060" w:bottom="1160" w:left="98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65"/>
        <w:jc w:val="center"/>
      </w:pPr>
      <w:r>
        <w:rPr/>
        <w:pict>
          <v:group style="position:absolute;margin-left:56.400002pt;margin-top:-3.405901pt;width:479.05pt;height:337.95pt;mso-position-horizontal-relative:page;mso-position-vertical-relative:paragraph;z-index:-821896" coordorigin="1128,-68" coordsize="9581,6759">
            <v:group style="position:absolute;left:10675;top:-54;width:24;height:394" coordorigin="10675,-54" coordsize="24,394">
              <v:shape style="position:absolute;left:10675;top:-54;width:24;height:394" coordorigin="10675,-54" coordsize="24,394" path="m10675,340l10699,340,10699,-54,10675,-54,10675,340xe" filled="true" fillcolor="#d3d3d3" stroked="false">
                <v:path arrowok="t"/>
                <v:fill type="solid"/>
              </v:shape>
            </v:group>
            <v:group style="position:absolute;left:1138;top:-54;width:24;height:394" coordorigin="1138,-54" coordsize="24,394">
              <v:shape style="position:absolute;left:1138;top:-54;width:24;height:394" coordorigin="1138,-54" coordsize="24,394" path="m1138,340l1162,340,1162,-54,1138,-54,1138,340xe" filled="true" fillcolor="#d3d3d3" stroked="false">
                <v:path arrowok="t"/>
                <v:fill type="solid"/>
              </v:shape>
            </v:group>
            <v:group style="position:absolute;left:1162;top:-54;width:9514;height:394" coordorigin="1162,-54" coordsize="9514,394">
              <v:shape style="position:absolute;left:1162;top:-54;width:9514;height:394" coordorigin="1162,-54" coordsize="9514,394" path="m1162,340l10675,340,10675,-54,1162,-54,1162,340xe" filled="true" fillcolor="#d3d3d3" stroked="false">
                <v:path arrowok="t"/>
                <v:fill type="solid"/>
              </v:shape>
            </v:group>
            <v:group style="position:absolute;left:1138;top:-59;width:9562;height:2" coordorigin="1138,-59" coordsize="9562,2">
              <v:shape style="position:absolute;left:1138;top:-59;width:9562;height:2" coordorigin="1138,-59" coordsize="9562,0" path="m1138,-59l10699,-59e" filled="false" stroked="true" strokeweight=".48pt" strokecolor="#000000">
                <v:path arrowok="t"/>
              </v:shape>
            </v:group>
            <v:group style="position:absolute;left:3658;top:349;width:24;height:389" coordorigin="3658,349" coordsize="24,389">
              <v:shape style="position:absolute;left:3658;top:349;width:24;height:389" coordorigin="3658,349" coordsize="24,389" path="m3658,738l3682,738,3682,349,3658,349,3658,738xe" filled="true" fillcolor="#d3d3d3" stroked="false">
                <v:path arrowok="t"/>
                <v:fill type="solid"/>
              </v:shape>
            </v:group>
            <v:group style="position:absolute;left:1138;top:349;width:24;height:389" coordorigin="1138,349" coordsize="24,389">
              <v:shape style="position:absolute;left:1138;top:349;width:24;height:389" coordorigin="1138,349" coordsize="24,389" path="m1138,738l1162,738,1162,349,1138,349,1138,738xe" filled="true" fillcolor="#d3d3d3" stroked="false">
                <v:path arrowok="t"/>
                <v:fill type="solid"/>
              </v:shape>
            </v:group>
            <v:group style="position:absolute;left:1162;top:349;width:2496;height:389" coordorigin="1162,349" coordsize="2496,389">
              <v:shape style="position:absolute;left:1162;top:349;width:2496;height:389" coordorigin="1162,349" coordsize="2496,389" path="m1162,738l3658,738,3658,349,1162,349,1162,738xe" filled="true" fillcolor="#d3d3d3" stroked="false">
                <v:path arrowok="t"/>
                <v:fill type="solid"/>
              </v:shape>
            </v:group>
            <v:group style="position:absolute;left:8338;top:349;width:20;height:389" coordorigin="8338,349" coordsize="20,389">
              <v:shape style="position:absolute;left:8338;top:349;width:20;height:389" coordorigin="8338,349" coordsize="20,389" path="m8338,738l8357,738,8357,349,8338,349,8338,738xe" filled="true" fillcolor="#d3d3d3" stroked="false">
                <v:path arrowok="t"/>
                <v:fill type="solid"/>
              </v:shape>
            </v:group>
            <v:group style="position:absolute;left:3691;top:349;width:24;height:389" coordorigin="3691,349" coordsize="24,389">
              <v:shape style="position:absolute;left:3691;top:349;width:24;height:389" coordorigin="3691,349" coordsize="24,389" path="m3691,738l3715,738,3715,349,3691,349,3691,738xe" filled="true" fillcolor="#d3d3d3" stroked="false">
                <v:path arrowok="t"/>
                <v:fill type="solid"/>
              </v:shape>
            </v:group>
            <v:group style="position:absolute;left:3715;top:349;width:4623;height:389" coordorigin="3715,349" coordsize="4623,389">
              <v:shape style="position:absolute;left:3715;top:349;width:4623;height:389" coordorigin="3715,349" coordsize="4623,389" path="m3715,738l8338,738,8338,349,3715,349,3715,738xe" filled="true" fillcolor="#d3d3d3" stroked="false">
                <v:path arrowok="t"/>
                <v:fill type="solid"/>
              </v:shape>
            </v:group>
            <v:group style="position:absolute;left:10675;top:349;width:24;height:389" coordorigin="10675,349" coordsize="24,389">
              <v:shape style="position:absolute;left:10675;top:349;width:24;height:389" coordorigin="10675,349" coordsize="24,389" path="m10675,738l10699,738,10699,349,10675,349,10675,738xe" filled="true" fillcolor="#d3d3d3" stroked="false">
                <v:path arrowok="t"/>
                <v:fill type="solid"/>
              </v:shape>
            </v:group>
            <v:group style="position:absolute;left:8371;top:349;width:20;height:389" coordorigin="8371,349" coordsize="20,389">
              <v:shape style="position:absolute;left:8371;top:349;width:20;height:389" coordorigin="8371,349" coordsize="20,389" path="m8371,738l8390,738,8390,349,8371,349,8371,738xe" filled="true" fillcolor="#d3d3d3" stroked="false">
                <v:path arrowok="t"/>
                <v:fill type="solid"/>
              </v:shape>
            </v:group>
            <v:group style="position:absolute;left:8390;top:349;width:2285;height:389" coordorigin="8390,349" coordsize="2285,389">
              <v:shape style="position:absolute;left:8390;top:349;width:2285;height:389" coordorigin="8390,349" coordsize="2285,389" path="m8390,738l10675,738,10675,349,8390,349,8390,738xe" filled="true" fillcolor="#d3d3d3" stroked="false">
                <v:path arrowok="t"/>
                <v:fill type="solid"/>
              </v:shape>
            </v:group>
            <v:group style="position:absolute;left:1138;top:345;width:2544;height:2" coordorigin="1138,345" coordsize="2544,2">
              <v:shape style="position:absolute;left:1138;top:345;width:2544;height:2" coordorigin="1138,345" coordsize="2544,0" path="m1138,345l3682,345e" filled="false" stroked="true" strokeweight=".48pt" strokecolor="#000000">
                <v:path arrowok="t"/>
              </v:shape>
            </v:group>
            <v:group style="position:absolute;left:3691;top:345;width:4666;height:2" coordorigin="3691,345" coordsize="4666,2">
              <v:shape style="position:absolute;left:3691;top:345;width:4666;height:2" coordorigin="3691,345" coordsize="4666,0" path="m3691,345l8357,345e" filled="false" stroked="true" strokeweight=".48pt" strokecolor="#000000">
                <v:path arrowok="t"/>
              </v:shape>
            </v:group>
            <v:group style="position:absolute;left:8366;top:345;width:2333;height:2" coordorigin="8366,345" coordsize="2333,2">
              <v:shape style="position:absolute;left:8366;top:345;width:2333;height:2" coordorigin="8366,345" coordsize="2333,0" path="m8366,345l10699,345e" filled="false" stroked="true" strokeweight=".48pt" strokecolor="#000000">
                <v:path arrowok="t"/>
              </v:shape>
            </v:group>
            <v:group style="position:absolute;left:1138;top:743;width:2544;height:2" coordorigin="1138,743" coordsize="2544,2">
              <v:shape style="position:absolute;left:1138;top:743;width:2544;height:2" coordorigin="1138,743" coordsize="2544,0" path="m1138,743l3682,743e" filled="false" stroked="true" strokeweight=".48pt" strokecolor="#000000">
                <v:path arrowok="t"/>
              </v:shape>
            </v:group>
            <v:group style="position:absolute;left:3691;top:743;width:4666;height:2" coordorigin="3691,743" coordsize="4666,2">
              <v:shape style="position:absolute;left:3691;top:743;width:4666;height:2" coordorigin="3691,743" coordsize="4666,0" path="m3691,743l8357,743e" filled="false" stroked="true" strokeweight=".48pt" strokecolor="#000000">
                <v:path arrowok="t"/>
              </v:shape>
            </v:group>
            <v:group style="position:absolute;left:8366;top:743;width:2333;height:2" coordorigin="8366,743" coordsize="2333,2">
              <v:shape style="position:absolute;left:8366;top:743;width:2333;height:2" coordorigin="8366,743" coordsize="2333,0" path="m8366,743l10699,743e" filled="false" stroked="true" strokeweight=".48pt" strokecolor="#000000">
                <v:path arrowok="t"/>
              </v:shape>
            </v:group>
            <v:group style="position:absolute;left:3686;top:340;width:2;height:812" coordorigin="3686,340" coordsize="2,812">
              <v:shape style="position:absolute;left:3686;top:340;width:2;height:812" coordorigin="3686,340" coordsize="0,812" path="m3686,340l3686,1151e" filled="false" stroked="true" strokeweight=".48pt" strokecolor="#000000">
                <v:path arrowok="t"/>
              </v:shape>
            </v:group>
            <v:group style="position:absolute;left:8362;top:340;width:2;height:812" coordorigin="8362,340" coordsize="2,812">
              <v:shape style="position:absolute;left:8362;top:340;width:2;height:812" coordorigin="8362,340" coordsize="0,812" path="m8362,340l8362,1151e" filled="false" stroked="true" strokeweight=".48pt" strokecolor="#000000">
                <v:path arrowok="t"/>
              </v:shape>
            </v:group>
            <v:group style="position:absolute;left:10675;top:1151;width:24;height:394" coordorigin="10675,1151" coordsize="24,394">
              <v:shape style="position:absolute;left:10675;top:1151;width:24;height:394" coordorigin="10675,1151" coordsize="24,394" path="m10675,1545l10699,1545,10699,1151,10675,1151,10675,1545xe" filled="true" fillcolor="#d3d3d3" stroked="false">
                <v:path arrowok="t"/>
                <v:fill type="solid"/>
              </v:shape>
            </v:group>
            <v:group style="position:absolute;left:1138;top:1151;width:24;height:394" coordorigin="1138,1151" coordsize="24,394">
              <v:shape style="position:absolute;left:1138;top:1151;width:24;height:394" coordorigin="1138,1151" coordsize="24,394" path="m1138,1545l1162,1545,1162,1151,1138,1151,1138,1545xe" filled="true" fillcolor="#d3d3d3" stroked="false">
                <v:path arrowok="t"/>
                <v:fill type="solid"/>
              </v:shape>
            </v:group>
            <v:group style="position:absolute;left:1162;top:1151;width:9514;height:394" coordorigin="1162,1151" coordsize="9514,394">
              <v:shape style="position:absolute;left:1162;top:1151;width:9514;height:394" coordorigin="1162,1151" coordsize="9514,394" path="m1162,1545l10675,1545,10675,1151,1162,1151,1162,1545xe" filled="true" fillcolor="#d3d3d3" stroked="false">
                <v:path arrowok="t"/>
                <v:fill type="solid"/>
              </v:shape>
            </v:group>
            <v:group style="position:absolute;left:1138;top:1146;width:2544;height:2" coordorigin="1138,1146" coordsize="2544,2">
              <v:shape style="position:absolute;left:1138;top:1146;width:2544;height:2" coordorigin="1138,1146" coordsize="2544,0" path="m1138,1146l3682,1146e" filled="false" stroked="true" strokeweight=".48pt" strokecolor="#000000">
                <v:path arrowok="t"/>
              </v:shape>
            </v:group>
            <v:group style="position:absolute;left:3691;top:1146;width:4666;height:2" coordorigin="3691,1146" coordsize="4666,2">
              <v:shape style="position:absolute;left:3691;top:1146;width:4666;height:2" coordorigin="3691,1146" coordsize="4666,0" path="m3691,1146l8357,1146e" filled="false" stroked="true" strokeweight=".48pt" strokecolor="#000000">
                <v:path arrowok="t"/>
              </v:shape>
            </v:group>
            <v:group style="position:absolute;left:8366;top:1146;width:2333;height:2" coordorigin="8366,1146" coordsize="2333,2">
              <v:shape style="position:absolute;left:8366;top:1146;width:2333;height:2" coordorigin="8366,1146" coordsize="2333,0" path="m8366,1146l10699,1146e" filled="false" stroked="true" strokeweight=".48pt" strokecolor="#000000">
                <v:path arrowok="t"/>
              </v:shape>
            </v:group>
            <v:group style="position:absolute;left:1138;top:1554;width:2544;height:159" coordorigin="1138,1554" coordsize="2544,159">
              <v:shape style="position:absolute;left:1138;top:1554;width:2544;height:159" coordorigin="1138,1554" coordsize="2544,159" path="m1138,1713l3682,1713,3682,1554,1138,1554,1138,1713xe" filled="true" fillcolor="#d3d3d3" stroked="false">
                <v:path arrowok="t"/>
                <v:fill type="solid"/>
              </v:shape>
            </v:group>
            <v:group style="position:absolute;left:1138;top:2101;width:2544;height:159" coordorigin="1138,2101" coordsize="2544,159">
              <v:shape style="position:absolute;left:1138;top:2101;width:2544;height:159" coordorigin="1138,2101" coordsize="2544,159" path="m1138,2260l3682,2260,3682,2101,1138,2101,1138,2260xe" filled="true" fillcolor="#d3d3d3" stroked="false">
                <v:path arrowok="t"/>
                <v:fill type="solid"/>
              </v:shape>
            </v:group>
            <v:group style="position:absolute;left:1162;top:1713;width:2496;height:389" coordorigin="1162,1713" coordsize="2496,389">
              <v:shape style="position:absolute;left:1162;top:1713;width:2496;height:389" coordorigin="1162,1713" coordsize="2496,389" path="m1162,2101l3658,2101,3658,1713,1162,1713,1162,2101xe" filled="true" fillcolor="#d3d3d3" stroked="false">
                <v:path arrowok="t"/>
                <v:fill type="solid"/>
              </v:shape>
            </v:group>
            <v:group style="position:absolute;left:3691;top:1554;width:4666;height:159" coordorigin="3691,1554" coordsize="4666,159">
              <v:shape style="position:absolute;left:3691;top:1554;width:4666;height:159" coordorigin="3691,1554" coordsize="4666,159" path="m3691,1713l8357,1713,8357,1554,3691,1554,3691,1713xe" filled="true" fillcolor="#d3d3d3" stroked="false">
                <v:path arrowok="t"/>
                <v:fill type="solid"/>
              </v:shape>
            </v:group>
            <v:group style="position:absolute;left:3691;top:2101;width:4666;height:159" coordorigin="3691,2101" coordsize="4666,159">
              <v:shape style="position:absolute;left:3691;top:2101;width:4666;height:159" coordorigin="3691,2101" coordsize="4666,159" path="m3691,2260l8357,2260,8357,2101,3691,2101,3691,2260xe" filled="true" fillcolor="#d3d3d3" stroked="false">
                <v:path arrowok="t"/>
                <v:fill type="solid"/>
              </v:shape>
            </v:group>
            <v:group style="position:absolute;left:3715;top:1713;width:4623;height:389" coordorigin="3715,1713" coordsize="4623,389">
              <v:shape style="position:absolute;left:3715;top:1713;width:4623;height:389" coordorigin="3715,1713" coordsize="4623,389" path="m3715,2101l8338,2101,8338,1713,3715,1713,3715,2101xe" filled="true" fillcolor="#d3d3d3" stroked="false">
                <v:path arrowok="t"/>
                <v:fill type="solid"/>
              </v:shape>
            </v:group>
            <v:group style="position:absolute;left:8371;top:1554;width:2328;height:706" coordorigin="8371,1554" coordsize="2328,706">
              <v:shape style="position:absolute;left:8371;top:1554;width:2328;height:706" coordorigin="8371,1554" coordsize="2328,706" path="m8371,2260l10699,2260,10699,1554,8371,1554,8371,2260xe" filled="true" fillcolor="#d3d3d3" stroked="false">
                <v:path arrowok="t"/>
                <v:fill type="solid"/>
              </v:shape>
            </v:group>
            <v:group style="position:absolute;left:8390;top:1554;width:2285;height:351" coordorigin="8390,1554" coordsize="2285,351">
              <v:shape style="position:absolute;left:8390;top:1554;width:2285;height:351" coordorigin="8390,1554" coordsize="2285,351" path="m8390,1905l10675,1905,10675,1554,8390,1554,8390,1905xe" filled="true" fillcolor="#d3d3d3" stroked="false">
                <v:path arrowok="t"/>
                <v:fill type="solid"/>
              </v:shape>
            </v:group>
            <v:group style="position:absolute;left:8390;top:1905;width:2285;height:356" coordorigin="8390,1905" coordsize="2285,356">
              <v:shape style="position:absolute;left:8390;top:1905;width:2285;height:356" coordorigin="8390,1905" coordsize="2285,356" path="m8390,2260l10675,2260,10675,1905,8390,1905,8390,2260xe" filled="true" fillcolor="#d3d3d3" stroked="false">
                <v:path arrowok="t"/>
                <v:fill type="solid"/>
              </v:shape>
            </v:group>
            <v:group style="position:absolute;left:1138;top:1549;width:2544;height:2" coordorigin="1138,1549" coordsize="2544,2">
              <v:shape style="position:absolute;left:1138;top:1549;width:2544;height:2" coordorigin="1138,1549" coordsize="2544,0" path="m1138,1549l3682,1549e" filled="false" stroked="true" strokeweight=".48pt" strokecolor="#000000">
                <v:path arrowok="t"/>
              </v:shape>
            </v:group>
            <v:group style="position:absolute;left:3691;top:1549;width:4666;height:2" coordorigin="3691,1549" coordsize="4666,2">
              <v:shape style="position:absolute;left:3691;top:1549;width:4666;height:2" coordorigin="3691,1549" coordsize="4666,0" path="m3691,1549l8357,1549e" filled="false" stroked="true" strokeweight=".48pt" strokecolor="#000000">
                <v:path arrowok="t"/>
              </v:shape>
            </v:group>
            <v:group style="position:absolute;left:8366;top:1549;width:2333;height:2" coordorigin="8366,1549" coordsize="2333,2">
              <v:shape style="position:absolute;left:8366;top:1549;width:2333;height:2" coordorigin="8366,1549" coordsize="2333,0" path="m8366,1549l10699,1549e" filled="false" stroked="true" strokeweight=".48pt" strokecolor="#000000">
                <v:path arrowok="t"/>
              </v:shape>
            </v:group>
            <v:group style="position:absolute;left:8371;top:2269;width:2328;height:1325" coordorigin="8371,2269" coordsize="2328,1325">
              <v:shape style="position:absolute;left:8371;top:2269;width:2328;height:1325" coordorigin="8371,2269" coordsize="2328,1325" path="m8371,3594l10699,3594,10699,2269,8371,2269,8371,3594xe" filled="true" fillcolor="#ffffff" stroked="false">
                <v:path arrowok="t"/>
                <v:fill type="solid"/>
              </v:shape>
            </v:group>
            <v:group style="position:absolute;left:8390;top:2735;width:2285;height:394" coordorigin="8390,2735" coordsize="2285,394">
              <v:shape style="position:absolute;left:8390;top:2735;width:2285;height:394" coordorigin="8390,2735" coordsize="2285,394" path="m8390,3129l10675,3129,10675,2735,8390,2735,8390,3129xe" filled="true" fillcolor="#ffffff" stroked="false">
                <v:path arrowok="t"/>
                <v:fill type="solid"/>
              </v:shape>
            </v:group>
            <v:group style="position:absolute;left:1138;top:2265;width:2544;height:2" coordorigin="1138,2265" coordsize="2544,2">
              <v:shape style="position:absolute;left:1138;top:2265;width:2544;height:2" coordorigin="1138,2265" coordsize="2544,0" path="m1138,2265l3682,2265e" filled="false" stroked="true" strokeweight=".48pt" strokecolor="#000000">
                <v:path arrowok="t"/>
              </v:shape>
            </v:group>
            <v:group style="position:absolute;left:3691;top:2265;width:4666;height:2" coordorigin="3691,2265" coordsize="4666,2">
              <v:shape style="position:absolute;left:3691;top:2265;width:4666;height:2" coordorigin="3691,2265" coordsize="4666,0" path="m3691,2265l8357,2265e" filled="false" stroked="true" strokeweight=".48pt" strokecolor="#000000">
                <v:path arrowok="t"/>
              </v:shape>
            </v:group>
            <v:group style="position:absolute;left:8366;top:2265;width:2333;height:2" coordorigin="8366,2265" coordsize="2333,2">
              <v:shape style="position:absolute;left:8366;top:2265;width:2333;height:2" coordorigin="8366,2265" coordsize="2333,0" path="m8366,2265l10699,2265e" filled="false" stroked="true" strokeweight=".48pt" strokecolor="#000000">
                <v:path arrowok="t"/>
              </v:shape>
            </v:group>
            <v:group style="position:absolute;left:8371;top:3609;width:2328;height:1637" coordorigin="8371,3609" coordsize="2328,1637">
              <v:shape style="position:absolute;left:8371;top:3609;width:2328;height:1637" coordorigin="8371,3609" coordsize="2328,1637" path="m8371,5245l10699,5245,10699,3609,8371,3609,8371,5245xe" filled="true" fillcolor="#ffffff" stroked="false">
                <v:path arrowok="t"/>
                <v:fill type="solid"/>
              </v:shape>
            </v:group>
            <v:group style="position:absolute;left:8390;top:4233;width:2285;height:389" coordorigin="8390,4233" coordsize="2285,389">
              <v:shape style="position:absolute;left:8390;top:4233;width:2285;height:389" coordorigin="8390,4233" coordsize="2285,389" path="m8390,4621l10675,4621,10675,4233,8390,4233,8390,4621xe" filled="true" fillcolor="#ffffff" stroked="false">
                <v:path arrowok="t"/>
                <v:fill type="solid"/>
              </v:shape>
            </v:group>
            <v:group style="position:absolute;left:1138;top:3599;width:2544;height:2" coordorigin="1138,3599" coordsize="2544,2">
              <v:shape style="position:absolute;left:1138;top:3599;width:2544;height:2" coordorigin="1138,3599" coordsize="2544,0" path="m1138,3599l3682,3599e" filled="false" stroked="true" strokeweight=".48pt" strokecolor="#000000">
                <v:path arrowok="t"/>
              </v:shape>
            </v:group>
            <v:group style="position:absolute;left:3691;top:3599;width:4666;height:2" coordorigin="3691,3599" coordsize="4666,2">
              <v:shape style="position:absolute;left:3691;top:3599;width:4666;height:2" coordorigin="3691,3599" coordsize="4666,0" path="m3691,3599l8357,3599e" filled="false" stroked="true" strokeweight=".48pt" strokecolor="#000000">
                <v:path arrowok="t"/>
              </v:shape>
            </v:group>
            <v:group style="position:absolute;left:8366;top:3599;width:2333;height:2" coordorigin="8366,3599" coordsize="2333,2">
              <v:shape style="position:absolute;left:8366;top:3599;width:2333;height:2" coordorigin="8366,3599" coordsize="2333,0" path="m8366,3599l10699,3599e" filled="false" stroked="true" strokeweight=".48pt" strokecolor="#000000">
                <v:path arrowok="t"/>
              </v:shape>
            </v:group>
            <v:group style="position:absolute;left:1138;top:5250;width:2544;height:2" coordorigin="1138,5250" coordsize="2544,2">
              <v:shape style="position:absolute;left:1138;top:5250;width:2544;height:2" coordorigin="1138,5250" coordsize="2544,0" path="m1138,5250l3682,5250e" filled="false" stroked="true" strokeweight=".48pt" strokecolor="#000000">
                <v:path arrowok="t"/>
              </v:shape>
            </v:group>
            <v:group style="position:absolute;left:3691;top:5250;width:4666;height:2" coordorigin="3691,5250" coordsize="4666,2">
              <v:shape style="position:absolute;left:3691;top:5250;width:4666;height:2" coordorigin="3691,5250" coordsize="4666,0" path="m3691,5250l8357,5250e" filled="false" stroked="true" strokeweight=".48pt" strokecolor="#000000">
                <v:path arrowok="t"/>
              </v:shape>
            </v:group>
            <v:group style="position:absolute;left:8366;top:5250;width:2333;height:2" coordorigin="8366,5250" coordsize="2333,2">
              <v:shape style="position:absolute;left:8366;top:5250;width:2333;height:2" coordorigin="8366,5250" coordsize="2333,0" path="m8366,5250l10699,5250e" filled="false" stroked="true" strokeweight=".48pt" strokecolor="#000000">
                <v:path arrowok="t"/>
              </v:shape>
            </v:group>
            <v:group style="position:absolute;left:8371;top:5970;width:2328;height:706" coordorigin="8371,5970" coordsize="2328,706">
              <v:shape style="position:absolute;left:8371;top:5970;width:2328;height:706" coordorigin="8371,5970" coordsize="2328,706" path="m8371,6676l10699,6676,10699,5970,8371,5970,8371,6676xe" filled="true" fillcolor="#ffffff" stroked="false">
                <v:path arrowok="t"/>
                <v:fill type="solid"/>
              </v:shape>
            </v:group>
            <v:group style="position:absolute;left:8390;top:6129;width:2285;height:389" coordorigin="8390,6129" coordsize="2285,389">
              <v:shape style="position:absolute;left:8390;top:6129;width:2285;height:389" coordorigin="8390,6129" coordsize="2285,389" path="m8390,6517l10675,6517,10675,6129,8390,6129,8390,6517xe" filled="true" fillcolor="#ffffff" stroked="false">
                <v:path arrowok="t"/>
                <v:fill type="solid"/>
              </v:shape>
            </v:group>
            <v:group style="position:absolute;left:1138;top:5965;width:2544;height:2" coordorigin="1138,5965" coordsize="2544,2">
              <v:shape style="position:absolute;left:1138;top:5965;width:2544;height:2" coordorigin="1138,5965" coordsize="2544,0" path="m1138,5965l3682,5965e" filled="false" stroked="true" strokeweight=".48pt" strokecolor="#000000">
                <v:path arrowok="t"/>
              </v:shape>
            </v:group>
            <v:group style="position:absolute;left:3691;top:5965;width:4666;height:2" coordorigin="3691,5965" coordsize="4666,2">
              <v:shape style="position:absolute;left:3691;top:5965;width:4666;height:2" coordorigin="3691,5965" coordsize="4666,0" path="m3691,5965l8357,5965e" filled="false" stroked="true" strokeweight=".48pt" strokecolor="#000000">
                <v:path arrowok="t"/>
              </v:shape>
            </v:group>
            <v:group style="position:absolute;left:8366;top:5965;width:2333;height:2" coordorigin="8366,5965" coordsize="2333,2">
              <v:shape style="position:absolute;left:8366;top:5965;width:2333;height:2" coordorigin="8366,5965" coordsize="2333,0" path="m8366,5965l10699,5965e" filled="false" stroked="true" strokeweight=".48pt" strokecolor="#000000">
                <v:path arrowok="t"/>
              </v:shape>
            </v:group>
            <v:group style="position:absolute;left:1133;top:-63;width:2;height:6749" coordorigin="1133,-63" coordsize="2,6749">
              <v:shape style="position:absolute;left:1133;top:-63;width:2;height:6749" coordorigin="1133,-63" coordsize="0,6749" path="m1133,-63l1133,6685e" filled="false" stroked="true" strokeweight=".48pt" strokecolor="#000000">
                <v:path arrowok="t"/>
              </v:shape>
            </v:group>
            <v:group style="position:absolute;left:1138;top:6681;width:2544;height:2" coordorigin="1138,6681" coordsize="2544,2">
              <v:shape style="position:absolute;left:1138;top:6681;width:2544;height:2" coordorigin="1138,6681" coordsize="2544,0" path="m1138,6681l3682,6681e" filled="false" stroked="true" strokeweight=".48pt" strokecolor="#000000">
                <v:path arrowok="t"/>
              </v:shape>
            </v:group>
            <v:group style="position:absolute;left:3686;top:1545;width:2;height:5141" coordorigin="3686,1545" coordsize="2,5141">
              <v:shape style="position:absolute;left:3686;top:1545;width:2;height:5141" coordorigin="3686,1545" coordsize="0,5141" path="m3686,1545l3686,6685e" filled="false" stroked="true" strokeweight=".48pt" strokecolor="#000000">
                <v:path arrowok="t"/>
              </v:shape>
            </v:group>
            <v:group style="position:absolute;left:3691;top:6681;width:4666;height:2" coordorigin="3691,6681" coordsize="4666,2">
              <v:shape style="position:absolute;left:3691;top:6681;width:4666;height:2" coordorigin="3691,6681" coordsize="4666,0" path="m3691,6681l8357,6681e" filled="false" stroked="true" strokeweight=".48pt" strokecolor="#000000">
                <v:path arrowok="t"/>
              </v:shape>
            </v:group>
            <v:group style="position:absolute;left:8362;top:1545;width:2;height:5141" coordorigin="8362,1545" coordsize="2,5141">
              <v:shape style="position:absolute;left:8362;top:1545;width:2;height:5141" coordorigin="8362,1545" coordsize="0,5141" path="m8362,1545l8362,6685e" filled="false" stroked="true" strokeweight=".48pt" strokecolor="#000000">
                <v:path arrowok="t"/>
              </v:shape>
            </v:group>
            <v:group style="position:absolute;left:8366;top:6681;width:2333;height:2" coordorigin="8366,6681" coordsize="2333,2">
              <v:shape style="position:absolute;left:8366;top:6681;width:2333;height:2" coordorigin="8366,6681" coordsize="2333,0" path="m8366,6681l10699,6681e" filled="false" stroked="true" strokeweight=".48pt" strokecolor="#000000">
                <v:path arrowok="t"/>
              </v:shape>
            </v:group>
            <v:group style="position:absolute;left:10704;top:-63;width:2;height:6749" coordorigin="10704,-63" coordsize="2,6749">
              <v:shape style="position:absolute;left:10704;top:-63;width:2;height:6749" coordorigin="10704,-63" coordsize="0,6749" path="m10704,-63l10704,6685e" filled="false" stroked="true" strokeweight=".48pt" strokecolor="#000000">
                <v:path arrowok="t"/>
              </v:shape>
            </v:group>
            <w10:wrap type="none"/>
          </v:group>
        </w:pict>
      </w:r>
      <w:r>
        <w:rPr/>
        <w:t>对外投资情况</w:t>
      </w:r>
    </w:p>
    <w:p>
      <w:pPr>
        <w:spacing w:line="240" w:lineRule="auto" w:before="3"/>
        <w:rPr>
          <w:rFonts w:ascii="宋体" w:hAnsi="宋体" w:cs="宋体" w:eastAsia="宋体" w:hint="default"/>
          <w:sz w:val="9"/>
          <w:szCs w:val="9"/>
        </w:rPr>
      </w:pPr>
    </w:p>
    <w:p>
      <w:pPr>
        <w:pStyle w:val="BodyText"/>
        <w:tabs>
          <w:tab w:pos="4146" w:val="left" w:leader="none"/>
          <w:tab w:pos="8192" w:val="left" w:leader="none"/>
        </w:tabs>
        <w:spacing w:line="240" w:lineRule="auto" w:before="46"/>
        <w:ind w:left="618" w:right="0"/>
        <w:jc w:val="left"/>
      </w:pPr>
      <w:r>
        <w:rPr>
          <w:spacing w:val="-3"/>
        </w:rPr>
        <w:t>报告期投资额（元）</w:t>
        <w:tab/>
      </w:r>
      <w:r>
        <w:rPr>
          <w:spacing w:val="-2"/>
        </w:rPr>
        <w:t>上年同期投资额（元）</w:t>
        <w:tab/>
        <w:t>变动幅度</w:t>
      </w:r>
    </w:p>
    <w:p>
      <w:pPr>
        <w:spacing w:line="240" w:lineRule="auto" w:before="0"/>
        <w:rPr>
          <w:rFonts w:ascii="宋体" w:hAnsi="宋体" w:cs="宋体" w:eastAsia="宋体" w:hint="default"/>
          <w:sz w:val="10"/>
          <w:szCs w:val="10"/>
        </w:rPr>
      </w:pPr>
    </w:p>
    <w:p>
      <w:pPr>
        <w:pStyle w:val="BodyText"/>
        <w:tabs>
          <w:tab w:pos="6234" w:val="left" w:leader="none"/>
          <w:tab w:pos="9080" w:val="left" w:leader="none"/>
        </w:tabs>
        <w:spacing w:line="240" w:lineRule="auto" w:before="78"/>
        <w:ind w:left="1640" w:right="0"/>
        <w:jc w:val="left"/>
        <w:rPr>
          <w:rFonts w:ascii="Times New Roman" w:hAnsi="Times New Roman" w:cs="Times New Roman" w:eastAsia="Times New Roman" w:hint="default"/>
        </w:rPr>
      </w:pPr>
      <w:r>
        <w:rPr>
          <w:rFonts w:ascii="Times New Roman"/>
          <w:spacing w:val="-1"/>
        </w:rPr>
        <w:t>41,547,282.22</w:t>
        <w:tab/>
        <w:t>100,397,977.90</w:t>
        <w:tab/>
        <w:t>-58.62%</w:t>
      </w:r>
    </w:p>
    <w:p>
      <w:pPr>
        <w:spacing w:line="240" w:lineRule="auto" w:before="11"/>
        <w:rPr>
          <w:rFonts w:ascii="Times New Roman" w:hAnsi="Times New Roman" w:cs="Times New Roman" w:eastAsia="Times New Roman" w:hint="default"/>
          <w:sz w:val="8"/>
          <w:szCs w:val="8"/>
        </w:rPr>
      </w:pPr>
    </w:p>
    <w:p>
      <w:pPr>
        <w:pStyle w:val="BodyText"/>
        <w:spacing w:line="240" w:lineRule="auto" w:before="46"/>
        <w:ind w:left="0" w:right="60"/>
        <w:jc w:val="center"/>
      </w:pPr>
      <w:r>
        <w:rPr>
          <w:spacing w:val="-3"/>
        </w:rPr>
        <w:t>被投资公司情况</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1" w:footer="979" w:top="1060" w:bottom="1160" w:left="980" w:right="980"/>
        </w:sectPr>
      </w:pPr>
    </w:p>
    <w:p>
      <w:pPr>
        <w:spacing w:line="240" w:lineRule="auto" w:before="9"/>
        <w:rPr>
          <w:rFonts w:ascii="宋体" w:hAnsi="宋体" w:cs="宋体" w:eastAsia="宋体" w:hint="default"/>
          <w:sz w:val="15"/>
          <w:szCs w:val="15"/>
        </w:rPr>
      </w:pPr>
    </w:p>
    <w:p>
      <w:pPr>
        <w:pStyle w:val="BodyText"/>
        <w:tabs>
          <w:tab w:pos="4683" w:val="left" w:leader="none"/>
        </w:tabs>
        <w:spacing w:line="240" w:lineRule="auto"/>
        <w:ind w:left="1069" w:right="-7"/>
        <w:jc w:val="left"/>
      </w:pPr>
      <w:r>
        <w:rPr>
          <w:spacing w:val="-2"/>
        </w:rPr>
        <w:t>公司名称</w:t>
        <w:tab/>
        <w:t>主要业务</w:t>
      </w:r>
    </w:p>
    <w:p>
      <w:pPr>
        <w:pStyle w:val="BodyText"/>
        <w:spacing w:line="316" w:lineRule="auto" w:before="46"/>
        <w:ind w:left="1967" w:right="7" w:hanging="898"/>
        <w:jc w:val="left"/>
      </w:pPr>
      <w:r>
        <w:rPr>
          <w:spacing w:val="-3"/>
        </w:rPr>
        <w:br w:type="column"/>
      </w:r>
      <w:r>
        <w:rPr>
          <w:spacing w:val="-3"/>
        </w:rPr>
        <w:t>上市公司占被投资公司权益</w:t>
      </w:r>
      <w:r>
        <w:rPr>
          <w:spacing w:val="-51"/>
        </w:rPr>
        <w:t> </w:t>
      </w:r>
      <w:r>
        <w:rPr>
          <w:spacing w:val="-51"/>
        </w:rPr>
      </w:r>
      <w:r>
        <w:rPr/>
        <w:t>比例</w:t>
      </w:r>
    </w:p>
    <w:p>
      <w:pPr>
        <w:spacing w:after="0" w:line="316" w:lineRule="auto"/>
        <w:jc w:val="left"/>
        <w:sectPr>
          <w:type w:val="continuous"/>
          <w:pgSz w:w="11910" w:h="16840"/>
          <w:pgMar w:top="1060" w:bottom="1160" w:left="980" w:right="980"/>
          <w:cols w:num="2" w:equalWidth="0">
            <w:col w:w="5409" w:space="994"/>
            <w:col w:w="3547"/>
          </w:cols>
        </w:sect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240" w:lineRule="auto"/>
        <w:ind w:left="181" w:right="0"/>
        <w:jc w:val="left"/>
      </w:pPr>
      <w:r>
        <w:rPr>
          <w:spacing w:val="-3"/>
        </w:rPr>
        <w:t>无锡实益达照明科技有限公司</w:t>
      </w:r>
    </w:p>
    <w:p>
      <w:pPr>
        <w:pStyle w:val="BodyText"/>
        <w:spacing w:line="307" w:lineRule="auto" w:before="110"/>
        <w:ind w:left="171" w:right="-11"/>
        <w:jc w:val="left"/>
      </w:pPr>
      <w:r>
        <w:rPr>
          <w:spacing w:val="-8"/>
        </w:rPr>
        <w:br w:type="column"/>
      </w:r>
      <w:r>
        <w:rPr>
          <w:spacing w:val="-8"/>
        </w:rPr>
        <w:t>设计、研发、生产、销售、安装 </w:t>
      </w:r>
      <w:r>
        <w:rPr>
          <w:rFonts w:ascii="Times New Roman" w:hAnsi="Times New Roman" w:cs="Times New Roman" w:eastAsia="Times New Roman" w:hint="default"/>
        </w:rPr>
        <w:t>LED </w:t>
      </w:r>
      <w:r>
        <w:rPr>
          <w:spacing w:val="-4"/>
        </w:rPr>
        <w:t>照明产品、</w:t>
      </w:r>
      <w:r>
        <w:rPr>
          <w:rFonts w:ascii="Times New Roman" w:hAnsi="Times New Roman" w:cs="Times New Roman" w:eastAsia="Times New Roman" w:hint="default"/>
          <w:spacing w:val="-4"/>
        </w:rPr>
        <w:t>LED </w:t>
      </w:r>
      <w:r>
        <w:rPr/>
        <w:t>背光</w:t>
      </w:r>
      <w:r>
        <w:rPr>
          <w:spacing w:val="-59"/>
        </w:rPr>
        <w:t> </w:t>
      </w:r>
      <w:r>
        <w:rPr/>
        <w:t>源及 </w:t>
      </w:r>
      <w:r>
        <w:rPr>
          <w:rFonts w:ascii="Times New Roman" w:hAnsi="Times New Roman" w:cs="Times New Roman" w:eastAsia="Times New Roman" w:hint="default"/>
        </w:rPr>
        <w:t>LED </w:t>
      </w:r>
      <w:r>
        <w:rPr>
          <w:spacing w:val="-8"/>
        </w:rPr>
        <w:t>显示屏、</w:t>
      </w:r>
      <w:r>
        <w:rPr>
          <w:rFonts w:ascii="Times New Roman" w:hAnsi="Times New Roman" w:cs="Times New Roman" w:eastAsia="Times New Roman" w:hint="default"/>
          <w:spacing w:val="-8"/>
        </w:rPr>
        <w:t>LED </w:t>
      </w:r>
      <w:r>
        <w:rPr>
          <w:spacing w:val="-5"/>
        </w:rPr>
        <w:t>驱动电源及控制系统；节能技术研</w:t>
      </w:r>
      <w:r>
        <w:rPr>
          <w:spacing w:val="-70"/>
        </w:rPr>
        <w:t> </w:t>
      </w:r>
      <w:r>
        <w:rPr>
          <w:spacing w:val="-70"/>
        </w:rPr>
      </w:r>
      <w:r>
        <w:rPr>
          <w:spacing w:val="-8"/>
        </w:rPr>
        <w:t>发、咨询、服务、合同能源管理；照明工程、城市亮化工程、</w:t>
      </w:r>
      <w:r>
        <w:rPr>
          <w:spacing w:val="-20"/>
        </w:rPr>
        <w:t> </w:t>
      </w:r>
      <w:r>
        <w:rPr>
          <w:spacing w:val="-20"/>
        </w:rPr>
      </w:r>
      <w:r>
        <w:rPr>
          <w:spacing w:val="-8"/>
        </w:rPr>
        <w:t>景观工程的设计、安装、维护；节能改造工程的设计与施工；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6"/>
        <w:ind w:left="181"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3" w:equalWidth="0">
            <w:col w:w="2524" w:space="40"/>
            <w:col w:w="4890" w:space="1416"/>
            <w:col w:w="1080"/>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316" w:lineRule="auto"/>
        <w:ind w:left="181" w:right="0"/>
        <w:jc w:val="left"/>
      </w:pPr>
      <w:r>
        <w:rPr>
          <w:spacing w:val="-3"/>
        </w:rPr>
        <w:t>深圳前海实益达投资发展有限</w:t>
      </w:r>
      <w:r>
        <w:rPr>
          <w:spacing w:val="-50"/>
        </w:rPr>
        <w:t> </w:t>
      </w:r>
      <w:r>
        <w:rPr>
          <w:spacing w:val="-50"/>
        </w:rPr>
      </w:r>
      <w:r>
        <w:rPr/>
        <w:t>公司</w:t>
      </w:r>
    </w:p>
    <w:p>
      <w:pPr>
        <w:pStyle w:val="BodyText"/>
        <w:spacing w:line="316" w:lineRule="auto" w:before="117"/>
        <w:ind w:left="171" w:right="-11"/>
        <w:jc w:val="left"/>
      </w:pPr>
      <w:r>
        <w:rPr>
          <w:spacing w:val="-5"/>
        </w:rPr>
        <w:br w:type="column"/>
      </w:r>
      <w:r>
        <w:rPr>
          <w:spacing w:val="-5"/>
        </w:rPr>
        <w:t>投资管理；投资咨询；投资顾问；投资兴办实业；创业投资</w:t>
      </w:r>
      <w:r>
        <w:rPr>
          <w:spacing w:val="-18"/>
        </w:rPr>
        <w:t> </w:t>
      </w:r>
      <w:r>
        <w:rPr>
          <w:spacing w:val="-18"/>
        </w:rPr>
      </w:r>
      <w:r>
        <w:rPr>
          <w:spacing w:val="-3"/>
        </w:rPr>
        <w:t>业务；受托管理创业投资企业等机构或个人的创业投资业</w:t>
      </w:r>
      <w:r>
        <w:rPr>
          <w:spacing w:val="-15"/>
        </w:rPr>
        <w:t> </w:t>
      </w:r>
      <w:r>
        <w:rPr>
          <w:spacing w:val="-15"/>
        </w:rPr>
      </w:r>
      <w:r>
        <w:rPr>
          <w:spacing w:val="-8"/>
          <w:w w:val="101"/>
        </w:rPr>
        <w:t>务；创业投资咨询业务；为创业企业提供创业管理服务业务；</w:t>
      </w:r>
      <w:r>
        <w:rPr>
          <w:spacing w:val="-85"/>
          <w:w w:val="101"/>
        </w:rPr>
        <w:t> </w:t>
      </w:r>
      <w:r>
        <w:rPr>
          <w:spacing w:val="-85"/>
          <w:w w:val="101"/>
        </w:rPr>
      </w:r>
      <w:r>
        <w:rPr>
          <w:spacing w:val="-5"/>
        </w:rPr>
        <w:t>参与设立创业投资企业与创业投资管理顾问；股权投资；受</w:t>
      </w:r>
      <w:r>
        <w:rPr>
          <w:spacing w:val="-16"/>
        </w:rPr>
        <w:t> </w:t>
      </w:r>
      <w:r>
        <w:rPr>
          <w:spacing w:val="-16"/>
        </w:rPr>
      </w:r>
      <w:r>
        <w:rPr>
          <w:spacing w:val="-3"/>
        </w:rPr>
        <w:t>托管理股权投资基金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181" w:right="0"/>
        <w:jc w:val="left"/>
        <w:rPr>
          <w:rFonts w:ascii="Times New Roman" w:hAnsi="Times New Roman" w:cs="Times New Roman" w:eastAsia="Times New Roman" w:hint="default"/>
        </w:rPr>
      </w:pPr>
      <w:r>
        <w:rPr>
          <w:rFonts w:ascii="Times New Roman"/>
        </w:rPr>
        <w:t>75.00%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3" w:equalWidth="0">
            <w:col w:w="2524" w:space="40"/>
            <w:col w:w="4890" w:space="1503"/>
            <w:col w:w="993"/>
          </w:cols>
        </w:sect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181" w:right="0"/>
        <w:jc w:val="left"/>
      </w:pPr>
      <w:r>
        <w:rPr>
          <w:spacing w:val="-3"/>
        </w:rPr>
        <w:t>厦门萤火虫节能科技有限公司</w:t>
      </w:r>
    </w:p>
    <w:p>
      <w:pPr>
        <w:pStyle w:val="BodyText"/>
        <w:spacing w:line="321" w:lineRule="auto" w:before="105"/>
        <w:ind w:left="171" w:right="0"/>
        <w:jc w:val="left"/>
      </w:pPr>
      <w:r>
        <w:rPr>
          <w:spacing w:val="-5"/>
        </w:rPr>
        <w:br w:type="column"/>
      </w:r>
      <w:r>
        <w:rPr>
          <w:spacing w:val="-5"/>
        </w:rPr>
        <w:t>节能诊断、设计、改造、运营的服务；批发、零售（含网上</w:t>
      </w:r>
      <w:r>
        <w:rPr>
          <w:spacing w:val="-18"/>
        </w:rPr>
        <w:t> </w:t>
      </w:r>
      <w:r>
        <w:rPr>
          <w:spacing w:val="-18"/>
        </w:rPr>
      </w:r>
      <w:r>
        <w:rPr>
          <w:spacing w:val="-3"/>
        </w:rPr>
        <w:t>销售）节能产品</w:t>
      </w:r>
    </w:p>
    <w:p>
      <w:pPr>
        <w:spacing w:line="240" w:lineRule="auto" w:before="5"/>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2.44%</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3" w:equalWidth="0">
            <w:col w:w="2524" w:space="40"/>
            <w:col w:w="4799" w:space="1685"/>
            <w:col w:w="902"/>
          </w:cols>
        </w:sectPr>
      </w:pPr>
    </w:p>
    <w:p>
      <w:pPr>
        <w:pStyle w:val="BodyText"/>
        <w:spacing w:line="316" w:lineRule="auto" w:before="101"/>
        <w:ind w:left="181" w:right="0"/>
        <w:jc w:val="left"/>
      </w:pPr>
      <w:r>
        <w:rPr>
          <w:spacing w:val="-4"/>
        </w:rPr>
        <w:t>新余久益投资管理合伙企业（有</w:t>
      </w:r>
      <w:r>
        <w:rPr>
          <w:spacing w:val="-55"/>
        </w:rPr>
        <w:t> </w:t>
      </w:r>
      <w:r>
        <w:rPr>
          <w:spacing w:val="-55"/>
        </w:rPr>
      </w:r>
      <w:r>
        <w:rPr/>
        <w:t>限合伙）</w:t>
      </w:r>
    </w:p>
    <w:p>
      <w:pPr>
        <w:spacing w:line="240" w:lineRule="auto" w:before="11"/>
        <w:rPr>
          <w:rFonts w:ascii="宋体" w:hAnsi="宋体" w:cs="宋体" w:eastAsia="宋体" w:hint="default"/>
          <w:sz w:val="19"/>
          <w:szCs w:val="19"/>
        </w:rPr>
      </w:pPr>
      <w:r>
        <w:rPr/>
        <w:br w:type="column"/>
      </w:r>
      <w:r>
        <w:rPr>
          <w:rFonts w:ascii="宋体"/>
          <w:sz w:val="19"/>
        </w:rPr>
      </w:r>
    </w:p>
    <w:p>
      <w:pPr>
        <w:pStyle w:val="BodyText"/>
        <w:spacing w:line="240" w:lineRule="auto"/>
        <w:ind w:left="12" w:right="0"/>
        <w:jc w:val="left"/>
      </w:pPr>
      <w:r>
        <w:rPr>
          <w:spacing w:val="-3"/>
        </w:rPr>
        <w:t>企业投资、投资管理（金融、证券、期货、保险业务除外）</w:t>
      </w:r>
    </w:p>
    <w:p>
      <w:pPr>
        <w:spacing w:line="240" w:lineRule="auto" w:before="1"/>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40.00%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3" w:equalWidth="0">
            <w:col w:w="2683" w:space="40"/>
            <w:col w:w="4698" w:space="1537"/>
            <w:col w:w="992"/>
          </w:cols>
        </w:sectPr>
      </w:pPr>
    </w:p>
    <w:p>
      <w:pPr>
        <w:spacing w:line="240" w:lineRule="auto" w:before="9"/>
        <w:rPr>
          <w:rFonts w:ascii="Times New Roman" w:hAnsi="Times New Roman" w:cs="Times New Roman" w:eastAsia="Times New Roman" w:hint="default"/>
          <w:sz w:val="26"/>
          <w:szCs w:val="26"/>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38" w:lineRule="auto"/>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公司报告期未持有金融企业股权。</w:t>
      </w:r>
    </w:p>
    <w:p>
      <w:pPr>
        <w:spacing w:line="240" w:lineRule="auto" w:before="12"/>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公司报告期不存在证券投资。</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公司报告期未持有其他上市公司股权。</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公司报告期不存在委托理财。</w:t>
      </w:r>
    </w:p>
    <w:p>
      <w:pPr>
        <w:spacing w:after="0" w:line="338" w:lineRule="auto"/>
        <w:jc w:val="left"/>
        <w:sectPr>
          <w:type w:val="continuous"/>
          <w:pgSz w:w="11910" w:h="16840"/>
          <w:pgMar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公司报告期不存在衍生品投资。</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45"/>
        <w:jc w:val="right"/>
      </w:pPr>
      <w:r>
        <w:rPr>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46"/>
        <w:ind w:left="0" w:right="150"/>
        <w:jc w:val="right"/>
      </w:pPr>
      <w:r>
        <w:rPr/>
        <w:pict>
          <v:shape style="position:absolute;margin-left:56.400002pt;margin-top:-204.15213pt;width:479.05pt;height:223.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99"/>
                    <w:gridCol w:w="5467"/>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13,966.21</w:t>
                        </w:r>
                      </w:p>
                    </w:tc>
                  </w:tr>
                  <w:tr>
                    <w:trPr>
                      <w:trHeight w:val="398"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累计变更用途的募集资金总额比例</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71.60%</w:t>
                        </w:r>
                      </w:p>
                    </w:tc>
                  </w:tr>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651"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经中国证券监督管理委员会（以下简称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中国证监会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）证监许可</w:t>
                        </w:r>
                        <w:r>
                          <w:rPr>
                            <w:rFonts w:ascii="Times New Roman" w:hAnsi="Times New Roman" w:cs="Times New Roman" w:eastAsia="Times New Roman" w:hint="default"/>
                            <w:spacing w:val="-3"/>
                            <w:sz w:val="18"/>
                            <w:szCs w:val="18"/>
                          </w:rPr>
                          <w:t>[2013] </w:t>
                        </w:r>
                        <w:r>
                          <w:rPr>
                            <w:rFonts w:ascii="Times New Roman" w:hAnsi="Times New Roman" w:cs="Times New Roman" w:eastAsia="Times New Roman" w:hint="default"/>
                            <w:sz w:val="18"/>
                            <w:szCs w:val="18"/>
                          </w:rPr>
                          <w:t>160  </w:t>
                        </w:r>
                        <w:r>
                          <w:rPr>
                            <w:rFonts w:ascii="宋体" w:hAnsi="宋体" w:cs="宋体" w:eastAsia="宋体" w:hint="default"/>
                            <w:sz w:val="18"/>
                            <w:szCs w:val="18"/>
                          </w:rPr>
                          <w:t>号文核准，公司于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月向特定投资者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非公开发行人民币普通股股票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3,700.00 </w:t>
                        </w:r>
                        <w:r>
                          <w:rPr>
                            <w:rFonts w:ascii="Times New Roman" w:hAnsi="Times New Roman" w:cs="Times New Roman" w:eastAsia="Times New Roman" w:hint="default"/>
                            <w:spacing w:val="12"/>
                            <w:sz w:val="18"/>
                            <w:szCs w:val="18"/>
                          </w:rPr>
                          <w:t> </w:t>
                        </w:r>
                        <w:r>
                          <w:rPr>
                            <w:rFonts w:ascii="宋体" w:hAnsi="宋体" w:cs="宋体" w:eastAsia="宋体" w:hint="default"/>
                            <w:spacing w:val="-8"/>
                            <w:sz w:val="18"/>
                            <w:szCs w:val="18"/>
                          </w:rPr>
                          <w:t>万股，发行价格</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3.99 </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14,763 </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万元，扣除各项发行费用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796.79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万元，实际募集资金净额为人民币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13,966.21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万元。该募集资金已经于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13"/>
                            <w:sz w:val="18"/>
                            <w:szCs w:val="18"/>
                          </w:rPr>
                          <w:t> </w:t>
                        </w:r>
                        <w:r>
                          <w:rPr>
                            <w:rFonts w:ascii="宋体" w:hAnsi="宋体" w:cs="宋体" w:eastAsia="宋体" w:hint="default"/>
                            <w:spacing w:val="-3"/>
                            <w:sz w:val="18"/>
                            <w:szCs w:val="18"/>
                          </w:rPr>
                          <w:t>全部到账，并经大华会计师事</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务所（特殊普通合伙）大华验</w:t>
                        </w:r>
                        <w:r>
                          <w:rPr>
                            <w:rFonts w:ascii="Times New Roman" w:hAnsi="Times New Roman" w:cs="Times New Roman" w:eastAsia="Times New Roman" w:hint="default"/>
                            <w:sz w:val="18"/>
                            <w:szCs w:val="18"/>
                          </w:rPr>
                          <w:t>[2013]000228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号《验资报告》验证确认。截止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8874.77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万元</w:t>
                        </w:r>
                        <w:r>
                          <w:rPr>
                            <w:rFonts w:ascii="宋体" w:hAnsi="宋体" w:cs="宋体" w:eastAsia="宋体" w:hint="default"/>
                            <w:spacing w:val="-96"/>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含</w:t>
                        </w:r>
                        <w:r>
                          <w:rPr>
                            <w:rFonts w:ascii="宋体" w:hAnsi="宋体" w:cs="宋体" w:eastAsia="宋体" w:hint="default"/>
                            <w:w w:val="101"/>
                            <w:sz w:val="18"/>
                            <w:szCs w:val="18"/>
                          </w:rPr>
                          <w:t>了</w:t>
                        </w:r>
                        <w:r>
                          <w:rPr>
                            <w:rFonts w:ascii="宋体" w:hAnsi="宋体" w:cs="宋体" w:eastAsia="宋体" w:hint="default"/>
                            <w:spacing w:val="-5"/>
                            <w:w w:val="101"/>
                            <w:sz w:val="18"/>
                            <w:szCs w:val="18"/>
                          </w:rPr>
                          <w:t>非</w:t>
                        </w:r>
                        <w:r>
                          <w:rPr>
                            <w:rFonts w:ascii="宋体" w:hAnsi="宋体" w:cs="宋体" w:eastAsia="宋体" w:hint="default"/>
                            <w:w w:val="101"/>
                            <w:sz w:val="18"/>
                            <w:szCs w:val="18"/>
                          </w:rPr>
                          <w:t>公</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存</w:t>
                        </w:r>
                        <w:r>
                          <w:rPr>
                            <w:rFonts w:ascii="宋体" w:hAnsi="宋体" w:cs="宋体" w:eastAsia="宋体" w:hint="default"/>
                            <w:spacing w:val="-5"/>
                            <w:w w:val="101"/>
                            <w:sz w:val="18"/>
                            <w:szCs w:val="18"/>
                          </w:rPr>
                          <w:t>款</w:t>
                        </w:r>
                        <w:r>
                          <w:rPr>
                            <w:rFonts w:ascii="宋体" w:hAnsi="宋体" w:cs="宋体" w:eastAsia="宋体" w:hint="default"/>
                            <w:w w:val="101"/>
                            <w:sz w:val="18"/>
                            <w:szCs w:val="18"/>
                          </w:rPr>
                          <w:t>专</w:t>
                        </w:r>
                        <w:r>
                          <w:rPr>
                            <w:rFonts w:ascii="宋体" w:hAnsi="宋体" w:cs="宋体" w:eastAsia="宋体" w:hint="default"/>
                            <w:spacing w:val="-5"/>
                            <w:w w:val="101"/>
                            <w:sz w:val="18"/>
                            <w:szCs w:val="18"/>
                          </w:rPr>
                          <w:t>户</w:t>
                        </w:r>
                        <w:r>
                          <w:rPr>
                            <w:rFonts w:ascii="宋体" w:hAnsi="宋体" w:cs="宋体" w:eastAsia="宋体" w:hint="default"/>
                            <w:w w:val="101"/>
                            <w:sz w:val="18"/>
                            <w:szCs w:val="18"/>
                          </w:rPr>
                          <w:t>利</w:t>
                        </w:r>
                        <w:r>
                          <w:rPr>
                            <w:rFonts w:ascii="宋体" w:hAnsi="宋体" w:cs="宋体" w:eastAsia="宋体" w:hint="default"/>
                            <w:spacing w:val="-5"/>
                            <w:w w:val="101"/>
                            <w:sz w:val="18"/>
                            <w:szCs w:val="18"/>
                          </w:rPr>
                          <w:t>息</w:t>
                        </w:r>
                        <w:r>
                          <w:rPr>
                            <w:rFonts w:ascii="宋体" w:hAnsi="宋体" w:cs="宋体" w:eastAsia="宋体" w:hint="default"/>
                            <w:w w:val="101"/>
                            <w:sz w:val="18"/>
                            <w:szCs w:val="18"/>
                          </w:rPr>
                          <w:t>收</w:t>
                        </w:r>
                        <w:r>
                          <w:rPr>
                            <w:rFonts w:ascii="宋体" w:hAnsi="宋体" w:cs="宋体" w:eastAsia="宋体" w:hint="default"/>
                            <w:spacing w:val="-5"/>
                            <w:w w:val="101"/>
                            <w:sz w:val="18"/>
                            <w:szCs w:val="18"/>
                          </w:rPr>
                          <w:t>入</w:t>
                        </w:r>
                        <w:r>
                          <w:rPr>
                            <w:rFonts w:ascii="宋体" w:hAnsi="宋体" w:cs="宋体" w:eastAsia="宋体" w:hint="default"/>
                            <w:w w:val="101"/>
                            <w:sz w:val="18"/>
                            <w:szCs w:val="18"/>
                          </w:rPr>
                          <w:t>和</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理</w:t>
                        </w:r>
                        <w:r>
                          <w:rPr>
                            <w:rFonts w:ascii="宋体" w:hAnsi="宋体" w:cs="宋体" w:eastAsia="宋体" w:hint="default"/>
                            <w:w w:val="101"/>
                            <w:sz w:val="18"/>
                            <w:szCs w:val="18"/>
                          </w:rPr>
                          <w:t>财</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
                            <w:w w:val="101"/>
                            <w:sz w:val="18"/>
                            <w:szCs w:val="18"/>
                          </w:rPr>
                          <w:t>的</w:t>
                        </w:r>
                        <w:r>
                          <w:rPr>
                            <w:rFonts w:ascii="宋体" w:hAnsi="宋体" w:cs="宋体" w:eastAsia="宋体" w:hint="default"/>
                            <w:w w:val="101"/>
                            <w:sz w:val="18"/>
                            <w:szCs w:val="18"/>
                          </w:rPr>
                          <w:t>收益</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53</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和</w:t>
                        </w:r>
                        <w:r>
                          <w:rPr>
                            <w:rFonts w:ascii="宋体" w:hAnsi="宋体" w:cs="宋体" w:eastAsia="宋体" w:hint="default"/>
                            <w:spacing w:val="-5"/>
                            <w:w w:val="101"/>
                            <w:sz w:val="18"/>
                            <w:szCs w:val="18"/>
                          </w:rPr>
                          <w:t>尚</w:t>
                        </w:r>
                        <w:r>
                          <w:rPr>
                            <w:rFonts w:ascii="宋体" w:hAnsi="宋体" w:cs="宋体" w:eastAsia="宋体" w:hint="default"/>
                            <w:w w:val="101"/>
                            <w:sz w:val="18"/>
                            <w:szCs w:val="18"/>
                          </w:rPr>
                          <w:t>未</w:t>
                        </w:r>
                        <w:r>
                          <w:rPr>
                            <w:rFonts w:ascii="宋体" w:hAnsi="宋体" w:cs="宋体" w:eastAsia="宋体" w:hint="default"/>
                            <w:spacing w:val="-5"/>
                            <w:w w:val="101"/>
                            <w:sz w:val="18"/>
                            <w:szCs w:val="18"/>
                          </w:rPr>
                          <w:t>支</w:t>
                        </w:r>
                        <w:r>
                          <w:rPr>
                            <w:rFonts w:ascii="宋体" w:hAnsi="宋体" w:cs="宋体" w:eastAsia="宋体" w:hint="default"/>
                            <w:w w:val="101"/>
                            <w:sz w:val="18"/>
                            <w:szCs w:val="18"/>
                          </w:rPr>
                          <w:t>付</w:t>
                        </w:r>
                        <w:r>
                          <w:rPr>
                            <w:rFonts w:ascii="宋体" w:hAnsi="宋体" w:cs="宋体" w:eastAsia="宋体" w:hint="default"/>
                            <w:spacing w:val="-5"/>
                            <w:w w:val="101"/>
                            <w:sz w:val="18"/>
                            <w:szCs w:val="18"/>
                          </w:rPr>
                          <w:t>的</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费用</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7"/>
        <w:rPr>
          <w:rFonts w:ascii="宋体" w:hAnsi="宋体" w:cs="宋体" w:eastAsia="宋体" w:hint="default"/>
          <w:sz w:val="27"/>
          <w:szCs w:val="27"/>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45"/>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66"/>
        <w:gridCol w:w="773"/>
        <w:gridCol w:w="778"/>
        <w:gridCol w:w="773"/>
        <w:gridCol w:w="782"/>
        <w:gridCol w:w="782"/>
        <w:gridCol w:w="782"/>
        <w:gridCol w:w="782"/>
        <w:gridCol w:w="778"/>
        <w:gridCol w:w="782"/>
        <w:gridCol w:w="787"/>
      </w:tblGrid>
      <w:tr>
        <w:trPr>
          <w:trHeight w:val="1339"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18" w:right="65" w:hanging="452"/>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3"/>
              <w:ind w:left="81" w:right="74"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12"/>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left="6" w:right="0"/>
              <w:jc w:val="center"/>
              <w:rPr>
                <w:rFonts w:ascii="Times New Roman" w:hAnsi="Times New Roman" w:cs="Times New Roman" w:eastAsia="Times New Roman" w:hint="default"/>
                <w:sz w:val="18"/>
                <w:szCs w:val="18"/>
              </w:rPr>
            </w:pPr>
            <w:r>
              <w:rPr>
                <w:rFonts w:ascii="Times New Roman"/>
                <w:sz w:val="18"/>
              </w:rPr>
              <w:t>(1)</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2"/>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3"/>
              <w:ind w:left="23" w:right="22"/>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4" w:right="23"/>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预定可使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用状态日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8" w:right="22"/>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398"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无锡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室内商业</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26,478.2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5" w:right="0"/>
              <w:jc w:val="left"/>
              <w:rPr>
                <w:rFonts w:ascii="Times New Roman" w:hAnsi="Times New Roman" w:cs="Times New Roman" w:eastAsia="Times New Roman" w:hint="default"/>
                <w:sz w:val="18"/>
                <w:szCs w:val="18"/>
              </w:rPr>
            </w:pPr>
            <w:r>
              <w:rPr>
                <w:rFonts w:ascii="Times New Roman"/>
                <w:sz w:val="18"/>
              </w:rPr>
              <w:t>1,000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5" w:right="0"/>
              <w:jc w:val="left"/>
              <w:rPr>
                <w:rFonts w:ascii="Times New Roman" w:hAnsi="Times New Roman" w:cs="Times New Roman" w:eastAsia="Times New Roman" w:hint="default"/>
                <w:sz w:val="18"/>
                <w:szCs w:val="18"/>
              </w:rPr>
            </w:pPr>
            <w:r>
              <w:rPr>
                <w:rFonts w:ascii="Times New Roman"/>
                <w:sz w:val="18"/>
              </w:rPr>
              <w:t>1,000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0"/>
              <w:jc w:val="left"/>
              <w:rPr>
                <w:rFonts w:ascii="Times New Roman" w:hAnsi="Times New Roman" w:cs="Times New Roman" w:eastAsia="Times New Roman" w:hint="default"/>
                <w:sz w:val="18"/>
                <w:szCs w:val="18"/>
              </w:rPr>
            </w:pPr>
            <w:r>
              <w:rPr>
                <w:rFonts w:ascii="Times New Roman"/>
                <w:sz w:val="18"/>
              </w:rPr>
              <w:t>10.00%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66"/>
        <w:gridCol w:w="773"/>
        <w:gridCol w:w="778"/>
        <w:gridCol w:w="773"/>
        <w:gridCol w:w="782"/>
        <w:gridCol w:w="782"/>
        <w:gridCol w:w="782"/>
        <w:gridCol w:w="782"/>
        <w:gridCol w:w="779"/>
        <w:gridCol w:w="781"/>
        <w:gridCol w:w="787"/>
      </w:tblGrid>
      <w:tr>
        <w:trPr>
          <w:trHeight w:val="36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照明生产建设项目</w:t>
            </w:r>
          </w:p>
        </w:tc>
        <w:tc>
          <w:tcPr>
            <w:tcW w:w="77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26"/>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照明研发中</w:t>
            </w:r>
            <w:r>
              <w:rPr>
                <w:rFonts w:ascii="宋体" w:hAnsi="宋体" w:cs="宋体" w:eastAsia="宋体" w:hint="default"/>
                <w:w w:val="101"/>
                <w:sz w:val="18"/>
                <w:szCs w:val="18"/>
              </w:rPr>
              <w:t> </w:t>
            </w:r>
            <w:r>
              <w:rPr>
                <w:rFonts w:ascii="宋体" w:hAnsi="宋体" w:cs="宋体" w:eastAsia="宋体" w:hint="default"/>
                <w:sz w:val="18"/>
                <w:szCs w:val="18"/>
              </w:rPr>
              <w:t>心建设项目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5,064.9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1,966.21</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26"/>
              <w:jc w:val="left"/>
              <w:rPr>
                <w:rFonts w:ascii="宋体" w:hAnsi="宋体" w:cs="宋体" w:eastAsia="宋体" w:hint="default"/>
                <w:sz w:val="18"/>
                <w:szCs w:val="18"/>
              </w:rPr>
            </w:pPr>
            <w:r>
              <w:rPr>
                <w:rFonts w:ascii="宋体" w:hAnsi="宋体" w:cs="宋体" w:eastAsia="宋体" w:hint="default"/>
                <w:sz w:val="18"/>
                <w:szCs w:val="18"/>
              </w:rPr>
              <w:t>无锡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照明营销网</w:t>
            </w:r>
            <w:r>
              <w:rPr>
                <w:rFonts w:ascii="宋体" w:hAnsi="宋体" w:cs="宋体" w:eastAsia="宋体" w:hint="default"/>
                <w:w w:val="101"/>
                <w:sz w:val="18"/>
                <w:szCs w:val="18"/>
              </w:rPr>
              <w:t> </w:t>
            </w:r>
            <w:r>
              <w:rPr>
                <w:rFonts w:ascii="宋体" w:hAnsi="宋体" w:cs="宋体" w:eastAsia="宋体" w:hint="default"/>
                <w:spacing w:val="-3"/>
                <w:sz w:val="18"/>
                <w:szCs w:val="18"/>
              </w:rPr>
              <w:t>络体系建设项目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4,565.3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pacing w:val="-3"/>
                <w:sz w:val="18"/>
                <w:szCs w:val="18"/>
              </w:rPr>
              <w:t>深圳手机控制板生产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线技术改造项目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4,634.6</w:t>
            </w:r>
          </w:p>
        </w:tc>
        <w:tc>
          <w:tcPr>
            <w:tcW w:w="77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21"/>
              <w:jc w:val="right"/>
              <w:rPr>
                <w:rFonts w:ascii="Times New Roman" w:hAnsi="Times New Roman" w:cs="Times New Roman" w:eastAsia="Times New Roman" w:hint="default"/>
                <w:sz w:val="18"/>
                <w:szCs w:val="18"/>
              </w:rPr>
            </w:pPr>
            <w:r>
              <w:rPr>
                <w:rFonts w:ascii="Times New Roman"/>
                <w:spacing w:val="-2"/>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40,743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13,966.21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330"/>
              <w:jc w:val="right"/>
              <w:rPr>
                <w:rFonts w:ascii="Times New Roman" w:hAnsi="Times New Roman" w:cs="Times New Roman" w:eastAsia="Times New Roman" w:hint="default"/>
                <w:sz w:val="18"/>
                <w:szCs w:val="18"/>
              </w:rPr>
            </w:pPr>
            <w:r>
              <w:rPr>
                <w:rFonts w:ascii="Times New Roman"/>
                <w:spacing w:val="-2"/>
                <w:sz w:val="18"/>
              </w:rPr>
              <w:t>--</w:t>
            </w:r>
          </w:p>
        </w:tc>
      </w:tr>
      <w:tr>
        <w:trPr>
          <w:trHeight w:val="394"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321"/>
              <w:jc w:val="right"/>
              <w:rPr>
                <w:rFonts w:ascii="Times New Roman" w:hAnsi="Times New Roman" w:cs="Times New Roman" w:eastAsia="Times New Roman" w:hint="default"/>
                <w:sz w:val="18"/>
                <w:szCs w:val="18"/>
              </w:rPr>
            </w:pPr>
            <w:r>
              <w:rPr>
                <w:rFonts w:ascii="Times New Roman"/>
                <w:spacing w:val="-2"/>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40,743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13,966.21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330"/>
              <w:jc w:val="right"/>
              <w:rPr>
                <w:rFonts w:ascii="Times New Roman" w:hAnsi="Times New Roman" w:cs="Times New Roman" w:eastAsia="Times New Roman" w:hint="default"/>
                <w:sz w:val="18"/>
                <w:szCs w:val="18"/>
              </w:rPr>
            </w:pPr>
            <w:r>
              <w:rPr>
                <w:rFonts w:ascii="Times New Roman"/>
                <w:spacing w:val="-2"/>
                <w:sz w:val="18"/>
              </w:rPr>
              <w:t>--</w:t>
            </w:r>
          </w:p>
        </w:tc>
      </w:tr>
      <w:tr>
        <w:trPr>
          <w:trHeight w:val="362"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0"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公司考虑到如下三方面原因，终止实施了募集资金投资项目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深圳手机控制板生产线技术改造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。具</w:t>
            </w:r>
          </w:p>
        </w:tc>
      </w:tr>
      <w:tr>
        <w:trPr>
          <w:trHeight w:val="305"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体原因为：①公司本次非公开发行股票实际募集资金净额少于计划金额，不能满足全部项目投资需</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要，根据公司实际经营情况及公司发展战略，如继续实施，深圳手机控制板生产线技术改造项目投</w:t>
            </w:r>
          </w:p>
        </w:tc>
      </w:tr>
      <w:tr>
        <w:trPr>
          <w:trHeight w:val="941"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24" w:lineRule="auto"/>
              <w:ind w:left="23" w:right="108"/>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309" w:lineRule="auto" w:before="11"/>
              <w:ind w:left="24" w:right="12"/>
              <w:jc w:val="left"/>
              <w:rPr>
                <w:rFonts w:ascii="宋体" w:hAnsi="宋体" w:cs="宋体" w:eastAsia="宋体" w:hint="default"/>
                <w:sz w:val="18"/>
                <w:szCs w:val="18"/>
              </w:rPr>
            </w:pPr>
            <w:r>
              <w:rPr>
                <w:rFonts w:ascii="宋体" w:hAnsi="宋体" w:cs="宋体" w:eastAsia="宋体" w:hint="default"/>
                <w:spacing w:val="-3"/>
                <w:sz w:val="18"/>
                <w:szCs w:val="18"/>
              </w:rPr>
              <w:t>资资金需全部通过公司自筹解决。②公司 </w:t>
            </w:r>
            <w:r>
              <w:rPr>
                <w:rFonts w:ascii="Times New Roman" w:hAnsi="Times New Roman" w:cs="Times New Roman" w:eastAsia="Times New Roman" w:hint="default"/>
                <w:sz w:val="18"/>
                <w:szCs w:val="18"/>
              </w:rPr>
              <w:t>EMS </w:t>
            </w:r>
            <w:r>
              <w:rPr>
                <w:rFonts w:ascii="宋体" w:hAnsi="宋体" w:cs="宋体" w:eastAsia="宋体" w:hint="default"/>
                <w:spacing w:val="-3"/>
                <w:sz w:val="18"/>
                <w:szCs w:val="18"/>
              </w:rPr>
              <w:t>业务订单数量及质量大幅度下滑，手机控制板项目</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订单急剧减少，公司的现有装备制造能力足以满足手机业务产能。③根据公司发展战略，为提高公</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司的盈利水平，增强公司抗风险能力，公司致力于大力发展自主品牌业务，并将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照明业务作为</w:t>
            </w:r>
          </w:p>
        </w:tc>
      </w:tr>
      <w:tr>
        <w:trPr>
          <w:trHeight w:val="307"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战略发展规划的重中之重。因本次非公开发行实际募集资金净额少于计划金额，不能满足全部募投</w:t>
            </w:r>
          </w:p>
        </w:tc>
      </w:tr>
      <w:tr>
        <w:trPr>
          <w:trHeight w:val="314"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项目投资需要，根据公司发展战略，公司未向本项目分配募集资金，所以不需要安排募集资金后续</w:t>
            </w:r>
          </w:p>
        </w:tc>
      </w:tr>
      <w:tr>
        <w:trPr>
          <w:trHeight w:val="358"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0"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使用事宜。</w:t>
            </w:r>
          </w:p>
        </w:tc>
      </w:tr>
      <w:tr>
        <w:trPr>
          <w:trHeight w:val="398"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0"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8" w:hRule="exact"/>
        </w:trPr>
        <w:tc>
          <w:tcPr>
            <w:tcW w:w="1766" w:type="dxa"/>
            <w:vMerge w:val="restart"/>
            <w:tcBorders>
              <w:top w:val="nil" w:sz="6" w:space="0" w:color="auto"/>
              <w:left w:val="single" w:sz="4" w:space="0" w:color="000000"/>
              <w:right w:val="single" w:sz="4" w:space="0" w:color="000000"/>
            </w:tcBorders>
            <w:shd w:val="clear" w:color="auto" w:fill="D3D3D3"/>
          </w:tcPr>
          <w:p>
            <w:pPr>
              <w:pStyle w:val="TableParagraph"/>
              <w:spacing w:line="21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p>
        </w:tc>
        <w:tc>
          <w:tcPr>
            <w:tcW w:w="7800" w:type="dxa"/>
            <w:gridSpan w:val="10"/>
            <w:tcBorders>
              <w:top w:val="nil" w:sz="6" w:space="0" w:color="auto"/>
              <w:left w:val="single" w:sz="4" w:space="0" w:color="000000"/>
              <w:bottom w:val="single" w:sz="4" w:space="0" w:color="000000"/>
              <w:right w:val="single" w:sz="4" w:space="0" w:color="000000"/>
            </w:tcBorders>
          </w:tcPr>
          <w:p>
            <w:pPr/>
          </w:p>
        </w:tc>
      </w:tr>
      <w:tr>
        <w:trPr>
          <w:trHeight w:val="203" w:hRule="exact"/>
        </w:trPr>
        <w:tc>
          <w:tcPr>
            <w:tcW w:w="1766" w:type="dxa"/>
            <w:vMerge/>
            <w:tcBorders>
              <w:left w:val="single" w:sz="4" w:space="0" w:color="000000"/>
              <w:bottom w:val="nil" w:sz="6" w:space="0" w:color="auto"/>
              <w:right w:val="single" w:sz="4" w:space="0" w:color="000000"/>
            </w:tcBorders>
            <w:shd w:val="clear" w:color="auto" w:fill="D3D3D3"/>
          </w:tcPr>
          <w:p>
            <w:pPr/>
          </w:p>
        </w:tc>
        <w:tc>
          <w:tcPr>
            <w:tcW w:w="7800" w:type="dxa"/>
            <w:gridSpan w:val="10"/>
            <w:vMerge w:val="restart"/>
            <w:tcBorders>
              <w:top w:val="single" w:sz="4" w:space="0" w:color="000000"/>
              <w:left w:val="single" w:sz="4" w:space="0" w:color="000000"/>
              <w:right w:val="single" w:sz="4" w:space="0" w:color="000000"/>
            </w:tcBorders>
          </w:tcPr>
          <w:p>
            <w:pPr/>
          </w:p>
        </w:tc>
      </w:tr>
      <w:tr>
        <w:trPr>
          <w:trHeight w:val="200" w:hRule="exact"/>
        </w:trPr>
        <w:tc>
          <w:tcPr>
            <w:tcW w:w="17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施地点变更情况</w:t>
            </w:r>
          </w:p>
        </w:tc>
        <w:tc>
          <w:tcPr>
            <w:tcW w:w="7800" w:type="dxa"/>
            <w:gridSpan w:val="10"/>
            <w:vMerge/>
            <w:tcBorders>
              <w:left w:val="single" w:sz="4" w:space="0" w:color="000000"/>
              <w:bottom w:val="single" w:sz="4" w:space="0" w:color="000000"/>
              <w:right w:val="single" w:sz="4" w:space="0" w:color="000000"/>
            </w:tcBorders>
          </w:tcPr>
          <w:p>
            <w:pPr/>
          </w:p>
        </w:tc>
      </w:tr>
      <w:tr>
        <w:trPr>
          <w:trHeight w:val="398" w:hRule="exact"/>
        </w:trPr>
        <w:tc>
          <w:tcPr>
            <w:tcW w:w="1766" w:type="dxa"/>
            <w:vMerge/>
            <w:tcBorders>
              <w:left w:val="single" w:sz="4" w:space="0" w:color="000000"/>
              <w:bottom w:val="single" w:sz="4" w:space="0" w:color="000000"/>
              <w:right w:val="single" w:sz="4" w:space="0" w:color="000000"/>
            </w:tcBorders>
            <w:shd w:val="clear" w:color="auto" w:fill="D3D3D3"/>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）根据公司战略发展规划，并鉴于无锡实益达电子的生产优势及项目投资进度等原因，公司经过</w:t>
            </w:r>
          </w:p>
        </w:tc>
      </w:tr>
      <w:tr>
        <w:trPr>
          <w:trHeight w:val="310"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慎重研究，分别使用募投项目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照明研发中心建设项目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LED</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照明营销网络体系建设项目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的募集资金 </w:t>
            </w:r>
            <w:r>
              <w:rPr>
                <w:rFonts w:ascii="Times New Roman" w:hAnsi="Times New Roman" w:cs="Times New Roman" w:eastAsia="Times New Roman" w:hint="default"/>
                <w:sz w:val="18"/>
                <w:szCs w:val="18"/>
              </w:rPr>
              <w:t>2000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万元及利息与无锡实益达电子共同投资无锡实益达照</w:t>
            </w:r>
          </w:p>
        </w:tc>
      </w:tr>
      <w:tr>
        <w:trPr>
          <w:trHeight w:val="314"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明，并将此两募投项目的实施主体由无锡实益达电子变更为无锡实益达照明，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无锡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室内商业</w:t>
            </w:r>
          </w:p>
        </w:tc>
      </w:tr>
      <w:tr>
        <w:trPr>
          <w:trHeight w:val="269"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照明生产建设项目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的实施主体不做变更。</w:t>
            </w:r>
          </w:p>
        </w:tc>
      </w:tr>
      <w:tr>
        <w:trPr>
          <w:trHeight w:val="708"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pacing w:val="-3"/>
                <w:sz w:val="18"/>
                <w:szCs w:val="18"/>
              </w:rPr>
              <w:t>施方式调整情况</w:t>
            </w: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300" w:lineRule="auto" w:before="90"/>
              <w:ind w:left="24" w:right="11" w:hanging="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）根据公司发展战略规划，为抓住</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产业发展的历史机遇，实现公司做大、做强</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照明业</w:t>
            </w:r>
            <w:r>
              <w:rPr>
                <w:rFonts w:ascii="宋体" w:hAnsi="宋体" w:cs="宋体" w:eastAsia="宋体" w:hint="default"/>
                <w:spacing w:val="-80"/>
                <w:sz w:val="18"/>
                <w:szCs w:val="18"/>
              </w:rPr>
              <w:t> </w:t>
            </w:r>
            <w:r>
              <w:rPr>
                <w:rFonts w:ascii="宋体" w:hAnsi="宋体" w:cs="宋体" w:eastAsia="宋体" w:hint="default"/>
                <w:spacing w:val="-5"/>
                <w:sz w:val="18"/>
                <w:szCs w:val="18"/>
              </w:rPr>
              <w:t>务的远景规划，公司在靠自身式发展的同时，迫切需要寻找在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照明细分市场领域与公司具有业</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务互补以及代表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照明未来发展趋势的优质企业，通过产业并购等方式，借助实业经营和资本运</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营的协同效应，逐步完善公司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照明多元化业务格局，提高公司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照明业务的核心竞争力；</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此外，公司现有</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产能可以满足经营之需，公司传统</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业务大幅萎缩导致部分闲置设备可直</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接转用于 </w:t>
            </w:r>
            <w:r>
              <w:rPr>
                <w:rFonts w:ascii="Times New Roman" w:hAnsi="Times New Roman" w:cs="Times New Roman" w:eastAsia="Times New Roman" w:hint="default"/>
                <w:sz w:val="18"/>
                <w:szCs w:val="18"/>
              </w:rPr>
              <w:t>LED </w:t>
            </w:r>
            <w:r>
              <w:rPr>
                <w:rFonts w:ascii="宋体" w:hAnsi="宋体" w:cs="宋体" w:eastAsia="宋体" w:hint="default"/>
                <w:spacing w:val="-5"/>
                <w:sz w:val="18"/>
                <w:szCs w:val="18"/>
              </w:rPr>
              <w:t>照明业务，为合理、有效利用各项资源，公司将暂缓</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无锡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室内商业照明生产建</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的实施，未来如需要重新启动，资金将由公司自筹解决。基于以上两方面原因，公司</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2014</w:t>
            </w:r>
          </w:p>
        </w:tc>
      </w:tr>
      <w:tr>
        <w:trPr>
          <w:trHeight w:val="307"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年度第三次临时股东大会审议通过了《关于变更部分募集资金用途暨使用募集资金对外股权投资的</w:t>
            </w:r>
          </w:p>
        </w:tc>
      </w:tr>
      <w:tr>
        <w:trPr>
          <w:trHeight w:val="317"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0"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将</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之</w:t>
            </w:r>
            <w:r>
              <w:rPr>
                <w:rFonts w:ascii="宋体" w:hAnsi="宋体" w:cs="宋体" w:eastAsia="宋体" w:hint="default"/>
                <w:spacing w:val="-5"/>
                <w:w w:val="101"/>
                <w:sz w:val="18"/>
                <w:szCs w:val="18"/>
              </w:rPr>
              <w:t>一</w:t>
            </w:r>
            <w:r>
              <w:rPr>
                <w:rFonts w:ascii="宋体" w:hAnsi="宋体" w:cs="宋体" w:eastAsia="宋体" w:hint="default"/>
                <w:w w:val="101"/>
                <w:sz w:val="18"/>
                <w:szCs w:val="18"/>
              </w:rPr>
              <w:t>的</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无锡</w:t>
            </w:r>
            <w:r>
              <w:rPr>
                <w:rFonts w:ascii="宋体" w:hAnsi="宋体" w:cs="宋体" w:eastAsia="宋体" w:hint="default"/>
                <w:spacing w:val="-47"/>
                <w:sz w:val="18"/>
                <w:szCs w:val="18"/>
              </w:rPr>
              <w:t> </w:t>
            </w:r>
            <w:r>
              <w:rPr>
                <w:rFonts w:ascii="Times New Roman" w:hAnsi="Times New Roman" w:cs="Times New Roman" w:eastAsia="Times New Roman" w:hint="default"/>
                <w:spacing w:val="-6"/>
                <w:w w:val="101"/>
                <w:sz w:val="18"/>
                <w:szCs w:val="18"/>
              </w:rPr>
              <w:t>L</w:t>
            </w:r>
            <w:r>
              <w:rPr>
                <w:rFonts w:ascii="Times New Roman" w:hAnsi="Times New Roman" w:cs="Times New Roman" w:eastAsia="Times New Roman" w:hint="default"/>
                <w:w w:val="101"/>
                <w:sz w:val="18"/>
                <w:szCs w:val="18"/>
              </w:rPr>
              <w:t>ED</w:t>
            </w:r>
            <w:r>
              <w:rPr>
                <w:rFonts w:ascii="Times New Roman" w:hAnsi="Times New Roman" w:cs="Times New Roman" w:eastAsia="Times New Roman" w:hint="default"/>
                <w:spacing w:val="-5"/>
                <w:sz w:val="18"/>
                <w:szCs w:val="18"/>
              </w:rPr>
              <w:t> </w:t>
            </w:r>
            <w:r>
              <w:rPr>
                <w:rFonts w:ascii="宋体" w:hAnsi="宋体" w:cs="宋体" w:eastAsia="宋体" w:hint="default"/>
                <w:w w:val="101"/>
                <w:sz w:val="18"/>
                <w:szCs w:val="18"/>
              </w:rPr>
              <w:t>室内</w:t>
            </w:r>
            <w:r>
              <w:rPr>
                <w:rFonts w:ascii="宋体" w:hAnsi="宋体" w:cs="宋体" w:eastAsia="宋体" w:hint="default"/>
                <w:spacing w:val="-5"/>
                <w:w w:val="101"/>
                <w:sz w:val="18"/>
                <w:szCs w:val="18"/>
              </w:rPr>
              <w:t>商</w:t>
            </w:r>
            <w:r>
              <w:rPr>
                <w:rFonts w:ascii="宋体" w:hAnsi="宋体" w:cs="宋体" w:eastAsia="宋体" w:hint="default"/>
                <w:w w:val="101"/>
                <w:sz w:val="18"/>
                <w:szCs w:val="18"/>
              </w:rPr>
              <w:t>业</w:t>
            </w:r>
            <w:r>
              <w:rPr>
                <w:rFonts w:ascii="宋体" w:hAnsi="宋体" w:cs="宋体" w:eastAsia="宋体" w:hint="default"/>
                <w:spacing w:val="-5"/>
                <w:w w:val="101"/>
                <w:sz w:val="18"/>
                <w:szCs w:val="18"/>
              </w:rPr>
              <w:t>照明</w:t>
            </w:r>
            <w:r>
              <w:rPr>
                <w:rFonts w:ascii="宋体" w:hAnsi="宋体" w:cs="宋体" w:eastAsia="宋体" w:hint="default"/>
                <w:w w:val="101"/>
                <w:sz w:val="18"/>
                <w:szCs w:val="18"/>
              </w:rPr>
              <w:t>生</w:t>
            </w:r>
            <w:r>
              <w:rPr>
                <w:rFonts w:ascii="宋体" w:hAnsi="宋体" w:cs="宋体" w:eastAsia="宋体" w:hint="default"/>
                <w:spacing w:val="-5"/>
                <w:w w:val="101"/>
                <w:sz w:val="18"/>
                <w:szCs w:val="18"/>
              </w:rPr>
              <w:t>产</w:t>
            </w:r>
            <w:r>
              <w:rPr>
                <w:rFonts w:ascii="宋体" w:hAnsi="宋体" w:cs="宋体" w:eastAsia="宋体" w:hint="default"/>
                <w:w w:val="101"/>
                <w:sz w:val="18"/>
                <w:szCs w:val="18"/>
              </w:rPr>
              <w:t>建</w:t>
            </w:r>
            <w:r>
              <w:rPr>
                <w:rFonts w:ascii="宋体" w:hAnsi="宋体" w:cs="宋体" w:eastAsia="宋体" w:hint="default"/>
                <w:spacing w:val="-5"/>
                <w:w w:val="101"/>
                <w:sz w:val="18"/>
                <w:szCs w:val="18"/>
              </w:rPr>
              <w:t>设</w:t>
            </w:r>
            <w:r>
              <w:rPr>
                <w:rFonts w:ascii="宋体" w:hAnsi="宋体" w:cs="宋体" w:eastAsia="宋体" w:hint="default"/>
                <w:w w:val="101"/>
                <w:sz w:val="18"/>
                <w:szCs w:val="18"/>
              </w:rPr>
              <w:t>项</w:t>
            </w:r>
            <w:r>
              <w:rPr>
                <w:rFonts w:ascii="宋体" w:hAnsi="宋体" w:cs="宋体" w:eastAsia="宋体" w:hint="default"/>
                <w:spacing w:val="-1"/>
                <w:w w:val="101"/>
                <w:sz w:val="18"/>
                <w:szCs w:val="18"/>
              </w:rPr>
              <w:t>目</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为</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围绕</w:t>
            </w:r>
            <w:r>
              <w:rPr>
                <w:rFonts w:ascii="宋体" w:hAnsi="宋体" w:cs="宋体" w:eastAsia="宋体" w:hint="default"/>
                <w:spacing w:val="-47"/>
                <w:sz w:val="18"/>
                <w:szCs w:val="18"/>
              </w:rPr>
              <w:t> </w:t>
            </w:r>
            <w:r>
              <w:rPr>
                <w:rFonts w:ascii="Times New Roman" w:hAnsi="Times New Roman" w:cs="Times New Roman" w:eastAsia="Times New Roman" w:hint="default"/>
                <w:spacing w:val="-6"/>
                <w:w w:val="101"/>
                <w:sz w:val="18"/>
                <w:szCs w:val="18"/>
              </w:rPr>
              <w:t>L</w:t>
            </w:r>
            <w:r>
              <w:rPr>
                <w:rFonts w:ascii="Times New Roman" w:hAnsi="Times New Roman" w:cs="Times New Roman" w:eastAsia="Times New Roman" w:hint="default"/>
                <w:w w:val="101"/>
                <w:sz w:val="18"/>
                <w:szCs w:val="18"/>
              </w:rPr>
              <w:t>ED</w:t>
            </w:r>
            <w:r>
              <w:rPr>
                <w:rFonts w:ascii="Times New Roman" w:hAnsi="Times New Roman" w:cs="Times New Roman" w:eastAsia="Times New Roman" w:hint="default"/>
                <w:spacing w:val="-5"/>
                <w:sz w:val="18"/>
                <w:szCs w:val="18"/>
              </w:rPr>
              <w:t> </w:t>
            </w:r>
            <w:r>
              <w:rPr>
                <w:rFonts w:ascii="宋体" w:hAnsi="宋体" w:cs="宋体" w:eastAsia="宋体" w:hint="default"/>
                <w:w w:val="101"/>
                <w:sz w:val="18"/>
                <w:szCs w:val="18"/>
              </w:rPr>
              <w:t>照明</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240" w:lineRule="auto" w:before="46"/>
        <w:ind w:left="0" w:right="150"/>
        <w:jc w:val="right"/>
      </w:pPr>
      <w:r>
        <w:rPr/>
        <w:pict>
          <v:shape style="position:absolute;margin-left:56.400002pt;margin-top:-244.260437pt;width:479.05pt;height:460.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6"/>
                    <w:gridCol w:w="7800"/>
                  </w:tblGrid>
                  <w:tr>
                    <w:trPr>
                      <w:trHeight w:val="360"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主业开展产业并购及投资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8"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日，公司已使用募集资金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4799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万元用于暂时补充流动资金。</w:t>
                        </w:r>
                      </w:p>
                    </w:tc>
                  </w:tr>
                  <w:tr>
                    <w:trPr>
                      <w:trHeight w:val="403"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4"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召</w:t>
                        </w:r>
                        <w:r>
                          <w:rPr>
                            <w:rFonts w:ascii="宋体" w:hAnsi="宋体" w:cs="宋体" w:eastAsia="宋体" w:hint="default"/>
                            <w:spacing w:val="-5"/>
                            <w:w w:val="101"/>
                            <w:sz w:val="18"/>
                            <w:szCs w:val="18"/>
                          </w:rPr>
                          <w:t>开</w:t>
                        </w:r>
                        <w:r>
                          <w:rPr>
                            <w:rFonts w:ascii="宋体" w:hAnsi="宋体" w:cs="宋体" w:eastAsia="宋体" w:hint="default"/>
                            <w:w w:val="101"/>
                            <w:sz w:val="18"/>
                            <w:szCs w:val="18"/>
                          </w:rPr>
                          <w:t>第</w:t>
                        </w:r>
                        <w:r>
                          <w:rPr>
                            <w:rFonts w:ascii="宋体" w:hAnsi="宋体" w:cs="宋体" w:eastAsia="宋体" w:hint="default"/>
                            <w:spacing w:val="-5"/>
                            <w:w w:val="101"/>
                            <w:sz w:val="18"/>
                            <w:szCs w:val="18"/>
                          </w:rPr>
                          <w:t>三</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十</w:t>
                        </w:r>
                        <w:r>
                          <w:rPr>
                            <w:rFonts w:ascii="宋体" w:hAnsi="宋体" w:cs="宋体" w:eastAsia="宋体" w:hint="default"/>
                            <w:spacing w:val="-5"/>
                            <w:w w:val="101"/>
                            <w:sz w:val="18"/>
                            <w:szCs w:val="18"/>
                          </w:rPr>
                          <w:t>二</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87"/>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将</w:t>
                        </w:r>
                        <w:r>
                          <w:rPr>
                            <w:rFonts w:ascii="宋体" w:hAnsi="宋体" w:cs="宋体" w:eastAsia="宋体" w:hint="default"/>
                            <w:w w:val="101"/>
                            <w:sz w:val="18"/>
                            <w:szCs w:val="18"/>
                          </w:rPr>
                          <w:t>首</w:t>
                        </w:r>
                        <w:r>
                          <w:rPr>
                            <w:rFonts w:ascii="宋体" w:hAnsi="宋体" w:cs="宋体" w:eastAsia="宋体" w:hint="default"/>
                            <w:spacing w:val="-5"/>
                            <w:w w:val="101"/>
                            <w:sz w:val="18"/>
                            <w:szCs w:val="18"/>
                          </w:rPr>
                          <w:t>次</w:t>
                        </w:r>
                        <w:r>
                          <w:rPr>
                            <w:rFonts w:ascii="宋体" w:hAnsi="宋体" w:cs="宋体" w:eastAsia="宋体" w:hint="default"/>
                            <w:w w:val="101"/>
                            <w:sz w:val="18"/>
                            <w:szCs w:val="18"/>
                          </w:rPr>
                          <w:t>公</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节</w:t>
                        </w:r>
                        <w:r>
                          <w:rPr>
                            <w:rFonts w:ascii="宋体" w:hAnsi="宋体" w:cs="宋体" w:eastAsia="宋体" w:hint="default"/>
                            <w:sz w:val="18"/>
                            <w:szCs w:val="18"/>
                          </w:rPr>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余</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永</w:t>
                        </w:r>
                        <w:r>
                          <w:rPr>
                            <w:rFonts w:ascii="宋体" w:hAnsi="宋体" w:cs="宋体" w:eastAsia="宋体" w:hint="default"/>
                            <w:w w:val="101"/>
                            <w:sz w:val="18"/>
                            <w:szCs w:val="18"/>
                          </w:rPr>
                          <w:t>久</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首</w:t>
                        </w:r>
                        <w:r>
                          <w:rPr>
                            <w:rFonts w:ascii="宋体" w:hAnsi="宋体" w:cs="宋体" w:eastAsia="宋体" w:hint="default"/>
                            <w:w w:val="101"/>
                            <w:sz w:val="18"/>
                            <w:szCs w:val="18"/>
                          </w:rPr>
                          <w:t>次</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的</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spacing w:val="-1"/>
                            <w:w w:val="101"/>
                            <w:sz w:val="18"/>
                            <w:szCs w:val="18"/>
                          </w:rPr>
                          <w:t>之</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实</w:t>
                        </w:r>
                        <w:r>
                          <w:rPr>
                            <w:rFonts w:ascii="宋体" w:hAnsi="宋体" w:cs="宋体" w:eastAsia="宋体" w:hint="default"/>
                            <w:w w:val="101"/>
                            <w:sz w:val="18"/>
                            <w:szCs w:val="18"/>
                          </w:rPr>
                          <w:t>益</w:t>
                        </w:r>
                        <w:r>
                          <w:rPr>
                            <w:rFonts w:ascii="宋体" w:hAnsi="宋体" w:cs="宋体" w:eastAsia="宋体" w:hint="default"/>
                            <w:spacing w:val="-5"/>
                            <w:w w:val="101"/>
                            <w:sz w:val="18"/>
                            <w:szCs w:val="18"/>
                          </w:rPr>
                          <w:t>达</w:t>
                        </w:r>
                        <w:r>
                          <w:rPr>
                            <w:rFonts w:ascii="宋体" w:hAnsi="宋体" w:cs="宋体" w:eastAsia="宋体" w:hint="default"/>
                            <w:w w:val="101"/>
                            <w:sz w:val="18"/>
                            <w:szCs w:val="18"/>
                          </w:rPr>
                          <w:t>科技</w:t>
                        </w:r>
                        <w:r>
                          <w:rPr>
                            <w:rFonts w:ascii="宋体" w:hAnsi="宋体" w:cs="宋体" w:eastAsia="宋体" w:hint="default"/>
                            <w:sz w:val="18"/>
                            <w:szCs w:val="18"/>
                          </w:rPr>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园总包工程土建项目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，因前期公司与工程承包商存在工程结算纠纷待法院裁决而一直未能完成结</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算，截至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日，公司首次公开发行股票的募集资金账户余额为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46.43</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万元，包括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实益</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达</w:t>
                        </w:r>
                        <w:r>
                          <w:rPr>
                            <w:rFonts w:ascii="宋体" w:hAnsi="宋体" w:cs="宋体" w:eastAsia="宋体" w:hint="default"/>
                            <w:spacing w:val="-5"/>
                            <w:w w:val="101"/>
                            <w:sz w:val="18"/>
                            <w:szCs w:val="18"/>
                          </w:rPr>
                          <w:t>科</w:t>
                        </w:r>
                        <w:r>
                          <w:rPr>
                            <w:rFonts w:ascii="宋体" w:hAnsi="宋体" w:cs="宋体" w:eastAsia="宋体" w:hint="default"/>
                            <w:w w:val="101"/>
                            <w:sz w:val="18"/>
                            <w:szCs w:val="18"/>
                          </w:rPr>
                          <w:t>技</w:t>
                        </w:r>
                        <w:r>
                          <w:rPr>
                            <w:rFonts w:ascii="宋体" w:hAnsi="宋体" w:cs="宋体" w:eastAsia="宋体" w:hint="default"/>
                            <w:spacing w:val="-5"/>
                            <w:w w:val="101"/>
                            <w:sz w:val="18"/>
                            <w:szCs w:val="18"/>
                          </w:rPr>
                          <w:t>园</w:t>
                        </w:r>
                        <w:r>
                          <w:rPr>
                            <w:rFonts w:ascii="宋体" w:hAnsi="宋体" w:cs="宋体" w:eastAsia="宋体" w:hint="default"/>
                            <w:w w:val="101"/>
                            <w:sz w:val="18"/>
                            <w:szCs w:val="18"/>
                          </w:rPr>
                          <w:t>总</w:t>
                        </w:r>
                        <w:r>
                          <w:rPr>
                            <w:rFonts w:ascii="宋体" w:hAnsi="宋体" w:cs="宋体" w:eastAsia="宋体" w:hint="default"/>
                            <w:spacing w:val="-5"/>
                            <w:w w:val="101"/>
                            <w:sz w:val="18"/>
                            <w:szCs w:val="18"/>
                          </w:rPr>
                          <w:t>包</w:t>
                        </w:r>
                        <w:r>
                          <w:rPr>
                            <w:rFonts w:ascii="宋体" w:hAnsi="宋体" w:cs="宋体" w:eastAsia="宋体" w:hint="default"/>
                            <w:w w:val="101"/>
                            <w:sz w:val="18"/>
                            <w:szCs w:val="18"/>
                          </w:rPr>
                          <w:t>工</w:t>
                        </w:r>
                        <w:r>
                          <w:rPr>
                            <w:rFonts w:ascii="宋体" w:hAnsi="宋体" w:cs="宋体" w:eastAsia="宋体" w:hint="default"/>
                            <w:spacing w:val="-5"/>
                            <w:w w:val="101"/>
                            <w:sz w:val="18"/>
                            <w:szCs w:val="18"/>
                          </w:rPr>
                          <w:t>程</w:t>
                        </w:r>
                        <w:r>
                          <w:rPr>
                            <w:rFonts w:ascii="宋体" w:hAnsi="宋体" w:cs="宋体" w:eastAsia="宋体" w:hint="default"/>
                            <w:w w:val="101"/>
                            <w:sz w:val="18"/>
                            <w:szCs w:val="18"/>
                          </w:rPr>
                          <w:t>土</w:t>
                        </w:r>
                        <w:r>
                          <w:rPr>
                            <w:rFonts w:ascii="宋体" w:hAnsi="宋体" w:cs="宋体" w:eastAsia="宋体" w:hint="default"/>
                            <w:spacing w:val="-5"/>
                            <w:w w:val="101"/>
                            <w:sz w:val="18"/>
                            <w:szCs w:val="18"/>
                          </w:rPr>
                          <w:t>建</w:t>
                        </w:r>
                        <w:r>
                          <w:rPr>
                            <w:rFonts w:ascii="宋体" w:hAnsi="宋体" w:cs="宋体" w:eastAsia="宋体" w:hint="default"/>
                            <w:w w:val="101"/>
                            <w:sz w:val="18"/>
                            <w:szCs w:val="18"/>
                          </w:rPr>
                          <w:t>项</w:t>
                        </w:r>
                        <w:r>
                          <w:rPr>
                            <w:rFonts w:ascii="宋体" w:hAnsi="宋体" w:cs="宋体" w:eastAsia="宋体" w:hint="default"/>
                            <w:spacing w:val="-1"/>
                            <w:w w:val="101"/>
                            <w:sz w:val="18"/>
                            <w:szCs w:val="18"/>
                          </w:rPr>
                          <w:t>目</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结</w:t>
                        </w:r>
                        <w:r>
                          <w:rPr>
                            <w:rFonts w:ascii="宋体" w:hAnsi="宋体" w:cs="宋体" w:eastAsia="宋体" w:hint="default"/>
                            <w:spacing w:val="-5"/>
                            <w:w w:val="101"/>
                            <w:sz w:val="18"/>
                            <w:szCs w:val="18"/>
                          </w:rPr>
                          <w:t>余</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存</w:t>
                        </w:r>
                        <w:r>
                          <w:rPr>
                            <w:rFonts w:ascii="宋体" w:hAnsi="宋体" w:cs="宋体" w:eastAsia="宋体" w:hint="default"/>
                            <w:w w:val="101"/>
                            <w:sz w:val="18"/>
                            <w:szCs w:val="18"/>
                          </w:rPr>
                          <w:t>款</w:t>
                        </w:r>
                        <w:r>
                          <w:rPr>
                            <w:rFonts w:ascii="宋体" w:hAnsi="宋体" w:cs="宋体" w:eastAsia="宋体" w:hint="default"/>
                            <w:spacing w:val="-5"/>
                            <w:w w:val="101"/>
                            <w:sz w:val="18"/>
                            <w:szCs w:val="18"/>
                          </w:rPr>
                          <w:t>专</w:t>
                        </w:r>
                        <w:r>
                          <w:rPr>
                            <w:rFonts w:ascii="宋体" w:hAnsi="宋体" w:cs="宋体" w:eastAsia="宋体" w:hint="default"/>
                            <w:w w:val="101"/>
                            <w:sz w:val="18"/>
                            <w:szCs w:val="18"/>
                          </w:rPr>
                          <w:t>户</w:t>
                        </w:r>
                        <w:r>
                          <w:rPr>
                            <w:rFonts w:ascii="宋体" w:hAnsi="宋体" w:cs="宋体" w:eastAsia="宋体" w:hint="default"/>
                            <w:spacing w:val="-5"/>
                            <w:w w:val="101"/>
                            <w:sz w:val="18"/>
                            <w:szCs w:val="18"/>
                          </w:rPr>
                          <w:t>利</w:t>
                        </w:r>
                        <w:r>
                          <w:rPr>
                            <w:rFonts w:ascii="宋体" w:hAnsi="宋体" w:cs="宋体" w:eastAsia="宋体" w:hint="default"/>
                            <w:w w:val="101"/>
                            <w:sz w:val="18"/>
                            <w:szCs w:val="18"/>
                          </w:rPr>
                          <w:t>息收入</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82"/>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z w:val="18"/>
                            <w:szCs w:val="18"/>
                          </w:rPr>
                        </w:r>
                      </w:p>
                    </w:tc>
                  </w:tr>
                  <w:tr>
                    <w:trPr>
                      <w:trHeight w:val="290"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月，公司收到终审法院下发的</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深中法房终字第 </w:t>
                        </w:r>
                        <w:r>
                          <w:rPr>
                            <w:rFonts w:ascii="Times New Roman" w:hAnsi="Times New Roman" w:cs="Times New Roman" w:eastAsia="Times New Roman" w:hint="default"/>
                            <w:sz w:val="18"/>
                            <w:szCs w:val="18"/>
                          </w:rPr>
                          <w:t>2077</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号民事判决书，确认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实益达科技园</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总包工程土建项目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工程总造价为 </w:t>
                        </w:r>
                        <w:r>
                          <w:rPr>
                            <w:rFonts w:ascii="Times New Roman" w:hAnsi="Times New Roman" w:cs="Times New Roman" w:eastAsia="Times New Roman" w:hint="default"/>
                            <w:sz w:val="18"/>
                            <w:szCs w:val="18"/>
                          </w:rPr>
                          <w:t>6,481.22</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万元，并据此判决工程承包商返还实益达超付工程款</w:t>
                        </w:r>
                      </w:p>
                    </w:tc>
                  </w:tr>
                  <w:tr>
                    <w:trPr>
                      <w:trHeight w:val="334"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金结余的金额及原因</w:t>
                        </w: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122.28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万元及利息给公司，该判决书已于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日生效，公司于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月向法院申请</w:t>
                        </w:r>
                      </w:p>
                    </w:tc>
                  </w:tr>
                  <w:tr>
                    <w:trPr>
                      <w:trHeight w:val="312"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强制执行。因此，公司无需再行支付</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实益达科技园总包工程土建项目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的任何结算款给工程承包商</w:t>
                        </w:r>
                      </w:p>
                    </w:tc>
                  </w:tr>
                  <w:tr>
                    <w:trPr>
                      <w:trHeight w:val="307"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公司与该工程承包商之间已以法律程序的形式完成结算。公司根据上述民事判决书预计执行回的超</w:t>
                        </w:r>
                      </w:p>
                    </w:tc>
                  </w:tr>
                  <w:tr>
                    <w:trPr>
                      <w:trHeight w:val="317"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付工程款、利息等将作为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实益达科技园总包工程土建项目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的节余募集资金。为降低公司财务费用</w:t>
                        </w:r>
                      </w:p>
                    </w:tc>
                  </w:tr>
                  <w:tr>
                    <w:trPr>
                      <w:trHeight w:val="307"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充分发挥募集资金的使用效率，为公司和全体股东创造更大的效益，公司将首次公开发行股票的全</w:t>
                        </w:r>
                      </w:p>
                    </w:tc>
                  </w:tr>
                  <w:tr>
                    <w:trPr>
                      <w:trHeight w:val="317"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部募集资金投资项目完成后的节余募集资金及利息 </w:t>
                        </w:r>
                        <w:r>
                          <w:rPr>
                            <w:rFonts w:ascii="Times New Roman" w:hAnsi="Times New Roman" w:cs="Times New Roman" w:eastAsia="Times New Roman" w:hint="default"/>
                            <w:sz w:val="18"/>
                            <w:szCs w:val="18"/>
                          </w:rPr>
                          <w:t>197.77 </w:t>
                        </w:r>
                        <w:r>
                          <w:rPr>
                            <w:rFonts w:ascii="Times New Roman" w:hAnsi="Times New Roman" w:cs="Times New Roman" w:eastAsia="Times New Roman" w:hint="default"/>
                            <w:spacing w:val="30"/>
                            <w:sz w:val="18"/>
                            <w:szCs w:val="18"/>
                          </w:rPr>
                          <w:t> </w:t>
                        </w:r>
                        <w:r>
                          <w:rPr>
                            <w:rFonts w:ascii="宋体" w:hAnsi="宋体" w:cs="宋体" w:eastAsia="宋体" w:hint="default"/>
                            <w:spacing w:val="-5"/>
                            <w:sz w:val="18"/>
                            <w:szCs w:val="18"/>
                          </w:rPr>
                          <w:t>万元（受完结日至实施日利息收入以及法</w:t>
                        </w:r>
                      </w:p>
                    </w:tc>
                  </w:tr>
                  <w:tr>
                    <w:trPr>
                      <w:trHeight w:val="309"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院判决执行情况影响，具体补充金额以转入自有资金账户当日实际金额为准）永久补充公司流动资</w:t>
                        </w:r>
                      </w:p>
                    </w:tc>
                  </w:tr>
                  <w:tr>
                    <w:trPr>
                      <w:trHeight w:val="352"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3"/>
                            <w:sz w:val="18"/>
                            <w:szCs w:val="18"/>
                          </w:rPr>
                          <w:t>金，以满足生产经营活动对流动资金的需要。</w:t>
                        </w:r>
                      </w:p>
                    </w:tc>
                  </w:tr>
                  <w:tr>
                    <w:trPr>
                      <w:trHeight w:val="1027"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3" w:right="108"/>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2"/>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日，募集资金余额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8874.77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万元中包含非公开发行募集资金存款专户利息收入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和购买理财产品的收益</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680.53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万元和尚未支付的发行费用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27.03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万元。尚未使用的募集资金（包括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超募资金）均存放在公司募集资金专项账户，公司将按经营需要，合理安排募集资金使用进度。</w:t>
                        </w:r>
                      </w:p>
                    </w:tc>
                  </w:tr>
                  <w:tr>
                    <w:trPr>
                      <w:trHeight w:val="357" w:hRule="exact"/>
                    </w:trPr>
                    <w:tc>
                      <w:tcPr>
                        <w:tcW w:w="17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募集资金使用及披露</w:t>
                        </w:r>
                      </w:p>
                    </w:tc>
                    <w:tc>
                      <w:tcPr>
                        <w:tcW w:w="7800"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7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中存在的问题或其他</w:t>
                        </w:r>
                      </w:p>
                    </w:tc>
                    <w:tc>
                      <w:tcPr>
                        <w:tcW w:w="7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1" w:hRule="exact"/>
                    </w:trPr>
                    <w:tc>
                      <w:tcPr>
                        <w:tcW w:w="17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80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2"/>
        <w:rPr>
          <w:rFonts w:ascii="宋体" w:hAnsi="宋体" w:cs="宋体" w:eastAsia="宋体" w:hint="default"/>
          <w:sz w:val="26"/>
          <w:szCs w:val="26"/>
        </w:rPr>
      </w:pPr>
    </w:p>
    <w:p>
      <w:pPr>
        <w:pStyle w:val="BodyText"/>
        <w:spacing w:line="240" w:lineRule="auto" w:before="46"/>
        <w:ind w:left="0" w:right="150"/>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45"/>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55"/>
        <w:gridCol w:w="955"/>
        <w:gridCol w:w="955"/>
        <w:gridCol w:w="955"/>
        <w:gridCol w:w="965"/>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383" w:right="22" w:hanging="361"/>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6"/>
              <w:ind w:left="23" w:right="17"/>
              <w:jc w:val="center"/>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拟投入募集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资金总额</w:t>
            </w:r>
          </w:p>
          <w:p>
            <w:pPr>
              <w:pStyle w:val="TableParagraph"/>
              <w:spacing w:line="240" w:lineRule="auto" w:before="67"/>
              <w:ind w:left="6" w:right="0"/>
              <w:jc w:val="center"/>
              <w:rPr>
                <w:rFonts w:ascii="Times New Roman" w:hAnsi="Times New Roman" w:cs="Times New Roman" w:eastAsia="Times New Roman" w:hint="default"/>
                <w:sz w:val="18"/>
                <w:szCs w:val="18"/>
              </w:rPr>
            </w:pPr>
            <w:r>
              <w:rPr>
                <w:rFonts w:ascii="Times New Roman"/>
                <w:sz w:val="18"/>
              </w:rPr>
              <w:t>(1)</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2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际投入金额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际累计投入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2"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p>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(3)=(2)/(1)</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15" w:right="17" w:hanging="9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计效益</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28" w:right="23"/>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目可行性是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否发生重大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变化</w:t>
            </w:r>
          </w:p>
        </w:tc>
      </w:tr>
      <w:tr>
        <w:trPr>
          <w:trHeight w:val="364"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围绕</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w:t>
            </w: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r>
      <w:tr>
        <w:trPr>
          <w:trHeight w:val="621"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2"/>
              <w:jc w:val="left"/>
              <w:rPr>
                <w:rFonts w:ascii="宋体" w:hAnsi="宋体" w:cs="宋体" w:eastAsia="宋体" w:hint="default"/>
                <w:sz w:val="18"/>
                <w:szCs w:val="18"/>
              </w:rPr>
            </w:pPr>
            <w:r>
              <w:rPr>
                <w:rFonts w:ascii="宋体" w:hAnsi="宋体" w:cs="宋体" w:eastAsia="宋体" w:hint="default"/>
                <w:spacing w:val="-2"/>
                <w:sz w:val="18"/>
                <w:szCs w:val="18"/>
              </w:rPr>
              <w:t>照明主业开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展产业并购</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7"/>
              <w:jc w:val="left"/>
              <w:rPr>
                <w:rFonts w:ascii="宋体" w:hAnsi="宋体" w:cs="宋体" w:eastAsia="宋体" w:hint="default"/>
                <w:sz w:val="18"/>
                <w:szCs w:val="18"/>
              </w:rPr>
            </w:pPr>
            <w:r>
              <w:rPr>
                <w:rFonts w:ascii="宋体" w:hAnsi="宋体" w:cs="宋体" w:eastAsia="宋体" w:hint="default"/>
                <w:spacing w:val="-2"/>
                <w:sz w:val="18"/>
                <w:szCs w:val="18"/>
              </w:rPr>
              <w:t>室内商业照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明生产建设</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10.00%</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r>
      <w:tr>
        <w:trPr>
          <w:trHeight w:val="354"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及投资</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412" w:right="0"/>
              <w:jc w:val="lef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70"/>
        <w:gridCol w:w="6701"/>
      </w:tblGrid>
      <w:tr>
        <w:trPr>
          <w:trHeight w:val="362" w:hRule="exact"/>
        </w:trPr>
        <w:tc>
          <w:tcPr>
            <w:tcW w:w="2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6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根据公司发展战略规划，为抓住当下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产业发展的历史机遇，实现公司做大、做</w:t>
            </w:r>
          </w:p>
        </w:tc>
      </w:tr>
      <w:tr>
        <w:trPr>
          <w:trHeight w:val="310"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强 </w:t>
            </w:r>
            <w:r>
              <w:rPr>
                <w:rFonts w:ascii="Times New Roman" w:hAnsi="Times New Roman" w:cs="Times New Roman" w:eastAsia="Times New Roman" w:hint="default"/>
                <w:sz w:val="18"/>
                <w:szCs w:val="18"/>
              </w:rPr>
              <w:t>LED </w:t>
            </w:r>
            <w:r>
              <w:rPr>
                <w:rFonts w:ascii="宋体" w:hAnsi="宋体" w:cs="宋体" w:eastAsia="宋体" w:hint="default"/>
                <w:spacing w:val="-3"/>
                <w:sz w:val="18"/>
                <w:szCs w:val="18"/>
              </w:rPr>
              <w:t>照明业务的远景规划，公司在靠自身式发展的同时，迫切需要寻找在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明细分市场领域与公司具有业务互补以及代表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照明未来发展趋势的优质企业，</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通过产业并购等方式，借助实业经营和资本运营的协同效应，逐步完善公司 </w:t>
            </w:r>
            <w:r>
              <w:rPr>
                <w:rFonts w:ascii="Times New Roman" w:hAnsi="Times New Roman" w:cs="Times New Roman" w:eastAsia="Times New Roman" w:hint="default"/>
                <w:sz w:val="18"/>
                <w:szCs w:val="18"/>
              </w:rPr>
              <w:t>LED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照</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明多元化业务格局，提高公司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照明业务的核心竞争力；此外，公司现有</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产</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能可以满足经营之需，公司传统 </w:t>
            </w:r>
            <w:r>
              <w:rPr>
                <w:rFonts w:ascii="Times New Roman" w:hAnsi="Times New Roman" w:cs="Times New Roman" w:eastAsia="Times New Roman" w:hint="default"/>
                <w:sz w:val="18"/>
                <w:szCs w:val="18"/>
              </w:rPr>
              <w:t>EMS </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业务大幅萎缩导致部分闲置设备可直接转用于</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变更原因、决策程序及信息披露情况</w:t>
            </w: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pacing w:val="-4"/>
                <w:sz w:val="18"/>
                <w:szCs w:val="18"/>
              </w:rPr>
              <w:t>照明业务，为合理、有效利用各项资源，公司暂缓</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无锡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室内商业照明生产</w:t>
            </w:r>
          </w:p>
        </w:tc>
      </w:tr>
      <w:tr>
        <w:trPr>
          <w:trHeight w:val="314"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的实施，未来如需要重新启动，资金将由公司自筹解决。基于以上两方面</w:t>
            </w:r>
          </w:p>
        </w:tc>
      </w:tr>
      <w:tr>
        <w:trPr>
          <w:trHeight w:val="310"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原因，公司于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日召开的第四届董事会第二次会议审议通过了《关于变</w:t>
            </w:r>
          </w:p>
        </w:tc>
      </w:tr>
      <w:tr>
        <w:trPr>
          <w:trHeight w:val="307"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更部分募集资金用途暨使用募集资金对外股权投资的议案》等议案，公司独立董事、</w:t>
            </w:r>
          </w:p>
        </w:tc>
      </w:tr>
      <w:tr>
        <w:trPr>
          <w:trHeight w:val="317"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5"/>
                <w:sz w:val="18"/>
                <w:szCs w:val="18"/>
              </w:rPr>
              <w:t>监事会和保荐机构均发表了明确同意的意见，详见公司于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日刊载于《证</w:t>
            </w:r>
          </w:p>
        </w:tc>
      </w:tr>
      <w:tr>
        <w:trPr>
          <w:trHeight w:val="307"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spacing w:val="-10"/>
                <w:w w:val="101"/>
                <w:sz w:val="18"/>
                <w:szCs w:val="18"/>
              </w:rPr>
              <w:t>》</w:t>
            </w:r>
            <w:r>
              <w:rPr>
                <w:rFonts w:ascii="宋体" w:hAnsi="宋体" w:cs="宋体" w:eastAsia="宋体" w:hint="default"/>
                <w:w w:val="101"/>
                <w:sz w:val="18"/>
                <w:szCs w:val="18"/>
              </w:rPr>
              <w:t>及</w:t>
            </w:r>
            <w:r>
              <w:rPr>
                <w:rFonts w:ascii="宋体" w:hAnsi="宋体" w:cs="宋体" w:eastAsia="宋体" w:hint="default"/>
                <w:spacing w:val="-5"/>
                <w:w w:val="101"/>
                <w:sz w:val="18"/>
                <w:szCs w:val="18"/>
              </w:rPr>
              <w:t>巨</w:t>
            </w:r>
            <w:r>
              <w:rPr>
                <w:rFonts w:ascii="宋体" w:hAnsi="宋体" w:cs="宋体" w:eastAsia="宋体" w:hint="default"/>
                <w:w w:val="101"/>
                <w:sz w:val="18"/>
                <w:szCs w:val="18"/>
              </w:rPr>
              <w:t>潮</w:t>
            </w:r>
            <w:r>
              <w:rPr>
                <w:rFonts w:ascii="宋体" w:hAnsi="宋体" w:cs="宋体" w:eastAsia="宋体" w:hint="default"/>
                <w:spacing w:val="-5"/>
                <w:w w:val="101"/>
                <w:sz w:val="18"/>
                <w:szCs w:val="18"/>
              </w:rPr>
              <w:t>资</w:t>
            </w:r>
            <w:r>
              <w:rPr>
                <w:rFonts w:ascii="宋体" w:hAnsi="宋体" w:cs="宋体" w:eastAsia="宋体" w:hint="default"/>
                <w:w w:val="101"/>
                <w:sz w:val="18"/>
                <w:szCs w:val="18"/>
              </w:rPr>
              <w:t>讯</w:t>
            </w:r>
            <w:r>
              <w:rPr>
                <w:rFonts w:ascii="宋体" w:hAnsi="宋体" w:cs="宋体" w:eastAsia="宋体" w:hint="default"/>
                <w:spacing w:val="-5"/>
                <w:w w:val="101"/>
                <w:sz w:val="18"/>
                <w:szCs w:val="18"/>
              </w:rPr>
              <w:t>网的《</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用</w:t>
            </w:r>
            <w:r>
              <w:rPr>
                <w:rFonts w:ascii="宋体" w:hAnsi="宋体" w:cs="宋体" w:eastAsia="宋体" w:hint="default"/>
                <w:spacing w:val="-5"/>
                <w:w w:val="101"/>
                <w:sz w:val="18"/>
                <w:szCs w:val="18"/>
              </w:rPr>
              <w:t>途</w:t>
            </w:r>
            <w:r>
              <w:rPr>
                <w:rFonts w:ascii="宋体" w:hAnsi="宋体" w:cs="宋体" w:eastAsia="宋体" w:hint="default"/>
                <w:w w:val="101"/>
                <w:sz w:val="18"/>
                <w:szCs w:val="18"/>
              </w:rPr>
              <w:t>暨</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募</w:t>
            </w:r>
            <w:r>
              <w:rPr>
                <w:rFonts w:ascii="宋体" w:hAnsi="宋体" w:cs="宋体" w:eastAsia="宋体" w:hint="default"/>
                <w:w w:val="101"/>
                <w:sz w:val="18"/>
                <w:szCs w:val="18"/>
              </w:rPr>
              <w:t>集资</w:t>
            </w:r>
            <w:r>
              <w:rPr>
                <w:rFonts w:ascii="宋体" w:hAnsi="宋体" w:cs="宋体" w:eastAsia="宋体" w:hint="default"/>
                <w:sz w:val="18"/>
                <w:szCs w:val="18"/>
              </w:rPr>
            </w:r>
          </w:p>
        </w:tc>
      </w:tr>
      <w:tr>
        <w:trPr>
          <w:trHeight w:val="319" w:hRule="exact"/>
        </w:trPr>
        <w:tc>
          <w:tcPr>
            <w:tcW w:w="2870" w:type="dxa"/>
            <w:tcBorders>
              <w:top w:val="nil" w:sz="6" w:space="0" w:color="auto"/>
              <w:left w:val="single" w:sz="4" w:space="0" w:color="000000"/>
              <w:bottom w:val="nil" w:sz="6" w:space="0" w:color="auto"/>
              <w:right w:val="single" w:sz="4" w:space="0" w:color="000000"/>
            </w:tcBorders>
            <w:shd w:val="clear" w:color="auto" w:fill="D3D3D3"/>
          </w:tcPr>
          <w:p>
            <w:pPr/>
          </w:p>
        </w:tc>
        <w:tc>
          <w:tcPr>
            <w:tcW w:w="6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对</w:t>
            </w:r>
            <w:r>
              <w:rPr>
                <w:rFonts w:ascii="宋体" w:hAnsi="宋体" w:cs="宋体" w:eastAsia="宋体" w:hint="default"/>
                <w:w w:val="101"/>
                <w:sz w:val="18"/>
                <w:szCs w:val="18"/>
              </w:rPr>
              <w:t>外</w:t>
            </w:r>
            <w:r>
              <w:rPr>
                <w:rFonts w:ascii="宋体" w:hAnsi="宋体" w:cs="宋体" w:eastAsia="宋体" w:hint="default"/>
                <w:spacing w:val="-5"/>
                <w:w w:val="101"/>
                <w:sz w:val="18"/>
                <w:szCs w:val="18"/>
              </w:rPr>
              <w:t>股</w:t>
            </w:r>
            <w:r>
              <w:rPr>
                <w:rFonts w:ascii="宋体" w:hAnsi="宋体" w:cs="宋体" w:eastAsia="宋体" w:hint="default"/>
                <w:w w:val="101"/>
                <w:sz w:val="18"/>
                <w:szCs w:val="18"/>
              </w:rPr>
              <w:t>权</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spacing w:val="-1"/>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召开</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次</w:t>
            </w:r>
            <w:r>
              <w:rPr>
                <w:rFonts w:ascii="宋体" w:hAnsi="宋体" w:cs="宋体" w:eastAsia="宋体" w:hint="default"/>
                <w:w w:val="101"/>
                <w:sz w:val="18"/>
                <w:szCs w:val="18"/>
              </w:rPr>
              <w:t>临</w:t>
            </w:r>
            <w:r>
              <w:rPr>
                <w:rFonts w:ascii="宋体" w:hAnsi="宋体" w:cs="宋体" w:eastAsia="宋体" w:hint="default"/>
                <w:spacing w:val="-5"/>
                <w:w w:val="101"/>
                <w:sz w:val="18"/>
                <w:szCs w:val="18"/>
              </w:rPr>
              <w:t>时</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大会</w:t>
            </w:r>
            <w:r>
              <w:rPr>
                <w:rFonts w:ascii="宋体" w:hAnsi="宋体" w:cs="宋体" w:eastAsia="宋体" w:hint="default"/>
                <w:sz w:val="18"/>
                <w:szCs w:val="18"/>
              </w:rPr>
            </w:r>
          </w:p>
        </w:tc>
      </w:tr>
      <w:tr>
        <w:trPr>
          <w:trHeight w:val="353" w:hRule="exact"/>
        </w:trPr>
        <w:tc>
          <w:tcPr>
            <w:tcW w:w="2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6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用</w:t>
            </w:r>
            <w:r>
              <w:rPr>
                <w:rFonts w:ascii="宋体" w:hAnsi="宋体" w:cs="宋体" w:eastAsia="宋体" w:hint="default"/>
                <w:spacing w:val="-5"/>
                <w:w w:val="101"/>
                <w:sz w:val="18"/>
                <w:szCs w:val="18"/>
              </w:rPr>
              <w:t>途</w:t>
            </w:r>
            <w:r>
              <w:rPr>
                <w:rFonts w:ascii="宋体" w:hAnsi="宋体" w:cs="宋体" w:eastAsia="宋体" w:hint="default"/>
                <w:w w:val="101"/>
                <w:sz w:val="18"/>
                <w:szCs w:val="18"/>
              </w:rPr>
              <w:t>暨</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对外</w:t>
            </w:r>
            <w:r>
              <w:rPr>
                <w:rFonts w:ascii="宋体" w:hAnsi="宋体" w:cs="宋体" w:eastAsia="宋体" w:hint="default"/>
                <w:w w:val="101"/>
                <w:sz w:val="18"/>
                <w:szCs w:val="18"/>
              </w:rPr>
              <w:t>股</w:t>
            </w:r>
            <w:r>
              <w:rPr>
                <w:rFonts w:ascii="宋体" w:hAnsi="宋体" w:cs="宋体" w:eastAsia="宋体" w:hint="default"/>
                <w:spacing w:val="-5"/>
                <w:w w:val="101"/>
                <w:sz w:val="18"/>
                <w:szCs w:val="18"/>
              </w:rPr>
              <w:t>权</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980" w:right="980"/>
        </w:sectPr>
      </w:pPr>
    </w:p>
    <w:p>
      <w:pPr>
        <w:pStyle w:val="BodyText"/>
        <w:spacing w:line="338" w:lineRule="auto" w:before="46"/>
        <w:ind w:left="153" w:right="0" w:hanging="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318" w:space="6600"/>
            <w:col w:w="1032"/>
          </w:cols>
        </w:sectPr>
      </w:pPr>
    </w:p>
    <w:p>
      <w:pPr>
        <w:spacing w:line="240" w:lineRule="auto" w:before="8"/>
        <w:rPr>
          <w:rFonts w:ascii="宋体" w:hAnsi="宋体" w:cs="宋体" w:eastAsia="宋体" w:hint="default"/>
          <w:sz w:val="7"/>
          <w:szCs w:val="7"/>
        </w:rPr>
      </w:pPr>
      <w:r>
        <w:rPr/>
        <w:pict>
          <v:group style="position:absolute;margin-left:248.399994pt;margin-top:646.320007pt;width:47.55pt;height:111.15pt;mso-position-horizontal-relative:page;mso-position-vertical-relative:page;z-index:-821824" coordorigin="4968,12926" coordsize="951,2223">
            <v:group style="position:absolute;left:4968;top:12926;width:951;height:2223" coordorigin="4968,12926" coordsize="951,2223">
              <v:shape style="position:absolute;left:4968;top:12926;width:951;height:2223" coordorigin="4968,12926" coordsize="951,2223" path="m4968,15149l5918,15149,5918,12926,4968,12926,4968,15149xe" filled="true" fillcolor="#ffffff" stroked="false">
                <v:path arrowok="t"/>
                <v:fill type="solid"/>
              </v:shape>
            </v:group>
            <v:group style="position:absolute;left:4992;top:13685;width:903;height:356" coordorigin="4992,13685" coordsize="903,356">
              <v:shape style="position:absolute;left:4992;top:13685;width:903;height:356" coordorigin="4992,13685" coordsize="903,356" path="m4992,14040l5894,14040,5894,13685,4992,13685,4992,14040xe" filled="true" fillcolor="#ffffff" stroked="false">
                <v:path arrowok="t"/>
                <v:fill type="solid"/>
              </v:shape>
            </v:group>
            <v:group style="position:absolute;left:4992;top:14040;width:903;height:351" coordorigin="4992,14040" coordsize="903,351">
              <v:shape style="position:absolute;left:4992;top:14040;width:903;height:351" coordorigin="4992,14040" coordsize="903,351" path="m4992,14390l5894,14390,5894,14040,4992,14040,4992,1439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960"/>
        <w:gridCol w:w="749"/>
        <w:gridCol w:w="686"/>
        <w:gridCol w:w="1435"/>
        <w:gridCol w:w="955"/>
        <w:gridCol w:w="955"/>
        <w:gridCol w:w="960"/>
        <w:gridCol w:w="1094"/>
        <w:gridCol w:w="850"/>
        <w:gridCol w:w="926"/>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4"/>
              <w:ind w:left="278" w:right="93" w:hanging="178"/>
              <w:jc w:val="left"/>
              <w:rPr>
                <w:rFonts w:ascii="宋体" w:hAnsi="宋体" w:cs="宋体" w:eastAsia="宋体" w:hint="default"/>
                <w:sz w:val="18"/>
                <w:szCs w:val="18"/>
              </w:rPr>
            </w:pPr>
            <w:r>
              <w:rPr>
                <w:rFonts w:ascii="宋体" w:hAnsi="宋体" w:cs="宋体" w:eastAsia="宋体" w:hint="default"/>
                <w:sz w:val="18"/>
                <w:szCs w:val="18"/>
              </w:rPr>
              <w:t>公司类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4"/>
              <w:ind w:left="249" w:right="65" w:hanging="183"/>
              <w:jc w:val="left"/>
              <w:rPr>
                <w:rFonts w:ascii="宋体" w:hAnsi="宋体" w:cs="宋体" w:eastAsia="宋体" w:hint="default"/>
                <w:sz w:val="18"/>
                <w:szCs w:val="18"/>
              </w:rPr>
            </w:pPr>
            <w:r>
              <w:rPr>
                <w:rFonts w:ascii="宋体" w:hAnsi="宋体" w:cs="宋体" w:eastAsia="宋体" w:hint="default"/>
                <w:sz w:val="18"/>
                <w:szCs w:val="18"/>
              </w:rPr>
              <w:t>所处行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pacing w:val="-3"/>
                <w:sz w:val="18"/>
                <w:szCs w:val="18"/>
              </w:rPr>
              <w:t>主要产品或服务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1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10"/>
                <w:sz w:val="18"/>
                <w:szCs w:val="18"/>
              </w:rPr>
              <w:t>生产、销售照明灯</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r>
      <w:tr>
        <w:trPr>
          <w:trHeight w:val="1250"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21"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无锡实益达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电子有限公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79"/>
              <w:jc w:val="left"/>
              <w:rPr>
                <w:rFonts w:ascii="宋体" w:hAnsi="宋体" w:cs="宋体" w:eastAsia="宋体" w:hint="default"/>
                <w:sz w:val="18"/>
                <w:szCs w:val="18"/>
              </w:rPr>
            </w:pPr>
            <w:r>
              <w:rPr>
                <w:rFonts w:ascii="宋体" w:hAnsi="宋体" w:cs="宋体" w:eastAsia="宋体" w:hint="default"/>
                <w:sz w:val="18"/>
                <w:szCs w:val="18"/>
              </w:rPr>
              <w:t>光学光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行</w:t>
            </w:r>
          </w:p>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z w:val="18"/>
                <w:szCs w:val="18"/>
              </w:rPr>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7"/>
              <w:jc w:val="both"/>
              <w:rPr>
                <w:rFonts w:ascii="宋体" w:hAnsi="宋体" w:cs="宋体" w:eastAsia="宋体" w:hint="default"/>
                <w:sz w:val="18"/>
                <w:szCs w:val="18"/>
              </w:rPr>
            </w:pPr>
            <w:r>
              <w:rPr>
                <w:rFonts w:ascii="宋体" w:hAnsi="宋体" w:cs="宋体" w:eastAsia="宋体" w:hint="default"/>
                <w:spacing w:val="-10"/>
                <w:sz w:val="18"/>
                <w:szCs w:val="18"/>
              </w:rPr>
              <w:t>具及其零部件、电</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0"/>
                <w:sz w:val="18"/>
                <w:szCs w:val="18"/>
              </w:rPr>
              <w:t>子元器件（混合集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4"/>
                <w:w w:val="101"/>
                <w:sz w:val="18"/>
                <w:szCs w:val="18"/>
              </w:rPr>
              <w:t>成电路）、电子产</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10"/>
                <w:sz w:val="18"/>
                <w:szCs w:val="18"/>
              </w:rPr>
              <w:t>品、数字放声设备</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2"/>
              <w:ind w:left="23" w:right="19"/>
              <w:jc w:val="left"/>
              <w:rPr>
                <w:rFonts w:ascii="Times New Roman" w:hAnsi="Times New Roman" w:cs="Times New Roman" w:eastAsia="Times New Roman" w:hint="default"/>
                <w:sz w:val="18"/>
                <w:szCs w:val="18"/>
              </w:rPr>
            </w:pPr>
            <w:r>
              <w:rPr>
                <w:rFonts w:ascii="Times New Roman"/>
                <w:spacing w:val="-2"/>
                <w:sz w:val="18"/>
              </w:rPr>
              <w:t>USD48,000,</w:t>
            </w:r>
            <w:r>
              <w:rPr>
                <w:rFonts w:ascii="Times New Roman"/>
                <w:spacing w:val="-27"/>
                <w:sz w:val="18"/>
              </w:rPr>
              <w:t> </w:t>
            </w:r>
            <w:r>
              <w:rPr>
                <w:rFonts w:ascii="Times New Roman"/>
                <w:spacing w:val="-27"/>
                <w:sz w:val="18"/>
              </w:rPr>
            </w:r>
            <w:r>
              <w:rPr>
                <w:rFonts w:ascii="Times New Roman"/>
                <w:sz w:val="18"/>
              </w:rPr>
              <w:t>000.00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348,645,795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300,783,703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.33</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214,916,124.0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pacing w:val="-1"/>
                <w:sz w:val="18"/>
              </w:rPr>
              <w:t>-376,370.8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189,186.24</w:t>
            </w:r>
          </w:p>
        </w:tc>
      </w:tr>
      <w:tr>
        <w:trPr>
          <w:trHeight w:val="356" w:hRule="exact"/>
        </w:trPr>
        <w:tc>
          <w:tcPr>
            <w:tcW w:w="960" w:type="dxa"/>
            <w:tcBorders>
              <w:top w:val="nil" w:sz="6" w:space="0" w:color="auto"/>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1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0"/>
                <w:sz w:val="18"/>
                <w:szCs w:val="18"/>
              </w:rPr>
              <w:t>等，研发照明产品</w:t>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r>
      <w:tr>
        <w:trPr>
          <w:trHeight w:val="10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实益达科技</w:t>
            </w:r>
          </w:p>
          <w:p>
            <w:pPr>
              <w:pStyle w:val="TableParagraph"/>
              <w:spacing w:line="324" w:lineRule="auto" w:before="71"/>
              <w:ind w:left="23" w:right="22"/>
              <w:jc w:val="left"/>
              <w:rPr>
                <w:rFonts w:ascii="宋体" w:hAnsi="宋体" w:cs="宋体" w:eastAsia="宋体" w:hint="default"/>
                <w:sz w:val="18"/>
                <w:szCs w:val="18"/>
              </w:rPr>
            </w:pPr>
            <w:r>
              <w:rPr>
                <w:rFonts w:ascii="宋体" w:hAnsi="宋体" w:cs="宋体" w:eastAsia="宋体" w:hint="default"/>
                <w:spacing w:val="-2"/>
                <w:sz w:val="18"/>
                <w:szCs w:val="18"/>
              </w:rPr>
              <w:t>（香港）有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外贸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7" w:lineRule="auto"/>
              <w:ind w:left="23" w:right="31"/>
              <w:jc w:val="left"/>
              <w:rPr>
                <w:rFonts w:ascii="Times New Roman" w:hAnsi="Times New Roman" w:cs="Times New Roman" w:eastAsia="Times New Roman" w:hint="default"/>
                <w:sz w:val="18"/>
                <w:szCs w:val="18"/>
              </w:rPr>
            </w:pPr>
            <w:r>
              <w:rPr>
                <w:rFonts w:ascii="Times New Roman"/>
                <w:spacing w:val="-2"/>
                <w:sz w:val="18"/>
              </w:rPr>
              <w:t>HKD500,00</w:t>
            </w:r>
            <w:r>
              <w:rPr>
                <w:rFonts w:ascii="Times New Roman"/>
                <w:spacing w:val="-26"/>
                <w:sz w:val="18"/>
              </w:rPr>
              <w:t> </w:t>
            </w:r>
            <w:r>
              <w:rPr>
                <w:rFonts w:ascii="Times New Roman"/>
                <w:spacing w:val="-26"/>
                <w:sz w:val="18"/>
              </w:rPr>
            </w: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66,209,836.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-6,869,081.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18</w:t>
            </w:r>
          </w:p>
        </w:tc>
        <w:tc>
          <w:tcPr>
            <w:tcW w:w="10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510,788.2</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426,508.15</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深圳市汇大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光电科技有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z w:val="18"/>
                <w:szCs w:val="18"/>
              </w:rPr>
              <w:t>光学光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行</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23" w:right="100"/>
              <w:jc w:val="left"/>
              <w:rPr>
                <w:rFonts w:ascii="宋体" w:hAnsi="宋体" w:cs="宋体" w:eastAsia="宋体" w:hint="default"/>
                <w:sz w:val="18"/>
                <w:szCs w:val="18"/>
              </w:rPr>
            </w:pPr>
            <w:r>
              <w:rPr>
                <w:rFonts w:ascii="宋体" w:hAnsi="宋体" w:cs="宋体" w:eastAsia="宋体" w:hint="default"/>
                <w:sz w:val="18"/>
                <w:szCs w:val="18"/>
              </w:rPr>
              <w:t>生产并销售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发光二极管及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应用产品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11,400,000.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24,665,400.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16,428,258.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22,724,543.02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-2,648,918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-2,644,329.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r>
      <w:tr>
        <w:trPr>
          <w:trHeight w:val="362" w:hRule="exact"/>
        </w:trPr>
        <w:tc>
          <w:tcPr>
            <w:tcW w:w="960"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1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w w:val="101"/>
                <w:sz w:val="18"/>
                <w:szCs w:val="18"/>
              </w:rPr>
              <w:t>L</w:t>
            </w:r>
            <w:r>
              <w:rPr>
                <w:rFonts w:ascii="Times New Roman" w:hAnsi="Times New Roman" w:cs="Times New Roman" w:eastAsia="Times New Roman" w:hint="default"/>
                <w:w w:val="101"/>
                <w:sz w:val="18"/>
                <w:szCs w:val="18"/>
              </w:rPr>
              <w:t>ED</w:t>
            </w:r>
            <w:r>
              <w:rPr>
                <w:rFonts w:ascii="Times New Roman" w:hAnsi="Times New Roman" w:cs="Times New Roman" w:eastAsia="Times New Roman" w:hint="default"/>
                <w:spacing w:val="-5"/>
                <w:sz w:val="18"/>
                <w:szCs w:val="18"/>
              </w:rPr>
              <w:t> </w:t>
            </w:r>
            <w:r>
              <w:rPr>
                <w:rFonts w:ascii="宋体" w:hAnsi="宋体" w:cs="宋体" w:eastAsia="宋体" w:hint="default"/>
                <w:w w:val="101"/>
                <w:sz w:val="18"/>
                <w:szCs w:val="18"/>
              </w:rPr>
              <w:t>显示屏</w:t>
            </w:r>
            <w:r>
              <w:rPr>
                <w:rFonts w:ascii="宋体" w:hAnsi="宋体" w:cs="宋体" w:eastAsia="宋体" w:hint="default"/>
                <w:spacing w:val="-87"/>
                <w:w w:val="101"/>
                <w:sz w:val="18"/>
                <w:szCs w:val="18"/>
              </w:rPr>
              <w:t>、</w:t>
            </w:r>
            <w:r>
              <w:rPr>
                <w:rFonts w:ascii="Times New Roman" w:hAnsi="Times New Roman" w:cs="Times New Roman" w:eastAsia="Times New Roman" w:hint="default"/>
                <w:spacing w:val="-6"/>
                <w:w w:val="101"/>
                <w:sz w:val="18"/>
                <w:szCs w:val="18"/>
              </w:rPr>
              <w:t>L</w:t>
            </w:r>
            <w:r>
              <w:rPr>
                <w:rFonts w:ascii="Times New Roman" w:hAnsi="Times New Roman" w:cs="Times New Roman" w:eastAsia="Times New Roman" w:hint="default"/>
                <w:w w:val="101"/>
                <w:sz w:val="18"/>
                <w:szCs w:val="18"/>
              </w:rPr>
              <w:t>ED</w:t>
            </w:r>
            <w:r>
              <w:rPr>
                <w:rFonts w:ascii="Times New Roman" w:hAnsi="Times New Roman" w:cs="Times New Roman" w:eastAsia="Times New Roman" w:hint="default"/>
                <w:sz w:val="18"/>
                <w:szCs w:val="18"/>
              </w:rPr>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r>
      <w:tr>
        <w:trPr>
          <w:trHeight w:val="1553"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深圳市电明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科技有限责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任公司</w:t>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24" w:lineRule="auto"/>
              <w:ind w:left="24" w:right="170"/>
              <w:jc w:val="left"/>
              <w:rPr>
                <w:rFonts w:ascii="宋体" w:hAnsi="宋体" w:cs="宋体" w:eastAsia="宋体" w:hint="default"/>
                <w:sz w:val="18"/>
                <w:szCs w:val="18"/>
              </w:rPr>
            </w:pPr>
            <w:r>
              <w:rPr>
                <w:rFonts w:ascii="宋体" w:hAnsi="宋体" w:cs="宋体" w:eastAsia="宋体" w:hint="default"/>
                <w:sz w:val="18"/>
                <w:szCs w:val="18"/>
              </w:rPr>
              <w:t>参股公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43"/>
              <w:ind w:left="24" w:right="79"/>
              <w:jc w:val="left"/>
              <w:rPr>
                <w:rFonts w:ascii="宋体" w:hAnsi="宋体" w:cs="宋体" w:eastAsia="宋体" w:hint="default"/>
                <w:sz w:val="18"/>
                <w:szCs w:val="18"/>
              </w:rPr>
            </w:pPr>
            <w:r>
              <w:rPr>
                <w:rFonts w:ascii="宋体" w:hAnsi="宋体" w:cs="宋体" w:eastAsia="宋体" w:hint="default"/>
                <w:sz w:val="18"/>
                <w:szCs w:val="18"/>
              </w:rPr>
              <w:t>光学光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电子</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行</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z w:val="18"/>
                <w:szCs w:val="18"/>
              </w:rPr>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3" w:right="17"/>
              <w:jc w:val="left"/>
              <w:rPr>
                <w:rFonts w:ascii="宋体" w:hAnsi="宋体" w:cs="宋体" w:eastAsia="宋体" w:hint="default"/>
                <w:sz w:val="18"/>
                <w:szCs w:val="18"/>
              </w:rPr>
            </w:pPr>
            <w:r>
              <w:rPr>
                <w:rFonts w:ascii="宋体" w:hAnsi="宋体" w:cs="宋体" w:eastAsia="宋体" w:hint="default"/>
                <w:spacing w:val="-3"/>
                <w:sz w:val="18"/>
                <w:szCs w:val="18"/>
              </w:rPr>
              <w:t>照明灯具、</w:t>
            </w:r>
            <w:r>
              <w:rPr>
                <w:rFonts w:ascii="Times New Roman" w:hAnsi="Times New Roman" w:cs="Times New Roman" w:eastAsia="Times New Roman" w:hint="default"/>
                <w:spacing w:val="-3"/>
                <w:sz w:val="18"/>
                <w:szCs w:val="18"/>
              </w:rPr>
              <w:t>LED</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宋体" w:hAnsi="宋体" w:cs="宋体" w:eastAsia="宋体" w:hint="default"/>
                <w:spacing w:val="-3"/>
                <w:sz w:val="18"/>
                <w:szCs w:val="18"/>
              </w:rPr>
              <w:t>器件、电气设备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自动化控制设备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0"/>
                <w:sz w:val="18"/>
                <w:szCs w:val="18"/>
              </w:rPr>
              <w:t>的销售、生产；智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0"/>
                <w:sz w:val="18"/>
                <w:szCs w:val="18"/>
              </w:rPr>
              <w:t>能交通、计算机软</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08" w:lineRule="exact"/>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0" w:lineRule="exact"/>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92,807,382.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98</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37,618,686.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01</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62,535,748.18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-1,628,462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.37</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1,386,710.8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22" w:hRule="exact"/>
        </w:trPr>
        <w:tc>
          <w:tcPr>
            <w:tcW w:w="960" w:type="dxa"/>
            <w:tcBorders>
              <w:top w:val="nil" w:sz="6" w:space="0" w:color="auto"/>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1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件的研发、销售</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2"/>
        <w:rPr>
          <w:rFonts w:ascii="宋体" w:hAnsi="宋体" w:cs="宋体" w:eastAsia="宋体" w:hint="default"/>
          <w:sz w:val="27"/>
          <w:szCs w:val="27"/>
        </w:rPr>
      </w:pPr>
    </w:p>
    <w:p>
      <w:pPr>
        <w:pStyle w:val="BodyText"/>
        <w:spacing w:line="240" w:lineRule="auto" w:before="46"/>
        <w:ind w:left="2576" w:right="0"/>
        <w:jc w:val="left"/>
      </w:pPr>
      <w:r>
        <w:rPr>
          <w:spacing w:val="-3"/>
        </w:rPr>
        <w:t>经营进出口业务</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1" w:footer="979" w:top="1060" w:bottom="1160" w:left="980" w:right="980"/>
        </w:sectPr>
      </w:pPr>
    </w:p>
    <w:p>
      <w:pPr>
        <w:pStyle w:val="BodyText"/>
        <w:spacing w:line="240" w:lineRule="auto" w:before="46"/>
        <w:ind w:left="181" w:right="0"/>
        <w:jc w:val="left"/>
      </w:pPr>
      <w:r>
        <w:rPr/>
        <w:t>凯扬商贸</w:t>
      </w:r>
    </w:p>
    <w:p>
      <w:pPr>
        <w:pStyle w:val="BodyText"/>
        <w:tabs>
          <w:tab w:pos="1890" w:val="left" w:leader="none"/>
          <w:tab w:pos="2576" w:val="left" w:leader="none"/>
        </w:tabs>
        <w:spacing w:line="324" w:lineRule="auto" w:before="76"/>
        <w:ind w:left="181" w:right="0"/>
        <w:jc w:val="left"/>
      </w:pPr>
      <w:r>
        <w:rPr>
          <w:spacing w:val="-2"/>
        </w:rPr>
        <w:t>（香港）有</w:t>
      </w:r>
      <w:r>
        <w:rPr>
          <w:spacing w:val="-13"/>
        </w:rPr>
        <w:t> </w:t>
      </w:r>
      <w:r>
        <w:rPr>
          <w:spacing w:val="-2"/>
        </w:rPr>
        <w:t>子公司</w:t>
        <w:tab/>
      </w:r>
      <w:r>
        <w:rPr/>
        <w:t>外贸</w:t>
        <w:tab/>
      </w:r>
      <w:r>
        <w:rPr>
          <w:spacing w:val="-2"/>
        </w:rPr>
        <w:t>进出口贸易</w:t>
      </w:r>
      <w:r>
        <w:rPr>
          <w:spacing w:val="-78"/>
        </w:rPr>
        <w:t> </w:t>
      </w:r>
      <w:r>
        <w:rPr>
          <w:spacing w:val="-78"/>
        </w:rPr>
      </w:r>
      <w:r>
        <w:rPr/>
        <w:t>限公司</w:t>
      </w:r>
    </w:p>
    <w:p>
      <w:pPr>
        <w:spacing w:line="240" w:lineRule="auto" w:before="11"/>
        <w:rPr>
          <w:rFonts w:ascii="宋体" w:hAnsi="宋体" w:cs="宋体" w:eastAsia="宋体" w:hint="default"/>
          <w:sz w:val="18"/>
          <w:szCs w:val="18"/>
        </w:rPr>
      </w:pPr>
      <w:r>
        <w:rPr/>
        <w:br w:type="column"/>
      </w:r>
      <w:r>
        <w:rPr>
          <w:rFonts w:ascii="宋体"/>
          <w:sz w:val="18"/>
        </w:rPr>
      </w:r>
    </w:p>
    <w:p>
      <w:pPr>
        <w:pStyle w:val="BodyText"/>
        <w:spacing w:line="362" w:lineRule="auto"/>
        <w:ind w:left="181" w:right="0"/>
        <w:jc w:val="left"/>
        <w:rPr>
          <w:rFonts w:ascii="Times New Roman" w:hAnsi="Times New Roman" w:cs="Times New Roman" w:eastAsia="Times New Roman" w:hint="default"/>
        </w:rPr>
      </w:pPr>
      <w:r>
        <w:rPr>
          <w:rFonts w:ascii="Times New Roman"/>
          <w:spacing w:val="-2"/>
        </w:rPr>
        <w:t>HKD500,00</w:t>
      </w:r>
      <w:r>
        <w:rPr>
          <w:rFonts w:ascii="Times New Roman"/>
          <w:spacing w:val="-26"/>
        </w:rPr>
        <w:t> </w:t>
      </w:r>
      <w:r>
        <w:rPr>
          <w:rFonts w:ascii="Times New Roman"/>
          <w:spacing w:val="-26"/>
        </w:rPr>
      </w:r>
      <w:r>
        <w:rPr>
          <w:rFonts w:ascii="Times New Roman"/>
        </w:rPr>
        <w:t>0.00</w:t>
      </w:r>
    </w:p>
    <w:p>
      <w:pPr>
        <w:spacing w:line="240" w:lineRule="auto" w:before="6"/>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13,770,420.</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66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16"/>
          <w:szCs w:val="16"/>
        </w:rPr>
      </w:pPr>
    </w:p>
    <w:p>
      <w:pPr>
        <w:pStyle w:val="BodyText"/>
        <w:spacing w:line="240" w:lineRule="auto"/>
        <w:ind w:left="103" w:right="0"/>
        <w:jc w:val="left"/>
        <w:rPr>
          <w:rFonts w:ascii="Times New Roman" w:hAnsi="Times New Roman" w:cs="Times New Roman" w:eastAsia="Times New Roman" w:hint="default"/>
        </w:rPr>
      </w:pPr>
      <w:r>
        <w:rPr>
          <w:rFonts w:ascii="Times New Roman"/>
        </w:rPr>
        <w:t>372,224.49   1,937,604.17 -20,870.09   </w:t>
      </w:r>
      <w:r>
        <w:rPr>
          <w:rFonts w:ascii="Times New Roman"/>
          <w:spacing w:val="3"/>
        </w:rPr>
        <w:t> </w:t>
      </w:r>
      <w:r>
        <w:rPr>
          <w:rFonts w:ascii="Times New Roman"/>
        </w:rPr>
        <w:t>-20,870.09</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4" w:equalWidth="0">
            <w:col w:w="3480" w:space="351"/>
            <w:col w:w="1070" w:space="40"/>
            <w:col w:w="935" w:space="40"/>
            <w:col w:w="4034"/>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pStyle w:val="BodyText"/>
        <w:spacing w:line="321" w:lineRule="auto"/>
        <w:ind w:left="181" w:right="-18"/>
        <w:jc w:val="left"/>
      </w:pPr>
      <w:r>
        <w:rPr/>
        <w:t>深圳市实益</w:t>
      </w:r>
      <w:r>
        <w:rPr>
          <w:w w:val="101"/>
        </w:rPr>
        <w:t> </w:t>
      </w:r>
      <w:r>
        <w:rPr/>
        <w:t>达照明有限</w:t>
      </w:r>
      <w:r>
        <w:rPr>
          <w:spacing w:val="-29"/>
        </w:rPr>
        <w:t> </w:t>
      </w:r>
      <w:r>
        <w:rPr/>
        <w:t>子公司</w:t>
      </w:r>
      <w:r>
        <w:rPr>
          <w:w w:val="101"/>
        </w:rPr>
        <w:t> </w:t>
      </w:r>
      <w:r>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314" w:lineRule="auto"/>
        <w:ind w:left="166" w:right="-20"/>
        <w:jc w:val="left"/>
      </w:pPr>
      <w:r>
        <w:rPr/>
        <w:t>光学光</w:t>
      </w:r>
      <w:r>
        <w:rPr>
          <w:spacing w:val="-88"/>
        </w:rPr>
        <w:t> </w:t>
      </w:r>
      <w:r>
        <w:rPr>
          <w:spacing w:val="-88"/>
        </w:rPr>
      </w:r>
      <w:r>
        <w:rPr/>
        <w:t>电子</w:t>
      </w:r>
      <w:r>
        <w:rPr>
          <w:spacing w:val="-8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行</w:t>
      </w:r>
    </w:p>
    <w:p>
      <w:pPr>
        <w:pStyle w:val="BodyText"/>
        <w:spacing w:line="240" w:lineRule="auto" w:before="6"/>
        <w:ind w:left="166" w:right="-20"/>
        <w:jc w:val="left"/>
      </w:pPr>
      <w:r>
        <w:rPr>
          <w:w w:val="101"/>
        </w:rPr>
        <w:t>业</w:t>
      </w:r>
      <w:r>
        <w:rPr/>
      </w:r>
    </w:p>
    <w:p>
      <w:pPr>
        <w:pStyle w:val="BodyText"/>
        <w:spacing w:line="312" w:lineRule="exact" w:before="60"/>
        <w:ind w:left="75" w:right="811"/>
        <w:jc w:val="left"/>
        <w:rPr>
          <w:rFonts w:ascii="Times New Roman" w:hAnsi="Times New Roman" w:cs="Times New Roman" w:eastAsia="Times New Roman" w:hint="default"/>
        </w:rPr>
      </w:pPr>
      <w:r>
        <w:rPr>
          <w:spacing w:val="-19"/>
          <w:w w:val="101"/>
        </w:rPr>
        <w:br w:type="column"/>
      </w:r>
      <w:r>
        <w:rPr>
          <w:spacing w:val="-19"/>
          <w:w w:val="101"/>
        </w:rPr>
        <w:t>设计、研发、生产、</w:t>
      </w:r>
      <w:r>
        <w:rPr>
          <w:spacing w:val="-90"/>
          <w:w w:val="101"/>
        </w:rPr>
        <w:t> </w:t>
      </w:r>
      <w:r>
        <w:rPr>
          <w:spacing w:val="-90"/>
          <w:w w:val="101"/>
        </w:rPr>
      </w:r>
      <w:r>
        <w:rPr/>
        <w:t>销售</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照明产</w:t>
      </w:r>
      <w:r>
        <w:rPr>
          <w:spacing w:val="-84"/>
        </w:rPr>
        <w:t> </w:t>
      </w:r>
      <w:r>
        <w:rPr/>
        <w:t>品、</w:t>
      </w:r>
      <w:r>
        <w:rPr>
          <w:rFonts w:ascii="Times New Roman" w:hAnsi="Times New Roman" w:cs="Times New Roman" w:eastAsia="Times New Roman" w:hint="default"/>
        </w:rPr>
        <w:t>LED </w:t>
      </w:r>
      <w:r>
        <w:rPr/>
        <w:t>背光源</w:t>
      </w:r>
      <w:r>
        <w:rPr>
          <w:spacing w:val="-85"/>
        </w:rPr>
        <w:t> </w:t>
      </w:r>
      <w:r>
        <w:rPr/>
        <w:t>及</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显示屏、</w:t>
      </w:r>
      <w:r>
        <w:rPr>
          <w:spacing w:val="-84"/>
        </w:rPr>
        <w:t> </w:t>
      </w:r>
      <w:r>
        <w:rPr>
          <w:rFonts w:ascii="Times New Roman" w:hAnsi="Times New Roman" w:cs="Times New Roman" w:eastAsia="Times New Roman" w:hint="default"/>
        </w:rPr>
        <w:t>LED </w:t>
      </w:r>
      <w:r>
        <w:rPr/>
        <w:t>驱动电源及</w:t>
      </w:r>
      <w:r>
        <w:rPr>
          <w:spacing w:val="-85"/>
        </w:rPr>
        <w:t> </w:t>
      </w:r>
      <w:r>
        <w:rPr>
          <w:spacing w:val="-3"/>
        </w:rPr>
        <w:t>控制系统；</w:t>
      </w:r>
      <w:r>
        <w:rPr>
          <w:rFonts w:ascii="Times New Roman" w:hAnsi="Times New Roman" w:cs="Times New Roman" w:eastAsia="Times New Roman" w:hint="default"/>
          <w:spacing w:val="-3"/>
        </w:rPr>
        <w:t>LED</w:t>
      </w:r>
    </w:p>
    <w:p>
      <w:pPr>
        <w:pStyle w:val="BodyText"/>
        <w:spacing w:line="87" w:lineRule="exact"/>
        <w:ind w:left="1510" w:right="-1"/>
        <w:jc w:val="left"/>
        <w:rPr>
          <w:rFonts w:ascii="Times New Roman" w:hAnsi="Times New Roman" w:cs="Times New Roman" w:eastAsia="Times New Roman" w:hint="default"/>
        </w:rPr>
      </w:pPr>
      <w:r>
        <w:rPr>
          <w:rFonts w:ascii="Times New Roman"/>
          <w:spacing w:val="-2"/>
        </w:rPr>
        <w:t>11,000,000.</w:t>
      </w:r>
    </w:p>
    <w:p>
      <w:pPr>
        <w:pStyle w:val="BodyText"/>
        <w:spacing w:line="170" w:lineRule="exact"/>
        <w:ind w:left="75" w:right="-1"/>
        <w:jc w:val="left"/>
      </w:pPr>
      <w:r>
        <w:rPr>
          <w:spacing w:val="-3"/>
        </w:rPr>
        <w:t>芯片封装及销售、</w:t>
      </w:r>
    </w:p>
    <w:p>
      <w:pPr>
        <w:pStyle w:val="BodyText"/>
        <w:spacing w:line="142" w:lineRule="exact"/>
        <w:ind w:left="1510" w:right="-1"/>
        <w:jc w:val="left"/>
        <w:rPr>
          <w:rFonts w:ascii="Times New Roman" w:hAnsi="Times New Roman" w:cs="Times New Roman" w:eastAsia="Times New Roman" w:hint="default"/>
        </w:rPr>
      </w:pPr>
      <w:r>
        <w:rPr>
          <w:rFonts w:ascii="Times New Roman"/>
        </w:rPr>
        <w:t>00</w:t>
      </w:r>
    </w:p>
    <w:p>
      <w:pPr>
        <w:pStyle w:val="BodyText"/>
        <w:spacing w:line="201" w:lineRule="exact"/>
        <w:ind w:left="75" w:right="-1"/>
        <w:jc w:val="left"/>
      </w:pP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技术开发与</w:t>
      </w:r>
    </w:p>
    <w:p>
      <w:pPr>
        <w:pStyle w:val="BodyText"/>
        <w:spacing w:line="319" w:lineRule="auto" w:before="63"/>
        <w:ind w:left="75" w:right="902"/>
        <w:jc w:val="both"/>
      </w:pPr>
      <w:r>
        <w:rPr>
          <w:spacing w:val="-10"/>
        </w:rPr>
        <w:t>服务，合同能源管</w:t>
      </w:r>
      <w:r>
        <w:rPr>
          <w:spacing w:val="-69"/>
        </w:rPr>
        <w:t> </w:t>
      </w:r>
      <w:r>
        <w:rPr>
          <w:spacing w:val="-69"/>
        </w:rPr>
      </w:r>
      <w:r>
        <w:rPr>
          <w:spacing w:val="-10"/>
        </w:rPr>
        <w:t>理；照明工程、城</w:t>
      </w:r>
      <w:r>
        <w:rPr>
          <w:spacing w:val="-69"/>
        </w:rPr>
        <w:t> </w:t>
      </w:r>
      <w:r>
        <w:rPr>
          <w:spacing w:val="-69"/>
        </w:rPr>
      </w:r>
      <w:r>
        <w:rPr>
          <w:spacing w:val="-10"/>
        </w:rPr>
        <w:t>市亮化、景观工程</w:t>
      </w:r>
      <w:r>
        <w:rPr>
          <w:spacing w:val="-69"/>
        </w:rPr>
        <w:t> </w:t>
      </w:r>
      <w:r>
        <w:rPr>
          <w:spacing w:val="-69"/>
        </w:rPr>
      </w:r>
      <w:r>
        <w:rPr>
          <w:spacing w:val="-10"/>
        </w:rPr>
        <w:t>的设计、安装、维</w:t>
      </w:r>
      <w:r>
        <w:rPr>
          <w:spacing w:val="-69"/>
        </w:rPr>
        <w:t> </w:t>
      </w:r>
      <w:r>
        <w:rPr>
          <w:spacing w:val="-69"/>
        </w:rPr>
      </w:r>
      <w:r>
        <w:rPr/>
        <w:t>护等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8,388,137.5</w:t>
      </w:r>
    </w:p>
    <w:p>
      <w:pPr>
        <w:pStyle w:val="BodyText"/>
        <w:spacing w:line="240" w:lineRule="auto" w:before="105"/>
        <w:ind w:left="0" w:right="0"/>
        <w:jc w:val="right"/>
        <w:rPr>
          <w:rFonts w:ascii="Times New Roman" w:hAnsi="Times New Roman" w:cs="Times New Roman" w:eastAsia="Times New Roman" w:hint="default"/>
        </w:rPr>
      </w:pPr>
      <w:r>
        <w:rPr>
          <w:rFonts w:ascii="Times New Roman"/>
          <w:w w:val="101"/>
        </w:rPr>
        <w:t>6</w:t>
      </w:r>
      <w:r>
        <w:rPr>
          <w:rFonts w:ascii="Times New Roman"/>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-3,901,757.</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74</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12" w:right="0"/>
        <w:jc w:val="left"/>
        <w:rPr>
          <w:rFonts w:ascii="Times New Roman" w:hAnsi="Times New Roman" w:cs="Times New Roman" w:eastAsia="Times New Roman" w:hint="default"/>
        </w:rPr>
      </w:pPr>
      <w:r>
        <w:rPr>
          <w:rFonts w:ascii="Times New Roman"/>
          <w:spacing w:val="-1"/>
        </w:rPr>
        <w:t>10,363,344.62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-3,769,497</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7"/>
          <w:szCs w:val="17"/>
        </w:rPr>
      </w:pPr>
    </w:p>
    <w:p>
      <w:pPr>
        <w:pStyle w:val="BodyText"/>
        <w:spacing w:line="240" w:lineRule="auto"/>
        <w:ind w:left="60" w:right="0"/>
        <w:jc w:val="left"/>
        <w:rPr>
          <w:rFonts w:ascii="Times New Roman" w:hAnsi="Times New Roman" w:cs="Times New Roman" w:eastAsia="Times New Roman" w:hint="default"/>
        </w:rPr>
      </w:pPr>
      <w:r>
        <w:rPr>
          <w:rFonts w:ascii="Times New Roman"/>
        </w:rPr>
        <w:t>-3,769,497.</w:t>
      </w:r>
    </w:p>
    <w:p>
      <w:pPr>
        <w:pStyle w:val="BodyText"/>
        <w:spacing w:line="240" w:lineRule="auto" w:before="105"/>
        <w:ind w:left="708" w:right="0"/>
        <w:jc w:val="left"/>
        <w:rPr>
          <w:rFonts w:ascii="Times New Roman" w:hAnsi="Times New Roman" w:cs="Times New Roman" w:eastAsia="Times New Roman" w:hint="default"/>
        </w:rPr>
      </w:pPr>
      <w:r>
        <w:rPr>
          <w:rFonts w:ascii="Times New Roman"/>
        </w:rPr>
        <w:t>12</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8" w:equalWidth="0">
            <w:col w:w="1685" w:space="40"/>
            <w:col w:w="738" w:space="40"/>
            <w:col w:w="2363" w:space="40"/>
            <w:col w:w="969" w:space="40"/>
            <w:col w:w="923" w:space="40"/>
            <w:col w:w="1055" w:space="40"/>
            <w:col w:w="805" w:space="40"/>
            <w:col w:w="1132"/>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2"/>
        <w:ind w:left="181" w:right="-8"/>
        <w:jc w:val="left"/>
      </w:pPr>
      <w:r>
        <w:rPr>
          <w:spacing w:val="-2"/>
        </w:rPr>
        <w:t>深圳前海实</w:t>
      </w:r>
    </w:p>
    <w:p>
      <w:pPr>
        <w:pStyle w:val="BodyText"/>
        <w:spacing w:line="316" w:lineRule="auto" w:before="103"/>
        <w:ind w:left="181" w:right="0"/>
        <w:jc w:val="left"/>
      </w:pPr>
      <w:r>
        <w:rPr>
          <w:spacing w:val="-10"/>
        </w:rPr>
        <w:br w:type="column"/>
      </w:r>
      <w:r>
        <w:rPr>
          <w:spacing w:val="-10"/>
        </w:rPr>
        <w:t>投资管理；投资咨</w:t>
      </w:r>
      <w:r>
        <w:rPr>
          <w:spacing w:val="-69"/>
        </w:rPr>
        <w:t> </w:t>
      </w:r>
      <w:r>
        <w:rPr>
          <w:spacing w:val="-69"/>
        </w:rPr>
      </w:r>
      <w:r>
        <w:rPr>
          <w:spacing w:val="-10"/>
        </w:rPr>
        <w:t>询；投资顾问；投</w:t>
      </w:r>
      <w:r>
        <w:rPr>
          <w:spacing w:val="-69"/>
        </w:rPr>
        <w:t> </w:t>
      </w:r>
      <w:r>
        <w:rPr>
          <w:spacing w:val="-69"/>
        </w:rPr>
      </w:r>
      <w:r>
        <w:rPr>
          <w:spacing w:val="-10"/>
        </w:rPr>
        <w:t>资兴办实业；创业</w:t>
      </w:r>
      <w:r>
        <w:rPr>
          <w:spacing w:val="-69"/>
        </w:rPr>
        <w:t> </w:t>
      </w:r>
      <w:r>
        <w:rPr>
          <w:spacing w:val="-69"/>
        </w:rPr>
      </w:r>
      <w:r>
        <w:rPr>
          <w:spacing w:val="-10"/>
        </w:rPr>
        <w:t>投资业务；受托管</w:t>
      </w:r>
      <w:r>
        <w:rPr>
          <w:spacing w:val="-69"/>
        </w:rPr>
        <w:t> </w:t>
      </w:r>
      <w:r>
        <w:rPr>
          <w:spacing w:val="-69"/>
        </w:rPr>
      </w:r>
      <w:r>
        <w:rPr>
          <w:spacing w:val="-3"/>
        </w:rPr>
        <w:t>理创业投资企业</w:t>
      </w:r>
      <w:r>
        <w:rPr>
          <w:spacing w:val="-68"/>
        </w:rPr>
        <w:t> </w:t>
      </w:r>
      <w:r>
        <w:rPr>
          <w:spacing w:val="-68"/>
        </w:rPr>
      </w:r>
      <w:r>
        <w:rPr>
          <w:spacing w:val="-3"/>
        </w:rPr>
        <w:t>等机构或个人的</w:t>
      </w:r>
      <w:r>
        <w:rPr>
          <w:spacing w:val="-68"/>
        </w:rPr>
        <w:t> </w:t>
      </w:r>
      <w:r>
        <w:rPr>
          <w:spacing w:val="-68"/>
        </w:rPr>
      </w:r>
      <w:r>
        <w:rPr>
          <w:spacing w:val="-10"/>
        </w:rPr>
        <w:t>创业投资业务；创</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165" w:lineRule="exact"/>
        <w:ind w:left="12" w:right="-7"/>
        <w:jc w:val="left"/>
        <w:rPr>
          <w:rFonts w:ascii="Times New Roman" w:hAnsi="Times New Roman" w:cs="Times New Roman" w:eastAsia="Times New Roman" w:hint="default"/>
        </w:rPr>
      </w:pPr>
      <w:r>
        <w:rPr>
          <w:rFonts w:ascii="Times New Roman"/>
          <w:spacing w:val="-1"/>
        </w:rPr>
        <w:t>10,000,000.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165" w:lineRule="exact"/>
        <w:ind w:left="106" w:right="-7"/>
        <w:jc w:val="left"/>
        <w:rPr>
          <w:rFonts w:ascii="Times New Roman" w:hAnsi="Times New Roman" w:cs="Times New Roman" w:eastAsia="Times New Roman" w:hint="default"/>
        </w:rPr>
      </w:pPr>
      <w:r>
        <w:rPr>
          <w:rFonts w:ascii="Times New Roman"/>
          <w:spacing w:val="-1"/>
        </w:rPr>
        <w:t>7,353,629.9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165" w:lineRule="exact"/>
        <w:ind w:left="63" w:right="-7"/>
        <w:jc w:val="left"/>
        <w:rPr>
          <w:rFonts w:ascii="Times New Roman" w:hAnsi="Times New Roman" w:cs="Times New Roman" w:eastAsia="Times New Roman" w:hint="default"/>
        </w:rPr>
      </w:pPr>
      <w:r>
        <w:rPr>
          <w:rFonts w:ascii="Times New Roman"/>
          <w:spacing w:val="-1"/>
        </w:rPr>
        <w:t>7,353,629.9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165" w:lineRule="exact"/>
        <w:ind w:left="181" w:right="-5"/>
        <w:jc w:val="left"/>
        <w:rPr>
          <w:rFonts w:ascii="Times New Roman" w:hAnsi="Times New Roman" w:cs="Times New Roman" w:eastAsia="Times New Roman" w:hint="default"/>
        </w:rPr>
      </w:pPr>
      <w:r>
        <w:rPr>
          <w:rFonts w:ascii="Times New Roman"/>
          <w:spacing w:val="-1"/>
        </w:rPr>
        <w:t>-146,370.0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165" w:lineRule="exact"/>
        <w:ind w:left="106" w:right="0"/>
        <w:jc w:val="left"/>
        <w:rPr>
          <w:rFonts w:ascii="Times New Roman" w:hAnsi="Times New Roman" w:cs="Times New Roman" w:eastAsia="Times New Roman" w:hint="default"/>
        </w:rPr>
      </w:pPr>
      <w:r>
        <w:rPr>
          <w:rFonts w:ascii="Times New Roman"/>
        </w:rPr>
        <w:t>-146,370.0</w:t>
      </w:r>
    </w:p>
    <w:p>
      <w:pPr>
        <w:spacing w:after="0" w:line="165" w:lineRule="exact"/>
        <w:jc w:val="left"/>
        <w:rPr>
          <w:rFonts w:ascii="Times New Roman" w:hAnsi="Times New Roman" w:cs="Times New Roman" w:eastAsia="Times New Roman" w:hint="default"/>
        </w:rPr>
        <w:sectPr>
          <w:type w:val="continuous"/>
          <w:pgSz w:w="11910" w:h="16840"/>
          <w:pgMar w:top="1060" w:bottom="1160" w:left="980" w:right="980"/>
          <w:cols w:num="7" w:equalWidth="0">
            <w:col w:w="1084" w:space="1311"/>
            <w:col w:w="1564" w:space="40"/>
            <w:col w:w="870" w:space="40"/>
            <w:col w:w="964" w:space="40"/>
            <w:col w:w="921" w:space="977"/>
            <w:col w:w="967" w:space="40"/>
            <w:col w:w="1132"/>
          </w:cols>
        </w:sectPr>
      </w:pPr>
    </w:p>
    <w:p>
      <w:pPr>
        <w:pStyle w:val="BodyText"/>
        <w:tabs>
          <w:tab w:pos="1890" w:val="left" w:leader="none"/>
        </w:tabs>
        <w:spacing w:line="187" w:lineRule="exact"/>
        <w:ind w:left="181" w:right="-15"/>
        <w:jc w:val="left"/>
      </w:pPr>
      <w:r>
        <w:rPr/>
        <w:t>益达投资发</w:t>
      </w:r>
      <w:r>
        <w:rPr>
          <w:spacing w:val="-29"/>
        </w:rPr>
        <w:t> </w:t>
      </w:r>
      <w:r>
        <w:rPr/>
        <w:t>子公司</w:t>
        <w:tab/>
        <w:t>投资</w:t>
      </w:r>
    </w:p>
    <w:p>
      <w:pPr>
        <w:pStyle w:val="BodyText"/>
        <w:spacing w:line="167" w:lineRule="exact"/>
        <w:ind w:left="181" w:right="0"/>
        <w:jc w:val="left"/>
      </w:pPr>
      <w:r>
        <w:rPr>
          <w:spacing w:val="-3"/>
        </w:rPr>
        <w:br w:type="column"/>
      </w:r>
      <w:r>
        <w:rPr>
          <w:spacing w:val="-3"/>
        </w:rPr>
        <w:t>业投资咨询业务；</w:t>
      </w:r>
    </w:p>
    <w:p>
      <w:pPr>
        <w:pStyle w:val="BodyText"/>
        <w:tabs>
          <w:tab w:pos="3383" w:val="left" w:leader="none"/>
          <w:tab w:pos="4343" w:val="left" w:leader="none"/>
          <w:tab w:pos="6282" w:val="left" w:leader="none"/>
          <w:tab w:pos="7213" w:val="left" w:leader="none"/>
        </w:tabs>
        <w:spacing w:line="145" w:lineRule="exact"/>
        <w:ind w:left="1616" w:right="0"/>
        <w:jc w:val="left"/>
        <w:rPr>
          <w:rFonts w:ascii="Times New Roman" w:hAnsi="Times New Roman" w:cs="Times New Roman" w:eastAsia="Times New Roman" w:hint="default"/>
        </w:rPr>
      </w:pPr>
      <w:r>
        <w:rPr>
          <w:rFonts w:ascii="Times New Roman"/>
        </w:rPr>
        <w:t>00</w:t>
        <w:tab/>
        <w:t>4</w:t>
        <w:tab/>
        <w:t>4</w:t>
        <w:tab/>
        <w:t>6</w:t>
        <w:tab/>
        <w:t>6</w:t>
      </w:r>
    </w:p>
    <w:p>
      <w:pPr>
        <w:spacing w:after="0" w:line="145" w:lineRule="exact"/>
        <w:jc w:val="left"/>
        <w:rPr>
          <w:rFonts w:ascii="Times New Roman" w:hAnsi="Times New Roman" w:cs="Times New Roman" w:eastAsia="Times New Roman" w:hint="default"/>
        </w:rPr>
        <w:sectPr>
          <w:type w:val="continuous"/>
          <w:pgSz w:w="11910" w:h="16840"/>
          <w:pgMar w:top="1060" w:bottom="1160" w:left="980" w:right="980"/>
          <w:cols w:num="2" w:equalWidth="0">
            <w:col w:w="2256" w:space="140"/>
            <w:col w:w="7554"/>
          </w:cols>
        </w:sectPr>
      </w:pPr>
    </w:p>
    <w:p>
      <w:pPr>
        <w:pStyle w:val="BodyText"/>
        <w:spacing w:line="187" w:lineRule="exact"/>
        <w:ind w:left="181" w:right="-8"/>
        <w:jc w:val="left"/>
      </w:pPr>
      <w:r>
        <w:rPr>
          <w:spacing w:val="-2"/>
        </w:rPr>
        <w:t>展有限公司</w:t>
      </w:r>
    </w:p>
    <w:p>
      <w:pPr>
        <w:pStyle w:val="BodyText"/>
        <w:spacing w:line="182" w:lineRule="exact"/>
        <w:ind w:left="181" w:right="0"/>
        <w:jc w:val="left"/>
      </w:pPr>
      <w:r>
        <w:rPr>
          <w:spacing w:val="-3"/>
        </w:rPr>
        <w:br w:type="column"/>
      </w:r>
      <w:r>
        <w:rPr>
          <w:spacing w:val="-3"/>
        </w:rPr>
        <w:t>为创业企业提供</w:t>
      </w:r>
    </w:p>
    <w:p>
      <w:pPr>
        <w:pStyle w:val="BodyText"/>
        <w:spacing w:line="319" w:lineRule="auto" w:before="76"/>
        <w:ind w:left="181" w:right="4947"/>
        <w:jc w:val="left"/>
      </w:pPr>
      <w:r>
        <w:rPr>
          <w:spacing w:val="-3"/>
        </w:rPr>
        <w:t>创业管理服务业</w:t>
      </w:r>
      <w:r>
        <w:rPr>
          <w:spacing w:val="-68"/>
        </w:rPr>
        <w:t> </w:t>
      </w:r>
      <w:r>
        <w:rPr>
          <w:spacing w:val="-68"/>
        </w:rPr>
      </w:r>
      <w:r>
        <w:rPr>
          <w:spacing w:val="-10"/>
        </w:rPr>
        <w:t>务；参与设立创业</w:t>
      </w:r>
      <w:r>
        <w:rPr>
          <w:spacing w:val="-69"/>
        </w:rPr>
        <w:t> </w:t>
      </w:r>
      <w:r>
        <w:rPr>
          <w:spacing w:val="-69"/>
        </w:rPr>
      </w:r>
      <w:r>
        <w:rPr>
          <w:spacing w:val="-3"/>
        </w:rPr>
        <w:t>投资企业与创业</w:t>
      </w:r>
      <w:r>
        <w:rPr>
          <w:spacing w:val="-68"/>
        </w:rPr>
        <w:t> </w:t>
      </w:r>
      <w:r>
        <w:rPr>
          <w:spacing w:val="-68"/>
        </w:rPr>
      </w:r>
      <w:r>
        <w:rPr>
          <w:spacing w:val="-10"/>
        </w:rPr>
        <w:t>投资管理顾问；股</w:t>
      </w:r>
      <w:r>
        <w:rPr>
          <w:spacing w:val="-69"/>
        </w:rPr>
        <w:t> </w:t>
      </w:r>
      <w:r>
        <w:rPr>
          <w:spacing w:val="-69"/>
        </w:rPr>
      </w:r>
      <w:r>
        <w:rPr>
          <w:spacing w:val="-10"/>
        </w:rPr>
        <w:t>权投资；受托管理</w:t>
      </w:r>
      <w:r>
        <w:rPr>
          <w:spacing w:val="-69"/>
        </w:rPr>
        <w:t> </w:t>
      </w:r>
      <w:r>
        <w:rPr>
          <w:spacing w:val="-69"/>
        </w:rPr>
      </w:r>
      <w:r>
        <w:rPr/>
        <w:t>股权投资基金</w:t>
      </w:r>
    </w:p>
    <w:p>
      <w:pPr>
        <w:spacing w:after="0" w:line="319" w:lineRule="auto"/>
        <w:jc w:val="left"/>
        <w:sectPr>
          <w:type w:val="continuous"/>
          <w:pgSz w:w="11910" w:h="16840"/>
          <w:pgMar w:top="1060" w:bottom="1160" w:left="980" w:right="980"/>
          <w:cols w:num="2" w:equalWidth="0">
            <w:col w:w="1084" w:space="1311"/>
            <w:col w:w="7555"/>
          </w:cols>
        </w:sectPr>
      </w:pPr>
    </w:p>
    <w:p>
      <w:pPr>
        <w:spacing w:line="240" w:lineRule="auto" w:before="0"/>
        <w:rPr>
          <w:rFonts w:ascii="宋体" w:hAnsi="宋体" w:cs="宋体" w:eastAsia="宋体" w:hint="default"/>
          <w:sz w:val="18"/>
          <w:szCs w:val="18"/>
        </w:rPr>
      </w:pPr>
      <w:r>
        <w:rPr/>
        <w:pict>
          <v:group style="position:absolute;margin-left:56.400002pt;margin-top:71.759995pt;width:479.05pt;height:690.25pt;mso-position-horizontal-relative:page;mso-position-vertical-relative:page;z-index:-821800" coordorigin="1128,1435" coordsize="9581,13805">
            <v:group style="position:absolute;left:1138;top:1445;width:951;height:2" coordorigin="1138,1445" coordsize="951,2">
              <v:shape style="position:absolute;left:1138;top:1445;width:951;height:2" coordorigin="1138,1445" coordsize="951,0" path="m1138,1445l2088,1445e" filled="false" stroked="true" strokeweight=".48pt" strokecolor="#000000">
                <v:path arrowok="t"/>
              </v:shape>
            </v:group>
            <v:group style="position:absolute;left:2098;top:1445;width:740;height:2" coordorigin="2098,1445" coordsize="740,2">
              <v:shape style="position:absolute;left:2098;top:1445;width:740;height:2" coordorigin="2098,1445" coordsize="740,0" path="m2098,1445l2837,1445e" filled="false" stroked="true" strokeweight=".48pt" strokecolor="#000000">
                <v:path arrowok="t"/>
              </v:shape>
            </v:group>
            <v:group style="position:absolute;left:2846;top:1445;width:677;height:2" coordorigin="2846,1445" coordsize="677,2">
              <v:shape style="position:absolute;left:2846;top:1445;width:677;height:2" coordorigin="2846,1445" coordsize="677,0" path="m2846,1445l3523,1445e" filled="false" stroked="true" strokeweight=".48pt" strokecolor="#000000">
                <v:path arrowok="t"/>
              </v:shape>
            </v:group>
            <v:group style="position:absolute;left:3533;top:1445;width:1426;height:2" coordorigin="3533,1445" coordsize="1426,2">
              <v:shape style="position:absolute;left:3533;top:1445;width:1426;height:2" coordorigin="3533,1445" coordsize="1426,0" path="m3533,1445l4958,1445e" filled="false" stroked="true" strokeweight=".48pt" strokecolor="#000000">
                <v:path arrowok="t"/>
              </v:shape>
            </v:group>
            <v:group style="position:absolute;left:4968;top:1445;width:946;height:2" coordorigin="4968,1445" coordsize="946,2">
              <v:shape style="position:absolute;left:4968;top:1445;width:946;height:2" coordorigin="4968,1445" coordsize="946,0" path="m4968,1445l5914,1445e" filled="false" stroked="true" strokeweight=".48pt" strokecolor="#000000">
                <v:path arrowok="t"/>
              </v:shape>
            </v:group>
            <v:group style="position:absolute;left:5923;top:1445;width:946;height:2" coordorigin="5923,1445" coordsize="946,2">
              <v:shape style="position:absolute;left:5923;top:1445;width:946;height:2" coordorigin="5923,1445" coordsize="946,0" path="m5923,1445l6869,1445e" filled="false" stroked="true" strokeweight=".48pt" strokecolor="#000000">
                <v:path arrowok="t"/>
              </v:shape>
            </v:group>
            <v:group style="position:absolute;left:6878;top:1445;width:951;height:2" coordorigin="6878,1445" coordsize="951,2">
              <v:shape style="position:absolute;left:6878;top:1445;width:951;height:2" coordorigin="6878,1445" coordsize="951,0" path="m6878,1445l7829,1445e" filled="false" stroked="true" strokeweight=".48pt" strokecolor="#000000">
                <v:path arrowok="t"/>
              </v:shape>
            </v:group>
            <v:group style="position:absolute;left:7838;top:1445;width:1085;height:2" coordorigin="7838,1445" coordsize="1085,2">
              <v:shape style="position:absolute;left:7838;top:1445;width:1085;height:2" coordorigin="7838,1445" coordsize="1085,0" path="m7838,1445l8923,1445e" filled="false" stroked="true" strokeweight=".48pt" strokecolor="#000000">
                <v:path arrowok="t"/>
              </v:shape>
            </v:group>
            <v:group style="position:absolute;left:8933;top:1445;width:840;height:2" coordorigin="8933,1445" coordsize="840,2">
              <v:shape style="position:absolute;left:8933;top:1445;width:840;height:2" coordorigin="8933,1445" coordsize="840,0" path="m8933,1445l9773,1445e" filled="false" stroked="true" strokeweight=".48pt" strokecolor="#000000">
                <v:path arrowok="t"/>
              </v:shape>
            </v:group>
            <v:group style="position:absolute;left:9782;top:1445;width:917;height:2" coordorigin="9782,1445" coordsize="917,2">
              <v:shape style="position:absolute;left:9782;top:1445;width:917;height:2" coordorigin="9782,1445" coordsize="917,0" path="m9782,1445l10699,1445e" filled="false" stroked="true" strokeweight=".48pt" strokecolor="#000000">
                <v:path arrowok="t"/>
              </v:shape>
            </v:group>
            <v:group style="position:absolute;left:1138;top:1805;width:951;height:2" coordorigin="1138,1805" coordsize="951,2">
              <v:shape style="position:absolute;left:1138;top:1805;width:951;height:2" coordorigin="1138,1805" coordsize="951,0" path="m1138,1805l2088,1805e" filled="false" stroked="true" strokeweight=".48pt" strokecolor="#000000">
                <v:path arrowok="t"/>
              </v:shape>
            </v:group>
            <v:group style="position:absolute;left:2098;top:1805;width:740;height:2" coordorigin="2098,1805" coordsize="740,2">
              <v:shape style="position:absolute;left:2098;top:1805;width:740;height:2" coordorigin="2098,1805" coordsize="740,0" path="m2098,1805l2837,1805e" filled="false" stroked="true" strokeweight=".48pt" strokecolor="#000000">
                <v:path arrowok="t"/>
              </v:shape>
            </v:group>
            <v:group style="position:absolute;left:2846;top:1805;width:677;height:2" coordorigin="2846,1805" coordsize="677,2">
              <v:shape style="position:absolute;left:2846;top:1805;width:677;height:2" coordorigin="2846,1805" coordsize="677,0" path="m2846,1805l3523,1805e" filled="false" stroked="true" strokeweight=".48pt" strokecolor="#000000">
                <v:path arrowok="t"/>
              </v:shape>
            </v:group>
            <v:group style="position:absolute;left:3533;top:1805;width:1426;height:2" coordorigin="3533,1805" coordsize="1426,2">
              <v:shape style="position:absolute;left:3533;top:1805;width:1426;height:2" coordorigin="3533,1805" coordsize="1426,0" path="m3533,1805l4958,1805e" filled="false" stroked="true" strokeweight=".48pt" strokecolor="#000000">
                <v:path arrowok="t"/>
              </v:shape>
            </v:group>
            <v:group style="position:absolute;left:4968;top:1805;width:946;height:2" coordorigin="4968,1805" coordsize="946,2">
              <v:shape style="position:absolute;left:4968;top:1805;width:946;height:2" coordorigin="4968,1805" coordsize="946,0" path="m4968,1805l5914,1805e" filled="false" stroked="true" strokeweight=".48pt" strokecolor="#000000">
                <v:path arrowok="t"/>
              </v:shape>
            </v:group>
            <v:group style="position:absolute;left:5923;top:1805;width:946;height:2" coordorigin="5923,1805" coordsize="946,2">
              <v:shape style="position:absolute;left:5923;top:1805;width:946;height:2" coordorigin="5923,1805" coordsize="946,0" path="m5923,1805l6869,1805e" filled="false" stroked="true" strokeweight=".48pt" strokecolor="#000000">
                <v:path arrowok="t"/>
              </v:shape>
            </v:group>
            <v:group style="position:absolute;left:6878;top:1805;width:951;height:2" coordorigin="6878,1805" coordsize="951,2">
              <v:shape style="position:absolute;left:6878;top:1805;width:951;height:2" coordorigin="6878,1805" coordsize="951,0" path="m6878,1805l7829,1805e" filled="false" stroked="true" strokeweight=".48pt" strokecolor="#000000">
                <v:path arrowok="t"/>
              </v:shape>
            </v:group>
            <v:group style="position:absolute;left:7838;top:1805;width:1085;height:2" coordorigin="7838,1805" coordsize="1085,2">
              <v:shape style="position:absolute;left:7838;top:1805;width:1085;height:2" coordorigin="7838,1805" coordsize="1085,0" path="m7838,1805l8923,1805e" filled="false" stroked="true" strokeweight=".48pt" strokecolor="#000000">
                <v:path arrowok="t"/>
              </v:shape>
            </v:group>
            <v:group style="position:absolute;left:8933;top:1805;width:840;height:2" coordorigin="8933,1805" coordsize="840,2">
              <v:shape style="position:absolute;left:8933;top:1805;width:840;height:2" coordorigin="8933,1805" coordsize="840,0" path="m8933,1805l9773,1805e" filled="false" stroked="true" strokeweight=".48pt" strokecolor="#000000">
                <v:path arrowok="t"/>
              </v:shape>
            </v:group>
            <v:group style="position:absolute;left:9782;top:1805;width:917;height:2" coordorigin="9782,1805" coordsize="917,2">
              <v:shape style="position:absolute;left:9782;top:1805;width:917;height:2" coordorigin="9782,1805" coordsize="917,0" path="m9782,1805l10699,1805e" filled="false" stroked="true" strokeweight=".48pt" strokecolor="#000000">
                <v:path arrowok="t"/>
              </v:shape>
            </v:group>
            <v:group style="position:absolute;left:4968;top:2837;width:951;height:4138" coordorigin="4968,2837" coordsize="951,4138">
              <v:shape style="position:absolute;left:4968;top:2837;width:951;height:4138" coordorigin="4968,2837" coordsize="951,4138" path="m4968,6974l5918,6974,5918,2837,4968,2837,4968,6974xe" filled="true" fillcolor="#ffffff" stroked="false">
                <v:path arrowok="t"/>
                <v:fill type="solid"/>
              </v:shape>
            </v:group>
            <v:group style="position:absolute;left:4992;top:4555;width:903;height:351" coordorigin="4992,4555" coordsize="903,351">
              <v:shape style="position:absolute;left:4992;top:4555;width:903;height:351" coordorigin="4992,4555" coordsize="903,351" path="m4992,4906l5894,4906,5894,4555,4992,4555,4992,4906xe" filled="true" fillcolor="#ffffff" stroked="false">
                <v:path arrowok="t"/>
                <v:fill type="solid"/>
              </v:shape>
            </v:group>
            <v:group style="position:absolute;left:4992;top:4906;width:903;height:351" coordorigin="4992,4906" coordsize="903,351">
              <v:shape style="position:absolute;left:4992;top:4906;width:903;height:351" coordorigin="4992,4906" coordsize="903,351" path="m4992,5256l5894,5256,5894,4906,4992,4906,4992,5256xe" filled="true" fillcolor="#ffffff" stroked="false">
                <v:path arrowok="t"/>
                <v:fill type="solid"/>
              </v:shape>
            </v:group>
            <v:group style="position:absolute;left:1138;top:2832;width:951;height:2" coordorigin="1138,2832" coordsize="951,2">
              <v:shape style="position:absolute;left:1138;top:2832;width:951;height:2" coordorigin="1138,2832" coordsize="951,0" path="m1138,2832l2088,2832e" filled="false" stroked="true" strokeweight=".48pt" strokecolor="#000000">
                <v:path arrowok="t"/>
              </v:shape>
            </v:group>
            <v:group style="position:absolute;left:2098;top:2832;width:740;height:2" coordorigin="2098,2832" coordsize="740,2">
              <v:shape style="position:absolute;left:2098;top:2832;width:740;height:2" coordorigin="2098,2832" coordsize="740,0" path="m2098,2832l2837,2832e" filled="false" stroked="true" strokeweight=".48pt" strokecolor="#000000">
                <v:path arrowok="t"/>
              </v:shape>
            </v:group>
            <v:group style="position:absolute;left:2846;top:2832;width:677;height:2" coordorigin="2846,2832" coordsize="677,2">
              <v:shape style="position:absolute;left:2846;top:2832;width:677;height:2" coordorigin="2846,2832" coordsize="677,0" path="m2846,2832l3523,2832e" filled="false" stroked="true" strokeweight=".48pt" strokecolor="#000000">
                <v:path arrowok="t"/>
              </v:shape>
            </v:group>
            <v:group style="position:absolute;left:3533;top:2832;width:1426;height:2" coordorigin="3533,2832" coordsize="1426,2">
              <v:shape style="position:absolute;left:3533;top:2832;width:1426;height:2" coordorigin="3533,2832" coordsize="1426,0" path="m3533,2832l4958,2832e" filled="false" stroked="true" strokeweight=".48pt" strokecolor="#000000">
                <v:path arrowok="t"/>
              </v:shape>
            </v:group>
            <v:group style="position:absolute;left:4968;top:2832;width:946;height:2" coordorigin="4968,2832" coordsize="946,2">
              <v:shape style="position:absolute;left:4968;top:2832;width:946;height:2" coordorigin="4968,2832" coordsize="946,0" path="m4968,2832l5914,2832e" filled="false" stroked="true" strokeweight=".48pt" strokecolor="#000000">
                <v:path arrowok="t"/>
              </v:shape>
            </v:group>
            <v:group style="position:absolute;left:5923;top:2832;width:946;height:2" coordorigin="5923,2832" coordsize="946,2">
              <v:shape style="position:absolute;left:5923;top:2832;width:946;height:2" coordorigin="5923,2832" coordsize="946,0" path="m5923,2832l6869,2832e" filled="false" stroked="true" strokeweight=".48pt" strokecolor="#000000">
                <v:path arrowok="t"/>
              </v:shape>
            </v:group>
            <v:group style="position:absolute;left:6878;top:2832;width:951;height:2" coordorigin="6878,2832" coordsize="951,2">
              <v:shape style="position:absolute;left:6878;top:2832;width:951;height:2" coordorigin="6878,2832" coordsize="951,0" path="m6878,2832l7829,2832e" filled="false" stroked="true" strokeweight=".48pt" strokecolor="#000000">
                <v:path arrowok="t"/>
              </v:shape>
            </v:group>
            <v:group style="position:absolute;left:7838;top:2832;width:1085;height:2" coordorigin="7838,2832" coordsize="1085,2">
              <v:shape style="position:absolute;left:7838;top:2832;width:1085;height:2" coordorigin="7838,2832" coordsize="1085,0" path="m7838,2832l8923,2832e" filled="false" stroked="true" strokeweight=".48pt" strokecolor="#000000">
                <v:path arrowok="t"/>
              </v:shape>
            </v:group>
            <v:group style="position:absolute;left:8933;top:2832;width:840;height:2" coordorigin="8933,2832" coordsize="840,2">
              <v:shape style="position:absolute;left:8933;top:2832;width:840;height:2" coordorigin="8933,2832" coordsize="840,0" path="m8933,2832l9773,2832e" filled="false" stroked="true" strokeweight=".48pt" strokecolor="#000000">
                <v:path arrowok="t"/>
              </v:shape>
            </v:group>
            <v:group style="position:absolute;left:9782;top:2832;width:917;height:2" coordorigin="9782,2832" coordsize="917,2">
              <v:shape style="position:absolute;left:9782;top:2832;width:917;height:2" coordorigin="9782,2832" coordsize="917,0" path="m9782,2832l10699,2832e" filled="false" stroked="true" strokeweight=".48pt" strokecolor="#000000">
                <v:path arrowok="t"/>
              </v:shape>
            </v:group>
            <v:group style="position:absolute;left:4968;top:6984;width:951;height:4762" coordorigin="4968,6984" coordsize="951,4762">
              <v:shape style="position:absolute;left:4968;top:6984;width:951;height:4762" coordorigin="4968,6984" coordsize="951,4762" path="m4968,11746l5918,11746,5918,6984,4968,6984,4968,11746xe" filled="true" fillcolor="#ffffff" stroked="false">
                <v:path arrowok="t"/>
                <v:fill type="solid"/>
              </v:shape>
            </v:group>
            <v:group style="position:absolute;left:4992;top:9010;width:903;height:356" coordorigin="4992,9010" coordsize="903,356">
              <v:shape style="position:absolute;left:4992;top:9010;width:903;height:356" coordorigin="4992,9010" coordsize="903,356" path="m4992,9365l5894,9365,5894,9010,4992,9010,4992,9365xe" filled="true" fillcolor="#ffffff" stroked="false">
                <v:path arrowok="t"/>
                <v:fill type="solid"/>
              </v:shape>
            </v:group>
            <v:group style="position:absolute;left:4992;top:9365;width:903;height:351" coordorigin="4992,9365" coordsize="903,351">
              <v:shape style="position:absolute;left:4992;top:9365;width:903;height:351" coordorigin="4992,9365" coordsize="903,351" path="m4992,9715l5894,9715,5894,9365,4992,9365,4992,9715xe" filled="true" fillcolor="#ffffff" stroked="false">
                <v:path arrowok="t"/>
                <v:fill type="solid"/>
              </v:shape>
            </v:group>
            <v:group style="position:absolute;left:1138;top:6979;width:951;height:2" coordorigin="1138,6979" coordsize="951,2">
              <v:shape style="position:absolute;left:1138;top:6979;width:951;height:2" coordorigin="1138,6979" coordsize="951,0" path="m1138,6979l2088,6979e" filled="false" stroked="true" strokeweight=".48pt" strokecolor="#000000">
                <v:path arrowok="t"/>
              </v:shape>
            </v:group>
            <v:group style="position:absolute;left:2098;top:6979;width:740;height:2" coordorigin="2098,6979" coordsize="740,2">
              <v:shape style="position:absolute;left:2098;top:6979;width:740;height:2" coordorigin="2098,6979" coordsize="740,0" path="m2098,6979l2837,6979e" filled="false" stroked="true" strokeweight=".48pt" strokecolor="#000000">
                <v:path arrowok="t"/>
              </v:shape>
            </v:group>
            <v:group style="position:absolute;left:2846;top:6979;width:677;height:2" coordorigin="2846,6979" coordsize="677,2">
              <v:shape style="position:absolute;left:2846;top:6979;width:677;height:2" coordorigin="2846,6979" coordsize="677,0" path="m2846,6979l3523,6979e" filled="false" stroked="true" strokeweight=".48pt" strokecolor="#000000">
                <v:path arrowok="t"/>
              </v:shape>
            </v:group>
            <v:group style="position:absolute;left:3533;top:6979;width:1426;height:2" coordorigin="3533,6979" coordsize="1426,2">
              <v:shape style="position:absolute;left:3533;top:6979;width:1426;height:2" coordorigin="3533,6979" coordsize="1426,0" path="m3533,6979l4958,6979e" filled="false" stroked="true" strokeweight=".48pt" strokecolor="#000000">
                <v:path arrowok="t"/>
              </v:shape>
            </v:group>
            <v:group style="position:absolute;left:4968;top:6979;width:946;height:2" coordorigin="4968,6979" coordsize="946,2">
              <v:shape style="position:absolute;left:4968;top:6979;width:946;height:2" coordorigin="4968,6979" coordsize="946,0" path="m4968,6979l5914,6979e" filled="false" stroked="true" strokeweight=".48pt" strokecolor="#000000">
                <v:path arrowok="t"/>
              </v:shape>
            </v:group>
            <v:group style="position:absolute;left:5923;top:6979;width:946;height:2" coordorigin="5923,6979" coordsize="946,2">
              <v:shape style="position:absolute;left:5923;top:6979;width:946;height:2" coordorigin="5923,6979" coordsize="946,0" path="m5923,6979l6869,6979e" filled="false" stroked="true" strokeweight=".48pt" strokecolor="#000000">
                <v:path arrowok="t"/>
              </v:shape>
            </v:group>
            <v:group style="position:absolute;left:6878;top:6979;width:951;height:2" coordorigin="6878,6979" coordsize="951,2">
              <v:shape style="position:absolute;left:6878;top:6979;width:951;height:2" coordorigin="6878,6979" coordsize="951,0" path="m6878,6979l7829,6979e" filled="false" stroked="true" strokeweight=".48pt" strokecolor="#000000">
                <v:path arrowok="t"/>
              </v:shape>
            </v:group>
            <v:group style="position:absolute;left:7838;top:6979;width:1085;height:2" coordorigin="7838,6979" coordsize="1085,2">
              <v:shape style="position:absolute;left:7838;top:6979;width:1085;height:2" coordorigin="7838,6979" coordsize="1085,0" path="m7838,6979l8923,6979e" filled="false" stroked="true" strokeweight=".48pt" strokecolor="#000000">
                <v:path arrowok="t"/>
              </v:shape>
            </v:group>
            <v:group style="position:absolute;left:8933;top:6979;width:840;height:2" coordorigin="8933,6979" coordsize="840,2">
              <v:shape style="position:absolute;left:8933;top:6979;width:840;height:2" coordorigin="8933,6979" coordsize="840,0" path="m8933,6979l9773,6979e" filled="false" stroked="true" strokeweight=".48pt" strokecolor="#000000">
                <v:path arrowok="t"/>
              </v:shape>
            </v:group>
            <v:group style="position:absolute;left:9782;top:6979;width:917;height:2" coordorigin="9782,6979" coordsize="917,2">
              <v:shape style="position:absolute;left:9782;top:6979;width:917;height:2" coordorigin="9782,6979" coordsize="917,0" path="m9782,6979l10699,6979e" filled="false" stroked="true" strokeweight=".48pt" strokecolor="#000000">
                <v:path arrowok="t"/>
              </v:shape>
            </v:group>
            <v:group style="position:absolute;left:4968;top:11755;width:951;height:3471" coordorigin="4968,11755" coordsize="951,3471">
              <v:shape style="position:absolute;left:4968;top:11755;width:951;height:3471" coordorigin="4968,11755" coordsize="951,3471" path="m4968,15226l5918,15226,5918,11755,4968,11755,4968,15226xe" filled="true" fillcolor="#ffffff" stroked="false">
                <v:path arrowok="t"/>
                <v:fill type="solid"/>
              </v:shape>
            </v:group>
            <v:group style="position:absolute;left:4992;top:13138;width:903;height:351" coordorigin="4992,13138" coordsize="903,351">
              <v:shape style="position:absolute;left:4992;top:13138;width:903;height:351" coordorigin="4992,13138" coordsize="903,351" path="m4992,13488l5894,13488,5894,13138,4992,13138,4992,13488xe" filled="true" fillcolor="#ffffff" stroked="false">
                <v:path arrowok="t"/>
                <v:fill type="solid"/>
              </v:shape>
            </v:group>
            <v:group style="position:absolute;left:4992;top:13488;width:903;height:356" coordorigin="4992,13488" coordsize="903,356">
              <v:shape style="position:absolute;left:4992;top:13488;width:903;height:356" coordorigin="4992,13488" coordsize="903,356" path="m4992,13843l5894,13843,5894,13488,4992,13488,4992,13843xe" filled="true" fillcolor="#ffffff" stroked="false">
                <v:path arrowok="t"/>
                <v:fill type="solid"/>
              </v:shape>
            </v:group>
            <v:group style="position:absolute;left:1138;top:11750;width:951;height:2" coordorigin="1138,11750" coordsize="951,2">
              <v:shape style="position:absolute;left:1138;top:11750;width:951;height:2" coordorigin="1138,11750" coordsize="951,0" path="m1138,11750l2088,11750e" filled="false" stroked="true" strokeweight=".48pt" strokecolor="#000000">
                <v:path arrowok="t"/>
              </v:shape>
            </v:group>
            <v:group style="position:absolute;left:2098;top:11750;width:740;height:2" coordorigin="2098,11750" coordsize="740,2">
              <v:shape style="position:absolute;left:2098;top:11750;width:740;height:2" coordorigin="2098,11750" coordsize="740,0" path="m2098,11750l2837,11750e" filled="false" stroked="true" strokeweight=".48pt" strokecolor="#000000">
                <v:path arrowok="t"/>
              </v:shape>
            </v:group>
            <v:group style="position:absolute;left:2846;top:11750;width:677;height:2" coordorigin="2846,11750" coordsize="677,2">
              <v:shape style="position:absolute;left:2846;top:11750;width:677;height:2" coordorigin="2846,11750" coordsize="677,0" path="m2846,11750l3523,11750e" filled="false" stroked="true" strokeweight=".48pt" strokecolor="#000000">
                <v:path arrowok="t"/>
              </v:shape>
            </v:group>
            <v:group style="position:absolute;left:3533;top:11750;width:1426;height:2" coordorigin="3533,11750" coordsize="1426,2">
              <v:shape style="position:absolute;left:3533;top:11750;width:1426;height:2" coordorigin="3533,11750" coordsize="1426,0" path="m3533,11750l4958,11750e" filled="false" stroked="true" strokeweight=".48pt" strokecolor="#000000">
                <v:path arrowok="t"/>
              </v:shape>
            </v:group>
            <v:group style="position:absolute;left:4968;top:11750;width:946;height:2" coordorigin="4968,11750" coordsize="946,2">
              <v:shape style="position:absolute;left:4968;top:11750;width:946;height:2" coordorigin="4968,11750" coordsize="946,0" path="m4968,11750l5914,11750e" filled="false" stroked="true" strokeweight=".48pt" strokecolor="#000000">
                <v:path arrowok="t"/>
              </v:shape>
            </v:group>
            <v:group style="position:absolute;left:5923;top:11750;width:946;height:2" coordorigin="5923,11750" coordsize="946,2">
              <v:shape style="position:absolute;left:5923;top:11750;width:946;height:2" coordorigin="5923,11750" coordsize="946,0" path="m5923,11750l6869,11750e" filled="false" stroked="true" strokeweight=".48pt" strokecolor="#000000">
                <v:path arrowok="t"/>
              </v:shape>
            </v:group>
            <v:group style="position:absolute;left:6878;top:11750;width:951;height:2" coordorigin="6878,11750" coordsize="951,2">
              <v:shape style="position:absolute;left:6878;top:11750;width:951;height:2" coordorigin="6878,11750" coordsize="951,0" path="m6878,11750l7829,11750e" filled="false" stroked="true" strokeweight=".48pt" strokecolor="#000000">
                <v:path arrowok="t"/>
              </v:shape>
            </v:group>
            <v:group style="position:absolute;left:7838;top:11750;width:1085;height:2" coordorigin="7838,11750" coordsize="1085,2">
              <v:shape style="position:absolute;left:7838;top:11750;width:1085;height:2" coordorigin="7838,11750" coordsize="1085,0" path="m7838,11750l8923,11750e" filled="false" stroked="true" strokeweight=".48pt" strokecolor="#000000">
                <v:path arrowok="t"/>
              </v:shape>
            </v:group>
            <v:group style="position:absolute;left:8933;top:11750;width:840;height:2" coordorigin="8933,11750" coordsize="840,2">
              <v:shape style="position:absolute;left:8933;top:11750;width:840;height:2" coordorigin="8933,11750" coordsize="840,0" path="m8933,11750l9773,11750e" filled="false" stroked="true" strokeweight=".48pt" strokecolor="#000000">
                <v:path arrowok="t"/>
              </v:shape>
            </v:group>
            <v:group style="position:absolute;left:9782;top:11750;width:917;height:2" coordorigin="9782,11750" coordsize="917,2">
              <v:shape style="position:absolute;left:9782;top:11750;width:917;height:2" coordorigin="9782,11750" coordsize="917,0" path="m9782,11750l10699,11750e" filled="false" stroked="true" strokeweight=".48pt" strokecolor="#000000">
                <v:path arrowok="t"/>
              </v:shape>
            </v:group>
            <v:group style="position:absolute;left:1133;top:1440;width:2;height:13796" coordorigin="1133,1440" coordsize="2,13796">
              <v:shape style="position:absolute;left:1133;top:1440;width:2;height:13796" coordorigin="1133,1440" coordsize="0,13796" path="m1133,1440l1133,15235e" filled="false" stroked="true" strokeweight=".48pt" strokecolor="#000000">
                <v:path arrowok="t"/>
              </v:shape>
            </v:group>
            <v:group style="position:absolute;left:1138;top:15230;width:951;height:2" coordorigin="1138,15230" coordsize="951,2">
              <v:shape style="position:absolute;left:1138;top:15230;width:951;height:2" coordorigin="1138,15230" coordsize="951,0" path="m1138,15230l2088,15230e" filled="false" stroked="true" strokeweight=".48pt" strokecolor="#000000">
                <v:path arrowok="t"/>
              </v:shape>
            </v:group>
            <v:group style="position:absolute;left:2093;top:1440;width:2;height:13796" coordorigin="2093,1440" coordsize="2,13796">
              <v:shape style="position:absolute;left:2093;top:1440;width:2;height:13796" coordorigin="2093,1440" coordsize="0,13796" path="m2093,1440l2093,15235e" filled="false" stroked="true" strokeweight=".48pt" strokecolor="#000000">
                <v:path arrowok="t"/>
              </v:shape>
            </v:group>
            <v:group style="position:absolute;left:2098;top:15230;width:740;height:2" coordorigin="2098,15230" coordsize="740,2">
              <v:shape style="position:absolute;left:2098;top:15230;width:740;height:2" coordorigin="2098,15230" coordsize="740,0" path="m2098,15230l2837,15230e" filled="false" stroked="true" strokeweight=".48pt" strokecolor="#000000">
                <v:path arrowok="t"/>
              </v:shape>
            </v:group>
            <v:group style="position:absolute;left:2842;top:1440;width:2;height:13796" coordorigin="2842,1440" coordsize="2,13796">
              <v:shape style="position:absolute;left:2842;top:1440;width:2;height:13796" coordorigin="2842,1440" coordsize="0,13796" path="m2842,1440l2842,15235e" filled="false" stroked="true" strokeweight=".48pt" strokecolor="#000000">
                <v:path arrowok="t"/>
              </v:shape>
            </v:group>
            <v:group style="position:absolute;left:2846;top:15230;width:677;height:2" coordorigin="2846,15230" coordsize="677,2">
              <v:shape style="position:absolute;left:2846;top:15230;width:677;height:2" coordorigin="2846,15230" coordsize="677,0" path="m2846,15230l3523,15230e" filled="false" stroked="true" strokeweight=".48pt" strokecolor="#000000">
                <v:path arrowok="t"/>
              </v:shape>
            </v:group>
            <v:group style="position:absolute;left:3528;top:1440;width:2;height:13796" coordorigin="3528,1440" coordsize="2,13796">
              <v:shape style="position:absolute;left:3528;top:1440;width:2;height:13796" coordorigin="3528,1440" coordsize="0,13796" path="m3528,1440l3528,15235e" filled="false" stroked="true" strokeweight=".48pt" strokecolor="#000000">
                <v:path arrowok="t"/>
              </v:shape>
            </v:group>
            <v:group style="position:absolute;left:3533;top:15230;width:1426;height:2" coordorigin="3533,15230" coordsize="1426,2">
              <v:shape style="position:absolute;left:3533;top:15230;width:1426;height:2" coordorigin="3533,15230" coordsize="1426,0" path="m3533,15230l4958,15230e" filled="false" stroked="true" strokeweight=".48pt" strokecolor="#000000">
                <v:path arrowok="t"/>
              </v:shape>
            </v:group>
            <v:group style="position:absolute;left:4963;top:1440;width:2;height:13796" coordorigin="4963,1440" coordsize="2,13796">
              <v:shape style="position:absolute;left:4963;top:1440;width:2;height:13796" coordorigin="4963,1440" coordsize="0,13796" path="m4963,1440l4963,15235e" filled="false" stroked="true" strokeweight=".48pt" strokecolor="#000000">
                <v:path arrowok="t"/>
              </v:shape>
            </v:group>
            <v:group style="position:absolute;left:4968;top:15230;width:946;height:2" coordorigin="4968,15230" coordsize="946,2">
              <v:shape style="position:absolute;left:4968;top:15230;width:946;height:2" coordorigin="4968,15230" coordsize="946,0" path="m4968,15230l5914,15230e" filled="false" stroked="true" strokeweight=".48pt" strokecolor="#000000">
                <v:path arrowok="t"/>
              </v:shape>
            </v:group>
            <v:group style="position:absolute;left:5918;top:1440;width:2;height:13796" coordorigin="5918,1440" coordsize="2,13796">
              <v:shape style="position:absolute;left:5918;top:1440;width:2;height:13796" coordorigin="5918,1440" coordsize="0,13796" path="m5918,1440l5918,15235e" filled="false" stroked="true" strokeweight=".48pt" strokecolor="#000000">
                <v:path arrowok="t"/>
              </v:shape>
            </v:group>
            <v:group style="position:absolute;left:5923;top:15230;width:946;height:2" coordorigin="5923,15230" coordsize="946,2">
              <v:shape style="position:absolute;left:5923;top:15230;width:946;height:2" coordorigin="5923,15230" coordsize="946,0" path="m5923,15230l6869,15230e" filled="false" stroked="true" strokeweight=".48pt" strokecolor="#000000">
                <v:path arrowok="t"/>
              </v:shape>
            </v:group>
            <v:group style="position:absolute;left:6874;top:1440;width:2;height:13796" coordorigin="6874,1440" coordsize="2,13796">
              <v:shape style="position:absolute;left:6874;top:1440;width:2;height:13796" coordorigin="6874,1440" coordsize="0,13796" path="m6874,1440l6874,15235e" filled="false" stroked="true" strokeweight=".48pt" strokecolor="#000000">
                <v:path arrowok="t"/>
              </v:shape>
            </v:group>
            <v:group style="position:absolute;left:6878;top:15230;width:951;height:2" coordorigin="6878,15230" coordsize="951,2">
              <v:shape style="position:absolute;left:6878;top:15230;width:951;height:2" coordorigin="6878,15230" coordsize="951,0" path="m6878,15230l7829,15230e" filled="false" stroked="true" strokeweight=".48pt" strokecolor="#000000">
                <v:path arrowok="t"/>
              </v:shape>
            </v:group>
            <v:group style="position:absolute;left:7834;top:1440;width:2;height:13796" coordorigin="7834,1440" coordsize="2,13796">
              <v:shape style="position:absolute;left:7834;top:1440;width:2;height:13796" coordorigin="7834,1440" coordsize="0,13796" path="m7834,1440l7834,15235e" filled="false" stroked="true" strokeweight=".48pt" strokecolor="#000000">
                <v:path arrowok="t"/>
              </v:shape>
            </v:group>
            <v:group style="position:absolute;left:7838;top:15230;width:1085;height:2" coordorigin="7838,15230" coordsize="1085,2">
              <v:shape style="position:absolute;left:7838;top:15230;width:1085;height:2" coordorigin="7838,15230" coordsize="1085,0" path="m7838,15230l8923,15230e" filled="false" stroked="true" strokeweight=".48pt" strokecolor="#000000">
                <v:path arrowok="t"/>
              </v:shape>
            </v:group>
            <v:group style="position:absolute;left:8928;top:1440;width:2;height:13796" coordorigin="8928,1440" coordsize="2,13796">
              <v:shape style="position:absolute;left:8928;top:1440;width:2;height:13796" coordorigin="8928,1440" coordsize="0,13796" path="m8928,1440l8928,15235e" filled="false" stroked="true" strokeweight=".48pt" strokecolor="#000000">
                <v:path arrowok="t"/>
              </v:shape>
            </v:group>
            <v:group style="position:absolute;left:8933;top:15230;width:840;height:2" coordorigin="8933,15230" coordsize="840,2">
              <v:shape style="position:absolute;left:8933;top:15230;width:840;height:2" coordorigin="8933,15230" coordsize="840,0" path="m8933,15230l9773,15230e" filled="false" stroked="true" strokeweight=".48pt" strokecolor="#000000">
                <v:path arrowok="t"/>
              </v:shape>
            </v:group>
            <v:group style="position:absolute;left:9778;top:1440;width:2;height:13796" coordorigin="9778,1440" coordsize="2,13796">
              <v:shape style="position:absolute;left:9778;top:1440;width:2;height:13796" coordorigin="9778,1440" coordsize="0,13796" path="m9778,1440l9778,15235e" filled="false" stroked="true" strokeweight=".48pt" strokecolor="#000000">
                <v:path arrowok="t"/>
              </v:shape>
            </v:group>
            <v:group style="position:absolute;left:9782;top:15230;width:917;height:2" coordorigin="9782,15230" coordsize="917,2">
              <v:shape style="position:absolute;left:9782;top:15230;width:917;height:2" coordorigin="9782,15230" coordsize="917,0" path="m9782,15230l10699,15230e" filled="false" stroked="true" strokeweight=".48pt" strokecolor="#000000">
                <v:path arrowok="t"/>
              </v:shape>
            </v:group>
            <v:group style="position:absolute;left:10704;top:1440;width:2;height:13796" coordorigin="10704,1440" coordsize="2,13796">
              <v:shape style="position:absolute;left:10704;top:1440;width:2;height:13796" coordorigin="10704,1440" coordsize="0,13796" path="m10704,1440l10704,15235e" filled="false" stroked="true" strokeweight=".4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59"/>
        <w:ind w:left="181" w:right="-18"/>
        <w:jc w:val="left"/>
      </w:pPr>
      <w:r>
        <w:rPr/>
        <w:t>无锡实益达</w:t>
      </w:r>
      <w:r>
        <w:rPr>
          <w:w w:val="101"/>
        </w:rPr>
        <w:t> </w:t>
      </w:r>
      <w:r>
        <w:rPr/>
        <w:t>照明科技有</w:t>
      </w:r>
      <w:r>
        <w:rPr>
          <w:spacing w:val="-29"/>
        </w:rPr>
        <w:t> </w:t>
      </w:r>
      <w:r>
        <w:rPr/>
        <w:t>子公司</w:t>
      </w:r>
      <w:r>
        <w:rPr>
          <w:w w:val="101"/>
        </w:rPr>
        <w:t> </w:t>
      </w:r>
      <w:r>
        <w:rPr/>
        <w:t>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314" w:lineRule="auto"/>
        <w:ind w:left="166" w:right="-20"/>
        <w:jc w:val="left"/>
      </w:pPr>
      <w:r>
        <w:rPr/>
        <w:t>光学光</w:t>
      </w:r>
      <w:r>
        <w:rPr>
          <w:spacing w:val="-88"/>
        </w:rPr>
        <w:t> </w:t>
      </w:r>
      <w:r>
        <w:rPr>
          <w:spacing w:val="-88"/>
        </w:rPr>
      </w:r>
      <w:r>
        <w:rPr/>
        <w:t>电子</w:t>
      </w:r>
      <w:r>
        <w:rPr>
          <w:spacing w:val="-8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行</w:t>
      </w:r>
    </w:p>
    <w:p>
      <w:pPr>
        <w:pStyle w:val="BodyText"/>
        <w:spacing w:line="240" w:lineRule="auto" w:before="6"/>
        <w:ind w:left="166" w:right="-20"/>
        <w:jc w:val="left"/>
      </w:pPr>
      <w:r>
        <w:rPr>
          <w:w w:val="101"/>
        </w:rPr>
        <w:t>业</w:t>
      </w:r>
      <w:r>
        <w:rPr/>
      </w:r>
    </w:p>
    <w:p>
      <w:pPr>
        <w:pStyle w:val="BodyText"/>
        <w:spacing w:line="304" w:lineRule="auto" w:before="108"/>
        <w:ind w:left="75" w:right="801"/>
        <w:jc w:val="left"/>
      </w:pPr>
      <w:r>
        <w:rPr>
          <w:spacing w:val="-19"/>
          <w:w w:val="101"/>
        </w:rPr>
        <w:br w:type="column"/>
      </w:r>
      <w:r>
        <w:rPr>
          <w:spacing w:val="-19"/>
          <w:w w:val="101"/>
        </w:rPr>
        <w:t>设计、研发、生产、</w:t>
      </w:r>
      <w:r>
        <w:rPr>
          <w:spacing w:val="-90"/>
          <w:w w:val="101"/>
        </w:rPr>
        <w:t> </w:t>
      </w:r>
      <w:r>
        <w:rPr>
          <w:spacing w:val="-90"/>
          <w:w w:val="101"/>
        </w:rPr>
      </w:r>
      <w:r>
        <w:rPr/>
        <w:t>销售、安装</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3"/>
        </w:rPr>
        <w:t>照明产品、</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背光源及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显</w:t>
      </w:r>
    </w:p>
    <w:p>
      <w:pPr>
        <w:pStyle w:val="BodyText"/>
        <w:spacing w:line="215" w:lineRule="exact" w:before="9"/>
        <w:ind w:left="75" w:right="801"/>
        <w:jc w:val="left"/>
      </w:pPr>
      <w:r>
        <w:rPr/>
        <w:t>示屏、</w:t>
      </w:r>
      <w:r>
        <w:rPr>
          <w:rFonts w:ascii="Times New Roman" w:hAnsi="Times New Roman" w:cs="Times New Roman" w:eastAsia="Times New Roman" w:hint="default"/>
        </w:rPr>
        <w:t>LED </w:t>
      </w:r>
      <w:r>
        <w:rPr>
          <w:rFonts w:ascii="Times New Roman" w:hAnsi="Times New Roman" w:cs="Times New Roman" w:eastAsia="Times New Roman" w:hint="default"/>
          <w:spacing w:val="3"/>
        </w:rPr>
        <w:t> </w:t>
      </w:r>
      <w:r>
        <w:rPr/>
        <w:t>驱动</w:t>
      </w:r>
    </w:p>
    <w:p>
      <w:pPr>
        <w:pStyle w:val="BodyText"/>
        <w:spacing w:line="135" w:lineRule="exact"/>
        <w:ind w:left="1510" w:right="-7"/>
        <w:jc w:val="left"/>
        <w:rPr>
          <w:rFonts w:ascii="Times New Roman" w:hAnsi="Times New Roman" w:cs="Times New Roman" w:eastAsia="Times New Roman" w:hint="default"/>
        </w:rPr>
      </w:pPr>
      <w:r>
        <w:rPr>
          <w:rFonts w:ascii="Times New Roman"/>
          <w:spacing w:val="-1"/>
        </w:rPr>
        <w:t>26,000,000.</w:t>
      </w:r>
    </w:p>
    <w:p>
      <w:pPr>
        <w:pStyle w:val="BodyText"/>
        <w:spacing w:line="170" w:lineRule="exact"/>
        <w:ind w:left="75" w:right="801"/>
        <w:jc w:val="left"/>
      </w:pPr>
      <w:r>
        <w:rPr>
          <w:spacing w:val="-3"/>
        </w:rPr>
        <w:t>电源及控制系统；</w:t>
      </w:r>
    </w:p>
    <w:p>
      <w:pPr>
        <w:pStyle w:val="BodyText"/>
        <w:spacing w:line="142" w:lineRule="exact"/>
        <w:ind w:left="1510" w:right="-7"/>
        <w:jc w:val="left"/>
        <w:rPr>
          <w:rFonts w:ascii="Times New Roman" w:hAnsi="Times New Roman" w:cs="Times New Roman" w:eastAsia="Times New Roman" w:hint="default"/>
        </w:rPr>
      </w:pPr>
      <w:r>
        <w:rPr>
          <w:rFonts w:ascii="Times New Roman"/>
        </w:rPr>
        <w:t>00</w:t>
      </w:r>
    </w:p>
    <w:p>
      <w:pPr>
        <w:pStyle w:val="BodyText"/>
        <w:spacing w:line="197" w:lineRule="exact"/>
        <w:ind w:left="75" w:right="801"/>
        <w:jc w:val="left"/>
      </w:pPr>
      <w:r>
        <w:rPr>
          <w:spacing w:val="-10"/>
        </w:rPr>
        <w:t>节能技术研发、咨</w:t>
      </w:r>
    </w:p>
    <w:p>
      <w:pPr>
        <w:pStyle w:val="BodyText"/>
        <w:spacing w:line="316" w:lineRule="auto" w:before="76"/>
        <w:ind w:left="75" w:right="801"/>
        <w:jc w:val="left"/>
      </w:pPr>
      <w:r>
        <w:rPr>
          <w:spacing w:val="-10"/>
        </w:rPr>
        <w:t>询、服务、合同能</w:t>
      </w:r>
      <w:r>
        <w:rPr>
          <w:spacing w:val="-69"/>
        </w:rPr>
        <w:t> </w:t>
      </w:r>
      <w:r>
        <w:rPr>
          <w:spacing w:val="-69"/>
        </w:rPr>
      </w:r>
      <w:r>
        <w:rPr>
          <w:spacing w:val="-3"/>
        </w:rPr>
        <w:t>源管理；照明工</w:t>
      </w:r>
      <w:r>
        <w:rPr>
          <w:spacing w:val="-68"/>
        </w:rPr>
        <w:t> </w:t>
      </w:r>
      <w:r>
        <w:rPr>
          <w:spacing w:val="-68"/>
        </w:rPr>
      </w:r>
      <w:r>
        <w:rPr>
          <w:spacing w:val="-3"/>
        </w:rPr>
        <w:t>程、城市亮化工</w:t>
      </w:r>
      <w:r>
        <w:rPr>
          <w:spacing w:val="-68"/>
        </w:rPr>
        <w:t> </w:t>
      </w:r>
      <w:r>
        <w:rPr>
          <w:spacing w:val="-68"/>
        </w:rPr>
      </w:r>
      <w:r>
        <w:rPr>
          <w:spacing w:val="-10"/>
        </w:rPr>
        <w:t>程、景观工程的设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9"/>
        <w:ind w:left="0" w:right="0"/>
        <w:jc w:val="right"/>
        <w:rPr>
          <w:rFonts w:ascii="Times New Roman" w:hAnsi="Times New Roman" w:cs="Times New Roman" w:eastAsia="Times New Roman" w:hint="default"/>
        </w:rPr>
      </w:pPr>
      <w:r>
        <w:rPr>
          <w:rFonts w:ascii="Times New Roman"/>
          <w:spacing w:val="-1"/>
        </w:rPr>
        <w:t>25,564,837.</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15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25,328,333.</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39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237"/>
        <w:jc w:val="right"/>
        <w:rPr>
          <w:rFonts w:ascii="Times New Roman" w:hAnsi="Times New Roman" w:cs="Times New Roman" w:eastAsia="Times New Roman" w:hint="default"/>
        </w:rPr>
      </w:pPr>
      <w:r>
        <w:rPr>
          <w:rFonts w:ascii="Times New Roman"/>
          <w:spacing w:val="-1"/>
        </w:rPr>
        <w:t>-718,948.8</w:t>
      </w:r>
    </w:p>
    <w:p>
      <w:pPr>
        <w:pStyle w:val="BodyText"/>
        <w:spacing w:line="240" w:lineRule="auto" w:before="105"/>
        <w:ind w:left="0" w:right="241"/>
        <w:jc w:val="right"/>
        <w:rPr>
          <w:rFonts w:ascii="Times New Roman" w:hAnsi="Times New Roman" w:cs="Times New Roman" w:eastAsia="Times New Roman" w:hint="default"/>
        </w:rPr>
      </w:pPr>
      <w:r>
        <w:rPr>
          <w:rFonts w:ascii="Times New Roman"/>
          <w:w w:val="101"/>
        </w:rPr>
        <w:t>3</w:t>
      </w:r>
      <w:r>
        <w:rPr>
          <w:rFonts w:ascii="Times New Roman"/>
        </w:rPr>
      </w:r>
    </w:p>
    <w:p>
      <w:pPr>
        <w:spacing w:after="0" w:line="240" w:lineRule="auto"/>
        <w:jc w:val="right"/>
        <w:rPr>
          <w:rFonts w:ascii="Times New Roman" w:hAnsi="Times New Roman" w:cs="Times New Roman" w:eastAsia="Times New Roman" w:hint="default"/>
        </w:rPr>
        <w:sectPr>
          <w:type w:val="continuous"/>
          <w:pgSz w:w="11910" w:h="16840"/>
          <w:pgMar w:top="1060" w:bottom="1160" w:left="980" w:right="980"/>
          <w:cols w:num="6" w:equalWidth="0">
            <w:col w:w="1685" w:space="40"/>
            <w:col w:w="738" w:space="40"/>
            <w:col w:w="2368" w:space="40"/>
            <w:col w:w="966" w:space="40"/>
            <w:col w:w="920" w:space="1906"/>
            <w:col w:w="1207"/>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60"/>
        <w:gridCol w:w="749"/>
        <w:gridCol w:w="686"/>
        <w:gridCol w:w="1435"/>
        <w:gridCol w:w="955"/>
        <w:gridCol w:w="955"/>
        <w:gridCol w:w="960"/>
        <w:gridCol w:w="1094"/>
        <w:gridCol w:w="850"/>
        <w:gridCol w:w="926"/>
      </w:tblGrid>
      <w:tr>
        <w:trPr>
          <w:trHeight w:val="984"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37"/>
              <w:jc w:val="both"/>
              <w:rPr>
                <w:rFonts w:ascii="宋体" w:hAnsi="宋体" w:cs="宋体" w:eastAsia="宋体" w:hint="default"/>
                <w:sz w:val="18"/>
                <w:szCs w:val="18"/>
              </w:rPr>
            </w:pPr>
            <w:r>
              <w:rPr>
                <w:rFonts w:ascii="宋体" w:hAnsi="宋体" w:cs="宋体" w:eastAsia="宋体" w:hint="default"/>
                <w:spacing w:val="-3"/>
                <w:sz w:val="18"/>
                <w:szCs w:val="18"/>
              </w:rPr>
              <w:t>计、安装、维护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节能改造工程的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设计与施工；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pict>
          <v:group style="position:absolute;margin-left:248.399994pt;margin-top:-49.238293pt;width:47.55pt;height:48.75pt;mso-position-horizontal-relative:page;mso-position-vertical-relative:paragraph;z-index:-821776" coordorigin="4968,-985" coordsize="951,975">
            <v:shape style="position:absolute;left:4968;top:-985;width:951;height:975" coordorigin="4968,-985" coordsize="951,975" path="m4968,-10l5918,-10,5918,-985,4968,-985,4968,-10xe" filled="true" fillcolor="#ffffff" stroked="false">
              <v:path arrowok="t"/>
              <v:fill type="solid"/>
            </v:shape>
            <w10:wrap type="none"/>
          </v:group>
        </w:pict>
      </w:r>
      <w:r>
        <w:rPr>
          <w:spacing w:val="-3"/>
        </w:rPr>
        <w:t>主要子公司、参股公司情况说明</w:t>
      </w:r>
    </w:p>
    <w:p>
      <w:pPr>
        <w:pStyle w:val="BodyText"/>
        <w:spacing w:line="300" w:lineRule="auto" w:before="115"/>
        <w:ind w:left="604" w:right="0"/>
        <w:jc w:val="left"/>
      </w:pPr>
      <w:r>
        <w:rPr>
          <w:spacing w:val="-3"/>
        </w:rPr>
        <w:t>（</w:t>
      </w:r>
      <w:r>
        <w:rPr>
          <w:rFonts w:ascii="Times New Roman" w:hAnsi="Times New Roman" w:cs="Times New Roman" w:eastAsia="Times New Roman" w:hint="default"/>
          <w:spacing w:val="-3"/>
        </w:rPr>
        <w:t>1</w:t>
      </w:r>
      <w:r>
        <w:rPr>
          <w:spacing w:val="-3"/>
        </w:rPr>
        <w:t>）无锡实益达电子有限公司</w:t>
      </w:r>
      <w:r>
        <w:rPr>
          <w:spacing w:val="-46"/>
        </w:rPr>
        <w:t> </w:t>
      </w:r>
      <w:r>
        <w:rPr>
          <w:spacing w:val="-46"/>
        </w:rPr>
      </w:r>
      <w:r>
        <w:rPr>
          <w:spacing w:val="-3"/>
        </w:rPr>
        <w:t>无锡实益达电子成立于</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日，注册资本为</w:t>
      </w:r>
      <w:r>
        <w:rPr>
          <w:rFonts w:ascii="Times New Roman" w:hAnsi="Times New Roman" w:cs="Times New Roman" w:eastAsia="Times New Roman" w:hint="default"/>
          <w:spacing w:val="-3"/>
        </w:rPr>
        <w:t>4,800</w:t>
      </w:r>
      <w:r>
        <w:rPr>
          <w:spacing w:val="-3"/>
        </w:rPr>
        <w:t>万美元，实收资本为</w:t>
      </w:r>
      <w:r>
        <w:rPr>
          <w:rFonts w:ascii="Times New Roman" w:hAnsi="Times New Roman" w:cs="Times New Roman" w:eastAsia="Times New Roman" w:hint="default"/>
          <w:spacing w:val="-3"/>
        </w:rPr>
        <w:t>4800</w:t>
      </w:r>
      <w:r>
        <w:rPr>
          <w:spacing w:val="-3"/>
        </w:rPr>
        <w:t>万美元，公司出资比例为</w:t>
      </w:r>
      <w:r>
        <w:rPr>
          <w:rFonts w:ascii="Times New Roman" w:hAnsi="Times New Roman" w:cs="Times New Roman" w:eastAsia="Times New Roman" w:hint="default"/>
          <w:spacing w:val="-3"/>
        </w:rPr>
        <w:t>100%</w:t>
      </w:r>
      <w:r>
        <w:rPr>
          <w:spacing w:val="-3"/>
        </w:rPr>
        <w:t>，主</w:t>
      </w:r>
    </w:p>
    <w:p>
      <w:pPr>
        <w:pStyle w:val="BodyText"/>
        <w:spacing w:line="316" w:lineRule="auto" w:before="13"/>
        <w:ind w:left="604" w:right="0" w:hanging="452"/>
        <w:jc w:val="left"/>
      </w:pPr>
      <w:r>
        <w:rPr>
          <w:spacing w:val="-3"/>
        </w:rPr>
        <w:t>要从事研发照明产品、生产照明灯具及其零部件、电子元器件（混合集成电路）、电子产品、数字放声设备。</w:t>
      </w:r>
      <w:r>
        <w:rPr>
          <w:spacing w:val="49"/>
        </w:rPr>
        <w:t> </w:t>
      </w:r>
      <w:r>
        <w:rPr>
          <w:spacing w:val="49"/>
        </w:rPr>
      </w:r>
      <w:r>
        <w:rPr>
          <w:spacing w:val="-3"/>
        </w:rPr>
        <w:t>报告期内，无锡实益达电子实现营业收入</w:t>
      </w:r>
      <w:r>
        <w:rPr>
          <w:rFonts w:ascii="Times New Roman" w:hAnsi="Times New Roman" w:cs="Times New Roman" w:eastAsia="Times New Roman" w:hint="default"/>
          <w:spacing w:val="-3"/>
        </w:rPr>
        <w:t>21,491.61</w:t>
      </w:r>
      <w:r>
        <w:rPr>
          <w:spacing w:val="-3"/>
        </w:rPr>
        <w:t>万元，与去年同期相比减少</w:t>
      </w:r>
      <w:r>
        <w:rPr>
          <w:rFonts w:ascii="Times New Roman" w:hAnsi="Times New Roman" w:cs="Times New Roman" w:eastAsia="Times New Roman" w:hint="default"/>
          <w:spacing w:val="-3"/>
        </w:rPr>
        <w:t>30.64%</w:t>
      </w:r>
      <w:r>
        <w:rPr>
          <w:spacing w:val="-3"/>
        </w:rPr>
        <w:t>，主要系报告期内无锡实益达电</w:t>
      </w:r>
    </w:p>
    <w:p>
      <w:pPr>
        <w:pStyle w:val="BodyText"/>
        <w:spacing w:line="248" w:lineRule="exact"/>
        <w:ind w:left="153" w:right="0"/>
        <w:jc w:val="left"/>
      </w:pPr>
      <w:r>
        <w:rPr>
          <w:spacing w:val="-3"/>
        </w:rPr>
        <w:t>子部分客户减少订单导致营业收入有所下降。报告期内，无锡实益达电子实现净利润</w:t>
      </w:r>
      <w:r>
        <w:rPr>
          <w:rFonts w:ascii="Times New Roman" w:hAnsi="Times New Roman" w:cs="Times New Roman" w:eastAsia="Times New Roman" w:hint="default"/>
          <w:spacing w:val="-3"/>
        </w:rPr>
        <w:t>18.92</w:t>
      </w:r>
      <w:r>
        <w:rPr>
          <w:spacing w:val="-3"/>
        </w:rPr>
        <w:t>万元，与去年同期相比增加</w:t>
      </w:r>
    </w:p>
    <w:p>
      <w:pPr>
        <w:pStyle w:val="BodyText"/>
        <w:spacing w:line="240" w:lineRule="auto" w:before="63"/>
        <w:ind w:left="153" w:right="0"/>
        <w:jc w:val="left"/>
      </w:pPr>
      <w:r>
        <w:rPr>
          <w:rFonts w:ascii="Times New Roman" w:hAnsi="Times New Roman" w:cs="Times New Roman" w:eastAsia="Times New Roman" w:hint="default"/>
          <w:spacing w:val="-3"/>
        </w:rPr>
        <w:t>100.41%</w:t>
      </w:r>
      <w:r>
        <w:rPr>
          <w:spacing w:val="-3"/>
        </w:rPr>
        <w:t>，主要系相关成本费用及资产减值损失减少所致。</w:t>
      </w:r>
    </w:p>
    <w:p>
      <w:pPr>
        <w:pStyle w:val="BodyText"/>
        <w:spacing w:line="300" w:lineRule="auto" w:before="63"/>
        <w:ind w:left="604" w:right="0"/>
        <w:jc w:val="left"/>
      </w:pPr>
      <w:r>
        <w:rPr/>
        <w:t>（</w:t>
      </w:r>
      <w:r>
        <w:rPr>
          <w:rFonts w:ascii="Times New Roman" w:hAnsi="Times New Roman" w:cs="Times New Roman" w:eastAsia="Times New Roman" w:hint="default"/>
        </w:rPr>
        <w:t>2</w:t>
      </w:r>
      <w:r>
        <w:rPr/>
        <w:t>）香港实益达</w:t>
      </w:r>
      <w:r>
        <w:rPr>
          <w:spacing w:val="-87"/>
        </w:rPr>
        <w:t> </w:t>
      </w:r>
      <w:r>
        <w:rPr>
          <w:spacing w:val="-87"/>
        </w:rPr>
      </w:r>
      <w:r>
        <w:rPr>
          <w:spacing w:val="-3"/>
        </w:rPr>
        <w:t>香港实益达于</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11</w:t>
      </w:r>
      <w:r>
        <w:rPr>
          <w:spacing w:val="-3"/>
        </w:rPr>
        <w:t>日在香港注册成立，法定股本</w:t>
      </w:r>
      <w:r>
        <w:rPr>
          <w:rFonts w:ascii="Times New Roman" w:hAnsi="Times New Roman" w:cs="Times New Roman" w:eastAsia="Times New Roman" w:hint="default"/>
          <w:spacing w:val="-3"/>
        </w:rPr>
        <w:t>50</w:t>
      </w:r>
      <w:r>
        <w:rPr>
          <w:spacing w:val="-3"/>
        </w:rPr>
        <w:t>万港元，本公司出资比例</w:t>
      </w:r>
      <w:r>
        <w:rPr>
          <w:rFonts w:ascii="Times New Roman" w:hAnsi="Times New Roman" w:cs="Times New Roman" w:eastAsia="Times New Roman" w:hint="default"/>
          <w:spacing w:val="-3"/>
        </w:rPr>
        <w:t>100%</w:t>
      </w:r>
      <w:r>
        <w:rPr>
          <w:spacing w:val="-3"/>
        </w:rPr>
        <w:t>，主营业务为进出口贸易。</w:t>
      </w:r>
      <w:r>
        <w:rPr>
          <w:spacing w:val="81"/>
        </w:rPr>
        <w:t> </w:t>
      </w:r>
      <w:r>
        <w:rPr>
          <w:spacing w:val="81"/>
        </w:rPr>
      </w:r>
      <w:r>
        <w:rPr>
          <w:spacing w:val="-3"/>
        </w:rPr>
        <w:t>报告期内，香港实益达实现净利润</w:t>
      </w:r>
      <w:r>
        <w:rPr>
          <w:rFonts w:ascii="Times New Roman" w:hAnsi="Times New Roman" w:cs="Times New Roman" w:eastAsia="Times New Roman" w:hint="default"/>
          <w:spacing w:val="-3"/>
        </w:rPr>
        <w:t>42.65</w:t>
      </w:r>
      <w:r>
        <w:rPr>
          <w:spacing w:val="-3"/>
        </w:rPr>
        <w:t>万元，与去年同期相比净利润增加</w:t>
      </w:r>
      <w:r>
        <w:rPr>
          <w:rFonts w:ascii="Times New Roman" w:hAnsi="Times New Roman" w:cs="Times New Roman" w:eastAsia="Times New Roman" w:hint="default"/>
          <w:spacing w:val="-3"/>
        </w:rPr>
        <w:t>105.13%</w:t>
      </w:r>
      <w:r>
        <w:rPr>
          <w:spacing w:val="-3"/>
        </w:rPr>
        <w:t>，主要系管理费用减少、利息收入</w:t>
      </w:r>
    </w:p>
    <w:p>
      <w:pPr>
        <w:pStyle w:val="BodyText"/>
        <w:spacing w:line="240" w:lineRule="auto" w:before="13"/>
        <w:ind w:left="153" w:right="0"/>
        <w:jc w:val="left"/>
      </w:pPr>
      <w:r>
        <w:rPr>
          <w:spacing w:val="-3"/>
        </w:rPr>
        <w:t>增加及没有计提资产减值损失所致。</w:t>
      </w:r>
    </w:p>
    <w:p>
      <w:pPr>
        <w:pStyle w:val="BodyText"/>
        <w:spacing w:line="300" w:lineRule="auto" w:before="76"/>
        <w:ind w:left="604" w:right="0"/>
        <w:jc w:val="left"/>
      </w:pPr>
      <w:r>
        <w:rPr/>
        <w:t>（</w:t>
      </w:r>
      <w:r>
        <w:rPr>
          <w:rFonts w:ascii="Times New Roman" w:hAnsi="Times New Roman" w:cs="Times New Roman" w:eastAsia="Times New Roman" w:hint="default"/>
        </w:rPr>
        <w:t>3</w:t>
      </w:r>
      <w:r>
        <w:rPr/>
        <w:t>）汇大光电</w:t>
      </w:r>
      <w:r>
        <w:rPr>
          <w:spacing w:val="-85"/>
        </w:rPr>
        <w:t> </w:t>
      </w:r>
      <w:r>
        <w:rPr>
          <w:spacing w:val="-85"/>
        </w:rPr>
      </w:r>
      <w:r>
        <w:rPr>
          <w:spacing w:val="-3"/>
        </w:rPr>
        <w:t>汇大光电成立于</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9</w:t>
      </w:r>
      <w:r>
        <w:rPr>
          <w:spacing w:val="-3"/>
        </w:rPr>
        <w:t>日，注册资本</w:t>
      </w:r>
      <w:r>
        <w:rPr>
          <w:rFonts w:ascii="Times New Roman" w:hAnsi="Times New Roman" w:cs="Times New Roman" w:eastAsia="Times New Roman" w:hint="default"/>
          <w:spacing w:val="-3"/>
        </w:rPr>
        <w:t>1,140</w:t>
      </w:r>
      <w:r>
        <w:rPr>
          <w:spacing w:val="-3"/>
        </w:rPr>
        <w:t>万元，实收资本</w:t>
      </w:r>
      <w:r>
        <w:rPr>
          <w:rFonts w:ascii="Times New Roman" w:hAnsi="Times New Roman" w:cs="Times New Roman" w:eastAsia="Times New Roman" w:hint="default"/>
          <w:spacing w:val="-3"/>
        </w:rPr>
        <w:t>1,140</w:t>
      </w:r>
      <w:r>
        <w:rPr>
          <w:spacing w:val="-3"/>
        </w:rPr>
        <w:t>万元，其中公司出资比例为</w:t>
      </w:r>
      <w:r>
        <w:rPr>
          <w:rFonts w:ascii="Times New Roman" w:hAnsi="Times New Roman" w:cs="Times New Roman" w:eastAsia="Times New Roman" w:hint="default"/>
          <w:spacing w:val="-3"/>
        </w:rPr>
        <w:t>43.86%</w:t>
      </w:r>
      <w:r>
        <w:rPr>
          <w:spacing w:val="-3"/>
        </w:rPr>
        <w:t>，主营业务为</w:t>
      </w:r>
    </w:p>
    <w:p>
      <w:pPr>
        <w:pStyle w:val="BodyText"/>
        <w:spacing w:line="300" w:lineRule="auto" w:before="13"/>
        <w:ind w:left="604" w:right="0" w:hanging="452"/>
        <w:jc w:val="left"/>
      </w:pPr>
      <w:r>
        <w:rPr>
          <w:rFonts w:ascii="Times New Roman" w:hAnsi="Times New Roman" w:cs="Times New Roman" w:eastAsia="Times New Roman" w:hint="default"/>
          <w:spacing w:val="-3"/>
        </w:rPr>
        <w:t>LED</w:t>
      </w:r>
      <w:r>
        <w:rPr>
          <w:spacing w:val="-3"/>
        </w:rPr>
        <w:t>发光二极管的生产及</w:t>
      </w:r>
      <w:r>
        <w:rPr>
          <w:rFonts w:ascii="Times New Roman" w:hAnsi="Times New Roman" w:cs="Times New Roman" w:eastAsia="Times New Roman" w:hint="default"/>
          <w:spacing w:val="-3"/>
        </w:rPr>
        <w:t>LED</w:t>
      </w:r>
      <w:r>
        <w:rPr>
          <w:spacing w:val="-3"/>
        </w:rPr>
        <w:t>应用产品的销售。</w:t>
      </w:r>
      <w:r>
        <w:rPr>
          <w:spacing w:val="-21"/>
        </w:rPr>
        <w:t> </w:t>
      </w:r>
      <w:r>
        <w:rPr>
          <w:spacing w:val="-21"/>
        </w:rPr>
      </w:r>
      <w:r>
        <w:rPr>
          <w:spacing w:val="-3"/>
        </w:rPr>
        <w:t>报告期内，汇大光电实现营业收入</w:t>
      </w:r>
      <w:r>
        <w:rPr>
          <w:rFonts w:ascii="Times New Roman" w:hAnsi="Times New Roman" w:cs="Times New Roman" w:eastAsia="Times New Roman" w:hint="default"/>
          <w:spacing w:val="-3"/>
        </w:rPr>
        <w:t>2,272.45</w:t>
      </w:r>
      <w:r>
        <w:rPr>
          <w:spacing w:val="-3"/>
        </w:rPr>
        <w:t>万元</w:t>
      </w:r>
      <w:r>
        <w:rPr>
          <w:rFonts w:ascii="Times New Roman" w:hAnsi="Times New Roman" w:cs="Times New Roman" w:eastAsia="Times New Roman" w:hint="default"/>
          <w:spacing w:val="-3"/>
        </w:rPr>
        <w:t>,</w:t>
      </w:r>
      <w:r>
        <w:rPr>
          <w:spacing w:val="-3"/>
        </w:rPr>
        <w:t>与去年同期相比减少</w:t>
      </w:r>
      <w:r>
        <w:rPr>
          <w:rFonts w:ascii="Times New Roman" w:hAnsi="Times New Roman" w:cs="Times New Roman" w:eastAsia="Times New Roman" w:hint="default"/>
          <w:spacing w:val="-3"/>
        </w:rPr>
        <w:t>27.51%,</w:t>
      </w:r>
      <w:r>
        <w:rPr>
          <w:spacing w:val="-3"/>
        </w:rPr>
        <w:t>主要系客户订单减少所致。报告期内实现</w:t>
      </w:r>
    </w:p>
    <w:p>
      <w:pPr>
        <w:pStyle w:val="BodyText"/>
        <w:spacing w:line="240" w:lineRule="auto" w:before="13"/>
        <w:ind w:left="153" w:right="0"/>
        <w:jc w:val="left"/>
      </w:pPr>
      <w:r>
        <w:rPr>
          <w:spacing w:val="-3"/>
        </w:rPr>
        <w:t>净利润</w:t>
      </w:r>
      <w:r>
        <w:rPr>
          <w:rFonts w:ascii="Times New Roman" w:hAnsi="Times New Roman" w:cs="Times New Roman" w:eastAsia="Times New Roman" w:hint="default"/>
          <w:spacing w:val="-3"/>
        </w:rPr>
        <w:t>-264.43</w:t>
      </w:r>
      <w:r>
        <w:rPr>
          <w:spacing w:val="-3"/>
        </w:rPr>
        <w:t>万元，与去年同期相比增加</w:t>
      </w:r>
      <w:r>
        <w:rPr>
          <w:rFonts w:ascii="Times New Roman" w:hAnsi="Times New Roman" w:cs="Times New Roman" w:eastAsia="Times New Roman" w:hint="default"/>
          <w:spacing w:val="-3"/>
        </w:rPr>
        <w:t>53.47%</w:t>
      </w:r>
      <w:r>
        <w:rPr>
          <w:spacing w:val="-3"/>
        </w:rPr>
        <w:t>，主要系相关成本减少所致。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left="153" w:right="0"/>
        <w:jc w:val="left"/>
      </w:pPr>
      <w:r>
        <w:rPr>
          <w:spacing w:val="-3"/>
        </w:rPr>
        <w:t>报告期内取得和处置子公司的情况</w:t>
      </w:r>
    </w:p>
    <w:p>
      <w:pPr>
        <w:pStyle w:val="BodyText"/>
        <w:spacing w:line="240" w:lineRule="auto" w:before="119"/>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6"/>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0"/>
        <w:gridCol w:w="2856"/>
        <w:gridCol w:w="193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报告期内取得和处置子公司目的</w:t>
            </w:r>
          </w:p>
        </w:tc>
        <w:tc>
          <w:tcPr>
            <w:tcW w:w="1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599" w:right="50" w:hanging="538"/>
              <w:jc w:val="left"/>
              <w:rPr>
                <w:rFonts w:ascii="宋体" w:hAnsi="宋体" w:cs="宋体" w:eastAsia="宋体" w:hint="default"/>
                <w:sz w:val="18"/>
                <w:szCs w:val="18"/>
              </w:rPr>
            </w:pPr>
            <w:r>
              <w:rPr>
                <w:rFonts w:ascii="宋体" w:hAnsi="宋体" w:cs="宋体" w:eastAsia="宋体" w:hint="default"/>
                <w:spacing w:val="-2"/>
                <w:sz w:val="18"/>
                <w:szCs w:val="18"/>
              </w:rPr>
              <w:t>报告期内取得和处置子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公司方式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对整体生产和业绩的影响</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0"/>
              <w:jc w:val="left"/>
              <w:rPr>
                <w:rFonts w:ascii="宋体" w:hAnsi="宋体" w:cs="宋体" w:eastAsia="宋体" w:hint="default"/>
                <w:sz w:val="18"/>
                <w:szCs w:val="18"/>
              </w:rPr>
            </w:pPr>
            <w:r>
              <w:rPr>
                <w:rFonts w:ascii="宋体" w:hAnsi="宋体" w:cs="宋体" w:eastAsia="宋体" w:hint="default"/>
                <w:spacing w:val="-3"/>
                <w:sz w:val="18"/>
                <w:szCs w:val="18"/>
              </w:rPr>
              <w:t>深圳前海实益达投资发展有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pacing w:val="-5"/>
                <w:w w:val="101"/>
                <w:sz w:val="18"/>
                <w:szCs w:val="18"/>
              </w:rPr>
              <w:t>高</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水</w:t>
            </w:r>
            <w:r>
              <w:rPr>
                <w:rFonts w:ascii="宋体" w:hAnsi="宋体" w:cs="宋体" w:eastAsia="宋体" w:hint="default"/>
                <w:spacing w:val="-5"/>
                <w:w w:val="101"/>
                <w:sz w:val="18"/>
                <w:szCs w:val="18"/>
              </w:rPr>
              <w:t>平</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实</w:t>
            </w:r>
            <w:r>
              <w:rPr>
                <w:rFonts w:ascii="宋体" w:hAnsi="宋体" w:cs="宋体" w:eastAsia="宋体" w:hint="default"/>
                <w:w w:val="101"/>
                <w:sz w:val="18"/>
                <w:szCs w:val="18"/>
              </w:rPr>
              <w:t>现</w:t>
            </w:r>
            <w:r>
              <w:rPr>
                <w:rFonts w:ascii="宋体" w:hAnsi="宋体" w:cs="宋体" w:eastAsia="宋体" w:hint="default"/>
                <w:spacing w:val="-5"/>
                <w:w w:val="101"/>
                <w:sz w:val="18"/>
                <w:szCs w:val="18"/>
              </w:rPr>
              <w:t>公</w:t>
            </w:r>
            <w:r>
              <w:rPr>
                <w:rFonts w:ascii="宋体" w:hAnsi="宋体" w:cs="宋体" w:eastAsia="宋体" w:hint="default"/>
                <w:w w:val="101"/>
                <w:sz w:val="18"/>
                <w:szCs w:val="18"/>
              </w:rPr>
              <w:t>司专</w:t>
            </w:r>
            <w:r>
              <w:rPr>
                <w:rFonts w:ascii="宋体" w:hAnsi="宋体" w:cs="宋体" w:eastAsia="宋体" w:hint="default"/>
                <w:w w:val="101"/>
                <w:sz w:val="18"/>
                <w:szCs w:val="18"/>
              </w:rPr>
              <w:t> 业</w:t>
            </w:r>
            <w:r>
              <w:rPr>
                <w:rFonts w:ascii="宋体" w:hAnsi="宋体" w:cs="宋体" w:eastAsia="宋体" w:hint="default"/>
                <w:spacing w:val="-5"/>
                <w:w w:val="101"/>
                <w:sz w:val="18"/>
                <w:szCs w:val="18"/>
              </w:rPr>
              <w:t>化</w:t>
            </w:r>
            <w:r>
              <w:rPr>
                <w:rFonts w:ascii="宋体" w:hAnsi="宋体" w:cs="宋体" w:eastAsia="宋体" w:hint="default"/>
                <w:w w:val="101"/>
                <w:sz w:val="18"/>
                <w:szCs w:val="18"/>
              </w:rPr>
              <w:t>运</w:t>
            </w:r>
            <w:r>
              <w:rPr>
                <w:rFonts w:ascii="宋体" w:hAnsi="宋体" w:cs="宋体" w:eastAsia="宋体" w:hint="default"/>
                <w:spacing w:val="-5"/>
                <w:w w:val="101"/>
                <w:sz w:val="18"/>
                <w:szCs w:val="18"/>
              </w:rPr>
              <w:t>营</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促</w:t>
            </w:r>
            <w:r>
              <w:rPr>
                <w:rFonts w:ascii="宋体" w:hAnsi="宋体" w:cs="宋体" w:eastAsia="宋体" w:hint="default"/>
                <w:w w:val="101"/>
                <w:sz w:val="18"/>
                <w:szCs w:val="18"/>
              </w:rPr>
              <w:t>进</w:t>
            </w:r>
            <w:r>
              <w:rPr>
                <w:rFonts w:ascii="宋体" w:hAnsi="宋体" w:cs="宋体" w:eastAsia="宋体" w:hint="default"/>
                <w:spacing w:val="-5"/>
                <w:w w:val="101"/>
                <w:sz w:val="18"/>
                <w:szCs w:val="18"/>
              </w:rPr>
              <w:t>战</w:t>
            </w:r>
            <w:r>
              <w:rPr>
                <w:rFonts w:ascii="宋体" w:hAnsi="宋体" w:cs="宋体" w:eastAsia="宋体" w:hint="default"/>
                <w:w w:val="101"/>
                <w:sz w:val="18"/>
                <w:szCs w:val="18"/>
              </w:rPr>
              <w:t>略</w:t>
            </w:r>
            <w:r>
              <w:rPr>
                <w:rFonts w:ascii="宋体" w:hAnsi="宋体" w:cs="宋体" w:eastAsia="宋体" w:hint="default"/>
                <w:spacing w:val="-5"/>
                <w:w w:val="101"/>
                <w:sz w:val="18"/>
                <w:szCs w:val="18"/>
              </w:rPr>
              <w:t>目</w:t>
            </w:r>
            <w:r>
              <w:rPr>
                <w:rFonts w:ascii="宋体" w:hAnsi="宋体" w:cs="宋体" w:eastAsia="宋体" w:hint="default"/>
                <w:w w:val="101"/>
                <w:sz w:val="18"/>
                <w:szCs w:val="18"/>
              </w:rPr>
              <w:t>标</w:t>
            </w:r>
            <w:r>
              <w:rPr>
                <w:rFonts w:ascii="宋体" w:hAnsi="宋体" w:cs="宋体" w:eastAsia="宋体" w:hint="default"/>
                <w:spacing w:val="-5"/>
                <w:w w:val="101"/>
                <w:sz w:val="18"/>
                <w:szCs w:val="18"/>
              </w:rPr>
              <w:t>的</w:t>
            </w:r>
            <w:r>
              <w:rPr>
                <w:rFonts w:ascii="宋体" w:hAnsi="宋体" w:cs="宋体" w:eastAsia="宋体" w:hint="default"/>
                <w:w w:val="101"/>
                <w:sz w:val="18"/>
                <w:szCs w:val="18"/>
              </w:rPr>
              <w:t>成</w:t>
            </w:r>
            <w:r>
              <w:rPr>
                <w:rFonts w:ascii="宋体" w:hAnsi="宋体" w:cs="宋体" w:eastAsia="宋体" w:hint="default"/>
                <w:spacing w:val="-5"/>
                <w:w w:val="101"/>
                <w:sz w:val="18"/>
                <w:szCs w:val="18"/>
              </w:rPr>
              <w:t>功</w:t>
            </w:r>
            <w:r>
              <w:rPr>
                <w:rFonts w:ascii="宋体" w:hAnsi="宋体" w:cs="宋体" w:eastAsia="宋体" w:hint="default"/>
                <w:w w:val="101"/>
                <w:sz w:val="18"/>
                <w:szCs w:val="18"/>
              </w:rPr>
              <w:t>实施</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390" w:type="dxa"/>
            <w:tcBorders>
              <w:top w:val="single" w:sz="4" w:space="0" w:color="000000"/>
              <w:left w:val="single" w:sz="4" w:space="0" w:color="000000"/>
              <w:bottom w:val="nil" w:sz="6" w:space="0" w:color="auto"/>
              <w:right w:val="single" w:sz="4" w:space="0" w:color="000000"/>
            </w:tcBorders>
          </w:tcPr>
          <w:p>
            <w:pPr/>
          </w:p>
        </w:tc>
        <w:tc>
          <w:tcPr>
            <w:tcW w:w="2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合理布局和发展各子公司的优势资</w:t>
            </w:r>
          </w:p>
        </w:tc>
        <w:tc>
          <w:tcPr>
            <w:tcW w:w="1930" w:type="dxa"/>
            <w:tcBorders>
              <w:top w:val="single" w:sz="4" w:space="0" w:color="000000"/>
              <w:left w:val="single" w:sz="4" w:space="0" w:color="000000"/>
              <w:bottom w:val="nil" w:sz="6" w:space="0" w:color="auto"/>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629" w:hRule="exact"/>
        </w:trPr>
        <w:tc>
          <w:tcPr>
            <w:tcW w:w="2390"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3" w:right="190"/>
              <w:jc w:val="left"/>
              <w:rPr>
                <w:rFonts w:ascii="宋体" w:hAnsi="宋体" w:cs="宋体" w:eastAsia="宋体" w:hint="default"/>
                <w:sz w:val="18"/>
                <w:szCs w:val="18"/>
              </w:rPr>
            </w:pPr>
            <w:r>
              <w:rPr>
                <w:rFonts w:ascii="宋体" w:hAnsi="宋体" w:cs="宋体" w:eastAsia="宋体" w:hint="default"/>
                <w:spacing w:val="-3"/>
                <w:sz w:val="18"/>
                <w:szCs w:val="18"/>
              </w:rPr>
              <w:t>无锡实益达照明科技有限公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856"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4" w:right="17"/>
              <w:jc w:val="left"/>
              <w:rPr>
                <w:rFonts w:ascii="宋体" w:hAnsi="宋体" w:cs="宋体" w:eastAsia="宋体" w:hint="default"/>
                <w:sz w:val="18"/>
                <w:szCs w:val="18"/>
              </w:rPr>
            </w:pPr>
            <w:r>
              <w:rPr>
                <w:rFonts w:ascii="宋体" w:hAnsi="宋体" w:cs="宋体" w:eastAsia="宋体" w:hint="default"/>
                <w:sz w:val="18"/>
                <w:szCs w:val="18"/>
              </w:rPr>
              <w:t>源，逐步实现公司传统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EMS </w:t>
            </w:r>
            <w:r>
              <w:rPr>
                <w:rFonts w:ascii="宋体" w:hAnsi="宋体" w:cs="宋体" w:eastAsia="宋体" w:hint="default"/>
                <w:sz w:val="18"/>
                <w:szCs w:val="18"/>
              </w:rPr>
              <w:t>业务和</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照明业务分业经营，从而进一</w:t>
            </w:r>
          </w:p>
        </w:tc>
        <w:tc>
          <w:tcPr>
            <w:tcW w:w="19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0" w:type="dxa"/>
            <w:vMerge/>
            <w:tcBorders>
              <w:left w:val="single" w:sz="4" w:space="0" w:color="000000"/>
              <w:right w:val="single" w:sz="4" w:space="0" w:color="000000"/>
            </w:tcBorders>
          </w:tcPr>
          <w:p>
            <w:pPr/>
          </w:p>
        </w:tc>
      </w:tr>
      <w:tr>
        <w:trPr>
          <w:trHeight w:val="348" w:hRule="exact"/>
        </w:trPr>
        <w:tc>
          <w:tcPr>
            <w:tcW w:w="2390" w:type="dxa"/>
            <w:tcBorders>
              <w:top w:val="nil" w:sz="6" w:space="0" w:color="auto"/>
              <w:left w:val="single" w:sz="4" w:space="0" w:color="000000"/>
              <w:bottom w:val="single" w:sz="4" w:space="0" w:color="000000"/>
              <w:right w:val="single" w:sz="4" w:space="0" w:color="000000"/>
            </w:tcBorders>
          </w:tcPr>
          <w:p>
            <w:pPr/>
          </w:p>
        </w:tc>
        <w:tc>
          <w:tcPr>
            <w:tcW w:w="2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步发展公司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照明业务</w:t>
            </w:r>
          </w:p>
        </w:tc>
        <w:tc>
          <w:tcPr>
            <w:tcW w:w="1930" w:type="dxa"/>
            <w:tcBorders>
              <w:top w:val="nil" w:sz="6" w:space="0" w:color="auto"/>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65"/>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102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7"/>
              <w:jc w:val="right"/>
              <w:rPr>
                <w:rFonts w:ascii="宋体" w:hAnsi="宋体" w:cs="宋体" w:eastAsia="宋体" w:hint="default"/>
                <w:sz w:val="18"/>
                <w:szCs w:val="18"/>
              </w:rPr>
            </w:pPr>
            <w:r>
              <w:rPr>
                <w:rFonts w:ascii="宋体" w:hAnsi="宋体" w:cs="宋体" w:eastAsia="宋体" w:hint="default"/>
                <w:spacing w:val="-2"/>
                <w:sz w:val="18"/>
                <w:szCs w:val="18"/>
              </w:rPr>
              <w:t>计划投资总额</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pacing w:val="-2"/>
                <w:sz w:val="18"/>
                <w:szCs w:val="18"/>
              </w:rPr>
              <w:t>本报告期投入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52" w:right="45"/>
              <w:jc w:val="center"/>
              <w:rPr>
                <w:rFonts w:ascii="宋体" w:hAnsi="宋体" w:cs="宋体" w:eastAsia="宋体" w:hint="default"/>
                <w:sz w:val="18"/>
                <w:szCs w:val="18"/>
              </w:rPr>
            </w:pPr>
            <w:r>
              <w:rPr>
                <w:rFonts w:ascii="宋体" w:hAnsi="宋体" w:cs="宋体" w:eastAsia="宋体" w:hint="default"/>
                <w:spacing w:val="-2"/>
                <w:sz w:val="18"/>
                <w:szCs w:val="18"/>
              </w:rPr>
              <w:t>截至报告期末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累计实际投入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412" w:right="46" w:hanging="361"/>
              <w:jc w:val="left"/>
              <w:rPr>
                <w:rFonts w:ascii="宋体" w:hAnsi="宋体" w:cs="宋体" w:eastAsia="宋体" w:hint="default"/>
                <w:sz w:val="18"/>
                <w:szCs w:val="18"/>
              </w:rPr>
            </w:pPr>
            <w:r>
              <w:rPr>
                <w:rFonts w:ascii="宋体" w:hAnsi="宋体" w:cs="宋体" w:eastAsia="宋体" w:hint="default"/>
                <w:spacing w:val="-2"/>
                <w:sz w:val="18"/>
                <w:szCs w:val="18"/>
              </w:rPr>
              <w:t>披露日期（如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412" w:right="46" w:hanging="361"/>
              <w:jc w:val="left"/>
              <w:rPr>
                <w:rFonts w:ascii="宋体" w:hAnsi="宋体" w:cs="宋体" w:eastAsia="宋体" w:hint="default"/>
                <w:sz w:val="18"/>
                <w:szCs w:val="18"/>
              </w:rPr>
            </w:pPr>
            <w:r>
              <w:rPr>
                <w:rFonts w:ascii="宋体" w:hAnsi="宋体" w:cs="宋体" w:eastAsia="宋体" w:hint="default"/>
                <w:spacing w:val="-2"/>
                <w:sz w:val="18"/>
                <w:szCs w:val="18"/>
              </w:rPr>
              <w:t>披露索引（如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无锡鸿山厂房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88.59</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60"/>
        </w:sectPr>
      </w:pPr>
    </w:p>
    <w:p>
      <w:pPr>
        <w:spacing w:line="240" w:lineRule="auto" w:before="10"/>
        <w:rPr>
          <w:rFonts w:ascii="宋体" w:hAnsi="宋体" w:cs="宋体" w:eastAsia="宋体" w:hint="default"/>
          <w:sz w:val="23"/>
          <w:szCs w:val="23"/>
        </w:rPr>
      </w:pPr>
    </w:p>
    <w:p>
      <w:pPr>
        <w:pStyle w:val="Heading3"/>
        <w:spacing w:line="240" w:lineRule="auto" w:before="26"/>
        <w:ind w:right="0"/>
        <w:jc w:val="both"/>
      </w:pPr>
      <w:r>
        <w:rPr/>
        <w:t>七、公司控制的特殊目的主体情况</w:t>
      </w:r>
    </w:p>
    <w:p>
      <w:pPr>
        <w:spacing w:line="240" w:lineRule="auto" w:before="3"/>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3"/>
        <w:spacing w:line="240" w:lineRule="auto"/>
        <w:ind w:right="0"/>
        <w:jc w:val="both"/>
      </w:pPr>
      <w:r>
        <w:rPr/>
        <w:t>八、公司未来发展的展望</w:t>
      </w:r>
    </w:p>
    <w:p>
      <w:pPr>
        <w:spacing w:line="240" w:lineRule="auto" w:before="11"/>
        <w:rPr>
          <w:rFonts w:ascii="宋体" w:hAnsi="宋体" w:cs="宋体" w:eastAsia="宋体" w:hint="default"/>
          <w:sz w:val="22"/>
          <w:szCs w:val="22"/>
        </w:rPr>
      </w:pPr>
    </w:p>
    <w:p>
      <w:pPr>
        <w:spacing w:line="283" w:lineRule="auto" w:before="0"/>
        <w:ind w:left="695" w:right="173" w:hanging="543"/>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（一）行业竞争格局和发展前景分析</w:t>
      </w:r>
      <w:r>
        <w:rPr>
          <w:rFonts w:ascii="Microsoft JhengHei" w:hAnsi="Microsoft JhengHei" w:cs="Microsoft JhengHei" w:eastAsia="Microsoft JhengHei" w:hint="default"/>
          <w:b/>
          <w:bCs/>
          <w:spacing w:val="-32"/>
          <w:sz w:val="18"/>
          <w:szCs w:val="18"/>
        </w:rPr>
        <w:t> </w:t>
      </w:r>
      <w:r>
        <w:rPr>
          <w:rFonts w:ascii="Microsoft JhengHei" w:hAnsi="Microsoft JhengHei" w:cs="Microsoft JhengHei" w:eastAsia="Microsoft JhengHei" w:hint="default"/>
          <w:b/>
          <w:bCs/>
          <w:spacing w:val="-32"/>
          <w:sz w:val="18"/>
          <w:szCs w:val="18"/>
        </w:rPr>
      </w:r>
      <w:r>
        <w:rPr>
          <w:rFonts w:ascii="宋体" w:hAnsi="宋体" w:cs="宋体" w:eastAsia="宋体" w:hint="default"/>
          <w:spacing w:val="-4"/>
          <w:sz w:val="18"/>
          <w:szCs w:val="18"/>
        </w:rPr>
        <w:t>公司所属的</w:t>
      </w:r>
      <w:r>
        <w:rPr>
          <w:rFonts w:ascii="Times New Roman" w:hAnsi="Times New Roman" w:cs="Times New Roman" w:eastAsia="Times New Roman" w:hint="default"/>
          <w:spacing w:val="-4"/>
          <w:sz w:val="18"/>
          <w:szCs w:val="18"/>
        </w:rPr>
        <w:t>LED</w:t>
      </w:r>
      <w:r>
        <w:rPr>
          <w:rFonts w:ascii="宋体" w:hAnsi="宋体" w:cs="宋体" w:eastAsia="宋体" w:hint="default"/>
          <w:spacing w:val="-4"/>
          <w:sz w:val="18"/>
          <w:szCs w:val="18"/>
        </w:rPr>
        <w:t>照明行业、</w:t>
      </w:r>
      <w:r>
        <w:rPr>
          <w:rFonts w:ascii="Times New Roman" w:hAnsi="Times New Roman" w:cs="Times New Roman" w:eastAsia="Times New Roman" w:hint="default"/>
          <w:spacing w:val="-4"/>
          <w:sz w:val="18"/>
          <w:szCs w:val="18"/>
        </w:rPr>
        <w:t>EMS</w:t>
      </w:r>
      <w:r>
        <w:rPr>
          <w:rFonts w:ascii="宋体" w:hAnsi="宋体" w:cs="宋体" w:eastAsia="宋体" w:hint="default"/>
          <w:spacing w:val="-4"/>
          <w:sz w:val="18"/>
          <w:szCs w:val="18"/>
        </w:rPr>
        <w:t>行业目前均已充分实现市场化竞争，</w:t>
      </w:r>
      <w:r>
        <w:rPr>
          <w:rFonts w:ascii="Times New Roman" w:hAnsi="Times New Roman" w:cs="Times New Roman" w:eastAsia="Times New Roman" w:hint="default"/>
          <w:spacing w:val="-4"/>
          <w:sz w:val="18"/>
          <w:szCs w:val="18"/>
        </w:rPr>
        <w:t>LED</w:t>
      </w:r>
      <w:r>
        <w:rPr>
          <w:rFonts w:ascii="宋体" w:hAnsi="宋体" w:cs="宋体" w:eastAsia="宋体" w:hint="default"/>
          <w:spacing w:val="-4"/>
          <w:sz w:val="18"/>
          <w:szCs w:val="18"/>
        </w:rPr>
        <w:t>照明作为继白炽灯、荧光灯之后的第三次光</w:t>
      </w:r>
    </w:p>
    <w:p>
      <w:pPr>
        <w:pStyle w:val="BodyText"/>
        <w:spacing w:line="302" w:lineRule="auto" w:before="27"/>
        <w:ind w:left="153" w:right="185" w:hanging="1"/>
        <w:jc w:val="both"/>
      </w:pPr>
      <w:r>
        <w:rPr>
          <w:spacing w:val="-4"/>
        </w:rPr>
        <w:t>源革命，由于其具有节能环保、寿命长、应用广泛等诸多优势，世界主要国家和地区均大力发展</w:t>
      </w:r>
      <w:r>
        <w:rPr>
          <w:rFonts w:ascii="Times New Roman" w:hAnsi="Times New Roman" w:cs="Times New Roman" w:eastAsia="Times New Roman" w:hint="default"/>
          <w:spacing w:val="-4"/>
        </w:rPr>
        <w:t>LED</w:t>
      </w:r>
      <w:r>
        <w:rPr>
          <w:spacing w:val="-4"/>
        </w:rPr>
        <w:t>产业，部分国家逐步推</w:t>
      </w:r>
      <w:r>
        <w:rPr>
          <w:spacing w:val="49"/>
        </w:rPr>
        <w:t> </w:t>
      </w:r>
      <w:r>
        <w:rPr>
          <w:spacing w:val="49"/>
        </w:rPr>
      </w:r>
      <w:r>
        <w:rPr>
          <w:spacing w:val="-3"/>
        </w:rPr>
        <w:t>出并实施了白炽灯淘汰计划， </w:t>
      </w:r>
      <w:r>
        <w:rPr>
          <w:rFonts w:ascii="Times New Roman" w:hAnsi="Times New Roman" w:cs="Times New Roman" w:eastAsia="Times New Roman" w:hint="default"/>
          <w:spacing w:val="-3"/>
        </w:rPr>
        <w:t>LED</w:t>
      </w:r>
      <w:r>
        <w:rPr>
          <w:spacing w:val="-3"/>
        </w:rPr>
        <w:t>照明产品替代将加快</w:t>
      </w:r>
      <w:r>
        <w:rPr>
          <w:rFonts w:ascii="Times New Roman" w:hAnsi="Times New Roman" w:cs="Times New Roman" w:eastAsia="Times New Roman" w:hint="default"/>
          <w:spacing w:val="-3"/>
        </w:rPr>
        <w:t>LED</w:t>
      </w:r>
      <w:r>
        <w:rPr>
          <w:spacing w:val="-3"/>
        </w:rPr>
        <w:t>照明产品的渗透率提升，加速</w:t>
      </w:r>
      <w:r>
        <w:rPr>
          <w:rFonts w:ascii="Times New Roman" w:hAnsi="Times New Roman" w:cs="Times New Roman" w:eastAsia="Times New Roman" w:hint="default"/>
          <w:spacing w:val="-3"/>
        </w:rPr>
        <w:t>LED</w:t>
      </w:r>
      <w:r>
        <w:rPr>
          <w:spacing w:val="-3"/>
        </w:rPr>
        <w:t>照明产品市场空间的扩大，</w:t>
      </w:r>
      <w:r>
        <w:rPr>
          <w:spacing w:val="-29"/>
        </w:rPr>
        <w:t> </w:t>
      </w:r>
      <w:r>
        <w:rPr>
          <w:spacing w:val="-29"/>
        </w:rPr>
      </w:r>
      <w:r>
        <w:rPr>
          <w:spacing w:val="-4"/>
        </w:rPr>
        <w:t>目前全球</w:t>
      </w:r>
      <w:r>
        <w:rPr>
          <w:rFonts w:ascii="Times New Roman" w:hAnsi="Times New Roman" w:cs="Times New Roman" w:eastAsia="Times New Roman" w:hint="default"/>
          <w:spacing w:val="-4"/>
        </w:rPr>
        <w:t>LED</w:t>
      </w:r>
      <w:r>
        <w:rPr>
          <w:spacing w:val="-4"/>
        </w:rPr>
        <w:t>产业规模发展迅速，并形成了以亚洲、美国、欧洲三大区域为主导的市场格局，我国</w:t>
      </w:r>
      <w:r>
        <w:rPr>
          <w:rFonts w:ascii="Times New Roman" w:hAnsi="Times New Roman" w:cs="Times New Roman" w:eastAsia="Times New Roman" w:hint="default"/>
          <w:spacing w:val="-4"/>
        </w:rPr>
        <w:t>LED</w:t>
      </w:r>
      <w:r>
        <w:rPr>
          <w:spacing w:val="-4"/>
        </w:rPr>
        <w:t>产业起步较晚，目前</w:t>
      </w:r>
      <w:r>
        <w:rPr>
          <w:spacing w:val="66"/>
        </w:rPr>
        <w:t> </w:t>
      </w:r>
      <w:r>
        <w:rPr>
          <w:spacing w:val="66"/>
        </w:rPr>
      </w:r>
      <w:r>
        <w:rPr>
          <w:spacing w:val="-4"/>
        </w:rPr>
        <w:t>国内</w:t>
      </w:r>
      <w:r>
        <w:rPr>
          <w:rFonts w:ascii="Times New Roman" w:hAnsi="Times New Roman" w:cs="Times New Roman" w:eastAsia="Times New Roman" w:hint="default"/>
          <w:spacing w:val="-4"/>
        </w:rPr>
        <w:t>LED</w:t>
      </w:r>
      <w:r>
        <w:rPr>
          <w:spacing w:val="-4"/>
        </w:rPr>
        <w:t>产业群主要集中在长三角、珠三角、环渤海经济圈及闽赣等地区，其中珠江三角洲的</w:t>
      </w:r>
      <w:r>
        <w:rPr>
          <w:rFonts w:ascii="Times New Roman" w:hAnsi="Times New Roman" w:cs="Times New Roman" w:eastAsia="Times New Roman" w:hint="default"/>
          <w:spacing w:val="-4"/>
        </w:rPr>
        <w:t>LED</w:t>
      </w:r>
      <w:r>
        <w:rPr>
          <w:spacing w:val="-4"/>
        </w:rPr>
        <w:t>产量所占比重尤其大，而</w:t>
      </w:r>
      <w:r>
        <w:rPr>
          <w:spacing w:val="66"/>
        </w:rPr>
        <w:t> </w:t>
      </w:r>
      <w:r>
        <w:rPr>
          <w:spacing w:val="66"/>
        </w:rPr>
      </w:r>
      <w:r>
        <w:rPr>
          <w:spacing w:val="-4"/>
        </w:rPr>
        <w:t>珠江三角洲主要集中在广州、佛山和深圳地区，各地区基本已形成了完整的产业配套，随着世界范围内</w:t>
      </w:r>
      <w:r>
        <w:rPr>
          <w:rFonts w:ascii="Times New Roman" w:hAnsi="Times New Roman" w:cs="Times New Roman" w:eastAsia="Times New Roman" w:hint="default"/>
          <w:spacing w:val="-4"/>
        </w:rPr>
        <w:t>LED</w:t>
      </w:r>
      <w:r>
        <w:rPr>
          <w:spacing w:val="-4"/>
        </w:rPr>
        <w:t>封装及应用产业</w:t>
      </w:r>
      <w:r>
        <w:rPr>
          <w:spacing w:val="50"/>
        </w:rPr>
        <w:t> </w:t>
      </w:r>
      <w:r>
        <w:rPr>
          <w:spacing w:val="50"/>
        </w:rPr>
      </w:r>
      <w:r>
        <w:rPr>
          <w:spacing w:val="-4"/>
        </w:rPr>
        <w:t>向以中国为主的亚洲地区转移，国际知名</w:t>
      </w:r>
      <w:r>
        <w:rPr>
          <w:rFonts w:ascii="Times New Roman" w:hAnsi="Times New Roman" w:cs="Times New Roman" w:eastAsia="Times New Roman" w:hint="default"/>
          <w:spacing w:val="-4"/>
        </w:rPr>
        <w:t>LED</w:t>
      </w:r>
      <w:r>
        <w:rPr>
          <w:spacing w:val="-4"/>
        </w:rPr>
        <w:t>厂商纷纷在我国建立生产基地，未来可能导致产品价格的持续下降、提高市场</w:t>
      </w:r>
      <w:r>
        <w:rPr>
          <w:spacing w:val="51"/>
        </w:rPr>
        <w:t> </w:t>
      </w:r>
      <w:r>
        <w:rPr>
          <w:spacing w:val="51"/>
        </w:rPr>
      </w:r>
      <w:r>
        <w:rPr>
          <w:spacing w:val="-4"/>
        </w:rPr>
        <w:t>份额的难度增大，国内</w:t>
      </w:r>
      <w:r>
        <w:rPr>
          <w:rFonts w:ascii="Times New Roman" w:hAnsi="Times New Roman" w:cs="Times New Roman" w:eastAsia="Times New Roman" w:hint="default"/>
          <w:spacing w:val="-4"/>
        </w:rPr>
        <w:t>LED</w:t>
      </w:r>
      <w:r>
        <w:rPr>
          <w:spacing w:val="-4"/>
        </w:rPr>
        <w:t>企业将面临着竞争不断加剧的市场环境；</w:t>
      </w:r>
      <w:r>
        <w:rPr>
          <w:rFonts w:ascii="Times New Roman" w:hAnsi="Times New Roman" w:cs="Times New Roman" w:eastAsia="Times New Roman" w:hint="default"/>
          <w:spacing w:val="-4"/>
        </w:rPr>
        <w:t>EMS</w:t>
      </w:r>
      <w:r>
        <w:rPr>
          <w:spacing w:val="-4"/>
        </w:rPr>
        <w:t>产业目前主要分布在以中国为首的发展中国家，但</w:t>
      </w:r>
      <w:r>
        <w:rPr>
          <w:spacing w:val="49"/>
        </w:rPr>
        <w:t> </w:t>
      </w:r>
      <w:r>
        <w:rPr>
          <w:spacing w:val="49"/>
        </w:rPr>
      </w:r>
      <w:r>
        <w:rPr>
          <w:spacing w:val="-4"/>
        </w:rPr>
        <w:t>随着国内人力成本和汇率水平等方面的上升，中国已慢慢失去竞争优势，国际品牌商正逐步将部分产线转移至印度、巴西等</w:t>
      </w:r>
      <w:r>
        <w:rPr>
          <w:spacing w:val="42"/>
        </w:rPr>
        <w:t> </w:t>
      </w:r>
      <w:r>
        <w:rPr>
          <w:spacing w:val="42"/>
        </w:rPr>
      </w:r>
      <w:r>
        <w:rPr>
          <w:spacing w:val="-3"/>
        </w:rPr>
        <w:t>经济欠发达国家，但是</w:t>
      </w:r>
      <w:r>
        <w:rPr>
          <w:rFonts w:ascii="Times New Roman" w:hAnsi="Times New Roman" w:cs="Times New Roman" w:eastAsia="Times New Roman" w:hint="default"/>
          <w:spacing w:val="-3"/>
        </w:rPr>
        <w:t>EMS</w:t>
      </w:r>
      <w:r>
        <w:rPr>
          <w:spacing w:val="-3"/>
        </w:rPr>
        <w:t>产业中较为高端的领域如智能手机等目前还暂时以中国居于领先地位。</w:t>
      </w:r>
    </w:p>
    <w:p>
      <w:pPr>
        <w:pStyle w:val="BodyText"/>
        <w:spacing w:line="300" w:lineRule="auto" w:before="11"/>
        <w:ind w:left="153" w:right="173" w:firstLine="542"/>
        <w:jc w:val="left"/>
      </w:pPr>
      <w:r>
        <w:rPr>
          <w:spacing w:val="-4"/>
        </w:rPr>
        <w:t>公司传统</w:t>
      </w:r>
      <w:r>
        <w:rPr>
          <w:rFonts w:ascii="Times New Roman" w:hAnsi="Times New Roman" w:cs="Times New Roman" w:eastAsia="Times New Roman" w:hint="default"/>
          <w:spacing w:val="-4"/>
        </w:rPr>
        <w:t>EMS</w:t>
      </w:r>
      <w:r>
        <w:rPr>
          <w:spacing w:val="-4"/>
        </w:rPr>
        <w:t>产业面临增速放缓，景气度不高的市场形势，但</w:t>
      </w:r>
      <w:r>
        <w:rPr>
          <w:rFonts w:ascii="Times New Roman" w:hAnsi="Times New Roman" w:cs="Times New Roman" w:eastAsia="Times New Roman" w:hint="default"/>
          <w:spacing w:val="-4"/>
        </w:rPr>
        <w:t>LED</w:t>
      </w:r>
      <w:r>
        <w:rPr>
          <w:spacing w:val="-4"/>
        </w:rPr>
        <w:t>照明业务借力国家政策利好，终端应用市场逐步打</w:t>
      </w:r>
      <w:r>
        <w:rPr>
          <w:w w:val="101"/>
        </w:rPr>
        <w:t> </w:t>
      </w:r>
      <w:r>
        <w:rPr>
          <w:spacing w:val="-3"/>
        </w:rPr>
        <w:t>开，</w:t>
      </w:r>
      <w:r>
        <w:rPr>
          <w:rFonts w:ascii="Times New Roman" w:hAnsi="Times New Roman" w:cs="Times New Roman" w:eastAsia="Times New Roman" w:hint="default"/>
          <w:spacing w:val="-3"/>
        </w:rPr>
        <w:t>LED</w:t>
      </w:r>
      <w:r>
        <w:rPr>
          <w:spacing w:val="-3"/>
        </w:rPr>
        <w:t>产业正迎来前所未有的发展机遇：</w:t>
      </w:r>
    </w:p>
    <w:p>
      <w:pPr>
        <w:pStyle w:val="Heading6"/>
        <w:spacing w:line="269" w:lineRule="exact"/>
        <w:ind w:left="696" w:right="173"/>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照明行业前景广阔，行业并购和资源整合成常态</w:t>
      </w:r>
      <w:r>
        <w:rPr>
          <w:b w:val="0"/>
          <w:bCs w:val="0"/>
        </w:rPr>
      </w:r>
    </w:p>
    <w:p>
      <w:pPr>
        <w:pStyle w:val="BodyText"/>
        <w:spacing w:line="300" w:lineRule="auto" w:before="56"/>
        <w:ind w:left="153" w:right="173" w:firstLine="542"/>
        <w:jc w:val="left"/>
      </w:pPr>
      <w:r>
        <w:rPr>
          <w:rFonts w:ascii="Times New Roman" w:hAnsi="Times New Roman" w:cs="Times New Roman" w:eastAsia="Times New Roman" w:hint="default"/>
        </w:rPr>
        <w:t>LED</w:t>
      </w:r>
      <w:r>
        <w:rPr>
          <w:rFonts w:ascii="Times New Roman" w:hAnsi="Times New Roman" w:cs="Times New Roman" w:eastAsia="Times New Roman" w:hint="default"/>
          <w:spacing w:val="36"/>
        </w:rPr>
        <w:t> </w:t>
      </w:r>
      <w:r>
        <w:rPr>
          <w:spacing w:val="-3"/>
        </w:rPr>
        <w:t>行业作为节能环保新兴产业，受国家节能环保政策扶持的影响，整个</w:t>
      </w:r>
      <w:r>
        <w:rPr>
          <w:rFonts w:ascii="Times New Roman" w:hAnsi="Times New Roman" w:cs="Times New Roman" w:eastAsia="Times New Roman" w:hint="default"/>
          <w:spacing w:val="-3"/>
        </w:rPr>
        <w:t>LED</w:t>
      </w:r>
      <w:r>
        <w:rPr>
          <w:spacing w:val="-3"/>
        </w:rPr>
        <w:t>行业呈现快速发展的态势，行业蓬勃</w:t>
      </w:r>
      <w:r>
        <w:rPr>
          <w:w w:val="101"/>
        </w:rPr>
        <w:t> </w:t>
      </w:r>
      <w:r>
        <w:rPr>
          <w:spacing w:val="-3"/>
        </w:rPr>
        <w:t>发展的同时也吸引了社会大量资本，不断出现新的厂商加入该行业，导致整个</w:t>
      </w:r>
      <w:r>
        <w:rPr>
          <w:rFonts w:ascii="Times New Roman" w:hAnsi="Times New Roman" w:cs="Times New Roman" w:eastAsia="Times New Roman" w:hint="default"/>
          <w:spacing w:val="-3"/>
        </w:rPr>
        <w:t>LED</w:t>
      </w:r>
      <w:r>
        <w:rPr>
          <w:spacing w:val="-3"/>
        </w:rPr>
        <w:t>行业的竞争越来越激烈，自</w:t>
      </w:r>
      <w:r>
        <w:rPr>
          <w:rFonts w:ascii="Times New Roman" w:hAnsi="Times New Roman" w:cs="Times New Roman" w:eastAsia="Times New Roman" w:hint="default"/>
          <w:spacing w:val="-3"/>
        </w:rPr>
        <w:t>2013</w:t>
      </w:r>
      <w:r>
        <w:rPr>
          <w:spacing w:val="-3"/>
        </w:rPr>
        <w:t>年以来，</w:t>
      </w:r>
      <w:r>
        <w:rPr>
          <w:spacing w:val="74"/>
        </w:rPr>
        <w:t> </w:t>
      </w:r>
      <w:r>
        <w:rPr>
          <w:spacing w:val="74"/>
        </w:rPr>
      </w:r>
      <w:r>
        <w:rPr>
          <w:rFonts w:ascii="Times New Roman" w:hAnsi="Times New Roman" w:cs="Times New Roman" w:eastAsia="Times New Roman" w:hint="default"/>
          <w:spacing w:val="-3"/>
        </w:rPr>
        <w:t>LED</w:t>
      </w:r>
      <w:r>
        <w:rPr>
          <w:spacing w:val="-3"/>
        </w:rPr>
        <w:t>行业开始掀起并购热潮，在全球经济下行的宏观经济影响下，</w:t>
      </w:r>
      <w:r>
        <w:rPr>
          <w:rFonts w:ascii="Times New Roman" w:hAnsi="Times New Roman" w:cs="Times New Roman" w:eastAsia="Times New Roman" w:hint="default"/>
          <w:spacing w:val="-3"/>
        </w:rPr>
        <w:t>LED</w:t>
      </w:r>
      <w:r>
        <w:rPr>
          <w:spacing w:val="-3"/>
        </w:rPr>
        <w:t>企业之间的兼并整合步伐正在加速进行， </w:t>
      </w:r>
      <w:r>
        <w:rPr>
          <w:rFonts w:ascii="Times New Roman" w:hAnsi="Times New Roman" w:cs="Times New Roman" w:eastAsia="Times New Roman" w:hint="default"/>
        </w:rPr>
        <w:t>LED</w:t>
      </w:r>
      <w:r>
        <w:rPr/>
        <w:t>产业</w:t>
      </w:r>
      <w:r>
        <w:rPr>
          <w:spacing w:val="42"/>
        </w:rPr>
        <w:t> </w:t>
      </w:r>
      <w:r>
        <w:rPr>
          <w:spacing w:val="-3"/>
        </w:rPr>
        <w:t>步入并购时代。</w:t>
      </w:r>
    </w:p>
    <w:p>
      <w:pPr>
        <w:pStyle w:val="Heading6"/>
        <w:spacing w:line="288" w:lineRule="exact"/>
        <w:ind w:left="696" w:right="17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EMS</w:t>
      </w:r>
      <w:r>
        <w:rPr/>
        <w:t>行业发展增速缓慢</w:t>
      </w:r>
      <w:r>
        <w:rPr>
          <w:b w:val="0"/>
          <w:bCs w:val="0"/>
        </w:rPr>
      </w:r>
    </w:p>
    <w:p>
      <w:pPr>
        <w:pStyle w:val="BodyText"/>
        <w:spacing w:line="314" w:lineRule="auto" w:before="56"/>
        <w:ind w:left="153" w:right="173" w:firstLine="542"/>
        <w:jc w:val="left"/>
      </w:pPr>
      <w:r>
        <w:rPr>
          <w:spacing w:val="-3"/>
        </w:rPr>
        <w:t>公司</w:t>
      </w:r>
      <w:r>
        <w:rPr>
          <w:rFonts w:ascii="Times New Roman" w:hAnsi="Times New Roman" w:cs="Times New Roman" w:eastAsia="Times New Roman" w:hint="default"/>
          <w:spacing w:val="-3"/>
        </w:rPr>
        <w:t>EMS</w:t>
      </w:r>
      <w:r>
        <w:rPr>
          <w:spacing w:val="-3"/>
        </w:rPr>
        <w:t>业务属于电子产品制造行业中的电子元器件制造行业，具有较强的周期性，</w:t>
      </w:r>
      <w:r>
        <w:rPr>
          <w:rFonts w:ascii="Times New Roman" w:hAnsi="Times New Roman" w:cs="Times New Roman" w:eastAsia="Times New Roman" w:hint="default"/>
          <w:spacing w:val="-3"/>
        </w:rPr>
        <w:t>2008</w:t>
      </w:r>
      <w:r>
        <w:rPr>
          <w:spacing w:val="-3"/>
        </w:rPr>
        <w:t>年以来全球金融危机对国</w:t>
      </w:r>
      <w:r>
        <w:rPr>
          <w:w w:val="101"/>
        </w:rPr>
        <w:t> </w:t>
      </w:r>
      <w:r>
        <w:rPr>
          <w:spacing w:val="-4"/>
        </w:rPr>
        <w:t>内外宏观经济环境造成了巨大冲击，电子制造行业的市场环境受到较大不利影响。一方面国际市场整体低迷导致国内出口订</w:t>
      </w:r>
      <w:r>
        <w:rPr>
          <w:spacing w:val="43"/>
        </w:rPr>
        <w:t> </w:t>
      </w:r>
      <w:r>
        <w:rPr>
          <w:spacing w:val="43"/>
        </w:rPr>
      </w:r>
      <w:r>
        <w:rPr>
          <w:spacing w:val="-4"/>
        </w:rPr>
        <w:t>单大幅下滑，另一方面消费类电子产品的市场格局发生明显变化，以平板电脑、智能手机为代表的高端消费电子产品快速崛</w:t>
      </w:r>
      <w:r>
        <w:rPr>
          <w:spacing w:val="43"/>
        </w:rPr>
        <w:t> </w:t>
      </w:r>
      <w:r>
        <w:rPr>
          <w:spacing w:val="43"/>
        </w:rPr>
      </w:r>
      <w:r>
        <w:rPr>
          <w:spacing w:val="-4"/>
        </w:rPr>
        <w:t>起，成为市场的主导品种，传统低端消费电子产品市场萎缩、毛利水平持续下降。预计未来一段时间电子行业的景气度仍将</w:t>
      </w:r>
      <w:r>
        <w:rPr>
          <w:spacing w:val="42"/>
        </w:rPr>
        <w:t> </w:t>
      </w:r>
      <w:r>
        <w:rPr>
          <w:spacing w:val="42"/>
        </w:rPr>
      </w:r>
      <w:r>
        <w:rPr>
          <w:spacing w:val="-3"/>
        </w:rPr>
        <w:t>持续下降，行业整体盈利水平低迷。</w:t>
      </w:r>
    </w:p>
    <w:p>
      <w:pPr>
        <w:pStyle w:val="BodyText"/>
        <w:spacing w:line="300" w:lineRule="auto" w:before="20"/>
        <w:ind w:left="153" w:right="251" w:firstLine="451"/>
        <w:jc w:val="both"/>
      </w:pPr>
      <w:r>
        <w:rPr/>
        <w:t>据市场研究机构</w:t>
      </w:r>
      <w:r>
        <w:rPr>
          <w:rFonts w:ascii="Times New Roman" w:hAnsi="Times New Roman" w:cs="Times New Roman" w:eastAsia="Times New Roman" w:hint="default"/>
        </w:rPr>
        <w:t>ETP2010</w:t>
      </w:r>
      <w:r>
        <w:rPr>
          <w:rFonts w:ascii="Times New Roman" w:hAnsi="Times New Roman" w:cs="Times New Roman" w:eastAsia="Times New Roman" w:hint="default"/>
          <w:spacing w:val="42"/>
        </w:rPr>
        <w:t> </w:t>
      </w:r>
      <w:r>
        <w:rPr>
          <w:spacing w:val="-3"/>
        </w:rPr>
        <w:t>年出具的报告统计，全球电子制造服务行业的毛利率水平在</w:t>
      </w:r>
      <w:r>
        <w:rPr>
          <w:rFonts w:ascii="Times New Roman" w:hAnsi="Times New Roman" w:cs="Times New Roman" w:eastAsia="Times New Roman" w:hint="default"/>
          <w:spacing w:val="-3"/>
        </w:rPr>
        <w:t>5%</w:t>
      </w:r>
      <w:r>
        <w:rPr>
          <w:spacing w:val="-3"/>
        </w:rPr>
        <w:t>到</w:t>
      </w:r>
      <w:r>
        <w:rPr>
          <w:rFonts w:ascii="Times New Roman" w:hAnsi="Times New Roman" w:cs="Times New Roman" w:eastAsia="Times New Roman" w:hint="default"/>
          <w:spacing w:val="-3"/>
        </w:rPr>
        <w:t>10%</w:t>
      </w:r>
      <w:r>
        <w:rPr>
          <w:spacing w:val="-3"/>
        </w:rPr>
        <w:t>左右。市场调研机构</w:t>
      </w:r>
      <w:r>
        <w:rPr>
          <w:w w:val="101"/>
        </w:rPr>
        <w:t> </w:t>
      </w:r>
      <w:r>
        <w:rPr>
          <w:rFonts w:ascii="Times New Roman" w:hAnsi="Times New Roman" w:cs="Times New Roman" w:eastAsia="Times New Roman" w:hint="default"/>
        </w:rPr>
        <w:t>New</w:t>
      </w:r>
      <w:r>
        <w:rPr>
          <w:rFonts w:ascii="Times New Roman" w:hAnsi="Times New Roman" w:cs="Times New Roman" w:eastAsia="Times New Roman" w:hint="default"/>
          <w:spacing w:val="12"/>
        </w:rPr>
        <w:t> </w:t>
      </w:r>
      <w:r>
        <w:rPr>
          <w:rFonts w:ascii="Times New Roman" w:hAnsi="Times New Roman" w:cs="Times New Roman" w:eastAsia="Times New Roman" w:hint="default"/>
        </w:rPr>
        <w:t>Venture</w:t>
      </w:r>
      <w:r>
        <w:rPr>
          <w:rFonts w:ascii="Times New Roman" w:hAnsi="Times New Roman" w:cs="Times New Roman" w:eastAsia="Times New Roman" w:hint="default"/>
          <w:spacing w:val="14"/>
        </w:rPr>
        <w:t> </w:t>
      </w:r>
      <w:r>
        <w:rPr>
          <w:rFonts w:ascii="Times New Roman" w:hAnsi="Times New Roman" w:cs="Times New Roman" w:eastAsia="Times New Roman" w:hint="default"/>
        </w:rPr>
        <w:t>Research2011</w:t>
      </w:r>
      <w:r>
        <w:rPr/>
        <w:t>年报告显示，</w:t>
      </w:r>
      <w:r>
        <w:rPr>
          <w:rFonts w:ascii="Times New Roman" w:hAnsi="Times New Roman" w:cs="Times New Roman" w:eastAsia="Times New Roman" w:hint="default"/>
        </w:rPr>
        <w:t>2010</w:t>
      </w:r>
      <w:r>
        <w:rPr/>
        <w:t>年全球电子制造服务收入为</w:t>
      </w:r>
      <w:r>
        <w:rPr>
          <w:rFonts w:ascii="Times New Roman" w:hAnsi="Times New Roman" w:cs="Times New Roman" w:eastAsia="Times New Roman" w:hint="default"/>
        </w:rPr>
        <w:t>3,707.38</w:t>
      </w:r>
      <w:r>
        <w:rPr>
          <w:rFonts w:ascii="Times New Roman" w:hAnsi="Times New Roman" w:cs="Times New Roman" w:eastAsia="Times New Roman" w:hint="default"/>
          <w:spacing w:val="4"/>
        </w:rPr>
        <w:t> </w:t>
      </w:r>
      <w:r>
        <w:rPr>
          <w:spacing w:val="-3"/>
        </w:rPr>
        <w:t>亿美元，预计</w:t>
      </w:r>
      <w:r>
        <w:rPr>
          <w:rFonts w:ascii="Times New Roman" w:hAnsi="Times New Roman" w:cs="Times New Roman" w:eastAsia="Times New Roman" w:hint="default"/>
          <w:spacing w:val="-3"/>
        </w:rPr>
        <w:t>2015</w:t>
      </w:r>
      <w:r>
        <w:rPr>
          <w:spacing w:val="-3"/>
        </w:rPr>
        <w:t>年全球电子制造服务收</w:t>
      </w:r>
      <w:r>
        <w:rPr>
          <w:spacing w:val="-84"/>
        </w:rPr>
        <w:t> </w:t>
      </w:r>
      <w:r>
        <w:rPr>
          <w:spacing w:val="-84"/>
        </w:rPr>
      </w:r>
      <w:r>
        <w:rPr>
          <w:spacing w:val="-2"/>
        </w:rPr>
        <w:t>入将达到</w:t>
      </w:r>
      <w:r>
        <w:rPr>
          <w:rFonts w:ascii="Times New Roman" w:hAnsi="Times New Roman" w:cs="Times New Roman" w:eastAsia="Times New Roman" w:hint="default"/>
          <w:spacing w:val="-2"/>
        </w:rPr>
        <w:t>6,604.71</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spacing w:val="-2"/>
        </w:rPr>
        <w:t>亿美元，</w:t>
      </w:r>
      <w:r>
        <w:rPr>
          <w:rFonts w:ascii="Times New Roman" w:hAnsi="Times New Roman" w:cs="Times New Roman" w:eastAsia="Times New Roman" w:hint="default"/>
          <w:spacing w:val="-2"/>
        </w:rPr>
        <w:t>2010</w:t>
      </w:r>
      <w:r>
        <w:rPr>
          <w:spacing w:val="-2"/>
        </w:rPr>
        <w:t>年到</w:t>
      </w:r>
      <w:r>
        <w:rPr>
          <w:rFonts w:ascii="Times New Roman" w:hAnsi="Times New Roman" w:cs="Times New Roman" w:eastAsia="Times New Roman" w:hint="default"/>
          <w:spacing w:val="-2"/>
        </w:rPr>
        <w:t>2015</w:t>
      </w:r>
      <w:r>
        <w:rPr>
          <w:spacing w:val="-2"/>
        </w:rPr>
        <w:t>年年均复合增长率约为</w:t>
      </w:r>
      <w:r>
        <w:rPr>
          <w:rFonts w:ascii="Times New Roman" w:hAnsi="Times New Roman" w:cs="Times New Roman" w:eastAsia="Times New Roman" w:hint="default"/>
          <w:spacing w:val="-2"/>
        </w:rPr>
        <w:t>12.24%</w:t>
      </w:r>
      <w:r>
        <w:rPr>
          <w:spacing w:val="-2"/>
        </w:rPr>
        <w:t>。</w:t>
      </w:r>
    </w:p>
    <w:p>
      <w:pPr>
        <w:pStyle w:val="Heading6"/>
        <w:spacing w:line="269" w:lineRule="exact"/>
        <w:ind w:left="154" w:right="0"/>
        <w:jc w:val="both"/>
        <w:rPr>
          <w:b w:val="0"/>
          <w:bCs w:val="0"/>
        </w:rPr>
      </w:pPr>
      <w:r>
        <w:rPr/>
        <w:t>（二）公司发展战略</w:t>
      </w:r>
      <w:r>
        <w:rPr>
          <w:b w:val="0"/>
          <w:bCs w:val="0"/>
        </w:rPr>
      </w:r>
    </w:p>
    <w:p>
      <w:pPr>
        <w:pStyle w:val="BodyText"/>
        <w:spacing w:line="300" w:lineRule="auto" w:before="56"/>
        <w:ind w:left="154" w:right="173" w:firstLine="451"/>
        <w:jc w:val="left"/>
      </w:pPr>
      <w:r>
        <w:rPr>
          <w:spacing w:val="-3"/>
        </w:rPr>
        <w:t>公司将继续保持</w:t>
      </w:r>
      <w:r>
        <w:rPr>
          <w:rFonts w:ascii="Times New Roman" w:hAnsi="Times New Roman" w:cs="Times New Roman" w:eastAsia="Times New Roman" w:hint="default"/>
          <w:spacing w:val="-3"/>
        </w:rPr>
        <w:t>EMS</w:t>
      </w:r>
      <w:r>
        <w:rPr>
          <w:spacing w:val="-3"/>
        </w:rPr>
        <w:t>业务</w:t>
      </w:r>
      <w:r>
        <w:rPr>
          <w:rFonts w:ascii="Times New Roman" w:hAnsi="Times New Roman" w:cs="Times New Roman" w:eastAsia="Times New Roman" w:hint="default"/>
          <w:spacing w:val="-3"/>
        </w:rPr>
        <w:t>“</w:t>
      </w:r>
      <w:r>
        <w:rPr>
          <w:spacing w:val="-3"/>
        </w:rPr>
        <w:t>小而美</w:t>
      </w:r>
      <w:r>
        <w:rPr>
          <w:rFonts w:ascii="Times New Roman" w:hAnsi="Times New Roman" w:cs="Times New Roman" w:eastAsia="Times New Roman" w:hint="default"/>
          <w:spacing w:val="-3"/>
        </w:rPr>
        <w:t>”</w:t>
      </w:r>
      <w:r>
        <w:rPr>
          <w:spacing w:val="-3"/>
        </w:rPr>
        <w:t>（规模小、运营健康、盈利）；不断提高公司自主品牌的</w:t>
      </w:r>
      <w:r>
        <w:rPr>
          <w:rFonts w:ascii="Times New Roman" w:hAnsi="Times New Roman" w:cs="Times New Roman" w:eastAsia="Times New Roman" w:hint="default"/>
          <w:spacing w:val="-3"/>
        </w:rPr>
        <w:t>LED</w:t>
      </w:r>
      <w:r>
        <w:rPr>
          <w:spacing w:val="-3"/>
        </w:rPr>
        <w:t>照明业务的收入规模</w:t>
      </w:r>
      <w:r>
        <w:rPr>
          <w:w w:val="101"/>
        </w:rPr>
        <w:t> </w:t>
      </w:r>
      <w:r>
        <w:rPr>
          <w:spacing w:val="-3"/>
        </w:rPr>
        <w:t>及盈利水平；公司还将通过投资并购，拓展互联网等业务单元，构建产业互联网生态圈。</w:t>
      </w:r>
    </w:p>
    <w:p>
      <w:pPr>
        <w:pStyle w:val="Heading6"/>
        <w:spacing w:line="288" w:lineRule="exact"/>
        <w:ind w:left="154" w:right="0"/>
        <w:jc w:val="both"/>
        <w:rPr>
          <w:b w:val="0"/>
          <w:bCs w:val="0"/>
        </w:rPr>
      </w:pPr>
      <w:r>
        <w:rPr/>
        <w:t>（三）2015年度的经营计划</w:t>
      </w:r>
      <w:r>
        <w:rPr>
          <w:b w:val="0"/>
          <w:bCs w:val="0"/>
        </w:rPr>
      </w:r>
    </w:p>
    <w:p>
      <w:pPr>
        <w:pStyle w:val="BodyText"/>
        <w:spacing w:line="300" w:lineRule="auto" w:before="56"/>
        <w:ind w:left="154" w:right="173" w:firstLine="451"/>
        <w:jc w:val="left"/>
      </w:pPr>
      <w:r>
        <w:rPr>
          <w:rFonts w:ascii="Times New Roman" w:hAnsi="Times New Roman" w:cs="Times New Roman" w:eastAsia="Times New Roman" w:hint="default"/>
          <w:spacing w:val="-3"/>
        </w:rPr>
        <w:t>2014</w:t>
      </w:r>
      <w:r>
        <w:rPr>
          <w:spacing w:val="-3"/>
        </w:rPr>
        <w:t>年度公司战略转型初见成效，公司经营业绩实现全面扭亏为盈，未来一年公司将根据发展规划，立足实业，借助</w:t>
      </w:r>
      <w:r>
        <w:rPr>
          <w:w w:val="101"/>
        </w:rPr>
        <w:t> </w:t>
      </w:r>
      <w:r>
        <w:rPr>
          <w:spacing w:val="-3"/>
        </w:rPr>
        <w:t>投资并购和互联网技术的力量，优化公司的业务结构，提高公司的盈利能力和核心竞争力。</w:t>
      </w:r>
    </w:p>
    <w:p>
      <w:pPr>
        <w:pStyle w:val="BodyText"/>
        <w:spacing w:line="300" w:lineRule="auto" w:before="31"/>
        <w:ind w:left="605" w:right="173"/>
        <w:jc w:val="left"/>
      </w:pPr>
      <w:r>
        <w:rPr>
          <w:rFonts w:ascii="Times New Roman" w:hAnsi="Times New Roman" w:cs="Times New Roman" w:eastAsia="Times New Roman" w:hint="default"/>
        </w:rPr>
        <w:t>1</w:t>
      </w:r>
      <w:r>
        <w:rPr/>
        <w:t>、投资并购</w:t>
      </w:r>
      <w:r>
        <w:rPr>
          <w:spacing w:val="-87"/>
        </w:rPr>
        <w:t> </w:t>
      </w:r>
      <w:r>
        <w:rPr>
          <w:spacing w:val="-87"/>
        </w:rPr>
      </w:r>
      <w:r>
        <w:rPr>
          <w:spacing w:val="-3"/>
        </w:rPr>
        <w:t>为进一步增强公司的盈利能力和市场竞争力，促进公司现有业务的快速发展，</w:t>
      </w:r>
      <w:r>
        <w:rPr>
          <w:rFonts w:ascii="Times New Roman" w:hAnsi="Times New Roman" w:cs="Times New Roman" w:eastAsia="Times New Roman" w:hint="default"/>
          <w:spacing w:val="-3"/>
        </w:rPr>
        <w:t>2015</w:t>
      </w:r>
      <w:r>
        <w:rPr>
          <w:spacing w:val="-3"/>
        </w:rPr>
        <w:t>年度公司将产业投资并购作为工作</w:t>
      </w:r>
    </w:p>
    <w:p>
      <w:pPr>
        <w:pStyle w:val="BodyText"/>
        <w:spacing w:line="240" w:lineRule="auto" w:before="13"/>
        <w:ind w:left="154" w:right="0"/>
        <w:jc w:val="both"/>
      </w:pPr>
      <w:r>
        <w:rPr>
          <w:spacing w:val="-3"/>
        </w:rPr>
        <w:t>重点，通过投资并购行业优质企业，实现公司长远、健康发展的目标。</w:t>
      </w:r>
    </w:p>
    <w:p>
      <w:pPr>
        <w:pStyle w:val="BodyText"/>
        <w:spacing w:line="240" w:lineRule="auto" w:before="76"/>
        <w:ind w:left="605" w:right="17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照明业务</w:t>
      </w:r>
    </w:p>
    <w:p>
      <w:pPr>
        <w:pStyle w:val="BodyText"/>
        <w:spacing w:line="240" w:lineRule="auto" w:before="63"/>
        <w:ind w:left="605" w:right="173"/>
        <w:jc w:val="left"/>
      </w:pPr>
      <w:r>
        <w:rPr>
          <w:rFonts w:ascii="Times New Roman" w:hAnsi="Times New Roman" w:cs="Times New Roman" w:eastAsia="Times New Roman" w:hint="default"/>
          <w:spacing w:val="-3"/>
        </w:rPr>
        <w:t>2015</w:t>
      </w:r>
      <w:r>
        <w:rPr>
          <w:spacing w:val="-3"/>
        </w:rPr>
        <w:t>年度公司将立足</w:t>
      </w:r>
      <w:r>
        <w:rPr>
          <w:rFonts w:ascii="Times New Roman" w:hAnsi="Times New Roman" w:cs="Times New Roman" w:eastAsia="Times New Roman" w:hint="default"/>
          <w:spacing w:val="-3"/>
        </w:rPr>
        <w:t>“LED</w:t>
      </w:r>
      <w:r>
        <w:rPr>
          <w:spacing w:val="-3"/>
        </w:rPr>
        <w:t>室内商业照明</w:t>
      </w:r>
      <w:r>
        <w:rPr>
          <w:rFonts w:ascii="Times New Roman" w:hAnsi="Times New Roman" w:cs="Times New Roman" w:eastAsia="Times New Roman" w:hint="default"/>
          <w:spacing w:val="-3"/>
        </w:rPr>
        <w:t>”</w:t>
      </w:r>
      <w:r>
        <w:rPr>
          <w:spacing w:val="-3"/>
        </w:rPr>
        <w:t>细分市场领域，进一步优化产品结构，不断提高公司自主品牌的</w:t>
      </w:r>
      <w:r>
        <w:rPr>
          <w:rFonts w:ascii="Times New Roman" w:hAnsi="Times New Roman" w:cs="Times New Roman" w:eastAsia="Times New Roman" w:hint="default"/>
          <w:spacing w:val="-3"/>
        </w:rPr>
        <w:t>LED</w:t>
      </w:r>
      <w:r>
        <w:rPr>
          <w:spacing w:val="-3"/>
        </w:rPr>
        <w:t>照明业</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务的收入规模及盈利水平</w:t>
      </w:r>
    </w:p>
    <w:p>
      <w:pPr>
        <w:pStyle w:val="BodyText"/>
        <w:spacing w:line="300" w:lineRule="auto" w:before="76"/>
        <w:ind w:left="60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EMS</w:t>
      </w:r>
      <w:r>
        <w:rPr/>
        <w:t>业务</w:t>
      </w:r>
      <w:r>
        <w:rPr>
          <w:spacing w:val="-88"/>
        </w:rPr>
        <w:t> </w:t>
      </w:r>
      <w:r>
        <w:rPr>
          <w:spacing w:val="-88"/>
        </w:rPr>
      </w:r>
      <w:r>
        <w:rPr>
          <w:spacing w:val="-4"/>
        </w:rPr>
        <w:t>未来一年公司将继续发挥在供应链管理、成本管控等方面的优势，通过优化客户结构和产品结构、提高项目附加价值，</w:t>
      </w:r>
    </w:p>
    <w:p>
      <w:pPr>
        <w:pStyle w:val="BodyText"/>
        <w:spacing w:line="240" w:lineRule="auto" w:before="31"/>
        <w:ind w:right="0"/>
        <w:jc w:val="both"/>
      </w:pPr>
      <w:r>
        <w:rPr>
          <w:spacing w:val="-3"/>
        </w:rPr>
        <w:t>和优先满足优质客户的产能需求等措施，保持</w:t>
      </w:r>
      <w:r>
        <w:rPr>
          <w:rFonts w:ascii="Times New Roman" w:hAnsi="Times New Roman" w:cs="Times New Roman" w:eastAsia="Times New Roman" w:hint="default"/>
          <w:spacing w:val="-3"/>
        </w:rPr>
        <w:t>EMS</w:t>
      </w:r>
      <w:r>
        <w:rPr>
          <w:spacing w:val="-3"/>
        </w:rPr>
        <w:t>业务健康运营。</w:t>
      </w:r>
    </w:p>
    <w:p>
      <w:pPr>
        <w:pStyle w:val="BodyText"/>
        <w:spacing w:line="240" w:lineRule="auto" w:before="63"/>
        <w:ind w:left="603" w:right="0"/>
        <w:jc w:val="left"/>
      </w:pPr>
      <w:r>
        <w:rPr>
          <w:rFonts w:ascii="Times New Roman" w:hAnsi="Times New Roman" w:cs="Times New Roman" w:eastAsia="Times New Roman" w:hint="default"/>
        </w:rPr>
        <w:t>4</w:t>
      </w:r>
      <w:r>
        <w:rPr/>
        <w:t>、管理方面</w:t>
      </w:r>
    </w:p>
    <w:p>
      <w:pPr>
        <w:pStyle w:val="BodyText"/>
        <w:spacing w:line="300" w:lineRule="auto" w:before="63"/>
        <w:ind w:right="0" w:firstLine="451"/>
        <w:jc w:val="left"/>
      </w:pPr>
      <w:r>
        <w:rPr>
          <w:rFonts w:ascii="Times New Roman" w:hAnsi="Times New Roman" w:cs="Times New Roman" w:eastAsia="Times New Roman" w:hint="default"/>
          <w:spacing w:val="-3"/>
        </w:rPr>
        <w:t>2015</w:t>
      </w:r>
      <w:r>
        <w:rPr>
          <w:spacing w:val="-3"/>
        </w:rPr>
        <w:t>年度公司将在保证产品质量、管理有效的基础上，强化成本管控意识，通过实现全面预算、滚动预测等模式，严</w:t>
      </w:r>
      <w:r>
        <w:rPr>
          <w:w w:val="101"/>
        </w:rPr>
        <w:t> </w:t>
      </w:r>
      <w:r>
        <w:rPr>
          <w:spacing w:val="-6"/>
        </w:rPr>
        <w:t>格控制、全面管理公司的各项成本开支。同时，公司将全面落实多层次风险预警机制，进一步确保公司资产安全，运营规范。</w:t>
      </w:r>
    </w:p>
    <w:p>
      <w:pPr>
        <w:pStyle w:val="Heading6"/>
        <w:spacing w:line="288" w:lineRule="exact"/>
        <w:ind w:right="0"/>
        <w:jc w:val="both"/>
        <w:rPr>
          <w:b w:val="0"/>
          <w:bCs w:val="0"/>
        </w:rPr>
      </w:pPr>
      <w:r>
        <w:rPr/>
        <w:t>（四）可能面对的风险及采取的对策</w:t>
      </w:r>
      <w:r>
        <w:rPr>
          <w:b w:val="0"/>
          <w:bCs w:val="0"/>
        </w:rPr>
      </w:r>
    </w:p>
    <w:p>
      <w:pPr>
        <w:pStyle w:val="BodyText"/>
        <w:spacing w:line="300" w:lineRule="auto" w:before="56"/>
        <w:ind w:left="604" w:right="0"/>
        <w:jc w:val="left"/>
      </w:pPr>
      <w:r>
        <w:rPr>
          <w:rFonts w:ascii="Times New Roman" w:hAnsi="Times New Roman" w:cs="Times New Roman" w:eastAsia="Times New Roman" w:hint="default"/>
        </w:rPr>
        <w:t>1</w:t>
      </w:r>
      <w:r>
        <w:rPr/>
        <w:t>、投资并购顺利实施及整合风险</w:t>
      </w:r>
      <w:r>
        <w:rPr>
          <w:spacing w:val="-86"/>
        </w:rPr>
        <w:t> </w:t>
      </w:r>
      <w:r>
        <w:rPr>
          <w:spacing w:val="-86"/>
        </w:rPr>
      </w:r>
      <w:r>
        <w:rPr>
          <w:spacing w:val="-3"/>
        </w:rPr>
        <w:t>公司在投资并购过程中，可能因多方面原因（如标的企业尽调、业务谈判进展不顺利等）导致整个项目中途停止，也</w:t>
      </w:r>
    </w:p>
    <w:p>
      <w:pPr>
        <w:pStyle w:val="BodyText"/>
        <w:spacing w:line="316" w:lineRule="auto" w:before="31"/>
        <w:ind w:right="205"/>
        <w:jc w:val="both"/>
      </w:pPr>
      <w:r>
        <w:rPr>
          <w:spacing w:val="-4"/>
        </w:rPr>
        <w:t>可能发生投资并购完成后，公司与标的公司团队整合不及预期，以及标的公司业绩未能兑现承诺等情形，从而导致公司投资</w:t>
      </w:r>
      <w:r>
        <w:rPr>
          <w:spacing w:val="43"/>
        </w:rPr>
        <w:t> </w:t>
      </w:r>
      <w:r>
        <w:rPr>
          <w:spacing w:val="43"/>
        </w:rPr>
      </w:r>
      <w:r>
        <w:rPr>
          <w:spacing w:val="-3"/>
        </w:rPr>
        <w:t>并购效果不达预期，甚至拖累公司业绩的风险，将直接影响公司未来的业绩情况。</w:t>
      </w:r>
    </w:p>
    <w:p>
      <w:pPr>
        <w:pStyle w:val="BodyText"/>
        <w:spacing w:line="316" w:lineRule="auto" w:before="19"/>
        <w:ind w:left="153" w:right="0" w:firstLine="451"/>
        <w:jc w:val="left"/>
      </w:pPr>
      <w:r>
        <w:rPr>
          <w:spacing w:val="-6"/>
        </w:rPr>
        <w:t>采取的对策：公司将充分借助券商、律师、会计师、资产评估师等中介机构的专业力量，</w:t>
      </w:r>
      <w:r>
        <w:rPr>
          <w:spacing w:val="56"/>
        </w:rPr>
        <w:t> </w:t>
      </w:r>
      <w:r>
        <w:rPr>
          <w:spacing w:val="-3"/>
        </w:rPr>
        <w:t>项目开展前做好调研和论证，</w:t>
      </w:r>
      <w:r>
        <w:rPr>
          <w:w w:val="101"/>
        </w:rPr>
        <w:t> </w:t>
      </w:r>
      <w:r>
        <w:rPr>
          <w:spacing w:val="-4"/>
        </w:rPr>
        <w:t>项目推进过程中做好各项尽职调查，充分挖掘可能存在的潜在风险，并在项目完成后通过委派董事、财务人员等方面，做好</w:t>
      </w:r>
      <w:r>
        <w:rPr>
          <w:spacing w:val="43"/>
        </w:rPr>
        <w:t> </w:t>
      </w:r>
      <w:r>
        <w:rPr>
          <w:spacing w:val="43"/>
        </w:rPr>
      </w:r>
      <w:r>
        <w:rPr/>
        <w:t>充分的投后管理。</w:t>
      </w:r>
    </w:p>
    <w:p>
      <w:pPr>
        <w:pStyle w:val="BodyText"/>
        <w:spacing w:line="300" w:lineRule="auto" w:before="19"/>
        <w:ind w:left="604" w:right="0"/>
        <w:jc w:val="left"/>
      </w:pPr>
      <w:r>
        <w:rPr>
          <w:rFonts w:ascii="Times New Roman" w:hAnsi="Times New Roman" w:cs="Times New Roman" w:eastAsia="Times New Roman" w:hint="default"/>
        </w:rPr>
        <w:t>2</w:t>
      </w:r>
      <w:r>
        <w:rPr/>
        <w:t>、市场需求和价格风险</w:t>
      </w:r>
      <w:r>
        <w:rPr>
          <w:spacing w:val="-85"/>
        </w:rPr>
        <w:t> </w:t>
      </w:r>
      <w:r>
        <w:rPr>
          <w:spacing w:val="-85"/>
        </w:rPr>
      </w:r>
      <w:r>
        <w:rPr>
          <w:spacing w:val="-3"/>
        </w:rPr>
        <w:t>目前电子制造服务处于增速放缓的行业发展阶段，作为电子制造服务重要服务领域之一的消费类电子又存在周期波动</w:t>
      </w:r>
    </w:p>
    <w:p>
      <w:pPr>
        <w:pStyle w:val="BodyText"/>
        <w:spacing w:line="300" w:lineRule="auto" w:before="31"/>
        <w:ind w:left="153" w:right="210"/>
        <w:jc w:val="both"/>
      </w:pPr>
      <w:r>
        <w:rPr>
          <w:spacing w:val="-4"/>
        </w:rPr>
        <w:t>的风险，</w:t>
      </w:r>
      <w:r>
        <w:rPr>
          <w:rFonts w:ascii="Times New Roman" w:hAnsi="Times New Roman" w:cs="Times New Roman" w:eastAsia="Times New Roman" w:hint="default"/>
          <w:spacing w:val="-4"/>
        </w:rPr>
        <w:t>LED</w:t>
      </w:r>
      <w:r>
        <w:rPr>
          <w:spacing w:val="-4"/>
        </w:rPr>
        <w:t>照明产业虽与国家政策导向一致，但相较传统节能灯等尚不具有价格等方面的优势，终端应用市场的规模能否</w:t>
      </w:r>
      <w:r>
        <w:rPr>
          <w:spacing w:val="52"/>
        </w:rPr>
        <w:t> </w:t>
      </w:r>
      <w:r>
        <w:rPr>
          <w:spacing w:val="52"/>
        </w:rPr>
      </w:r>
      <w:r>
        <w:rPr>
          <w:spacing w:val="-4"/>
        </w:rPr>
        <w:t>达到预期存在一定程度上的不确定性，若市场未能如预期全面打开，而</w:t>
      </w:r>
      <w:r>
        <w:rPr>
          <w:rFonts w:ascii="Times New Roman" w:hAnsi="Times New Roman" w:cs="Times New Roman" w:eastAsia="Times New Roman" w:hint="default"/>
          <w:spacing w:val="-4"/>
        </w:rPr>
        <w:t>LED</w:t>
      </w:r>
      <w:r>
        <w:rPr>
          <w:spacing w:val="-4"/>
        </w:rPr>
        <w:t>产品价格又继续下降，将直接影响公司未来的经</w:t>
      </w:r>
      <w:r>
        <w:rPr>
          <w:spacing w:val="52"/>
        </w:rPr>
        <w:t> </w:t>
      </w:r>
      <w:r>
        <w:rPr>
          <w:spacing w:val="52"/>
        </w:rPr>
      </w:r>
      <w:r>
        <w:rPr>
          <w:spacing w:val="-3"/>
        </w:rPr>
        <w:t>营和盈利情况。</w:t>
      </w:r>
    </w:p>
    <w:p>
      <w:pPr>
        <w:pStyle w:val="BodyText"/>
        <w:spacing w:line="316" w:lineRule="auto" w:before="31"/>
        <w:ind w:left="153" w:right="205" w:firstLine="542"/>
        <w:jc w:val="both"/>
      </w:pPr>
      <w:r>
        <w:rPr>
          <w:spacing w:val="-5"/>
        </w:rPr>
        <w:t>采取的对策：公司通过提升服务质量、优先满足优质客户的产能需求等方式，大力开发业务稳定类客户的订单量，实</w:t>
      </w:r>
      <w:r>
        <w:rPr>
          <w:w w:val="101"/>
        </w:rPr>
        <w:t> </w:t>
      </w:r>
      <w:r>
        <w:rPr>
          <w:spacing w:val="-4"/>
        </w:rPr>
        <w:t>现客户结构优化，降低客户的订单风险；公司通过加强产品研发，提高产品科技含量，并逐步丰富产品线等方式，增强公司</w:t>
      </w:r>
      <w:r>
        <w:rPr>
          <w:spacing w:val="40"/>
        </w:rPr>
        <w:t> </w:t>
      </w:r>
      <w:r>
        <w:rPr>
          <w:spacing w:val="40"/>
        </w:rPr>
      </w:r>
      <w:r>
        <w:rPr>
          <w:spacing w:val="-3"/>
        </w:rPr>
        <w:t>产品的市场竞争力，提高产品的市场占有率。</w:t>
      </w:r>
    </w:p>
    <w:p>
      <w:pPr>
        <w:pStyle w:val="BodyText"/>
        <w:spacing w:line="300" w:lineRule="auto" w:before="19"/>
        <w:ind w:left="604" w:right="0"/>
        <w:jc w:val="left"/>
      </w:pPr>
      <w:r>
        <w:rPr>
          <w:rFonts w:ascii="Times New Roman" w:hAnsi="Times New Roman" w:cs="Times New Roman" w:eastAsia="Times New Roman" w:hint="default"/>
          <w:spacing w:val="-3"/>
        </w:rPr>
        <w:t>3</w:t>
      </w:r>
      <w:r>
        <w:rPr>
          <w:spacing w:val="-3"/>
        </w:rPr>
        <w:t>、新产品自主研发和推广以及主要产品更新换代的风险</w:t>
      </w:r>
      <w:r>
        <w:rPr>
          <w:spacing w:val="-12"/>
        </w:rPr>
        <w:t> </w:t>
      </w:r>
      <w:r>
        <w:rPr>
          <w:spacing w:val="-12"/>
        </w:rPr>
      </w:r>
      <w:r>
        <w:rPr>
          <w:spacing w:val="-3"/>
        </w:rPr>
        <w:t>公司的电子产品和</w:t>
      </w:r>
      <w:r>
        <w:rPr>
          <w:rFonts w:ascii="Times New Roman" w:hAnsi="Times New Roman" w:cs="Times New Roman" w:eastAsia="Times New Roman" w:hint="default"/>
          <w:spacing w:val="-3"/>
        </w:rPr>
        <w:t>LED</w:t>
      </w:r>
      <w:r>
        <w:rPr>
          <w:spacing w:val="-3"/>
        </w:rPr>
        <w:t>照明产品均具有技术更新换代较快、客户需求多样的特点，如果公司不能及时满足客户需求，</w:t>
      </w:r>
    </w:p>
    <w:p>
      <w:pPr>
        <w:pStyle w:val="BodyText"/>
        <w:spacing w:line="316" w:lineRule="auto" w:before="13"/>
        <w:ind w:left="153" w:right="205"/>
        <w:jc w:val="both"/>
      </w:pPr>
      <w:r>
        <w:rPr>
          <w:spacing w:val="-4"/>
        </w:rPr>
        <w:t>迅速拓展市场，将面临某类产品销量下降和产品利润率下滑的风险，此外，若公司的技术研发和产品升级换代不能及时把握</w:t>
      </w:r>
      <w:r>
        <w:rPr>
          <w:spacing w:val="43"/>
        </w:rPr>
        <w:t> </w:t>
      </w:r>
      <w:r>
        <w:rPr>
          <w:spacing w:val="43"/>
        </w:rPr>
      </w:r>
      <w:r>
        <w:rPr>
          <w:spacing w:val="-3"/>
        </w:rPr>
        <w:t>市场需求的变化或者新产品的销售低于预期，也将在一定程度上影响公司经营规模的扩大以及盈利能力的提升。</w:t>
      </w:r>
    </w:p>
    <w:p>
      <w:pPr>
        <w:pStyle w:val="BodyText"/>
        <w:spacing w:line="300" w:lineRule="auto" w:before="19"/>
        <w:ind w:left="153" w:right="0" w:firstLine="451"/>
        <w:jc w:val="left"/>
      </w:pPr>
      <w:r>
        <w:rPr>
          <w:spacing w:val="-3"/>
        </w:rPr>
        <w:t>采取的对策：一方面，公司将继续坚持</w:t>
      </w:r>
      <w:r>
        <w:rPr>
          <w:rFonts w:ascii="Times New Roman" w:hAnsi="Times New Roman" w:cs="Times New Roman" w:eastAsia="Times New Roman" w:hint="default"/>
          <w:spacing w:val="-3"/>
        </w:rPr>
        <w:t>“</w:t>
      </w:r>
      <w:r>
        <w:rPr>
          <w:spacing w:val="-3"/>
        </w:rPr>
        <w:t>以市场为导向</w:t>
      </w:r>
      <w:r>
        <w:rPr>
          <w:rFonts w:ascii="Times New Roman" w:hAnsi="Times New Roman" w:cs="Times New Roman" w:eastAsia="Times New Roman" w:hint="default"/>
          <w:spacing w:val="-3"/>
        </w:rPr>
        <w:t>”</w:t>
      </w:r>
      <w:r>
        <w:rPr>
          <w:spacing w:val="-3"/>
        </w:rPr>
        <w:t>的原则，不断加大研发投入，引进高端研发人才，加强消费类</w:t>
      </w:r>
      <w:r>
        <w:rPr>
          <w:w w:val="101"/>
        </w:rPr>
        <w:t> </w:t>
      </w:r>
      <w:r>
        <w:rPr>
          <w:spacing w:val="-3"/>
        </w:rPr>
        <w:t>电子的研发工作，以适应产品的更新需要；另一方面，在</w:t>
      </w:r>
      <w:r>
        <w:rPr>
          <w:rFonts w:ascii="Times New Roman" w:hAnsi="Times New Roman" w:cs="Times New Roman" w:eastAsia="Times New Roman" w:hint="default"/>
          <w:spacing w:val="-3"/>
        </w:rPr>
        <w:t>EMS</w:t>
      </w:r>
      <w:r>
        <w:rPr>
          <w:spacing w:val="-3"/>
        </w:rPr>
        <w:t>行业广泛涉及的通讯电子、医疗、安防等高端产品领域，公</w:t>
      </w:r>
      <w:r>
        <w:rPr>
          <w:spacing w:val="67"/>
        </w:rPr>
        <w:t> </w:t>
      </w:r>
      <w:r>
        <w:rPr>
          <w:spacing w:val="67"/>
        </w:rPr>
      </w:r>
      <w:r>
        <w:rPr>
          <w:spacing w:val="-3"/>
        </w:rPr>
        <w:t>司将不断拓宽业务范围，从而有效降低产品更新换代的风险。</w:t>
      </w:r>
    </w:p>
    <w:p>
      <w:pPr>
        <w:pStyle w:val="BodyText"/>
        <w:spacing w:line="300" w:lineRule="auto" w:before="31"/>
        <w:ind w:left="604" w:right="0"/>
        <w:jc w:val="left"/>
      </w:pPr>
      <w:r>
        <w:rPr>
          <w:rFonts w:ascii="Times New Roman" w:hAnsi="Times New Roman" w:cs="Times New Roman" w:eastAsia="Times New Roman" w:hint="default"/>
        </w:rPr>
        <w:t>4</w:t>
      </w:r>
      <w:r>
        <w:rPr/>
        <w:t>、应收账款坏账的风险</w:t>
      </w:r>
      <w:r>
        <w:rPr>
          <w:spacing w:val="-85"/>
        </w:rPr>
        <w:t> </w:t>
      </w:r>
      <w:r>
        <w:rPr>
          <w:spacing w:val="-85"/>
        </w:rPr>
      </w:r>
      <w:r>
        <w:rPr>
          <w:spacing w:val="-3"/>
        </w:rPr>
        <w:t>受国际经济环境疲软及产业结构调整的营销，存在因个别客户自身财务状况恶化或信用程度降低而导致应收款项无法</w:t>
      </w:r>
    </w:p>
    <w:p>
      <w:pPr>
        <w:pStyle w:val="BodyText"/>
        <w:spacing w:line="309" w:lineRule="auto" w:before="31"/>
        <w:ind w:left="153" w:right="205" w:hanging="1"/>
        <w:jc w:val="both"/>
      </w:pPr>
      <w:r>
        <w:rPr>
          <w:spacing w:val="-4"/>
        </w:rPr>
        <w:t>及时收回的风险。此外，随着公司</w:t>
      </w:r>
      <w:r>
        <w:rPr>
          <w:rFonts w:ascii="Times New Roman" w:hAnsi="Times New Roman" w:cs="Times New Roman" w:eastAsia="Times New Roman" w:hint="default"/>
          <w:spacing w:val="-4"/>
        </w:rPr>
        <w:t>LED</w:t>
      </w:r>
      <w:r>
        <w:rPr>
          <w:spacing w:val="-4"/>
        </w:rPr>
        <w:t>照明业务经营规模的扩大，应收账款规模也会相应增长，尤其</w:t>
      </w:r>
      <w:r>
        <w:rPr>
          <w:rFonts w:ascii="Times New Roman" w:hAnsi="Times New Roman" w:cs="Times New Roman" w:eastAsia="Times New Roman" w:hint="default"/>
          <w:spacing w:val="-4"/>
        </w:rPr>
        <w:t>LED</w:t>
      </w:r>
      <w:r>
        <w:rPr>
          <w:spacing w:val="-4"/>
        </w:rPr>
        <w:t>室内商业照明因属</w:t>
      </w:r>
      <w:r>
        <w:rPr>
          <w:spacing w:val="68"/>
        </w:rPr>
        <w:t> </w:t>
      </w:r>
      <w:r>
        <w:rPr>
          <w:spacing w:val="68"/>
        </w:rPr>
      </w:r>
      <w:r>
        <w:rPr>
          <w:spacing w:val="-4"/>
        </w:rPr>
        <w:t>于工程式的业务模式，生产周期及回款时间较长，信用风险会相应提高，如发生较大的坏账损失，将对公司的盈利水平造成</w:t>
      </w:r>
      <w:r>
        <w:rPr>
          <w:spacing w:val="40"/>
        </w:rPr>
        <w:t> </w:t>
      </w:r>
      <w:r>
        <w:rPr>
          <w:spacing w:val="40"/>
        </w:rPr>
      </w:r>
      <w:r>
        <w:rPr/>
        <w:t>不利影响。</w:t>
      </w:r>
    </w:p>
    <w:p>
      <w:pPr>
        <w:pStyle w:val="BodyText"/>
        <w:spacing w:line="316" w:lineRule="auto" w:before="24"/>
        <w:ind w:left="153" w:right="205" w:firstLine="451"/>
        <w:jc w:val="both"/>
      </w:pPr>
      <w:r>
        <w:rPr>
          <w:spacing w:val="-3"/>
        </w:rPr>
        <w:t>采取的对策：一方面，公司不断调整信用管理制度，以成本效益为原则完善公司的信用政策，并通过委托第三方进行</w:t>
      </w:r>
      <w:r>
        <w:rPr>
          <w:w w:val="101"/>
        </w:rPr>
        <w:t> </w:t>
      </w:r>
      <w:r>
        <w:rPr>
          <w:spacing w:val="-4"/>
        </w:rPr>
        <w:t>信用评估、购买信用保险等措施，不断降低公司的信用风险。另一方面，公司进一步发挥内部审计的监督作用，加强内部审</w:t>
      </w:r>
      <w:r>
        <w:rPr>
          <w:spacing w:val="40"/>
        </w:rPr>
        <w:t> </w:t>
      </w:r>
      <w:r>
        <w:rPr>
          <w:spacing w:val="40"/>
        </w:rPr>
      </w:r>
      <w:r>
        <w:rPr>
          <w:spacing w:val="-4"/>
        </w:rPr>
        <w:t>计，重视审计人员的意见和建议。最后，公司还不断调整对销售管理人员绩效考核的指标，将销售效果、账款回收情况等指</w:t>
      </w:r>
      <w:r>
        <w:rPr>
          <w:spacing w:val="40"/>
        </w:rPr>
        <w:t> </w:t>
      </w:r>
      <w:r>
        <w:rPr>
          <w:spacing w:val="40"/>
        </w:rPr>
      </w:r>
      <w:r>
        <w:rPr>
          <w:spacing w:val="-3"/>
        </w:rPr>
        <w:t>标均纳入评价体系，强化销售人员的责任和风险意识。</w:t>
      </w:r>
    </w:p>
    <w:p>
      <w:pPr>
        <w:pStyle w:val="BodyText"/>
        <w:spacing w:line="300" w:lineRule="auto" w:before="19"/>
        <w:ind w:left="604" w:right="0"/>
        <w:jc w:val="left"/>
      </w:pPr>
      <w:r>
        <w:rPr>
          <w:rFonts w:ascii="Times New Roman" w:hAnsi="Times New Roman" w:cs="Times New Roman" w:eastAsia="Times New Roman" w:hint="default"/>
        </w:rPr>
        <w:t>5</w:t>
      </w:r>
      <w:r>
        <w:rPr/>
        <w:t>、汇率波动的风险</w:t>
      </w:r>
      <w:r>
        <w:rPr>
          <w:spacing w:val="-85"/>
        </w:rPr>
        <w:t> </w:t>
      </w:r>
      <w:r>
        <w:rPr>
          <w:spacing w:val="-85"/>
        </w:rPr>
      </w:r>
      <w:r>
        <w:rPr>
          <w:spacing w:val="-3"/>
        </w:rPr>
        <w:t>公司销售和采购还有相当于一部分来源于境外市场，公司部分研发、生产及检测设备也需要从国外进口，公司外销收</w:t>
      </w:r>
    </w:p>
    <w:p>
      <w:pPr>
        <w:pStyle w:val="BodyText"/>
        <w:spacing w:line="316" w:lineRule="auto" w:before="31"/>
        <w:ind w:left="604" w:right="0" w:hanging="452"/>
        <w:jc w:val="left"/>
      </w:pPr>
      <w:r>
        <w:rPr>
          <w:spacing w:val="-3"/>
        </w:rPr>
        <w:t>入和采购结算主要以美元作为结算货币，如果人民币汇率发生较大变动，将会一定程度影响公司的经营业绩。</w:t>
      </w:r>
      <w:r>
        <w:rPr>
          <w:spacing w:val="49"/>
        </w:rPr>
        <w:t> </w:t>
      </w:r>
      <w:r>
        <w:rPr>
          <w:spacing w:val="49"/>
        </w:rPr>
      </w:r>
      <w:r>
        <w:rPr>
          <w:spacing w:val="-3"/>
        </w:rPr>
        <w:t>采取的对策：一方面公司通过开展合理的人民币远期外汇交易方式，降低汇兑损失的风险。另一方面公司不断加强对</w:t>
      </w:r>
    </w:p>
    <w:p>
      <w:pPr>
        <w:pStyle w:val="BodyText"/>
        <w:spacing w:line="240" w:lineRule="auto" w:before="19"/>
        <w:ind w:left="153" w:right="0"/>
        <w:jc w:val="both"/>
      </w:pPr>
      <w:r>
        <w:rPr>
          <w:spacing w:val="-4"/>
        </w:rPr>
        <w:t>国内市场的开发力度，并大力发展自主品牌产品，努力提高产品的附加值，降低对外销业务的依赖程度，以逐步降低汇率波</w:t>
      </w:r>
    </w:p>
    <w:p>
      <w:pPr>
        <w:spacing w:after="0" w:line="240" w:lineRule="auto"/>
        <w:jc w:val="both"/>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t>动的风险。</w:t>
      </w:r>
    </w:p>
    <w:p>
      <w:pPr>
        <w:pStyle w:val="BodyText"/>
        <w:spacing w:line="300" w:lineRule="auto" w:before="76"/>
        <w:ind w:left="604" w:right="0"/>
        <w:jc w:val="left"/>
      </w:pPr>
      <w:r>
        <w:rPr>
          <w:rFonts w:ascii="Times New Roman" w:hAnsi="Times New Roman" w:cs="Times New Roman" w:eastAsia="Times New Roman" w:hint="default"/>
        </w:rPr>
        <w:t>6</w:t>
      </w:r>
      <w:r>
        <w:rPr/>
        <w:t>、产品质量控制的风险</w:t>
      </w:r>
      <w:r>
        <w:rPr>
          <w:spacing w:val="-85"/>
        </w:rPr>
        <w:t> </w:t>
      </w:r>
      <w:r>
        <w:rPr>
          <w:spacing w:val="-85"/>
        </w:rPr>
      </w:r>
      <w:r>
        <w:rPr>
          <w:spacing w:val="-3"/>
        </w:rPr>
        <w:t>公司</w:t>
      </w:r>
      <w:r>
        <w:rPr>
          <w:rFonts w:ascii="Times New Roman" w:hAnsi="Times New Roman" w:cs="Times New Roman" w:eastAsia="Times New Roman" w:hint="default"/>
          <w:spacing w:val="-3"/>
        </w:rPr>
        <w:t>EMS</w:t>
      </w:r>
      <w:r>
        <w:rPr>
          <w:spacing w:val="-3"/>
        </w:rPr>
        <w:t>业务的主要客户均为国内外知名电子产品品牌商，</w:t>
      </w:r>
      <w:r>
        <w:rPr>
          <w:rFonts w:ascii="Times New Roman" w:hAnsi="Times New Roman" w:cs="Times New Roman" w:eastAsia="Times New Roman" w:hint="default"/>
          <w:spacing w:val="-3"/>
        </w:rPr>
        <w:t>LED</w:t>
      </w:r>
      <w:r>
        <w:rPr>
          <w:spacing w:val="-3"/>
        </w:rPr>
        <w:t>室内商业照明业务的客户也主要是大型连锁商超、酒</w:t>
      </w:r>
    </w:p>
    <w:p>
      <w:pPr>
        <w:pStyle w:val="BodyText"/>
        <w:spacing w:line="316" w:lineRule="auto" w:before="13"/>
        <w:ind w:left="153" w:right="0"/>
        <w:jc w:val="left"/>
      </w:pPr>
      <w:r>
        <w:rPr>
          <w:spacing w:val="-4"/>
        </w:rPr>
        <w:t>店等，客户对产品质量和市场返修率有相当严格的质量控制标准。虽然公司在行业内一直以品质优良赢得客户信赖，但如果</w:t>
      </w:r>
      <w:r>
        <w:rPr>
          <w:spacing w:val="43"/>
        </w:rPr>
        <w:t> </w:t>
      </w:r>
      <w:r>
        <w:rPr>
          <w:spacing w:val="43"/>
        </w:rPr>
      </w:r>
      <w:r>
        <w:rPr>
          <w:spacing w:val="-3"/>
        </w:rPr>
        <w:t>公司对产品质量控制不力，将会面临退货和质量索赔的风险。</w:t>
      </w:r>
    </w:p>
    <w:p>
      <w:pPr>
        <w:pStyle w:val="BodyText"/>
        <w:spacing w:line="309" w:lineRule="auto" w:before="19"/>
        <w:ind w:left="153" w:right="0" w:firstLine="451"/>
        <w:jc w:val="left"/>
      </w:pPr>
      <w:r>
        <w:rPr>
          <w:spacing w:val="-4"/>
        </w:rPr>
        <w:t>采取的对策：公司一直将质量控制作为生产管理的核心之一，牢固树立</w:t>
      </w:r>
      <w:r>
        <w:rPr>
          <w:rFonts w:ascii="Times New Roman" w:hAnsi="Times New Roman" w:cs="Times New Roman" w:eastAsia="Times New Roman" w:hint="default"/>
          <w:spacing w:val="-4"/>
        </w:rPr>
        <w:t>“</w:t>
      </w:r>
      <w:r>
        <w:rPr>
          <w:spacing w:val="-4"/>
        </w:rPr>
        <w:t>遵守法规、持续改进、顾客满意</w:t>
      </w:r>
      <w:r>
        <w:rPr>
          <w:rFonts w:ascii="Times New Roman" w:hAnsi="Times New Roman" w:cs="Times New Roman" w:eastAsia="Times New Roman" w:hint="default"/>
          <w:spacing w:val="-4"/>
        </w:rPr>
        <w:t>”</w:t>
      </w:r>
      <w:r>
        <w:rPr>
          <w:spacing w:val="-4"/>
        </w:rPr>
        <w:t>的质量方针，</w:t>
      </w:r>
      <w:r>
        <w:rPr>
          <w:w w:val="101"/>
        </w:rPr>
        <w:t> </w:t>
      </w:r>
      <w:r>
        <w:rPr>
          <w:spacing w:val="-4"/>
        </w:rPr>
        <w:t>目前公司已建立了比较完善的产品研发和质量管理体系，公司还将继续通过加强供应商管理、生产过程监控、来料及出货检</w:t>
      </w:r>
      <w:r>
        <w:rPr>
          <w:spacing w:val="43"/>
        </w:rPr>
        <w:t> </w:t>
      </w:r>
      <w:r>
        <w:rPr>
          <w:spacing w:val="43"/>
        </w:rPr>
      </w:r>
      <w:r>
        <w:rPr>
          <w:spacing w:val="-3"/>
        </w:rPr>
        <w:t>验以及强化对一线员工的培训力度等措施，持续提高公司产品的质量，降低质量风险。</w:t>
      </w:r>
    </w:p>
    <w:p>
      <w:pPr>
        <w:pStyle w:val="BodyText"/>
        <w:spacing w:line="300" w:lineRule="auto" w:before="24"/>
        <w:ind w:left="604" w:right="0"/>
        <w:jc w:val="left"/>
      </w:pPr>
      <w:r>
        <w:rPr>
          <w:rFonts w:ascii="Times New Roman" w:hAnsi="Times New Roman" w:cs="Times New Roman" w:eastAsia="Times New Roman" w:hint="default"/>
          <w:spacing w:val="-3"/>
        </w:rPr>
        <w:t>7</w:t>
      </w:r>
      <w:r>
        <w:rPr>
          <w:spacing w:val="-3"/>
        </w:rPr>
        <w:t>、原材料价格波动的风险</w:t>
      </w:r>
      <w:r>
        <w:rPr>
          <w:spacing w:val="-52"/>
        </w:rPr>
        <w:t> </w:t>
      </w:r>
      <w:r>
        <w:rPr>
          <w:spacing w:val="-52"/>
        </w:rPr>
      </w:r>
      <w:r>
        <w:rPr>
          <w:spacing w:val="-3"/>
        </w:rPr>
        <w:t>公司经营的主要原材料为各类电子元件，包括芯片、灯珠、</w:t>
      </w:r>
      <w:r>
        <w:rPr>
          <w:rFonts w:ascii="Times New Roman" w:hAnsi="Times New Roman" w:cs="Times New Roman" w:eastAsia="Times New Roman" w:hint="default"/>
          <w:spacing w:val="-3"/>
        </w:rPr>
        <w:t>PCB</w:t>
      </w:r>
      <w:r>
        <w:rPr>
          <w:spacing w:val="-3"/>
        </w:rPr>
        <w:t>板等，占公司营业成本的比重较大，且公司原材料大</w:t>
      </w:r>
    </w:p>
    <w:p>
      <w:pPr>
        <w:pStyle w:val="BodyText"/>
        <w:spacing w:line="316" w:lineRule="auto" w:before="13"/>
        <w:ind w:left="604" w:right="0" w:hanging="452"/>
        <w:jc w:val="left"/>
      </w:pPr>
      <w:r>
        <w:rPr>
          <w:spacing w:val="-3"/>
        </w:rPr>
        <w:t>部分在境外采购，国际市场上电子元件价格波动将对公司的经营业绩造成一定影响。</w:t>
      </w:r>
      <w:r>
        <w:rPr>
          <w:spacing w:val="19"/>
        </w:rPr>
        <w:t> </w:t>
      </w:r>
      <w:r>
        <w:rPr>
          <w:spacing w:val="19"/>
        </w:rPr>
      </w:r>
      <w:r>
        <w:rPr>
          <w:spacing w:val="-4"/>
        </w:rPr>
        <w:t>采取的对策：一方面公司将继续完善采购管理程序和供应商管理机制，通过选择优质供应商并与其建立长期合作关系，</w:t>
      </w:r>
    </w:p>
    <w:p>
      <w:pPr>
        <w:pStyle w:val="BodyText"/>
        <w:spacing w:line="316" w:lineRule="auto" w:before="19"/>
        <w:ind w:left="153" w:right="0"/>
        <w:jc w:val="left"/>
      </w:pPr>
      <w:r>
        <w:rPr>
          <w:spacing w:val="-4"/>
        </w:rPr>
        <w:t>做到以规模化采购的优势换取更优惠的价格，进一步降低公司的采购成本。一方面公司还将继续加强技术研发力度，提高公</w:t>
      </w:r>
      <w:r>
        <w:rPr>
          <w:spacing w:val="43"/>
        </w:rPr>
        <w:t> </w:t>
      </w:r>
      <w:r>
        <w:rPr>
          <w:spacing w:val="43"/>
        </w:rPr>
      </w:r>
      <w:r>
        <w:rPr>
          <w:spacing w:val="-3"/>
        </w:rPr>
        <w:t>司产品的附加值，以技术创新降低生产成本，有效转嫁原材料价格波动的风险。</w:t>
      </w:r>
    </w:p>
    <w:p>
      <w:pPr>
        <w:spacing w:line="240" w:lineRule="auto" w:before="5"/>
        <w:rPr>
          <w:rFonts w:ascii="宋体" w:hAnsi="宋体" w:cs="宋体" w:eastAsia="宋体" w:hint="default"/>
          <w:sz w:val="14"/>
          <w:szCs w:val="14"/>
        </w:rPr>
      </w:pPr>
    </w:p>
    <w:p>
      <w:pPr>
        <w:pStyle w:val="Heading2"/>
        <w:spacing w:line="240" w:lineRule="auto"/>
        <w:ind w:right="0"/>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right="0"/>
        <w:jc w:val="left"/>
        <w:rPr>
          <w:b w:val="0"/>
          <w:bCs w:val="0"/>
        </w:rPr>
      </w:pPr>
      <w:r>
        <w:rPr/>
        <w:t>十、与上年度财务报告相比，会计政策、会计估计和核算方法发生变化的情况说明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6"/>
        <w:ind w:left="575" w:right="0"/>
        <w:jc w:val="left"/>
      </w:pPr>
      <w:r>
        <w:rPr/>
        <w:t>1. </w:t>
      </w:r>
      <w:r>
        <w:rPr>
          <w:spacing w:val="3"/>
        </w:rPr>
        <w:t> </w:t>
      </w:r>
      <w:r>
        <w:rPr/>
        <w:t>会计政策变更</w:t>
      </w:r>
    </w:p>
    <w:p>
      <w:pPr>
        <w:pStyle w:val="BodyText"/>
        <w:spacing w:line="316" w:lineRule="auto" w:before="76"/>
        <w:ind w:left="153" w:right="205" w:firstLine="451"/>
        <w:jc w:val="both"/>
      </w:pPr>
      <w:r>
        <w:rPr>
          <w:spacing w:val="-4"/>
        </w:rPr>
        <w:t>2014年初，财政部分别以财会【2014】6号、7号、8号、10号、11号、14号及16号发布了《企业会计准则第39号——公</w:t>
      </w:r>
      <w:r>
        <w:rPr>
          <w:w w:val="101"/>
        </w:rPr>
        <w:t> </w:t>
      </w:r>
      <w:r>
        <w:rPr>
          <w:spacing w:val="-3"/>
        </w:rPr>
        <w:t>允价值计量》、《企业会计准则第30号——财务报表列报（2014年修订）》、《企业会计准则第9号——职工薪酬（2014年</w:t>
      </w:r>
      <w:r>
        <w:rPr>
          <w:spacing w:val="-2"/>
        </w:rPr>
        <w:t> </w:t>
      </w:r>
      <w:r>
        <w:rPr>
          <w:spacing w:val="-2"/>
        </w:rPr>
      </w:r>
      <w:r>
        <w:rPr>
          <w:spacing w:val="-4"/>
        </w:rPr>
        <w:t>修订）》、《企业会计准则第33号——合并财务报表（2014年修订）》、《企业会计准则第40号——合营安排》、《企业会</w:t>
      </w:r>
      <w:r>
        <w:rPr>
          <w:spacing w:val="51"/>
        </w:rPr>
        <w:t> </w:t>
      </w:r>
      <w:r>
        <w:rPr>
          <w:spacing w:val="51"/>
        </w:rPr>
      </w:r>
      <w:r>
        <w:rPr>
          <w:spacing w:val="-4"/>
        </w:rPr>
        <w:t>计准则第2号——长期股权投资（2014年修订）》及《企业会计准则第41号——在其他主体中权益的披露》，要求自2014年7</w:t>
      </w:r>
      <w:r>
        <w:rPr>
          <w:spacing w:val="64"/>
        </w:rPr>
        <w:t> </w:t>
      </w:r>
      <w:r>
        <w:rPr>
          <w:spacing w:val="64"/>
        </w:rPr>
      </w:r>
      <w:r>
        <w:rPr>
          <w:spacing w:val="-3"/>
        </w:rPr>
        <w:t>月1日起在所有执行企业会计准则的企业范围内施行，鼓励在境外上市的企业提前执行。同时，财政部以财会【2014】23号</w:t>
      </w:r>
      <w:r>
        <w:rPr>
          <w:spacing w:val="79"/>
        </w:rPr>
        <w:t> </w:t>
      </w:r>
      <w:r>
        <w:rPr>
          <w:spacing w:val="79"/>
        </w:rPr>
      </w:r>
      <w:r>
        <w:rPr>
          <w:spacing w:val="-4"/>
        </w:rPr>
        <w:t>发布了《企业会计准则第37号——金融工具列报（2014年修订）》（以下简称“金融工具列报准则”），要求在2014年年度</w:t>
      </w:r>
      <w:r>
        <w:rPr>
          <w:spacing w:val="60"/>
        </w:rPr>
        <w:t> </w:t>
      </w:r>
      <w:r>
        <w:rPr>
          <w:spacing w:val="60"/>
        </w:rPr>
      </w:r>
      <w:r>
        <w:rPr>
          <w:spacing w:val="-3"/>
        </w:rPr>
        <w:t>及以后期间的财务报告中按照该准则的要求对金融工具进行列报。</w:t>
      </w:r>
    </w:p>
    <w:p>
      <w:pPr>
        <w:pStyle w:val="BodyText"/>
        <w:spacing w:line="316" w:lineRule="auto" w:before="19"/>
        <w:ind w:left="153" w:right="0" w:firstLine="451"/>
        <w:jc w:val="left"/>
      </w:pPr>
      <w:r>
        <w:rPr>
          <w:spacing w:val="-4"/>
          <w:w w:val="101"/>
        </w:rPr>
        <w:t>本公司于2014年7月1日开始执行前述除金融工具列报准则以外的7项新颁布或修订的企业会计准则，在编制2014年年度</w:t>
      </w:r>
      <w:r>
        <w:rPr>
          <w:w w:val="101"/>
        </w:rPr>
        <w:t> </w:t>
      </w:r>
      <w:r>
        <w:rPr>
          <w:spacing w:val="-3"/>
        </w:rPr>
        <w:t>财务报告时开始执行金融工具列报准则，并根据各准则衔接要求进行了调整，对可比期间财务报表项目及金额的影响如下：</w:t>
      </w:r>
    </w:p>
    <w:tbl>
      <w:tblPr>
        <w:tblW w:w="0" w:type="auto"/>
        <w:jc w:val="left"/>
        <w:tblInd w:w="148" w:type="dxa"/>
        <w:tblLayout w:type="fixed"/>
        <w:tblCellMar>
          <w:top w:w="0" w:type="dxa"/>
          <w:left w:w="0" w:type="dxa"/>
          <w:bottom w:w="0" w:type="dxa"/>
          <w:right w:w="0" w:type="dxa"/>
        </w:tblCellMar>
        <w:tblLook w:val="01E0"/>
      </w:tblPr>
      <w:tblGrid>
        <w:gridCol w:w="1862"/>
        <w:gridCol w:w="2789"/>
        <w:gridCol w:w="2429"/>
        <w:gridCol w:w="2429"/>
      </w:tblGrid>
      <w:tr>
        <w:trPr>
          <w:trHeight w:val="422" w:hRule="exact"/>
        </w:trPr>
        <w:tc>
          <w:tcPr>
            <w:tcW w:w="1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566"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3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会计政策变更的内容及其对本公司</w:t>
            </w:r>
          </w:p>
        </w:tc>
        <w:tc>
          <w:tcPr>
            <w:tcW w:w="4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3"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年度相关财务报表项目的影响金额</w:t>
            </w:r>
          </w:p>
        </w:tc>
      </w:tr>
      <w:tr>
        <w:trPr>
          <w:trHeight w:val="422" w:hRule="exact"/>
        </w:trPr>
        <w:tc>
          <w:tcPr>
            <w:tcW w:w="1862" w:type="dxa"/>
            <w:tcBorders>
              <w:top w:val="nil" w:sz="6" w:space="0" w:color="auto"/>
              <w:left w:val="single" w:sz="4" w:space="0" w:color="000000"/>
              <w:bottom w:val="single" w:sz="4" w:space="0" w:color="000000"/>
              <w:right w:val="single" w:sz="4" w:space="0" w:color="000000"/>
            </w:tcBorders>
          </w:tcPr>
          <w:p>
            <w:pP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5" w:right="0"/>
              <w:jc w:val="center"/>
              <w:rPr>
                <w:rFonts w:ascii="宋体" w:hAnsi="宋体" w:cs="宋体" w:eastAsia="宋体" w:hint="default"/>
                <w:sz w:val="18"/>
                <w:szCs w:val="18"/>
              </w:rPr>
            </w:pPr>
            <w:r>
              <w:rPr>
                <w:rFonts w:ascii="宋体" w:hAnsi="宋体" w:cs="宋体" w:eastAsia="宋体" w:hint="default"/>
                <w:sz w:val="18"/>
                <w:szCs w:val="18"/>
              </w:rPr>
              <w:t>的影响说明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22" w:hRule="exact"/>
        </w:trPr>
        <w:tc>
          <w:tcPr>
            <w:tcW w:w="1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758,333.33</w:t>
            </w:r>
          </w:p>
        </w:tc>
      </w:tr>
      <w:tr>
        <w:trPr>
          <w:trHeight w:val="261" w:hRule="exact"/>
        </w:trPr>
        <w:tc>
          <w:tcPr>
            <w:tcW w:w="1862"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财务报表列报（</w:t>
            </w:r>
            <w:r>
              <w:rPr>
                <w:rFonts w:ascii="Times New Roman" w:hAnsi="Times New Roman" w:cs="Times New Roman" w:eastAsia="Times New Roman" w:hint="default"/>
                <w:spacing w:val="5"/>
                <w:sz w:val="18"/>
                <w:szCs w:val="18"/>
              </w:rPr>
              <w:t>2014</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4" w:right="0"/>
              <w:jc w:val="left"/>
              <w:rPr>
                <w:rFonts w:ascii="宋体" w:hAnsi="宋体" w:cs="宋体" w:eastAsia="宋体" w:hint="default"/>
                <w:sz w:val="18"/>
                <w:szCs w:val="18"/>
              </w:rPr>
            </w:pPr>
            <w:r>
              <w:rPr>
                <w:rFonts w:ascii="宋体" w:hAnsi="宋体" w:cs="宋体" w:eastAsia="宋体" w:hint="default"/>
                <w:sz w:val="18"/>
                <w:szCs w:val="18"/>
              </w:rPr>
              <w:t>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年修订）》及应</w:t>
            </w:r>
          </w:p>
        </w:tc>
        <w:tc>
          <w:tcPr>
            <w:tcW w:w="2429" w:type="dxa"/>
            <w:vMerge w:val="restart"/>
            <w:tcBorders>
              <w:top w:val="single" w:sz="4" w:space="0" w:color="000000"/>
              <w:left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29" w:type="dxa"/>
            <w:vMerge w:val="restart"/>
            <w:tcBorders>
              <w:top w:val="single" w:sz="4" w:space="0" w:color="000000"/>
              <w:left w:val="single" w:sz="4" w:space="0" w:color="000000"/>
              <w:right w:val="single" w:sz="4" w:space="0" w:color="000000"/>
            </w:tcBorders>
          </w:tcPr>
          <w:p>
            <w:pPr>
              <w:pStyle w:val="TableParagraph"/>
              <w:spacing w:line="240" w:lineRule="auto" w:before="105"/>
              <w:ind w:left="1545" w:right="0"/>
              <w:jc w:val="left"/>
              <w:rPr>
                <w:rFonts w:ascii="Times New Roman" w:hAnsi="Times New Roman" w:cs="Times New Roman" w:eastAsia="Times New Roman" w:hint="default"/>
                <w:sz w:val="18"/>
                <w:szCs w:val="18"/>
              </w:rPr>
            </w:pPr>
            <w:r>
              <w:rPr>
                <w:rFonts w:ascii="Times New Roman"/>
                <w:spacing w:val="-1"/>
                <w:sz w:val="18"/>
              </w:rPr>
              <w:t>-758,333.33</w:t>
            </w:r>
          </w:p>
        </w:tc>
      </w:tr>
      <w:tr>
        <w:trPr>
          <w:trHeight w:val="363" w:hRule="exact"/>
        </w:trPr>
        <w:tc>
          <w:tcPr>
            <w:tcW w:w="1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年修订）》</w:t>
            </w: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用指南的相关规定</w:t>
            </w:r>
          </w:p>
        </w:tc>
        <w:tc>
          <w:tcPr>
            <w:tcW w:w="2429" w:type="dxa"/>
            <w:vMerge/>
            <w:tcBorders>
              <w:left w:val="single" w:sz="4" w:space="0" w:color="000000"/>
              <w:bottom w:val="single" w:sz="4" w:space="0" w:color="000000"/>
              <w:right w:val="single" w:sz="4" w:space="0" w:color="000000"/>
            </w:tcBorders>
          </w:tcPr>
          <w:p>
            <w:pPr/>
          </w:p>
        </w:tc>
        <w:tc>
          <w:tcPr>
            <w:tcW w:w="2429" w:type="dxa"/>
            <w:vMerge/>
            <w:tcBorders>
              <w:left w:val="single" w:sz="4" w:space="0" w:color="000000"/>
              <w:bottom w:val="single" w:sz="4" w:space="0" w:color="000000"/>
              <w:right w:val="single" w:sz="4" w:space="0" w:color="000000"/>
            </w:tcBorders>
          </w:tcPr>
          <w:p>
            <w:pPr/>
          </w:p>
        </w:tc>
      </w:tr>
      <w:tr>
        <w:trPr>
          <w:trHeight w:val="422" w:hRule="exact"/>
        </w:trPr>
        <w:tc>
          <w:tcPr>
            <w:tcW w:w="1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号</w:t>
            </w: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4"/>
                <w:sz w:val="18"/>
                <w:szCs w:val="18"/>
              </w:rPr>
              <w:t>按照《企业会计准则第</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长期</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61" w:hRule="exact"/>
        </w:trPr>
        <w:tc>
          <w:tcPr>
            <w:tcW w:w="1862" w:type="dxa"/>
            <w:tcBorders>
              <w:top w:val="nil" w:sz="6" w:space="0" w:color="auto"/>
              <w:left w:val="single" w:sz="4" w:space="0" w:color="000000"/>
              <w:bottom w:val="nil" w:sz="6" w:space="0" w:color="auto"/>
              <w:right w:val="single" w:sz="4" w:space="0" w:color="000000"/>
            </w:tcBorders>
          </w:tcPr>
          <w:p>
            <w:pPr>
              <w:pStyle w:val="TableParagraph"/>
              <w:spacing w:line="202" w:lineRule="exact"/>
              <w:ind w:right="-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长期股权投资</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4" w:right="0"/>
              <w:jc w:val="left"/>
              <w:rPr>
                <w:rFonts w:ascii="宋体" w:hAnsi="宋体" w:cs="宋体" w:eastAsia="宋体" w:hint="default"/>
                <w:sz w:val="18"/>
                <w:szCs w:val="18"/>
              </w:rPr>
            </w:pPr>
            <w:r>
              <w:rPr>
                <w:rFonts w:ascii="宋体" w:hAnsi="宋体" w:cs="宋体" w:eastAsia="宋体" w:hint="default"/>
                <w:sz w:val="18"/>
                <w:szCs w:val="18"/>
              </w:rPr>
              <w:t>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年修订）》及应用</w:t>
            </w:r>
          </w:p>
        </w:tc>
        <w:tc>
          <w:tcPr>
            <w:tcW w:w="2429" w:type="dxa"/>
            <w:vMerge w:val="restart"/>
            <w:tcBorders>
              <w:top w:val="single" w:sz="4" w:space="0" w:color="000000"/>
              <w:left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9" w:type="dxa"/>
            <w:vMerge w:val="restart"/>
            <w:tcBorders>
              <w:top w:val="single" w:sz="4" w:space="0" w:color="000000"/>
              <w:left w:val="single" w:sz="4" w:space="0" w:color="000000"/>
              <w:right w:val="single" w:sz="4" w:space="0" w:color="000000"/>
            </w:tcBorders>
          </w:tcPr>
          <w:p>
            <w:pPr>
              <w:pStyle w:val="TableParagraph"/>
              <w:spacing w:line="240" w:lineRule="auto" w:before="105"/>
              <w:ind w:left="1411" w:right="0"/>
              <w:jc w:val="left"/>
              <w:rPr>
                <w:rFonts w:ascii="Times New Roman" w:hAnsi="Times New Roman" w:cs="Times New Roman" w:eastAsia="Times New Roman" w:hint="default"/>
                <w:sz w:val="18"/>
                <w:szCs w:val="18"/>
              </w:rPr>
            </w:pPr>
            <w:r>
              <w:rPr>
                <w:rFonts w:ascii="Times New Roman"/>
                <w:spacing w:val="-1"/>
                <w:sz w:val="18"/>
              </w:rPr>
              <w:t>-3,000,000.00</w:t>
            </w:r>
          </w:p>
        </w:tc>
      </w:tr>
      <w:tr>
        <w:trPr>
          <w:trHeight w:val="363" w:hRule="exact"/>
        </w:trPr>
        <w:tc>
          <w:tcPr>
            <w:tcW w:w="1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年修订）》</w:t>
            </w: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3"/>
                <w:sz w:val="18"/>
                <w:szCs w:val="18"/>
              </w:rPr>
              <w:t>指南的相关规定</w:t>
            </w:r>
          </w:p>
        </w:tc>
        <w:tc>
          <w:tcPr>
            <w:tcW w:w="2429" w:type="dxa"/>
            <w:vMerge/>
            <w:tcBorders>
              <w:left w:val="single" w:sz="4" w:space="0" w:color="000000"/>
              <w:bottom w:val="single" w:sz="4" w:space="0" w:color="000000"/>
              <w:right w:val="single" w:sz="4" w:space="0" w:color="000000"/>
            </w:tcBorders>
          </w:tcPr>
          <w:p>
            <w:pPr/>
          </w:p>
        </w:tc>
        <w:tc>
          <w:tcPr>
            <w:tcW w:w="2429" w:type="dxa"/>
            <w:vMerge/>
            <w:tcBorders>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6"/>
          <w:szCs w:val="6"/>
        </w:rPr>
      </w:pPr>
    </w:p>
    <w:p>
      <w:pPr>
        <w:pStyle w:val="BodyText"/>
        <w:spacing w:line="300" w:lineRule="auto" w:before="46"/>
        <w:ind w:right="0" w:firstLine="422"/>
        <w:jc w:val="left"/>
      </w:pPr>
      <w:r>
        <w:rPr>
          <w:spacing w:val="-3"/>
        </w:rPr>
        <w:t>本次会计政策变更，仅对上述财务报表项目列示产生影响，对公司</w:t>
      </w:r>
      <w:r>
        <w:rPr>
          <w:rFonts w:ascii="Times New Roman" w:hAnsi="Times New Roman" w:cs="Times New Roman" w:eastAsia="Times New Roman" w:hint="default"/>
          <w:spacing w:val="-3"/>
        </w:rPr>
        <w:t>2013</w:t>
      </w:r>
      <w:r>
        <w:rPr>
          <w:spacing w:val="-3"/>
        </w:rPr>
        <w:t>年末资产总额、负债总额和净资产以及</w:t>
      </w:r>
      <w:r>
        <w:rPr>
          <w:rFonts w:ascii="Times New Roman" w:hAnsi="Times New Roman" w:cs="Times New Roman" w:eastAsia="Times New Roman" w:hint="default"/>
          <w:spacing w:val="-3"/>
        </w:rPr>
        <w:t>2013</w:t>
      </w:r>
      <w:r>
        <w:rPr>
          <w:spacing w:val="-3"/>
        </w:rPr>
        <w:t>年</w:t>
      </w:r>
      <w:r>
        <w:rPr>
          <w:w w:val="101"/>
        </w:rPr>
        <w:t> </w:t>
      </w:r>
      <w:r>
        <w:rPr/>
        <w:t>度净利润未产生影响。</w:t>
      </w:r>
    </w:p>
    <w:p>
      <w:pPr>
        <w:pStyle w:val="BodyText"/>
        <w:spacing w:line="240" w:lineRule="auto" w:before="31"/>
        <w:ind w:left="445" w:right="0"/>
        <w:jc w:val="left"/>
      </w:pPr>
      <w:r>
        <w:rPr>
          <w:rFonts w:ascii="Times New Roman" w:hAnsi="Times New Roman" w:cs="Times New Roman" w:eastAsia="Times New Roman" w:hint="default"/>
          <w:spacing w:val="-3"/>
        </w:rPr>
        <w:t>2.</w:t>
      </w:r>
      <w:r>
        <w:rPr>
          <w:spacing w:val="-3"/>
        </w:rPr>
        <w:t>会计估计及核算方法变更</w:t>
      </w:r>
    </w:p>
    <w:p>
      <w:pPr>
        <w:spacing w:after="0" w:line="24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240" w:lineRule="auto" w:before="46"/>
        <w:ind w:left="575" w:right="0"/>
        <w:jc w:val="left"/>
      </w:pPr>
      <w:r>
        <w:rPr>
          <w:spacing w:val="-3"/>
        </w:rPr>
        <w:t>本报告期主要会计估计及核算方法未发生变更。</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十一、报告期内发生重大会计差错更正需追溯重述的情况说明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43" w:lineRule="auto"/>
        <w:ind w:right="5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pStyle w:val="Heading2"/>
        <w:spacing w:line="240" w:lineRule="auto" w:before="160"/>
        <w:ind w:right="0"/>
        <w:jc w:val="left"/>
        <w:rPr>
          <w:b w:val="0"/>
          <w:bCs w:val="0"/>
        </w:rPr>
      </w:pPr>
      <w:r>
        <w:rPr/>
        <w:t>十二、与上年度财务报告相比，合并报表范围发生变化的情况说明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Heading5"/>
        <w:spacing w:line="290" w:lineRule="auto"/>
        <w:ind w:right="0"/>
        <w:jc w:val="left"/>
      </w:pPr>
      <w:r>
        <w:rPr>
          <w:rFonts w:ascii="Times New Roman" w:hAnsi="Times New Roman" w:cs="Times New Roman" w:eastAsia="Times New Roman" w:hint="default"/>
          <w:sz w:val="18"/>
          <w:szCs w:val="18"/>
        </w:rPr>
        <w:t>√ </w:t>
      </w:r>
      <w:r>
        <w:rPr>
          <w:spacing w:val="-3"/>
          <w:sz w:val="18"/>
          <w:szCs w:val="18"/>
        </w:rPr>
        <w:t>适用 </w:t>
      </w:r>
      <w:r>
        <w:rPr>
          <w:rFonts w:ascii="Times New Roman" w:hAnsi="Times New Roman" w:cs="Times New Roman" w:eastAsia="Times New Roman" w:hint="default"/>
          <w:sz w:val="18"/>
          <w:szCs w:val="18"/>
        </w:rPr>
        <w:t>□ </w:t>
      </w:r>
      <w:r>
        <w:rPr>
          <w:sz w:val="18"/>
          <w:szCs w:val="18"/>
        </w:rPr>
        <w:t>不适用</w:t>
      </w:r>
      <w:r>
        <w:rPr>
          <w:spacing w:val="-79"/>
          <w:sz w:val="18"/>
          <w:szCs w:val="18"/>
        </w:rPr>
        <w:t> </w:t>
      </w:r>
      <w:r>
        <w:rPr>
          <w:spacing w:val="-79"/>
          <w:sz w:val="18"/>
          <w:szCs w:val="18"/>
        </w:rPr>
      </w:r>
      <w:r>
        <w:rPr>
          <w:spacing w:val="-2"/>
        </w:rPr>
        <w:t>报告期内，公司新投资设立深圳前海实益达投资发展有限公司和无锡实益达照明科技有限公司，并纳入合</w:t>
      </w:r>
      <w:r>
        <w:rPr>
          <w:spacing w:val="-33"/>
        </w:rPr>
        <w:t> </w:t>
      </w:r>
      <w:r>
        <w:rPr>
          <w:spacing w:val="-33"/>
        </w:rPr>
      </w:r>
      <w:r>
        <w:rPr/>
        <w:t>并报表范围：</w:t>
      </w:r>
    </w:p>
    <w:p>
      <w:pPr>
        <w:pStyle w:val="BodyText"/>
        <w:spacing w:line="300" w:lineRule="auto" w:before="18"/>
        <w:ind w:left="153" w:right="0" w:hanging="1"/>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27</w:t>
      </w:r>
      <w:r>
        <w:rPr>
          <w:spacing w:val="-4"/>
        </w:rPr>
        <w:t>日，公司与子公司无锡实益达电子在无锡市共同投资设立了全资子公司无锡实益达照明科技有限公司，注</w:t>
      </w:r>
      <w:r>
        <w:rPr>
          <w:spacing w:val="59"/>
        </w:rPr>
        <w:t> </w:t>
      </w:r>
      <w:r>
        <w:rPr>
          <w:spacing w:val="59"/>
        </w:rPr>
      </w:r>
      <w:r>
        <w:rPr>
          <w:spacing w:val="-3"/>
        </w:rPr>
        <w:t>册资本为人民币</w:t>
      </w:r>
      <w:r>
        <w:rPr>
          <w:rFonts w:ascii="Times New Roman" w:hAnsi="Times New Roman" w:cs="Times New Roman" w:eastAsia="Times New Roman" w:hint="default"/>
          <w:spacing w:val="-3"/>
        </w:rPr>
        <w:t>2600</w:t>
      </w:r>
      <w:r>
        <w:rPr>
          <w:spacing w:val="-3"/>
        </w:rPr>
        <w:t>万元，并取得了无锡工商行政管理局新区分局颁发的《营业执照》。</w:t>
      </w:r>
    </w:p>
    <w:p>
      <w:pPr>
        <w:pStyle w:val="BodyText"/>
        <w:spacing w:line="300" w:lineRule="auto" w:before="13"/>
        <w:ind w:left="153" w:right="145" w:hanging="1"/>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22</w:t>
      </w:r>
      <w:r>
        <w:rPr>
          <w:spacing w:val="-4"/>
        </w:rPr>
        <w:t>日，公司与关联公司深圳前海知了投资管理有限公司共同在深圳前海投资设立了深圳前海实益达投资发展</w:t>
      </w:r>
      <w:r>
        <w:rPr>
          <w:spacing w:val="54"/>
        </w:rPr>
        <w:t> </w:t>
      </w:r>
      <w:r>
        <w:rPr>
          <w:spacing w:val="54"/>
        </w:rPr>
      </w:r>
      <w:r>
        <w:rPr>
          <w:spacing w:val="-4"/>
        </w:rPr>
        <w:t>有限公司，注册资本为人民币</w:t>
      </w:r>
      <w:r>
        <w:rPr>
          <w:rFonts w:ascii="Times New Roman" w:hAnsi="Times New Roman" w:cs="Times New Roman" w:eastAsia="Times New Roman" w:hint="default"/>
          <w:spacing w:val="-4"/>
        </w:rPr>
        <w:t>1000</w:t>
      </w:r>
      <w:r>
        <w:rPr>
          <w:spacing w:val="-4"/>
        </w:rPr>
        <w:t>万元，并取得了深圳市市场监督管理局颁发的《企业法人营业执照》，公司持有其</w:t>
      </w:r>
      <w:r>
        <w:rPr>
          <w:rFonts w:ascii="Times New Roman" w:hAnsi="Times New Roman" w:cs="Times New Roman" w:eastAsia="Times New Roman" w:hint="default"/>
          <w:spacing w:val="-4"/>
        </w:rPr>
        <w:t>75%</w:t>
      </w:r>
      <w:r>
        <w:rPr>
          <w:spacing w:val="-4"/>
        </w:rPr>
        <w:t>的</w:t>
      </w:r>
      <w:r>
        <w:rPr>
          <w:spacing w:val="80"/>
        </w:rPr>
        <w:t> </w:t>
      </w:r>
      <w:r>
        <w:rPr/>
        <w:t>股份。</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十三、公司利润分配及分红派息情况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报告期内利润分配政策的制定、执行或调整情况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7" w:lineRule="auto" w:before="96"/>
        <w:ind w:left="153" w:right="145" w:firstLine="451"/>
        <w:jc w:val="both"/>
      </w:pPr>
      <w:r>
        <w:rPr>
          <w:spacing w:val="-3"/>
        </w:rPr>
        <w:t>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7</w:t>
      </w:r>
      <w:r>
        <w:rPr>
          <w:spacing w:val="-3"/>
        </w:rPr>
        <w:t>日召开</w:t>
      </w:r>
      <w:r>
        <w:rPr>
          <w:rFonts w:ascii="Times New Roman" w:hAnsi="Times New Roman" w:cs="Times New Roman" w:eastAsia="Times New Roman" w:hint="default"/>
          <w:spacing w:val="-3"/>
        </w:rPr>
        <w:t>2014</w:t>
      </w:r>
      <w:r>
        <w:rPr>
          <w:spacing w:val="-3"/>
        </w:rPr>
        <w:t>年度第二次临时股东大会审议通过《关于修订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的议案》，根据中国证券监督管</w:t>
      </w:r>
      <w:r>
        <w:rPr>
          <w:w w:val="101"/>
        </w:rPr>
        <w:t> </w:t>
      </w:r>
      <w:r>
        <w:rPr/>
        <w:t>理委员会公告（</w:t>
      </w:r>
      <w:r>
        <w:rPr>
          <w:rFonts w:ascii="Times New Roman" w:hAnsi="Times New Roman" w:cs="Times New Roman" w:eastAsia="Times New Roman" w:hint="default"/>
        </w:rPr>
        <w:t>[2013 </w:t>
      </w:r>
      <w:r>
        <w:rPr>
          <w:rFonts w:ascii="Times New Roman" w:hAnsi="Times New Roman" w:cs="Times New Roman" w:eastAsia="Times New Roman" w:hint="default"/>
          <w:spacing w:val="-3"/>
        </w:rPr>
        <w:t>]43</w:t>
      </w:r>
      <w:r>
        <w:rPr>
          <w:spacing w:val="-3"/>
        </w:rPr>
        <w:t>号）《上市公司监管指引第</w:t>
      </w:r>
      <w:r>
        <w:rPr>
          <w:rFonts w:ascii="Times New Roman" w:hAnsi="Times New Roman" w:cs="Times New Roman" w:eastAsia="Times New Roman" w:hint="default"/>
          <w:spacing w:val="-3"/>
        </w:rPr>
        <w:t>3</w:t>
      </w:r>
      <w:r>
        <w:rPr>
          <w:spacing w:val="-3"/>
        </w:rPr>
        <w:t>号</w:t>
      </w:r>
      <w:r>
        <w:rPr>
          <w:rFonts w:ascii="Times New Roman" w:hAnsi="Times New Roman" w:cs="Times New Roman" w:eastAsia="Times New Roman" w:hint="default"/>
          <w:spacing w:val="-3"/>
        </w:rPr>
        <w:t>——</w:t>
      </w:r>
      <w:r>
        <w:rPr>
          <w:spacing w:val="-3"/>
        </w:rPr>
        <w:t>上市公司现金分红》等文件的要求，并结合公司的实际情况，</w:t>
      </w:r>
      <w:r>
        <w:rPr>
          <w:spacing w:val="-6"/>
        </w:rPr>
        <w:t> </w:t>
      </w:r>
      <w:r>
        <w:rPr>
          <w:spacing w:val="-6"/>
        </w:rPr>
      </w:r>
      <w:r>
        <w:rPr>
          <w:spacing w:val="-4"/>
        </w:rPr>
        <w:t>对《公司章程》中有关利润分配政策的条款进行了修订，主要明确了现金分红的优先序位，以及规定了差异化现金分红政策</w:t>
      </w:r>
      <w:r>
        <w:rPr>
          <w:spacing w:val="42"/>
        </w:rPr>
        <w:t> </w:t>
      </w:r>
      <w:r>
        <w:rPr>
          <w:spacing w:val="42"/>
        </w:rPr>
      </w:r>
      <w:r>
        <w:rPr>
          <w:spacing w:val="-3"/>
        </w:rPr>
        <w:t>的相关规定，详见公司于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w:t>
      </w:r>
      <w:r>
        <w:rPr>
          <w:spacing w:val="-3"/>
        </w:rPr>
        <w:t>日刊载于巨潮资讯网的《</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修订对照表》</w:t>
      </w: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65"/>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65"/>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0"/>
        <w:ind w:right="0"/>
        <w:jc w:val="left"/>
      </w:pPr>
      <w:r>
        <w:rPr/>
        <w:t>公司近 </w:t>
      </w: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spacing w:val="-3"/>
        </w:rPr>
        <w:t>年（含报告期）的利润分配预案或方案及资本公积金转增股本预案或方案情况</w:t>
      </w:r>
    </w:p>
    <w:p>
      <w:pPr>
        <w:pStyle w:val="BodyText"/>
        <w:spacing w:line="300" w:lineRule="auto" w:before="101"/>
        <w:ind w:left="513" w:right="0" w:hanging="36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年度利润分配预案</w:t>
      </w:r>
      <w:r>
        <w:rPr>
          <w:spacing w:val="-85"/>
        </w:rPr>
        <w:t> </w:t>
      </w:r>
      <w:r>
        <w:rPr>
          <w:spacing w:val="-85"/>
        </w:rPr>
      </w:r>
      <w:r>
        <w:rPr>
          <w:spacing w:val="-4"/>
        </w:rPr>
        <w:t>鉴于公司2014年末可供分配的利润为负，不具备向股东现金分红条件，故公司2014年度不派发现金红利，不送红股，同</w:t>
      </w:r>
    </w:p>
    <w:p>
      <w:pPr>
        <w:pStyle w:val="BodyText"/>
        <w:spacing w:line="240" w:lineRule="auto" w:before="31"/>
        <w:ind w:left="153" w:right="0"/>
        <w:jc w:val="left"/>
      </w:pPr>
      <w:r>
        <w:rPr>
          <w:spacing w:val="-3"/>
        </w:rPr>
        <w:t>时不以资本公积转增股本。</w:t>
      </w:r>
    </w:p>
    <w:p>
      <w:pPr>
        <w:pStyle w:val="BodyText"/>
        <w:spacing w:line="300" w:lineRule="auto" w:before="76"/>
        <w:ind w:left="513" w:right="0" w:hanging="36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年度利润分配方案</w:t>
      </w:r>
      <w:r>
        <w:rPr>
          <w:spacing w:val="-85"/>
        </w:rPr>
        <w:t> </w:t>
      </w:r>
      <w:r>
        <w:rPr>
          <w:spacing w:val="-85"/>
        </w:rPr>
      </w:r>
      <w:r>
        <w:rPr>
          <w:spacing w:val="-4"/>
        </w:rPr>
        <w:t>鉴于公司2013年末可供分配的利润为负，不具备向股东现金分红条件，故公司2013年度不派发现金红利，不送红股，同</w:t>
      </w:r>
    </w:p>
    <w:p>
      <w:pPr>
        <w:spacing w:after="0" w:line="300" w:lineRule="auto"/>
        <w:jc w:val="left"/>
        <w:sectPr>
          <w:footerReference w:type="default" r:id="rId13"/>
          <w:pgSz w:w="11910" w:h="16840"/>
          <w:pgMar w:footer="979" w:header="741" w:top="1060" w:bottom="1160" w:left="980" w:right="980"/>
          <w:pgNumType w:start="27"/>
        </w:sectPr>
      </w:pPr>
    </w:p>
    <w:p>
      <w:pPr>
        <w:spacing w:line="240" w:lineRule="auto" w:before="1"/>
        <w:rPr>
          <w:rFonts w:ascii="宋体" w:hAnsi="宋体" w:cs="宋体" w:eastAsia="宋体" w:hint="default"/>
          <w:sz w:val="26"/>
          <w:szCs w:val="26"/>
        </w:rPr>
      </w:pPr>
    </w:p>
    <w:p>
      <w:pPr>
        <w:pStyle w:val="BodyText"/>
        <w:spacing w:line="240" w:lineRule="auto" w:before="46"/>
        <w:ind w:right="173"/>
        <w:jc w:val="left"/>
      </w:pPr>
      <w:r>
        <w:rPr>
          <w:spacing w:val="-3"/>
        </w:rPr>
        <w:t>时不以资本公积转增股本。</w:t>
      </w:r>
    </w:p>
    <w:p>
      <w:pPr>
        <w:pStyle w:val="BodyText"/>
        <w:spacing w:line="300" w:lineRule="auto" w:before="76"/>
        <w:ind w:left="513" w:right="173" w:hanging="36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年度利润分配方案</w:t>
      </w:r>
      <w:r>
        <w:rPr>
          <w:spacing w:val="-85"/>
        </w:rPr>
        <w:t> </w:t>
      </w:r>
      <w:r>
        <w:rPr>
          <w:spacing w:val="-85"/>
        </w:rPr>
      </w:r>
      <w:r>
        <w:rPr>
          <w:spacing w:val="-6"/>
          <w:w w:val="101"/>
        </w:rPr>
        <w:t>2012年年度利润分配方案为：以本公司2012年末总股本312,156,000股为基数，向全体股东每10股派0.2元人民币现金（含</w:t>
      </w:r>
      <w:r>
        <w:rPr>
          <w:spacing w:val="-6"/>
        </w:rPr>
      </w:r>
    </w:p>
    <w:p>
      <w:pPr>
        <w:pStyle w:val="BodyText"/>
        <w:spacing w:line="316" w:lineRule="auto" w:before="31"/>
        <w:ind w:left="153" w:right="173"/>
        <w:jc w:val="left"/>
      </w:pPr>
      <w:r>
        <w:rPr>
          <w:spacing w:val="-4"/>
        </w:rPr>
        <w:t>税），共计分配现金红利6,243,120.00元，剩余未分配的利润638,655.85元结转以后年度分配，以资本公积金向全体股东每 </w:t>
      </w:r>
      <w:r>
        <w:rPr/>
        <w:t>10股转增3.5股，共计转增109,254,600股。</w:t>
      </w:r>
    </w:p>
    <w:p>
      <w:pPr>
        <w:spacing w:line="240" w:lineRule="auto" w:before="0"/>
        <w:rPr>
          <w:rFonts w:ascii="宋体" w:hAnsi="宋体" w:cs="宋体" w:eastAsia="宋体" w:hint="default"/>
          <w:sz w:val="25"/>
          <w:szCs w:val="25"/>
        </w:rPr>
      </w:pPr>
    </w:p>
    <w:p>
      <w:pPr>
        <w:pStyle w:val="BodyText"/>
        <w:spacing w:line="240" w:lineRule="auto" w:before="46"/>
        <w:ind w:left="153" w:right="173"/>
        <w:jc w:val="left"/>
      </w:pPr>
      <w:r>
        <w:rPr>
          <w:spacing w:val="-3"/>
        </w:rPr>
        <w:t>公司近三年现金分红情况表</w:t>
      </w:r>
    </w:p>
    <w:p>
      <w:pPr>
        <w:pStyle w:val="BodyText"/>
        <w:spacing w:line="240" w:lineRule="auto" w:before="119"/>
        <w:ind w:left="0" w:right="18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1027"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09" w:right="65" w:hanging="538"/>
              <w:jc w:val="left"/>
              <w:rPr>
                <w:rFonts w:ascii="宋体" w:hAnsi="宋体" w:cs="宋体" w:eastAsia="宋体" w:hint="default"/>
                <w:sz w:val="18"/>
                <w:szCs w:val="18"/>
              </w:rPr>
            </w:pPr>
            <w:r>
              <w:rPr>
                <w:rFonts w:ascii="宋体" w:hAnsi="宋体" w:cs="宋体" w:eastAsia="宋体" w:hint="default"/>
                <w:spacing w:val="-2"/>
                <w:sz w:val="18"/>
                <w:szCs w:val="18"/>
              </w:rPr>
              <w:t>现金分红金额（含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税）</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2" w:right="65"/>
              <w:jc w:val="center"/>
              <w:rPr>
                <w:rFonts w:ascii="宋体" w:hAnsi="宋体" w:cs="宋体" w:eastAsia="宋体" w:hint="default"/>
                <w:sz w:val="18"/>
                <w:szCs w:val="18"/>
              </w:rPr>
            </w:pPr>
            <w:r>
              <w:rPr>
                <w:rFonts w:ascii="宋体" w:hAnsi="宋体" w:cs="宋体" w:eastAsia="宋体" w:hint="default"/>
                <w:spacing w:val="-2"/>
                <w:sz w:val="18"/>
                <w:szCs w:val="18"/>
              </w:rPr>
              <w:t>分红年度合并报表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中归属于上市公司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占合并报表中归属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于上市公司股东的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以现金方式要约回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购股份资金计入现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以现金方式要约回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购股份资金计入现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金分红的比例</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14,276,265.68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-187,575,136.11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6,243,120.00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32,171,346.99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173"/>
        <w:jc w:val="left"/>
      </w:pPr>
      <w:r>
        <w:rPr>
          <w:spacing w:val="-3"/>
        </w:rPr>
        <w:t>公司报告期内盈利且母公司未分配利润为正但未提出现金红利分配预案</w:t>
      </w:r>
    </w:p>
    <w:p>
      <w:pPr>
        <w:pStyle w:val="BodyText"/>
        <w:spacing w:line="240" w:lineRule="auto" w:before="119"/>
        <w:ind w:right="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173"/>
        <w:jc w:val="left"/>
        <w:rPr>
          <w:b w:val="0"/>
          <w:bCs w:val="0"/>
        </w:rPr>
      </w:pPr>
      <w:r>
        <w:rPr/>
        <w:t>十四、本报告期利润分配及资本公积金转增股本预案</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8" w:lineRule="auto"/>
        <w:ind w:left="244" w:right="3932" w:hanging="92"/>
        <w:jc w:val="left"/>
      </w:pPr>
      <w:r>
        <w:rPr>
          <w:rFonts w:ascii="Times New Roman" w:hAnsi="Times New Roman" w:cs="Times New Roman" w:eastAsia="Times New Roman" w:hint="default"/>
        </w:rPr>
        <w:t>□</w:t>
      </w:r>
      <w:r>
        <w:rPr/>
        <w:t>适用</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r>
        <w:rPr>
          <w:spacing w:val="-81"/>
        </w:rPr>
        <w:t> </w:t>
      </w:r>
      <w:r>
        <w:rPr>
          <w:spacing w:val="-81"/>
        </w:rPr>
      </w:r>
      <w:r>
        <w:rPr>
          <w:spacing w:val="-3"/>
        </w:rPr>
        <w:t>公司计划年度不派发现金红利，不送红股，不以公积金转增股本。</w:t>
      </w:r>
    </w:p>
    <w:p>
      <w:pPr>
        <w:spacing w:line="240" w:lineRule="auto" w:before="11"/>
        <w:rPr>
          <w:rFonts w:ascii="宋体" w:hAnsi="宋体" w:cs="宋体" w:eastAsia="宋体" w:hint="default"/>
          <w:sz w:val="12"/>
          <w:szCs w:val="12"/>
        </w:rPr>
      </w:pPr>
    </w:p>
    <w:p>
      <w:pPr>
        <w:pStyle w:val="Heading2"/>
        <w:spacing w:line="240" w:lineRule="auto"/>
        <w:ind w:right="173"/>
        <w:jc w:val="left"/>
        <w:rPr>
          <w:b w:val="0"/>
          <w:bCs w:val="0"/>
        </w:rPr>
      </w:pPr>
      <w:r>
        <w:rPr/>
        <w:t>十五、社会责任情况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6"/>
        <w:ind w:left="153" w:right="173"/>
        <w:jc w:val="left"/>
      </w:pPr>
      <w:r>
        <w:rPr>
          <w:rFonts w:ascii="Times New Roman" w:hAnsi="Times New Roman" w:cs="Times New Roman" w:eastAsia="Times New Roman" w:hint="default"/>
        </w:rPr>
        <w:t>1</w:t>
      </w:r>
      <w:r>
        <w:rPr/>
        <w:t>、环境保护</w:t>
      </w:r>
    </w:p>
    <w:p>
      <w:pPr>
        <w:pStyle w:val="BodyText"/>
        <w:spacing w:line="316" w:lineRule="auto" w:before="63"/>
        <w:ind w:left="153" w:right="173" w:firstLine="360"/>
        <w:jc w:val="left"/>
      </w:pPr>
      <w:r>
        <w:rPr>
          <w:spacing w:val="-4"/>
        </w:rPr>
        <w:t>公司目前的产品为电子元器件深加工，生产过程无违规排放废水、废气情况；噪声排放值也在国家标准允许的限制范围</w:t>
      </w:r>
      <w:r>
        <w:rPr>
          <w:w w:val="101"/>
        </w:rPr>
        <w:t> </w:t>
      </w:r>
      <w:r>
        <w:rPr>
          <w:spacing w:val="-3"/>
        </w:rPr>
        <w:t>内，并已采取加装消声器和封闭隔离等措施防噪；关于生产过程中产生的固体废弃物、危险化学品，公司统一回收、存放、</w:t>
      </w:r>
      <w:r>
        <w:rPr>
          <w:spacing w:val="66"/>
        </w:rPr>
        <w:t> </w:t>
      </w:r>
      <w:r>
        <w:rPr>
          <w:spacing w:val="66"/>
        </w:rPr>
      </w:r>
      <w:r>
        <w:rPr>
          <w:spacing w:val="-3"/>
        </w:rPr>
        <w:t>标识，并交有资格的处理单位集中处理，公司不存在生态环境污染，也不存在违反相关环保法律法规的情况。</w:t>
      </w:r>
    </w:p>
    <w:p>
      <w:pPr>
        <w:pStyle w:val="BodyText"/>
        <w:spacing w:line="316" w:lineRule="auto" w:before="19"/>
        <w:ind w:left="153" w:right="185" w:firstLine="360"/>
        <w:jc w:val="both"/>
      </w:pPr>
      <w:r>
        <w:rPr>
          <w:spacing w:val="-3"/>
        </w:rPr>
        <w:t>全球电子制造行业开发无铅焊接解决方案用了近20年左右时间，公司目前制造过程全部采用无铅焊接工艺即SAC（锡、</w:t>
      </w:r>
      <w:r>
        <w:rPr>
          <w:w w:val="101"/>
        </w:rPr>
        <w:t> </w:t>
      </w:r>
      <w:r>
        <w:rPr>
          <w:spacing w:val="-4"/>
        </w:rPr>
        <w:t>银、铜）无铅工艺，这也是欧盟2006年7月1日起强制执行的制造工艺。在元器件采用上，公司也完全按国际通用的对电子产</w:t>
      </w:r>
      <w:r>
        <w:rPr>
          <w:spacing w:val="52"/>
        </w:rPr>
        <w:t> </w:t>
      </w:r>
      <w:r>
        <w:rPr>
          <w:spacing w:val="52"/>
        </w:rPr>
      </w:r>
      <w:r>
        <w:rPr>
          <w:spacing w:val="-4"/>
        </w:rPr>
        <w:t>品的环保法规RoHS来管控元器件供应商，同时，公司还投入较大资金购买了元器件RoHS检测仪器。2004年11月，公司顺利通</w:t>
      </w:r>
      <w:r>
        <w:rPr>
          <w:spacing w:val="71"/>
        </w:rPr>
        <w:t> </w:t>
      </w:r>
      <w:r>
        <w:rPr>
          <w:spacing w:val="71"/>
        </w:rPr>
      </w:r>
      <w:r>
        <w:rPr/>
        <w:t>过飞利浦RoHS审核。</w:t>
      </w:r>
    </w:p>
    <w:p>
      <w:pPr>
        <w:pStyle w:val="BodyText"/>
        <w:spacing w:line="240" w:lineRule="auto" w:before="19"/>
        <w:ind w:left="153" w:right="173"/>
        <w:jc w:val="left"/>
      </w:pPr>
      <w:r>
        <w:rPr>
          <w:rFonts w:ascii="Times New Roman" w:hAnsi="Times New Roman" w:cs="Times New Roman" w:eastAsia="Times New Roman" w:hint="default"/>
        </w:rPr>
        <w:t>2</w:t>
      </w:r>
      <w:r>
        <w:rPr/>
        <w:t>、安全生产</w:t>
      </w:r>
    </w:p>
    <w:p>
      <w:pPr>
        <w:pStyle w:val="BodyText"/>
        <w:spacing w:line="316" w:lineRule="auto" w:before="63"/>
        <w:ind w:left="153" w:right="173" w:firstLine="360"/>
        <w:jc w:val="left"/>
      </w:pPr>
      <w:r>
        <w:rPr>
          <w:spacing w:val="-4"/>
        </w:rPr>
        <w:t>公司在化学品管理、场内道路交通管理、消防安全、安全用电、特种设备管理和职业健康等方面均建立了一套完整的管</w:t>
      </w:r>
      <w:r>
        <w:rPr>
          <w:w w:val="101"/>
        </w:rPr>
        <w:t> </w:t>
      </w:r>
      <w:r>
        <w:rPr>
          <w:spacing w:val="-3"/>
        </w:rPr>
        <w:t>理制度，编制了相应的应急预案，不断强化员工、作业人员的安全意识，报告期内公司未发生安全生产责任事故。</w:t>
      </w:r>
      <w:r>
        <w:rPr>
          <w:spacing w:val="54"/>
        </w:rPr>
        <w:t> </w:t>
      </w:r>
      <w:r>
        <w:rPr>
          <w:spacing w:val="54"/>
        </w:rPr>
      </w:r>
      <w:r>
        <w:rPr>
          <w:rFonts w:ascii="Times New Roman" w:hAnsi="Times New Roman" w:cs="Times New Roman" w:eastAsia="Times New Roman" w:hint="default"/>
        </w:rPr>
        <w:t>3</w:t>
      </w:r>
      <w:r>
        <w:rPr/>
        <w:t>、员工保护</w:t>
      </w:r>
    </w:p>
    <w:p>
      <w:pPr>
        <w:pStyle w:val="BodyText"/>
        <w:spacing w:line="316" w:lineRule="auto"/>
        <w:ind w:left="153" w:right="185" w:firstLine="360"/>
        <w:jc w:val="both"/>
      </w:pPr>
      <w:r>
        <w:rPr>
          <w:spacing w:val="-5"/>
        </w:rPr>
        <w:t>公司组织成立了工会、调解委员会，并为工会等开展活拨付了必要的资金；在人才招聘、录用、工作安排、职业晋升等</w:t>
      </w:r>
      <w:r>
        <w:rPr>
          <w:w w:val="101"/>
        </w:rPr>
        <w:t> </w:t>
      </w:r>
      <w:r>
        <w:rPr>
          <w:spacing w:val="-4"/>
        </w:rPr>
        <w:t>方面，公司为所有员工提供了同等平台，且程序公开、公平、公正；公司禁止任何形式的不当惩罚行为，尊重员工行使自由</w:t>
      </w:r>
      <w:r>
        <w:rPr>
          <w:spacing w:val="40"/>
        </w:rPr>
        <w:t> </w:t>
      </w:r>
      <w:r>
        <w:rPr>
          <w:spacing w:val="40"/>
        </w:rPr>
      </w:r>
      <w:r>
        <w:rPr>
          <w:spacing w:val="-3"/>
        </w:rPr>
        <w:t>结社、自由择业等权利；公司执行标准工时制，公司建立了规范的用工管理制度。</w:t>
      </w:r>
    </w:p>
    <w:p>
      <w:pPr>
        <w:pStyle w:val="BodyText"/>
        <w:spacing w:line="240" w:lineRule="auto" w:before="19"/>
        <w:ind w:left="153" w:right="173"/>
        <w:jc w:val="left"/>
      </w:pPr>
      <w:r>
        <w:rPr>
          <w:rFonts w:ascii="Times New Roman" w:hAnsi="Times New Roman" w:cs="Times New Roman" w:eastAsia="Times New Roman" w:hint="default"/>
        </w:rPr>
        <w:t>4</w:t>
      </w:r>
      <w:r>
        <w:rPr/>
        <w:t>、商业道德</w:t>
      </w:r>
    </w:p>
    <w:p>
      <w:pPr>
        <w:pStyle w:val="BodyText"/>
        <w:spacing w:line="240" w:lineRule="auto" w:before="63"/>
        <w:ind w:left="513" w:right="173"/>
        <w:jc w:val="left"/>
      </w:pPr>
      <w:r>
        <w:rPr>
          <w:spacing w:val="-4"/>
        </w:rPr>
        <w:t>公司注重对公司自身、公司客户及其他合作机构的商业秘密的保护，并在管理制度中进行专门规定，在涉及商业秘密的</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45"/>
        <w:jc w:val="both"/>
      </w:pPr>
      <w:r>
        <w:rPr>
          <w:spacing w:val="-4"/>
        </w:rPr>
        <w:t>传递时及时签署保密协议；公司禁止贪污、挪用公款、行贿受贿等行为；公司产品定价合理，广告宣传符合国家法律法规的</w:t>
      </w:r>
      <w:r>
        <w:rPr>
          <w:spacing w:val="40"/>
        </w:rPr>
        <w:t> </w:t>
      </w:r>
      <w:r>
        <w:rPr>
          <w:spacing w:val="40"/>
        </w:rPr>
      </w:r>
      <w:r>
        <w:rPr>
          <w:spacing w:val="-4"/>
        </w:rPr>
        <w:t>要求，不存在以低价倾销、夸大宣传、侵犯他人商标、专利权等不合法的方式进行不正当竞争的情况；公司严格按照相关法</w:t>
      </w:r>
      <w:r>
        <w:rPr>
          <w:spacing w:val="40"/>
        </w:rPr>
        <w:t> </w:t>
      </w:r>
      <w:r>
        <w:rPr>
          <w:spacing w:val="40"/>
        </w:rPr>
      </w:r>
      <w:r>
        <w:rPr>
          <w:spacing w:val="-4"/>
        </w:rPr>
        <w:t>律法规以及证监会、深交所的规定履行信息披露义务，不存在损害投资者公平知情权的情形。公司不存在有违商业道德的情</w:t>
      </w:r>
      <w:r>
        <w:rPr>
          <w:spacing w:val="43"/>
        </w:rPr>
        <w:t> </w:t>
      </w:r>
      <w:r>
        <w:rPr>
          <w:spacing w:val="43"/>
        </w:rPr>
      </w:r>
      <w:r>
        <w:rPr/>
        <w:t>况。</w:t>
      </w:r>
    </w:p>
    <w:p>
      <w:pPr>
        <w:spacing w:line="240" w:lineRule="auto" w:before="0"/>
        <w:rPr>
          <w:rFonts w:ascii="宋体" w:hAnsi="宋体" w:cs="宋体" w:eastAsia="宋体" w:hint="default"/>
          <w:sz w:val="18"/>
          <w:szCs w:val="18"/>
        </w:rPr>
      </w:pPr>
    </w:p>
    <w:p>
      <w:pPr>
        <w:pStyle w:val="BodyText"/>
        <w:spacing w:line="240" w:lineRule="auto" w:before="138"/>
        <w:ind w:right="0"/>
        <w:jc w:val="both"/>
      </w:pPr>
      <w:r>
        <w:rPr>
          <w:spacing w:val="-3"/>
        </w:rPr>
        <w:t>上市公司及其子公司是否属于国家环境保护部门规定的重污染行业</w:t>
      </w:r>
    </w:p>
    <w:p>
      <w:pPr>
        <w:pStyle w:val="BodyText"/>
        <w:spacing w:line="338" w:lineRule="auto" w:before="119"/>
        <w:ind w:right="530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1"/>
        </w:rPr>
        <w:t> </w:t>
      </w:r>
      <w:r>
        <w:rPr>
          <w:spacing w:val="-81"/>
        </w:rPr>
      </w:r>
      <w:r>
        <w:rPr>
          <w:spacing w:val="-3"/>
        </w:rPr>
        <w:t>上市公司及其子公司是否存在其他重大社会安全问题</w:t>
      </w:r>
    </w:p>
    <w:p>
      <w:pPr>
        <w:pStyle w:val="BodyText"/>
        <w:spacing w:line="343" w:lineRule="auto" w:before="41"/>
        <w:ind w:right="64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r>
        <w:rPr>
          <w:spacing w:val="-88"/>
        </w:rPr>
        <w:t> </w:t>
      </w:r>
      <w:r>
        <w:rPr>
          <w:spacing w:val="-88"/>
        </w:rPr>
      </w:r>
      <w:r>
        <w:rPr>
          <w:spacing w:val="-3"/>
        </w:rPr>
        <w:t>报告期内是否被行政处罚</w:t>
      </w:r>
    </w:p>
    <w:p>
      <w:pPr>
        <w:pStyle w:val="BodyText"/>
        <w:spacing w:line="240" w:lineRule="auto" w:before="3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both"/>
        <w:rPr>
          <w:b w:val="0"/>
          <w:bCs w:val="0"/>
        </w:rPr>
      </w:pPr>
      <w:r>
        <w:rPr/>
        <w:t>十六、报告期内接待调研、沟通、采访等活动登记表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6"/>
        <w:ind w:left="0" w:right="150"/>
        <w:jc w:val="right"/>
      </w:pPr>
      <w:r>
        <w:rPr/>
        <w:pict>
          <v:shape style="position:absolute;margin-left:56.400002pt;margin-top:-98.787796pt;width:479.3pt;height:437.5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3"/>
                    <w:gridCol w:w="917"/>
                    <w:gridCol w:w="850"/>
                    <w:gridCol w:w="710"/>
                    <w:gridCol w:w="1277"/>
                    <w:gridCol w:w="4325"/>
                  </w:tblGrid>
                  <w:tr>
                    <w:trPr>
                      <w:trHeight w:val="710" w:hRule="exact"/>
                    </w:trPr>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81" w:right="74"/>
                          <w:jc w:val="left"/>
                          <w:rPr>
                            <w:rFonts w:ascii="宋体" w:hAnsi="宋体" w:cs="宋体" w:eastAsia="宋体" w:hint="default"/>
                            <w:sz w:val="18"/>
                            <w:szCs w:val="18"/>
                          </w:rPr>
                        </w:pPr>
                        <w:r>
                          <w:rPr>
                            <w:rFonts w:ascii="宋体" w:hAnsi="宋体" w:cs="宋体" w:eastAsia="宋体" w:hint="default"/>
                            <w:sz w:val="18"/>
                            <w:szCs w:val="18"/>
                          </w:rPr>
                          <w:t>接待对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象类型</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8" w:right="0"/>
                          <w:jc w:val="left"/>
                          <w:rPr>
                            <w:rFonts w:ascii="宋体" w:hAnsi="宋体" w:cs="宋体" w:eastAsia="宋体" w:hint="default"/>
                            <w:sz w:val="18"/>
                            <w:szCs w:val="18"/>
                          </w:rPr>
                        </w:pPr>
                        <w:r>
                          <w:rPr>
                            <w:rFonts w:ascii="宋体" w:hAnsi="宋体" w:cs="宋体" w:eastAsia="宋体" w:hint="default"/>
                            <w:spacing w:val="-3"/>
                            <w:sz w:val="18"/>
                            <w:szCs w:val="18"/>
                          </w:rPr>
                          <w:t>谈论的主要内容及提供的资料</w:t>
                        </w:r>
                      </w:p>
                    </w:tc>
                  </w:tr>
                  <w:tr>
                    <w:trPr>
                      <w:trHeight w:val="364" w:hRule="exact"/>
                    </w:trPr>
                    <w:tc>
                      <w:tcPr>
                        <w:tcW w:w="1493"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tabs>
                            <w:tab w:pos="566" w:val="left" w:leader="none"/>
                          </w:tabs>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tab/>
                        </w:r>
                        <w:r>
                          <w:rPr>
                            <w:rFonts w:ascii="宋体" w:hAnsi="宋体" w:cs="宋体" w:eastAsia="宋体" w:hint="default"/>
                            <w:spacing w:val="-3"/>
                            <w:sz w:val="18"/>
                            <w:szCs w:val="18"/>
                          </w:rPr>
                          <w:t>介绍公司的基本情况；</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、公司战略转型的出发</w:t>
                        </w: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博时基金管理</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5"/>
                            <w:sz w:val="18"/>
                            <w:szCs w:val="18"/>
                          </w:rPr>
                          <w:t>点以及战略转型的目标；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、公司选择向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照明行业</w:t>
                        </w:r>
                      </w:p>
                    </w:tc>
                  </w:tr>
                  <w:tr>
                    <w:trPr>
                      <w:trHeight w:val="93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公司七楼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会议室</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7"/>
                          <w:jc w:val="both"/>
                          <w:rPr>
                            <w:rFonts w:ascii="宋体" w:hAnsi="宋体" w:cs="宋体" w:eastAsia="宋体" w:hint="default"/>
                            <w:sz w:val="18"/>
                            <w:szCs w:val="18"/>
                          </w:rPr>
                        </w:pPr>
                        <w:r>
                          <w:rPr>
                            <w:rFonts w:ascii="宋体" w:hAnsi="宋体" w:cs="宋体" w:eastAsia="宋体" w:hint="default"/>
                            <w:sz w:val="18"/>
                            <w:szCs w:val="18"/>
                          </w:rPr>
                          <w:t>有限公司 郭晓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林、肖瑞瑾；东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兴证券股份有</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34"/>
                          <w:jc w:val="left"/>
                          <w:rPr>
                            <w:rFonts w:ascii="宋体" w:hAnsi="宋体" w:cs="宋体" w:eastAsia="宋体" w:hint="default"/>
                            <w:sz w:val="18"/>
                            <w:szCs w:val="18"/>
                          </w:rPr>
                        </w:pPr>
                        <w:r>
                          <w:rPr>
                            <w:rFonts w:ascii="宋体" w:hAnsi="宋体" w:cs="宋体" w:eastAsia="宋体" w:hint="default"/>
                            <w:sz w:val="18"/>
                            <w:szCs w:val="18"/>
                          </w:rPr>
                          <w:t>转型的原因；</w:t>
                        </w:r>
                        <w:r>
                          <w:rPr>
                            <w:rFonts w:ascii="Times New Roman" w:hAnsi="Times New Roman" w:cs="Times New Roman" w:eastAsia="Times New Roman" w:hint="default"/>
                            <w:sz w:val="18"/>
                            <w:szCs w:val="18"/>
                          </w:rPr>
                          <w:t>4</w:t>
                        </w:r>
                        <w:r>
                          <w:rPr>
                            <w:rFonts w:ascii="宋体" w:hAnsi="宋体" w:cs="宋体" w:eastAsia="宋体" w:hint="default"/>
                            <w:sz w:val="18"/>
                            <w:szCs w:val="18"/>
                          </w:rPr>
                          <w:t>、应对</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年度业绩大幅下滑的举措；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年公司发展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照明业务以及在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务领域布局的举措；</w:t>
                        </w:r>
                        <w:r>
                          <w:rPr>
                            <w:rFonts w:ascii="Times New Roman" w:hAnsi="Times New Roman" w:cs="Times New Roman" w:eastAsia="Times New Roman" w:hint="default"/>
                            <w:spacing w:val="-12"/>
                            <w:w w:val="101"/>
                            <w:sz w:val="18"/>
                            <w:szCs w:val="18"/>
                          </w:rPr>
                          <w:t>6</w:t>
                        </w:r>
                        <w:r>
                          <w:rPr>
                            <w:rFonts w:ascii="宋体" w:hAnsi="宋体" w:cs="宋体" w:eastAsia="宋体" w:hint="default"/>
                            <w:spacing w:val="-12"/>
                            <w:w w:val="101"/>
                            <w:sz w:val="18"/>
                            <w:szCs w:val="18"/>
                          </w:rPr>
                          <w:t>、公司</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
                            <w:w w:val="101"/>
                            <w:sz w:val="18"/>
                            <w:szCs w:val="18"/>
                          </w:rPr>
                          <w:t>LED</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照明营销渠道的建设</w:t>
                        </w:r>
                        <w:r>
                          <w:rPr>
                            <w:rFonts w:ascii="宋体" w:hAnsi="宋体" w:cs="宋体" w:eastAsia="宋体" w:hint="default"/>
                            <w:spacing w:val="-3"/>
                            <w:sz w:val="18"/>
                            <w:szCs w:val="18"/>
                          </w:rPr>
                        </w:r>
                      </w:p>
                    </w:tc>
                  </w:tr>
                  <w:tr>
                    <w:trPr>
                      <w:trHeight w:val="314" w:hRule="exact"/>
                    </w:trPr>
                    <w:tc>
                      <w:tcPr>
                        <w:tcW w:w="1493"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9"/>
                            <w:sz w:val="18"/>
                            <w:szCs w:val="18"/>
                          </w:rPr>
                          <w:t> </w:t>
                        </w:r>
                        <w:r>
                          <w:rPr>
                            <w:rFonts w:ascii="宋体" w:hAnsi="宋体" w:cs="宋体" w:eastAsia="宋体" w:hint="default"/>
                            <w:spacing w:val="-3"/>
                            <w:sz w:val="18"/>
                            <w:szCs w:val="18"/>
                          </w:rPr>
                          <w:t>姜瑛</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、是否考虑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封装业务；</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、有无规划发展智能照</w:t>
                        </w:r>
                      </w:p>
                    </w:tc>
                  </w:tr>
                  <w:tr>
                    <w:trPr>
                      <w:trHeight w:val="349" w:hRule="exact"/>
                    </w:trPr>
                    <w:tc>
                      <w:tcPr>
                        <w:tcW w:w="1493"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9</w:t>
                        </w:r>
                        <w:r>
                          <w:rPr>
                            <w:rFonts w:ascii="宋体" w:hAnsi="宋体" w:cs="宋体" w:eastAsia="宋体" w:hint="default"/>
                            <w:sz w:val="18"/>
                            <w:szCs w:val="18"/>
                          </w:rPr>
                          <w:t>、公司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照明业务的核心竞争力。</w:t>
                        </w:r>
                      </w:p>
                    </w:tc>
                  </w:tr>
                  <w:tr>
                    <w:trPr>
                      <w:trHeight w:val="359" w:hRule="exact"/>
                    </w:trPr>
                    <w:tc>
                      <w:tcPr>
                        <w:tcW w:w="1493"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长城基金管理</w:t>
                        </w:r>
                      </w:p>
                    </w:tc>
                    <w:tc>
                      <w:tcPr>
                        <w:tcW w:w="43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8"/>
                            <w:sz w:val="18"/>
                            <w:szCs w:val="18"/>
                          </w:rPr>
                          <w:t>有限公司：陈良</w:t>
                        </w:r>
                      </w:p>
                    </w:tc>
                    <w:tc>
                      <w:tcPr>
                        <w:tcW w:w="4325"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4" w:lineRule="auto"/>
                          <w:ind w:left="24" w:right="156"/>
                          <w:jc w:val="left"/>
                          <w:rPr>
                            <w:rFonts w:ascii="宋体" w:hAnsi="宋体" w:cs="宋体" w:eastAsia="宋体" w:hint="default"/>
                            <w:sz w:val="18"/>
                            <w:szCs w:val="18"/>
                          </w:rPr>
                        </w:pPr>
                        <w:r>
                          <w:rPr>
                            <w:rFonts w:ascii="宋体" w:hAnsi="宋体" w:cs="宋体" w:eastAsia="宋体" w:hint="default"/>
                            <w:sz w:val="18"/>
                            <w:szCs w:val="18"/>
                          </w:rPr>
                          <w:t>公司七楼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会议室</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07" w:lineRule="auto" w:before="11"/>
                          <w:ind w:left="24" w:right="-20"/>
                          <w:jc w:val="left"/>
                          <w:rPr>
                            <w:rFonts w:ascii="宋体" w:hAnsi="宋体" w:cs="宋体" w:eastAsia="宋体" w:hint="default"/>
                            <w:sz w:val="18"/>
                            <w:szCs w:val="18"/>
                          </w:rPr>
                        </w:pPr>
                        <w:r>
                          <w:rPr>
                            <w:rFonts w:ascii="宋体" w:hAnsi="宋体" w:cs="宋体" w:eastAsia="宋体" w:hint="default"/>
                            <w:sz w:val="18"/>
                            <w:szCs w:val="18"/>
                          </w:rPr>
                          <w:t>栋</w:t>
                        </w:r>
                        <w:r>
                          <w:rPr>
                            <w:rFonts w:ascii="Times New Roman" w:hAnsi="Times New Roman" w:cs="Times New Roman" w:eastAsia="Times New Roman" w:hint="default"/>
                            <w:sz w:val="18"/>
                            <w:szCs w:val="18"/>
                          </w:rPr>
                          <w:t>;</w:t>
                        </w:r>
                        <w:r>
                          <w:rPr>
                            <w:rFonts w:ascii="宋体" w:hAnsi="宋体" w:cs="宋体" w:eastAsia="宋体" w:hint="default"/>
                            <w:sz w:val="18"/>
                            <w:szCs w:val="18"/>
                          </w:rPr>
                          <w:t>诺安基金管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理有限公司：盛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震山</w:t>
                        </w:r>
                        <w:r>
                          <w:rPr>
                            <w:rFonts w:ascii="Times New Roman" w:hAnsi="Times New Roman" w:cs="Times New Roman" w:eastAsia="Times New Roman" w:hint="default"/>
                            <w:sz w:val="18"/>
                            <w:szCs w:val="18"/>
                          </w:rPr>
                          <w:t>;</w:t>
                        </w:r>
                        <w:r>
                          <w:rPr>
                            <w:rFonts w:ascii="宋体" w:hAnsi="宋体" w:cs="宋体" w:eastAsia="宋体" w:hint="default"/>
                            <w:sz w:val="18"/>
                            <w:szCs w:val="18"/>
                          </w:rPr>
                          <w:t>信达证券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史圣卿</w:t>
                        </w:r>
                        <w:r>
                          <w:rPr>
                            <w:rFonts w:ascii="Times New Roman" w:hAnsi="Times New Roman" w:cs="Times New Roman" w:eastAsia="Times New Roman" w:hint="default"/>
                            <w:sz w:val="18"/>
                            <w:szCs w:val="18"/>
                          </w:rPr>
                          <w:t>;</w:t>
                        </w:r>
                        <w:r>
                          <w:rPr>
                            <w:rFonts w:ascii="宋体" w:hAnsi="宋体" w:cs="宋体" w:eastAsia="宋体" w:hint="default"/>
                            <w:sz w:val="18"/>
                            <w:szCs w:val="18"/>
                          </w:rPr>
                          <w:t>天弘基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金管理有限公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司：张卓</w:t>
                        </w:r>
                        <w:r>
                          <w:rPr>
                            <w:rFonts w:ascii="Times New Roman" w:hAnsi="Times New Roman" w:cs="Times New Roman" w:eastAsia="Times New Roman" w:hint="default"/>
                            <w:sz w:val="18"/>
                            <w:szCs w:val="18"/>
                          </w:rPr>
                          <w:t>;</w:t>
                        </w:r>
                        <w:r>
                          <w:rPr>
                            <w:rFonts w:ascii="宋体" w:hAnsi="宋体" w:cs="宋体" w:eastAsia="宋体" w:hint="default"/>
                            <w:sz w:val="18"/>
                            <w:szCs w:val="18"/>
                          </w:rPr>
                          <w:t>新华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资产管理股份</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02" w:lineRule="auto"/>
                          <w:ind w:left="24" w:right="16"/>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、介绍公司的基本情况；</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、公司投资厦门萤火虫节能</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科技有限公司的原因及公司将与其在开展合作的主要</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方面；</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、公司选标的企业主要考虑的因素；</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LED </w:t>
                        </w:r>
                        <w:r>
                          <w:rPr>
                            <w:rFonts w:ascii="宋体" w:hAnsi="宋体" w:cs="宋体" w:eastAsia="宋体" w:hint="default"/>
                            <w:spacing w:val="-3"/>
                            <w:sz w:val="18"/>
                            <w:szCs w:val="18"/>
                          </w:rPr>
                          <w:t>照明产品的毛利率与同行业相比偏低的原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因及公司的改善举措；</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照明业务的规划与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发展；</w:t>
                        </w:r>
                        <w:r>
                          <w:rPr>
                            <w:rFonts w:ascii="Times New Roman" w:hAnsi="Times New Roman" w:cs="Times New Roman" w:eastAsia="Times New Roman" w:hint="default"/>
                            <w:spacing w:val="-8"/>
                            <w:sz w:val="18"/>
                            <w:szCs w:val="18"/>
                          </w:rPr>
                          <w:t>6</w:t>
                        </w:r>
                        <w:r>
                          <w:rPr>
                            <w:rFonts w:ascii="宋体" w:hAnsi="宋体" w:cs="宋体" w:eastAsia="宋体" w:hint="default"/>
                            <w:spacing w:val="-8"/>
                            <w:sz w:val="18"/>
                            <w:szCs w:val="18"/>
                          </w:rPr>
                          <w:t>、公司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照明突围传统照明企业已握有丰富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的渠道资源的计划。</w:t>
                        </w:r>
                      </w:p>
                    </w:tc>
                  </w:tr>
                  <w:tr>
                    <w:trPr>
                      <w:trHeight w:val="314" w:hRule="exact"/>
                    </w:trPr>
                    <w:tc>
                      <w:tcPr>
                        <w:tcW w:w="1493"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8"/>
                            <w:sz w:val="18"/>
                            <w:szCs w:val="18"/>
                          </w:rPr>
                          <w:t>有限公司：林建</w:t>
                        </w:r>
                      </w:p>
                    </w:tc>
                    <w:tc>
                      <w:tcPr>
                        <w:tcW w:w="4325"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493"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臻</w:t>
                        </w:r>
                        <w:r>
                          <w:rPr>
                            <w:rFonts w:ascii="宋体" w:hAnsi="宋体" w:cs="宋体" w:eastAsia="宋体" w:hint="default"/>
                            <w:sz w:val="18"/>
                            <w:szCs w:val="18"/>
                          </w:rPr>
                        </w:r>
                      </w:p>
                    </w:tc>
                    <w:tc>
                      <w:tcPr>
                        <w:tcW w:w="4325"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1493"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安信证券</w:t>
                        </w:r>
                        <w:r>
                          <w:rPr>
                            <w:rFonts w:ascii="宋体" w:hAnsi="宋体" w:cs="宋体" w:eastAsia="宋体" w:hint="default"/>
                            <w:spacing w:val="5"/>
                            <w:sz w:val="18"/>
                            <w:szCs w:val="18"/>
                          </w:rPr>
                          <w:t> </w:t>
                        </w:r>
                        <w:r>
                          <w:rPr>
                            <w:rFonts w:ascii="宋体" w:hAnsi="宋体" w:cs="宋体" w:eastAsia="宋体" w:hint="default"/>
                            <w:sz w:val="18"/>
                            <w:szCs w:val="18"/>
                          </w:rPr>
                          <w:t>研究</w:t>
                        </w:r>
                      </w:p>
                    </w:tc>
                    <w:tc>
                      <w:tcPr>
                        <w:tcW w:w="43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93"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所所长</w:t>
                        </w:r>
                        <w:r>
                          <w:rPr>
                            <w:rFonts w:ascii="宋体" w:hAnsi="宋体" w:cs="宋体" w:eastAsia="宋体" w:hint="default"/>
                            <w:spacing w:val="9"/>
                            <w:sz w:val="18"/>
                            <w:szCs w:val="18"/>
                          </w:rPr>
                          <w:t> </w:t>
                        </w:r>
                        <w:r>
                          <w:rPr>
                            <w:rFonts w:ascii="宋体" w:hAnsi="宋体" w:cs="宋体" w:eastAsia="宋体" w:hint="default"/>
                            <w:spacing w:val="-3"/>
                            <w:sz w:val="18"/>
                            <w:szCs w:val="18"/>
                          </w:rPr>
                          <w:t>赵小</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、介绍公司的基本情况；</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、公司战略转型效果；</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tc>
                  </w:tr>
                  <w:tr>
                    <w:trPr>
                      <w:trHeight w:val="626"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56"/>
                          <w:jc w:val="left"/>
                          <w:rPr>
                            <w:rFonts w:ascii="宋体" w:hAnsi="宋体" w:cs="宋体" w:eastAsia="宋体" w:hint="default"/>
                            <w:sz w:val="18"/>
                            <w:szCs w:val="18"/>
                          </w:rPr>
                        </w:pPr>
                        <w:r>
                          <w:rPr>
                            <w:rFonts w:ascii="宋体" w:hAnsi="宋体" w:cs="宋体" w:eastAsia="宋体" w:hint="default"/>
                            <w:sz w:val="18"/>
                            <w:szCs w:val="18"/>
                          </w:rPr>
                          <w:t>公司七楼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会议室</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65"/>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17"/>
                          <w:jc w:val="left"/>
                          <w:rPr>
                            <w:rFonts w:ascii="宋体" w:hAnsi="宋体" w:cs="宋体" w:eastAsia="宋体" w:hint="default"/>
                            <w:sz w:val="18"/>
                            <w:szCs w:val="18"/>
                          </w:rPr>
                        </w:pPr>
                        <w:r>
                          <w:rPr>
                            <w:rFonts w:ascii="宋体" w:hAnsi="宋体" w:cs="宋体" w:eastAsia="宋体" w:hint="default"/>
                            <w:spacing w:val="-8"/>
                            <w:sz w:val="18"/>
                            <w:szCs w:val="18"/>
                          </w:rPr>
                          <w:t>光；交银施罗德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权益投资总监</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4" w:right="17"/>
                          <w:jc w:val="left"/>
                          <w:rPr>
                            <w:rFonts w:ascii="宋体" w:hAnsi="宋体" w:cs="宋体" w:eastAsia="宋体" w:hint="default"/>
                            <w:sz w:val="18"/>
                            <w:szCs w:val="18"/>
                          </w:rPr>
                        </w:pPr>
                        <w:r>
                          <w:rPr>
                            <w:rFonts w:ascii="宋体" w:hAnsi="宋体" w:cs="宋体" w:eastAsia="宋体" w:hint="default"/>
                            <w:sz w:val="18"/>
                            <w:szCs w:val="18"/>
                          </w:rPr>
                          <w:t>公司如何看待</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产业未来几年的发展；</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、公司未来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战略规划；</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、公司与九派资本将在哪些方面开展合作</w:t>
                        </w:r>
                      </w:p>
                    </w:tc>
                  </w:tr>
                  <w:tr>
                    <w:trPr>
                      <w:trHeight w:val="319" w:hRule="exact"/>
                    </w:trPr>
                    <w:tc>
                      <w:tcPr>
                        <w:tcW w:w="1493"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pacing w:val="-8"/>
                            <w:sz w:val="18"/>
                            <w:szCs w:val="18"/>
                          </w:rPr>
                          <w:t>管华雨；天弘基</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、公司基金设立规模。</w:t>
                        </w:r>
                      </w:p>
                    </w:tc>
                  </w:tr>
                  <w:tr>
                    <w:trPr>
                      <w:trHeight w:val="318" w:hRule="exact"/>
                    </w:trPr>
                    <w:tc>
                      <w:tcPr>
                        <w:tcW w:w="1493"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 研究员</w:t>
                        </w:r>
                        <w:r>
                          <w:rPr>
                            <w:rFonts w:ascii="宋体" w:hAnsi="宋体" w:cs="宋体" w:eastAsia="宋体" w:hint="default"/>
                            <w:spacing w:val="4"/>
                            <w:sz w:val="18"/>
                            <w:szCs w:val="18"/>
                          </w:rPr>
                          <w:t> </w:t>
                        </w:r>
                        <w:r>
                          <w:rPr>
                            <w:rFonts w:ascii="宋体" w:hAnsi="宋体" w:cs="宋体" w:eastAsia="宋体" w:hint="default"/>
                            <w:sz w:val="18"/>
                            <w:szCs w:val="18"/>
                          </w:rPr>
                          <w:t>张</w:t>
                        </w:r>
                      </w:p>
                    </w:tc>
                    <w:tc>
                      <w:tcPr>
                        <w:tcW w:w="432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6"/>
        <w:ind w:left="0" w:right="150"/>
        <w:jc w:val="right"/>
      </w:pPr>
      <w:r>
        <w:rPr>
          <w:w w:val="101"/>
        </w:rPr>
        <w:t>；</w:t>
      </w:r>
      <w:r>
        <w:rPr/>
      </w:r>
    </w:p>
    <w:p>
      <w:pPr>
        <w:spacing w:after="0" w:line="240" w:lineRule="auto"/>
        <w:jc w:val="righ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6"/>
        <w:ind w:left="0" w:right="150"/>
        <w:jc w:val="right"/>
      </w:pPr>
      <w:r>
        <w:rPr/>
        <w:pict>
          <v:shape style="position:absolute;margin-left:56.400002pt;margin-top:-34.463985pt;width:479.3pt;height:183.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3"/>
                    <w:gridCol w:w="917"/>
                    <w:gridCol w:w="850"/>
                    <w:gridCol w:w="710"/>
                    <w:gridCol w:w="1277"/>
                    <w:gridCol w:w="4325"/>
                  </w:tblGrid>
                  <w:tr>
                    <w:trPr>
                      <w:trHeight w:val="360" w:hRule="exact"/>
                    </w:trPr>
                    <w:tc>
                      <w:tcPr>
                        <w:tcW w:w="149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卓；</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公司七楼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65"/>
                          <w:jc w:val="both"/>
                          <w:rPr>
                            <w:rFonts w:ascii="宋体" w:hAnsi="宋体" w:cs="宋体" w:eastAsia="宋体" w:hint="default"/>
                            <w:sz w:val="18"/>
                            <w:szCs w:val="18"/>
                          </w:rPr>
                        </w:pPr>
                        <w:r>
                          <w:rPr>
                            <w:rFonts w:ascii="宋体" w:hAnsi="宋体" w:cs="宋体" w:eastAsia="宋体" w:hint="default"/>
                            <w:sz w:val="18"/>
                            <w:szCs w:val="18"/>
                          </w:rPr>
                          <w:t>宏源证券</w:t>
                        </w:r>
                        <w:r>
                          <w:rPr>
                            <w:rFonts w:ascii="宋体" w:hAnsi="宋体" w:cs="宋体" w:eastAsia="宋体" w:hint="default"/>
                            <w:spacing w:val="4"/>
                            <w:sz w:val="18"/>
                            <w:szCs w:val="18"/>
                          </w:rPr>
                          <w:t> </w:t>
                        </w:r>
                        <w:r>
                          <w:rPr>
                            <w:rFonts w:ascii="宋体" w:hAnsi="宋体" w:cs="宋体" w:eastAsia="宋体" w:hint="default"/>
                            <w:sz w:val="18"/>
                            <w:szCs w:val="18"/>
                          </w:rPr>
                          <w:t>电子</w:t>
                        </w:r>
                        <w:r>
                          <w:rPr>
                            <w:rFonts w:ascii="宋体" w:hAnsi="宋体" w:cs="宋体" w:eastAsia="宋体" w:hint="default"/>
                            <w:w w:val="101"/>
                            <w:sz w:val="18"/>
                            <w:szCs w:val="18"/>
                          </w:rPr>
                          <w:t> </w:t>
                        </w:r>
                        <w:r>
                          <w:rPr>
                            <w:rFonts w:ascii="宋体" w:hAnsi="宋体" w:cs="宋体" w:eastAsia="宋体" w:hint="default"/>
                            <w:sz w:val="18"/>
                            <w:szCs w:val="18"/>
                          </w:rPr>
                          <w:t>行业研究员</w:t>
                        </w:r>
                        <w:r>
                          <w:rPr>
                            <w:rFonts w:ascii="宋体" w:hAnsi="宋体" w:cs="宋体" w:eastAsia="宋体" w:hint="default"/>
                            <w:spacing w:val="4"/>
                            <w:sz w:val="18"/>
                            <w:szCs w:val="18"/>
                          </w:rPr>
                          <w:t> </w:t>
                        </w:r>
                        <w:r>
                          <w:rPr>
                            <w:rFonts w:ascii="宋体" w:hAnsi="宋体" w:cs="宋体" w:eastAsia="宋体" w:hint="default"/>
                            <w:sz w:val="18"/>
                            <w:szCs w:val="18"/>
                          </w:rPr>
                          <w:t>王</w:t>
                        </w:r>
                        <w:r>
                          <w:rPr>
                            <w:rFonts w:ascii="宋体" w:hAnsi="宋体" w:cs="宋体" w:eastAsia="宋体" w:hint="default"/>
                            <w:w w:val="101"/>
                            <w:sz w:val="18"/>
                            <w:szCs w:val="18"/>
                          </w:rPr>
                          <w:t> </w:t>
                        </w:r>
                        <w:r>
                          <w:rPr>
                            <w:rFonts w:ascii="宋体" w:hAnsi="宋体" w:cs="宋体" w:eastAsia="宋体" w:hint="default"/>
                            <w:sz w:val="18"/>
                            <w:szCs w:val="18"/>
                          </w:rPr>
                          <w:t>建伟</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4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、介绍公司的基本情况；</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、公司未来对 </w:t>
                        </w:r>
                        <w:r>
                          <w:rPr>
                            <w:rFonts w:ascii="Times New Roman" w:hAnsi="Times New Roman" w:cs="Times New Roman" w:eastAsia="Times New Roman" w:hint="default"/>
                            <w:sz w:val="18"/>
                            <w:szCs w:val="18"/>
                          </w:rPr>
                          <w:t>EMS </w:t>
                        </w:r>
                        <w:r>
                          <w:rPr>
                            <w:rFonts w:ascii="宋体" w:hAnsi="宋体" w:cs="宋体" w:eastAsia="宋体" w:hint="default"/>
                            <w:sz w:val="18"/>
                            <w:szCs w:val="18"/>
                          </w:rPr>
                          <w:t>业务的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规划；</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、公司如何看待 </w:t>
                        </w:r>
                        <w:r>
                          <w:rPr>
                            <w:rFonts w:ascii="Times New Roman" w:hAnsi="Times New Roman" w:cs="Times New Roman" w:eastAsia="Times New Roman" w:hint="default"/>
                            <w:sz w:val="18"/>
                            <w:szCs w:val="18"/>
                          </w:rPr>
                          <w:t>LED </w:t>
                        </w:r>
                        <w:r>
                          <w:rPr>
                            <w:rFonts w:ascii="宋体" w:hAnsi="宋体" w:cs="宋体" w:eastAsia="宋体" w:hint="default"/>
                            <w:spacing w:val="-4"/>
                            <w:sz w:val="18"/>
                            <w:szCs w:val="18"/>
                          </w:rPr>
                          <w:t>产业未来几年的发展；</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公司修改经营范围的主要原因；</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、公司并购基金的规</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模及未来发挥并购基金作用的领域；</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、基金是否已经</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有合适的标的。</w:t>
                        </w:r>
                      </w:p>
                    </w:tc>
                  </w:tr>
                  <w:tr>
                    <w:trPr>
                      <w:trHeight w:val="364" w:hRule="exact"/>
                    </w:trPr>
                    <w:tc>
                      <w:tcPr>
                        <w:tcW w:w="1493"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、介绍公司的基本情况；</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、公司如何看待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产业</w:t>
                        </w:r>
                      </w:p>
                    </w:tc>
                  </w:tr>
                  <w:tr>
                    <w:trPr>
                      <w:trHeight w:val="938"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24 </w:t>
                        </w:r>
                        <w:r>
                          <w:rPr>
                            <w:rFonts w:ascii="宋体" w:hAnsi="宋体" w:cs="宋体" w:eastAsia="宋体" w:hint="default"/>
                            <w:sz w:val="18"/>
                            <w:szCs w:val="18"/>
                          </w:rPr>
                          <w:t>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公司七楼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会议室</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8"/>
                            <w:sz w:val="18"/>
                            <w:szCs w:val="18"/>
                          </w:rPr>
                          <w:t>国海证券：范轶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敏、周振宁</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16"/>
                          <w:jc w:val="both"/>
                          <w:rPr>
                            <w:rFonts w:ascii="宋体" w:hAnsi="宋体" w:cs="宋体" w:eastAsia="宋体" w:hint="default"/>
                            <w:sz w:val="18"/>
                            <w:szCs w:val="18"/>
                          </w:rPr>
                        </w:pPr>
                        <w:r>
                          <w:rPr>
                            <w:rFonts w:ascii="宋体" w:hAnsi="宋体" w:cs="宋体" w:eastAsia="宋体" w:hint="default"/>
                            <w:spacing w:val="-5"/>
                            <w:sz w:val="18"/>
                            <w:szCs w:val="18"/>
                          </w:rPr>
                          <w:t>未来几年的发展；</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、公司未来的战略规划；</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、公司并</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购基金的规模及未来发挥并购基金作用的领域；</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、基</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5"/>
                            <w:sz w:val="18"/>
                            <w:szCs w:val="18"/>
                          </w:rPr>
                          <w:t>金是否已经有合适的标的；</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、公司预计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年第一期</w:t>
                        </w:r>
                      </w:p>
                    </w:tc>
                  </w:tr>
                  <w:tr>
                    <w:trPr>
                      <w:trHeight w:val="349" w:hRule="exact"/>
                    </w:trPr>
                    <w:tc>
                      <w:tcPr>
                        <w:tcW w:w="1493"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股权激励计划是否能成功行权或解锁。</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643"/>
        <w:jc w:val="center"/>
      </w:pPr>
      <w:bookmarkStart w:name="_TOC_250007" w:id="5"/>
      <w:r>
        <w:rPr/>
        <w:t>第五节</w:t>
      </w:r>
      <w:r>
        <w:rPr>
          <w:spacing w:val="9"/>
        </w:rPr>
        <w:t> </w:t>
      </w:r>
      <w:bookmarkEnd w:id="5"/>
      <w:r>
        <w:rPr/>
        <w:t>重要事项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26"/>
        <w:ind w:right="0"/>
        <w:jc w:val="left"/>
      </w:pPr>
      <w:r>
        <w:rPr/>
        <w:t>一、重大诉讼仲裁事项</w:t>
      </w:r>
    </w:p>
    <w:p>
      <w:pPr>
        <w:spacing w:line="240" w:lineRule="auto" w:before="7"/>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spacing w:val="13"/>
        </w:rPr>
        <w:t> </w:t>
      </w:r>
      <w:r>
        <w:rPr>
          <w:rFonts w:ascii="Times New Roman" w:hAnsi="Times New Roman" w:cs="Times New Roman" w:eastAsia="Times New Roman" w:hint="default"/>
        </w:rPr>
        <w:t>□</w:t>
      </w:r>
      <w:r>
        <w:rPr/>
        <w:t>不适用</w:t>
      </w:r>
    </w:p>
    <w:p>
      <w:pPr>
        <w:pStyle w:val="BodyText"/>
        <w:spacing w:line="240" w:lineRule="auto" w:before="96"/>
        <w:ind w:left="512" w:right="0"/>
        <w:jc w:val="left"/>
      </w:pPr>
      <w:r>
        <w:rPr/>
        <w:t>因客户</w:t>
      </w:r>
      <w:r>
        <w:rPr>
          <w:rFonts w:ascii="Times New Roman" w:hAnsi="Times New Roman" w:cs="Times New Roman" w:eastAsia="Times New Roman" w:hint="default"/>
        </w:rPr>
        <w:t>PERCEPTION </w:t>
      </w:r>
      <w:r>
        <w:rPr>
          <w:rFonts w:ascii="Times New Roman" w:hAnsi="Times New Roman" w:cs="Times New Roman" w:eastAsia="Times New Roman" w:hint="default"/>
          <w:spacing w:val="-4"/>
        </w:rPr>
        <w:t>DIGITAL </w:t>
      </w:r>
      <w:r>
        <w:rPr>
          <w:rFonts w:ascii="Times New Roman" w:hAnsi="Times New Roman" w:cs="Times New Roman" w:eastAsia="Times New Roman" w:hint="default"/>
        </w:rPr>
        <w:t>LIMITED/PD TRADING (HONG KONG) </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4"/>
        </w:rPr>
        <w:t>LIMITED</w:t>
      </w:r>
      <w:r>
        <w:rPr>
          <w:spacing w:val="-4"/>
        </w:rPr>
        <w:t>逾期支付货款，经公司多次索要无果，</w:t>
      </w:r>
    </w:p>
    <w:p>
      <w:pPr>
        <w:pStyle w:val="BodyText"/>
        <w:spacing w:line="300" w:lineRule="auto" w:before="63"/>
        <w:ind w:left="153" w:right="0" w:hanging="1"/>
        <w:jc w:val="left"/>
      </w:pPr>
      <w:r>
        <w:rPr>
          <w:spacing w:val="-5"/>
          <w:w w:val="101"/>
        </w:rPr>
        <w:t>公司于</w:t>
      </w:r>
      <w:r>
        <w:rPr>
          <w:rFonts w:ascii="Times New Roman" w:hAnsi="Times New Roman" w:cs="Times New Roman" w:eastAsia="Times New Roman" w:hint="default"/>
          <w:spacing w:val="-5"/>
          <w:w w:val="101"/>
        </w:rPr>
        <w:t>2013</w:t>
      </w:r>
      <w:r>
        <w:rPr>
          <w:spacing w:val="-5"/>
          <w:w w:val="101"/>
        </w:rPr>
        <w:t>年</w:t>
      </w:r>
      <w:r>
        <w:rPr>
          <w:rFonts w:ascii="Times New Roman" w:hAnsi="Times New Roman" w:cs="Times New Roman" w:eastAsia="Times New Roman" w:hint="default"/>
          <w:spacing w:val="-5"/>
          <w:w w:val="101"/>
        </w:rPr>
        <w:t>11</w:t>
      </w:r>
      <w:r>
        <w:rPr>
          <w:spacing w:val="-5"/>
          <w:w w:val="101"/>
        </w:rPr>
        <w:t>月</w:t>
      </w:r>
      <w:r>
        <w:rPr>
          <w:rFonts w:ascii="Times New Roman" w:hAnsi="Times New Roman" w:cs="Times New Roman" w:eastAsia="Times New Roman" w:hint="default"/>
          <w:spacing w:val="-5"/>
          <w:w w:val="101"/>
        </w:rPr>
        <w:t>14</w:t>
      </w:r>
      <w:r>
        <w:rPr>
          <w:spacing w:val="-5"/>
          <w:w w:val="101"/>
        </w:rPr>
        <w:t>日向香港高等法院提交《申索陈述书》，并于</w:t>
      </w:r>
      <w:r>
        <w:rPr>
          <w:rFonts w:ascii="Times New Roman" w:hAnsi="Times New Roman" w:cs="Times New Roman" w:eastAsia="Times New Roman" w:hint="default"/>
          <w:spacing w:val="-5"/>
          <w:w w:val="101"/>
        </w:rPr>
        <w:t>2014</w:t>
      </w:r>
      <w:r>
        <w:rPr>
          <w:spacing w:val="-5"/>
          <w:w w:val="101"/>
        </w:rPr>
        <w:t>年</w:t>
      </w:r>
      <w:r>
        <w:rPr>
          <w:rFonts w:ascii="Times New Roman" w:hAnsi="Times New Roman" w:cs="Times New Roman" w:eastAsia="Times New Roman" w:hint="default"/>
          <w:spacing w:val="-5"/>
          <w:w w:val="101"/>
        </w:rPr>
        <w:t>1</w:t>
      </w:r>
      <w:r>
        <w:rPr>
          <w:spacing w:val="-5"/>
          <w:w w:val="101"/>
        </w:rPr>
        <w:t>月</w:t>
      </w:r>
      <w:r>
        <w:rPr>
          <w:rFonts w:ascii="Times New Roman" w:hAnsi="Times New Roman" w:cs="Times New Roman" w:eastAsia="Times New Roman" w:hint="default"/>
          <w:spacing w:val="-5"/>
          <w:w w:val="101"/>
        </w:rPr>
        <w:t>30</w:t>
      </w:r>
      <w:r>
        <w:rPr>
          <w:spacing w:val="-5"/>
          <w:w w:val="101"/>
        </w:rPr>
        <w:t>日正式向香港高等法院提交简易程序申请，索</w:t>
      </w:r>
      <w:r>
        <w:rPr>
          <w:w w:val="101"/>
        </w:rPr>
        <w:t> </w:t>
      </w:r>
      <w:r>
        <w:rPr>
          <w:spacing w:val="-3"/>
        </w:rPr>
        <w:t>偿货款及业务往来过程中的各项款项合计</w:t>
      </w:r>
      <w:r>
        <w:rPr>
          <w:rFonts w:ascii="Times New Roman" w:hAnsi="Times New Roman" w:cs="Times New Roman" w:eastAsia="Times New Roman" w:hint="default"/>
          <w:spacing w:val="-3"/>
        </w:rPr>
        <w:t>USD292.31</w:t>
      </w:r>
      <w:r>
        <w:rPr>
          <w:spacing w:val="-3"/>
        </w:rPr>
        <w:t>万元，</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16</w:t>
      </w:r>
      <w:r>
        <w:rPr>
          <w:spacing w:val="-3"/>
        </w:rPr>
        <w:t>日公司收到香港高等法院不予进入简易程序的裁定，</w:t>
      </w:r>
      <w:r>
        <w:rPr>
          <w:spacing w:val="55"/>
        </w:rPr>
        <w:t> </w:t>
      </w:r>
      <w:r>
        <w:rPr>
          <w:spacing w:val="55"/>
        </w:rPr>
      </w:r>
      <w:r>
        <w:rPr>
          <w:spacing w:val="-3"/>
        </w:rPr>
        <w:t>截止本报告报出之日，本案件正在普通程序审理中。</w:t>
      </w:r>
    </w:p>
    <w:p>
      <w:pPr>
        <w:spacing w:line="240" w:lineRule="auto" w:before="3"/>
        <w:rPr>
          <w:rFonts w:ascii="宋体" w:hAnsi="宋体" w:cs="宋体" w:eastAsia="宋体" w:hint="default"/>
          <w:sz w:val="21"/>
          <w:szCs w:val="21"/>
        </w:rPr>
      </w:pPr>
    </w:p>
    <w:p>
      <w:pPr>
        <w:pStyle w:val="Heading3"/>
        <w:spacing w:line="240" w:lineRule="auto"/>
        <w:ind w:right="0"/>
        <w:jc w:val="left"/>
      </w:pPr>
      <w:r>
        <w:rPr/>
        <w:t>二、媒体质疑情况</w:t>
      </w:r>
    </w:p>
    <w:p>
      <w:pPr>
        <w:spacing w:line="240" w:lineRule="auto" w:before="3"/>
        <w:rPr>
          <w:rFonts w:ascii="宋体" w:hAnsi="宋体" w:cs="宋体" w:eastAsia="宋体" w:hint="default"/>
          <w:sz w:val="27"/>
          <w:szCs w:val="27"/>
        </w:rPr>
      </w:pPr>
    </w:p>
    <w:p>
      <w:pPr>
        <w:pStyle w:val="BodyText"/>
        <w:spacing w:line="338" w:lineRule="auto"/>
        <w:ind w:right="66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本报告期公司无媒体普遍质疑事项。</w:t>
      </w:r>
    </w:p>
    <w:p>
      <w:pPr>
        <w:spacing w:line="240" w:lineRule="auto" w:before="9"/>
        <w:rPr>
          <w:rFonts w:ascii="宋体" w:hAnsi="宋体" w:cs="宋体" w:eastAsia="宋体" w:hint="default"/>
          <w:sz w:val="18"/>
          <w:szCs w:val="18"/>
        </w:rPr>
      </w:pPr>
    </w:p>
    <w:p>
      <w:pPr>
        <w:pStyle w:val="Heading3"/>
        <w:spacing w:line="240" w:lineRule="auto"/>
        <w:ind w:right="0"/>
        <w:jc w:val="left"/>
      </w:pPr>
      <w:r>
        <w:rPr/>
        <w:t>三、控股股东及其关联方对上市公司的非经营性占用资金情况</w:t>
      </w:r>
    </w:p>
    <w:p>
      <w:pPr>
        <w:spacing w:line="240" w:lineRule="auto" w:before="8"/>
        <w:rPr>
          <w:rFonts w:ascii="宋体" w:hAnsi="宋体" w:cs="宋体" w:eastAsia="宋体" w:hint="default"/>
          <w:sz w:val="27"/>
          <w:szCs w:val="27"/>
        </w:rPr>
      </w:pPr>
    </w:p>
    <w:p>
      <w:pPr>
        <w:pStyle w:val="BodyText"/>
        <w:spacing w:line="338" w:lineRule="auto"/>
        <w:ind w:right="30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3"/>
        <w:spacing w:line="240" w:lineRule="auto"/>
        <w:ind w:right="0"/>
        <w:jc w:val="left"/>
      </w:pPr>
      <w:r>
        <w:rPr/>
        <w:t>四、破产重整相关事项</w:t>
      </w:r>
    </w:p>
    <w:p>
      <w:pPr>
        <w:spacing w:line="240" w:lineRule="auto" w:before="7"/>
        <w:rPr>
          <w:rFonts w:ascii="宋体" w:hAnsi="宋体" w:cs="宋体" w:eastAsia="宋体" w:hint="default"/>
          <w:sz w:val="27"/>
          <w:szCs w:val="27"/>
        </w:rPr>
      </w:pPr>
    </w:p>
    <w:p>
      <w:pPr>
        <w:pStyle w:val="BodyText"/>
        <w:spacing w:line="343" w:lineRule="auto"/>
        <w:ind w:right="66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1"/>
        <w:rPr>
          <w:rFonts w:ascii="宋体" w:hAnsi="宋体" w:cs="宋体" w:eastAsia="宋体" w:hint="default"/>
          <w:sz w:val="18"/>
          <w:szCs w:val="18"/>
        </w:rPr>
      </w:pPr>
    </w:p>
    <w:p>
      <w:pPr>
        <w:pStyle w:val="Heading3"/>
        <w:spacing w:line="240" w:lineRule="auto"/>
        <w:ind w:right="0"/>
        <w:jc w:val="left"/>
      </w:pPr>
      <w:r>
        <w:rPr/>
        <w:t>五、资产交易事项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66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公司报告期未收购资产。</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66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公司报告期未出售资产。</w:t>
      </w: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66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公司报告期未发生企业合并情况。</w:t>
      </w:r>
    </w:p>
    <w:p>
      <w:pPr>
        <w:spacing w:after="0" w:line="338" w:lineRule="auto"/>
        <w:jc w:val="left"/>
        <w:sectPr>
          <w:pgSz w:w="11910" w:h="16840"/>
          <w:pgMar w:header="741" w:footer="979" w:top="1060" w:bottom="1160" w:left="980" w:right="920"/>
        </w:sectPr>
      </w:pPr>
    </w:p>
    <w:p>
      <w:pPr>
        <w:spacing w:line="240" w:lineRule="auto" w:before="5"/>
        <w:rPr>
          <w:rFonts w:ascii="宋体" w:hAnsi="宋体" w:cs="宋体" w:eastAsia="宋体" w:hint="default"/>
          <w:sz w:val="23"/>
          <w:szCs w:val="23"/>
        </w:rPr>
      </w:pPr>
    </w:p>
    <w:p>
      <w:pPr>
        <w:pStyle w:val="Heading2"/>
        <w:spacing w:line="367" w:lineRule="exact"/>
        <w:ind w:right="0"/>
        <w:jc w:val="left"/>
        <w:rPr>
          <w:b w:val="0"/>
          <w:bCs w:val="0"/>
        </w:rPr>
      </w:pPr>
      <w:r>
        <w:rPr/>
        <w:t>六、公司股权激励的实施情况及其影响</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7" w:lineRule="auto" w:before="96"/>
        <w:ind w:left="153" w:right="0" w:firstLine="36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18</w:t>
      </w:r>
      <w:r>
        <w:rPr>
          <w:spacing w:val="-5"/>
        </w:rPr>
        <w:t>日公司第三届董事会第二十一次会议审议通过了《关于公司</w:t>
      </w:r>
      <w:r>
        <w:rPr>
          <w:rFonts w:ascii="Times New Roman" w:hAnsi="Times New Roman" w:cs="Times New Roman" w:eastAsia="Times New Roman" w:hint="default"/>
          <w:spacing w:val="-5"/>
        </w:rPr>
        <w:t>&lt;</w:t>
      </w:r>
      <w:r>
        <w:rPr>
          <w:spacing w:val="-5"/>
        </w:rPr>
        <w:t>股票期权与限制性股票激励计划（草案）</w:t>
      </w:r>
      <w:r>
        <w:rPr>
          <w:rFonts w:ascii="Times New Roman" w:hAnsi="Times New Roman" w:cs="Times New Roman" w:eastAsia="Times New Roman" w:hint="default"/>
          <w:spacing w:val="-5"/>
        </w:rPr>
        <w:t>&gt;</w:t>
      </w:r>
      <w:r>
        <w:rPr>
          <w:rFonts w:ascii="Times New Roman" w:hAnsi="Times New Roman" w:cs="Times New Roman" w:eastAsia="Times New Roman" w:hint="default"/>
          <w:w w:val="101"/>
        </w:rPr>
        <w:t> </w:t>
      </w:r>
      <w:r>
        <w:rPr>
          <w:spacing w:val="-4"/>
        </w:rPr>
        <w:t>及其摘要的议案》等相关议案，公司首期股权激励计划激励对象以核心经管团队成员为主，同时适度考虑中层员工骨干、核</w:t>
      </w:r>
      <w:r>
        <w:rPr>
          <w:spacing w:val="41"/>
        </w:rPr>
        <w:t> </w:t>
      </w:r>
      <w:r>
        <w:rPr>
          <w:spacing w:val="41"/>
        </w:rPr>
      </w:r>
      <w:r>
        <w:rPr>
          <w:spacing w:val="-3"/>
        </w:rPr>
        <w:t>心业务（技术）骨干人员以及董事会认为需要以此方式进行激励其他骨干员工。本次股权激励计划的股份来源为定向增发，</w:t>
      </w:r>
      <w:r>
        <w:rPr>
          <w:spacing w:val="66"/>
        </w:rPr>
        <w:t> </w:t>
      </w:r>
      <w:r>
        <w:rPr>
          <w:spacing w:val="66"/>
        </w:rPr>
      </w:r>
      <w:r>
        <w:rPr>
          <w:spacing w:val="-2"/>
        </w:rPr>
        <w:t>拟授予的限制性股票为</w:t>
      </w:r>
      <w:r>
        <w:rPr>
          <w:rFonts w:ascii="Times New Roman" w:hAnsi="Times New Roman" w:cs="Times New Roman" w:eastAsia="Times New Roman" w:hint="default"/>
          <w:spacing w:val="-2"/>
        </w:rPr>
        <w:t>343.33</w:t>
      </w:r>
      <w:r>
        <w:rPr>
          <w:spacing w:val="-2"/>
        </w:rPr>
        <w:t>万股、股票期权为</w:t>
      </w:r>
      <w:r>
        <w:rPr>
          <w:rFonts w:ascii="Times New Roman" w:hAnsi="Times New Roman" w:cs="Times New Roman" w:eastAsia="Times New Roman" w:hint="default"/>
          <w:spacing w:val="-2"/>
        </w:rPr>
        <w:t>331.44</w:t>
      </w:r>
      <w:r>
        <w:rPr>
          <w:spacing w:val="-2"/>
        </w:rPr>
        <w:t>万份，合计约占本激励计划签署时公司股本总额</w:t>
      </w:r>
      <w:r>
        <w:rPr>
          <w:rFonts w:ascii="Times New Roman" w:hAnsi="Times New Roman" w:cs="Times New Roman" w:eastAsia="Times New Roman" w:hint="default"/>
          <w:spacing w:val="-2"/>
        </w:rPr>
        <w:t>45,841.06</w:t>
      </w:r>
      <w:r>
        <w:rPr>
          <w:spacing w:val="-2"/>
        </w:rPr>
        <w:t>万股的</w:t>
      </w:r>
      <w:r>
        <w:rPr>
          <w:spacing w:val="32"/>
        </w:rPr>
        <w:t> </w:t>
      </w:r>
      <w:r>
        <w:rPr>
          <w:spacing w:val="32"/>
        </w:rPr>
      </w:r>
      <w:r>
        <w:rPr>
          <w:rFonts w:ascii="Times New Roman" w:hAnsi="Times New Roman" w:cs="Times New Roman" w:eastAsia="Times New Roman" w:hint="default"/>
          <w:spacing w:val="-3"/>
        </w:rPr>
        <w:t>1.47%</w:t>
      </w:r>
      <w:r>
        <w:rPr>
          <w:spacing w:val="-3"/>
        </w:rPr>
        <w:t>。限制性股票首次授予价格为 </w:t>
      </w:r>
      <w:r>
        <w:rPr>
          <w:rFonts w:ascii="Times New Roman" w:hAnsi="Times New Roman" w:cs="Times New Roman" w:eastAsia="Times New Roman" w:hint="default"/>
          <w:spacing w:val="-3"/>
        </w:rPr>
        <w:t>2</w:t>
      </w:r>
      <w:r>
        <w:rPr>
          <w:spacing w:val="-3"/>
        </w:rPr>
        <w:t>元</w:t>
      </w:r>
      <w:r>
        <w:rPr>
          <w:rFonts w:ascii="Times New Roman" w:hAnsi="Times New Roman" w:cs="Times New Roman" w:eastAsia="Times New Roman" w:hint="default"/>
          <w:spacing w:val="-3"/>
        </w:rPr>
        <w:t>/</w:t>
      </w:r>
      <w:r>
        <w:rPr>
          <w:spacing w:val="-3"/>
        </w:rPr>
        <w:t>股，股票期权首次行权价格为</w:t>
      </w:r>
      <w:r>
        <w:rPr>
          <w:rFonts w:ascii="Times New Roman" w:hAnsi="Times New Roman" w:cs="Times New Roman" w:eastAsia="Times New Roman" w:hint="default"/>
          <w:spacing w:val="-3"/>
        </w:rPr>
        <w:t>4.10</w:t>
      </w:r>
      <w:r>
        <w:rPr>
          <w:spacing w:val="-3"/>
        </w:rPr>
        <w:t>元</w:t>
      </w:r>
      <w:r>
        <w:rPr>
          <w:rFonts w:ascii="Times New Roman" w:hAnsi="Times New Roman" w:cs="Times New Roman" w:eastAsia="Times New Roman" w:hint="default"/>
          <w:spacing w:val="-3"/>
        </w:rPr>
        <w:t>/</w:t>
      </w:r>
      <w:r>
        <w:rPr>
          <w:spacing w:val="-3"/>
        </w:rPr>
        <w:t>股。若达到本激励计划规定的解锁</w:t>
      </w:r>
      <w:r>
        <w:rPr>
          <w:rFonts w:ascii="Times New Roman" w:hAnsi="Times New Roman" w:cs="Times New Roman" w:eastAsia="Times New Roman" w:hint="default"/>
          <w:spacing w:val="-3"/>
        </w:rPr>
        <w:t>/</w:t>
      </w:r>
      <w:r>
        <w:rPr>
          <w:spacing w:val="-3"/>
        </w:rPr>
        <w:t>行权条件，</w:t>
      </w:r>
      <w:r>
        <w:rPr>
          <w:spacing w:val="-15"/>
        </w:rPr>
        <w:t> </w:t>
      </w:r>
      <w:r>
        <w:rPr>
          <w:spacing w:val="-15"/>
        </w:rPr>
      </w:r>
      <w:r>
        <w:rPr>
          <w:spacing w:val="-3"/>
        </w:rPr>
        <w:t>激励对象可分三次申请解锁</w:t>
      </w:r>
      <w:r>
        <w:rPr>
          <w:rFonts w:ascii="Times New Roman" w:hAnsi="Times New Roman" w:cs="Times New Roman" w:eastAsia="Times New Roman" w:hint="default"/>
          <w:spacing w:val="-3"/>
        </w:rPr>
        <w:t>/</w:t>
      </w:r>
      <w:r>
        <w:rPr>
          <w:spacing w:val="-3"/>
        </w:rPr>
        <w:t>行权。 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20</w:t>
      </w:r>
      <w:r>
        <w:rPr>
          <w:spacing w:val="-3"/>
        </w:rPr>
        <w:t>日刊载于巨潮资讯网的《深圳市实益达科技股份有限公司股票</w:t>
      </w:r>
      <w:r>
        <w:rPr>
          <w:spacing w:val="63"/>
        </w:rPr>
        <w:t> </w:t>
      </w:r>
      <w:r>
        <w:rPr>
          <w:spacing w:val="63"/>
        </w:rPr>
      </w:r>
      <w:r>
        <w:rPr>
          <w:spacing w:val="-3"/>
        </w:rPr>
        <w:t>期权与限制性股票激励计划（草案）》及其摘要。</w:t>
      </w:r>
    </w:p>
    <w:p>
      <w:pPr>
        <w:pStyle w:val="BodyText"/>
        <w:spacing w:line="309" w:lineRule="auto" w:before="26"/>
        <w:ind w:left="153" w:right="204" w:firstLine="359"/>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日公司股权激励计划获得中国证监会备案无异议。详见公司于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日刊载于证券时报、中国证</w:t>
      </w:r>
      <w:r>
        <w:rPr>
          <w:w w:val="101"/>
        </w:rPr>
        <w:t> </w:t>
      </w:r>
      <w:r>
        <w:rPr>
          <w:spacing w:val="-4"/>
        </w:rPr>
        <w:t>券报和巨潮资讯网的《关于股票期权与限制性股票激励计划（草案）获得中国证券监督管理委员会备案无异议的公告》（公</w:t>
      </w:r>
      <w:r>
        <w:rPr>
          <w:spacing w:val="41"/>
        </w:rPr>
        <w:t> </w:t>
      </w:r>
      <w:r>
        <w:rPr>
          <w:spacing w:val="41"/>
        </w:rPr>
      </w:r>
      <w:r>
        <w:rPr/>
        <w:t>告编号：</w:t>
      </w:r>
      <w:r>
        <w:rPr>
          <w:rFonts w:ascii="Times New Roman" w:hAnsi="Times New Roman" w:cs="Times New Roman" w:eastAsia="Times New Roman" w:hint="default"/>
        </w:rPr>
        <w:t>2014-018</w:t>
      </w:r>
      <w:r>
        <w:rPr/>
        <w:t>）。</w:t>
      </w:r>
    </w:p>
    <w:p>
      <w:pPr>
        <w:pStyle w:val="BodyText"/>
        <w:spacing w:line="300" w:lineRule="auto" w:before="5"/>
        <w:ind w:left="154" w:right="214" w:firstLine="359"/>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日公司</w:t>
      </w:r>
      <w:r>
        <w:rPr>
          <w:rFonts w:ascii="Times New Roman" w:hAnsi="Times New Roman" w:cs="Times New Roman" w:eastAsia="Times New Roman" w:hint="default"/>
          <w:spacing w:val="-3"/>
        </w:rPr>
        <w:t>2014</w:t>
      </w:r>
      <w:r>
        <w:rPr>
          <w:spacing w:val="-3"/>
        </w:rPr>
        <w:t>年度第一次临时股东大会审议通过了本次股权激励计划。详见公司于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日刊载于</w:t>
      </w:r>
      <w:r>
        <w:rPr>
          <w:w w:val="101"/>
        </w:rPr>
        <w:t> </w:t>
      </w:r>
      <w:r>
        <w:rPr>
          <w:spacing w:val="-3"/>
        </w:rPr>
        <w:t>证券时报、中国证券报和巨潮资讯网的《</w:t>
      </w:r>
      <w:r>
        <w:rPr>
          <w:rFonts w:ascii="Times New Roman" w:hAnsi="Times New Roman" w:cs="Times New Roman" w:eastAsia="Times New Roman" w:hint="default"/>
          <w:spacing w:val="-3"/>
        </w:rPr>
        <w:t>2014</w:t>
      </w:r>
      <w:r>
        <w:rPr>
          <w:spacing w:val="-3"/>
        </w:rPr>
        <w:t>年度第一次临时股东大会决议公告》（公告编号：</w:t>
      </w:r>
      <w:r>
        <w:rPr>
          <w:rFonts w:ascii="Times New Roman" w:hAnsi="Times New Roman" w:cs="Times New Roman" w:eastAsia="Times New Roman" w:hint="default"/>
          <w:spacing w:val="-3"/>
        </w:rPr>
        <w:t>2014-029</w:t>
      </w:r>
      <w:r>
        <w:rPr>
          <w:spacing w:val="-3"/>
        </w:rPr>
        <w:t>）。</w:t>
      </w:r>
    </w:p>
    <w:p>
      <w:pPr>
        <w:pStyle w:val="BodyText"/>
        <w:spacing w:line="304" w:lineRule="auto" w:before="13"/>
        <w:ind w:left="154" w:right="113" w:firstLine="359"/>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29</w:t>
      </w:r>
      <w:r>
        <w:rPr>
          <w:spacing w:val="-4"/>
        </w:rPr>
        <w:t>日公司召开的第三届董事会第二十四会议，在股东大会授权权限范围内审议通过了《关于公司股票期权</w:t>
      </w:r>
      <w:r>
        <w:rPr>
          <w:w w:val="101"/>
        </w:rPr>
        <w:t> </w:t>
      </w:r>
      <w:r>
        <w:rPr>
          <w:spacing w:val="-4"/>
        </w:rPr>
        <w:t>与限制性股票激励计划授予调整的议案》和《关于向激励对象授予股票期权和限制性股票的议案》。因部分激励对象离职不</w:t>
      </w:r>
      <w:r>
        <w:rPr>
          <w:spacing w:val="44"/>
        </w:rPr>
        <w:t> </w:t>
      </w:r>
      <w:r>
        <w:rPr>
          <w:spacing w:val="44"/>
        </w:rPr>
      </w:r>
      <w:r>
        <w:rPr>
          <w:spacing w:val="-3"/>
        </w:rPr>
        <w:t>再符合激励条件，公司将拟授予股票期权的总数由</w:t>
      </w:r>
      <w:r>
        <w:rPr>
          <w:rFonts w:ascii="Times New Roman" w:hAnsi="Times New Roman" w:cs="Times New Roman" w:eastAsia="Times New Roman" w:hint="default"/>
          <w:spacing w:val="-3"/>
        </w:rPr>
        <w:t>331.44</w:t>
      </w:r>
      <w:r>
        <w:rPr>
          <w:spacing w:val="-3"/>
        </w:rPr>
        <w:t>万份调整为</w:t>
      </w:r>
      <w:r>
        <w:rPr>
          <w:rFonts w:ascii="Times New Roman" w:hAnsi="Times New Roman" w:cs="Times New Roman" w:eastAsia="Times New Roman" w:hint="default"/>
          <w:spacing w:val="-3"/>
        </w:rPr>
        <w:t>313.66</w:t>
      </w:r>
      <w:r>
        <w:rPr>
          <w:spacing w:val="-3"/>
        </w:rPr>
        <w:t>万份，拟授予的限制性股票数量不作调整，仍为</w:t>
      </w:r>
      <w:r>
        <w:rPr>
          <w:spacing w:val="-1"/>
        </w:rPr>
        <w:t> </w:t>
      </w:r>
      <w:r>
        <w:rPr>
          <w:spacing w:val="-1"/>
        </w:rPr>
      </w:r>
      <w:r>
        <w:rPr>
          <w:rFonts w:ascii="Times New Roman" w:hAnsi="Times New Roman" w:cs="Times New Roman" w:eastAsia="Times New Roman" w:hint="default"/>
          <w:spacing w:val="-3"/>
        </w:rPr>
        <w:t>343.33</w:t>
      </w:r>
      <w:r>
        <w:rPr>
          <w:spacing w:val="-3"/>
        </w:rPr>
        <w:t>万股。本次董事会并确定以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29</w:t>
      </w:r>
      <w:r>
        <w:rPr>
          <w:spacing w:val="-3"/>
        </w:rPr>
        <w:t>日为本次激励计划的授予日。公司独立董事及聘请的法律顾问均发表了意见。</w:t>
      </w:r>
      <w:r>
        <w:rPr>
          <w:spacing w:val="56"/>
        </w:rPr>
        <w:t> </w:t>
      </w:r>
      <w:r>
        <w:rPr>
          <w:spacing w:val="56"/>
        </w:rPr>
      </w:r>
      <w:r>
        <w:rPr>
          <w:spacing w:val="-3"/>
        </w:rPr>
        <w:t>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日刊载于证券时报、中国证券报和巨潮资讯网的《关于对股票期权与限制性股票激励计划进行调整</w:t>
      </w:r>
      <w:r>
        <w:rPr>
          <w:spacing w:val="78"/>
        </w:rPr>
        <w:t> </w:t>
      </w:r>
      <w:r>
        <w:rPr>
          <w:spacing w:val="78"/>
        </w:rPr>
      </w:r>
      <w:r>
        <w:rPr>
          <w:spacing w:val="-3"/>
        </w:rPr>
        <w:t>的公告》、《关于向激励对象授予股票期权和限制性股票的公告》（公告编号：</w:t>
      </w:r>
      <w:r>
        <w:rPr>
          <w:rFonts w:ascii="Times New Roman" w:hAnsi="Times New Roman" w:cs="Times New Roman" w:eastAsia="Times New Roman" w:hint="default"/>
          <w:spacing w:val="-3"/>
        </w:rPr>
        <w:t>2014-038</w:t>
      </w:r>
      <w:r>
        <w:rPr>
          <w:spacing w:val="-3"/>
        </w:rPr>
        <w:t>、</w:t>
      </w:r>
      <w:r>
        <w:rPr>
          <w:rFonts w:ascii="Times New Roman" w:hAnsi="Times New Roman" w:cs="Times New Roman" w:eastAsia="Times New Roman" w:hint="default"/>
          <w:spacing w:val="-3"/>
        </w:rPr>
        <w:t>039</w:t>
      </w:r>
      <w:r>
        <w:rPr>
          <w:spacing w:val="-3"/>
        </w:rPr>
        <w:t>）。</w:t>
      </w:r>
    </w:p>
    <w:p>
      <w:pPr>
        <w:pStyle w:val="BodyText"/>
        <w:spacing w:line="300" w:lineRule="auto" w:before="9"/>
        <w:ind w:left="154" w:right="203" w:firstLine="359"/>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18</w:t>
      </w:r>
      <w:r>
        <w:rPr>
          <w:spacing w:val="-4"/>
        </w:rPr>
        <w:t>日公司召开的第四届董事会第一次会议，在股东大会授权权限范围内审议通过了《关于公司股票期权与</w:t>
      </w:r>
      <w:r>
        <w:rPr>
          <w:w w:val="101"/>
        </w:rPr>
        <w:t> </w:t>
      </w:r>
      <w:r>
        <w:rPr>
          <w:spacing w:val="-4"/>
        </w:rPr>
        <w:t>限制性股票激励计划授予调整的议案》。因部分激励对象离职等不再符合激励条件，公司将拟授予股票期权的总数由</w:t>
      </w:r>
      <w:r>
        <w:rPr>
          <w:rFonts w:ascii="Times New Roman" w:hAnsi="Times New Roman" w:cs="Times New Roman" w:eastAsia="Times New Roman" w:hint="default"/>
          <w:spacing w:val="-4"/>
        </w:rPr>
        <w:t>313.66</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4"/>
        </w:rPr>
        <w:t>万份调整为</w:t>
      </w:r>
      <w:r>
        <w:rPr>
          <w:rFonts w:ascii="Times New Roman" w:hAnsi="Times New Roman" w:cs="Times New Roman" w:eastAsia="Times New Roman" w:hint="default"/>
          <w:spacing w:val="-4"/>
        </w:rPr>
        <w:t>288.66</w:t>
      </w:r>
      <w:r>
        <w:rPr>
          <w:spacing w:val="-4"/>
        </w:rPr>
        <w:t>万份，将拟授予的限制性股票的总数由</w:t>
      </w:r>
      <w:r>
        <w:rPr>
          <w:rFonts w:ascii="Times New Roman" w:hAnsi="Times New Roman" w:cs="Times New Roman" w:eastAsia="Times New Roman" w:hint="default"/>
          <w:spacing w:val="-4"/>
        </w:rPr>
        <w:t>343.33</w:t>
      </w:r>
      <w:r>
        <w:rPr>
          <w:spacing w:val="-4"/>
        </w:rPr>
        <w:t>万股调整为</w:t>
      </w:r>
      <w:r>
        <w:rPr>
          <w:rFonts w:ascii="Times New Roman" w:hAnsi="Times New Roman" w:cs="Times New Roman" w:eastAsia="Times New Roman" w:hint="default"/>
          <w:spacing w:val="-4"/>
        </w:rPr>
        <w:t>310</w:t>
      </w:r>
      <w:r>
        <w:rPr>
          <w:spacing w:val="-4"/>
        </w:rPr>
        <w:t>万股。公司独立董事及聘请的法律顾问均发表</w:t>
      </w:r>
      <w:r>
        <w:rPr>
          <w:spacing w:val="73"/>
        </w:rPr>
        <w:t> </w:t>
      </w:r>
      <w:r>
        <w:rPr>
          <w:spacing w:val="73"/>
        </w:rPr>
      </w:r>
      <w:r>
        <w:rPr/>
        <w:t>了意见。 </w:t>
      </w:r>
      <w:r>
        <w:rPr>
          <w:spacing w:val="-4"/>
        </w:rPr>
        <w:t>详见公司于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19</w:t>
      </w:r>
      <w:r>
        <w:rPr>
          <w:spacing w:val="-4"/>
        </w:rPr>
        <w:t>日刊载于证券时报、中国证券报和巨潮资讯网的《关于对股票期权与限制性股票激励计划</w:t>
      </w:r>
      <w:r>
        <w:rPr>
          <w:spacing w:val="-52"/>
        </w:rPr>
        <w:t> </w:t>
      </w:r>
      <w:r>
        <w:rPr>
          <w:spacing w:val="-52"/>
        </w:rPr>
      </w:r>
      <w:r>
        <w:rPr/>
        <w:t>进行调整的公告》（公告编号：</w:t>
      </w:r>
      <w:r>
        <w:rPr>
          <w:rFonts w:ascii="Times New Roman" w:hAnsi="Times New Roman" w:cs="Times New Roman" w:eastAsia="Times New Roman" w:hint="default"/>
        </w:rPr>
        <w:t>2014-052</w:t>
      </w:r>
      <w:r>
        <w:rPr/>
        <w:t>）。</w:t>
      </w:r>
    </w:p>
    <w:p>
      <w:pPr>
        <w:pStyle w:val="BodyText"/>
        <w:spacing w:line="304" w:lineRule="auto" w:before="13"/>
        <w:ind w:left="155" w:right="116" w:firstLine="359"/>
        <w:jc w:val="left"/>
      </w:pPr>
      <w:r>
        <w:rPr>
          <w:rFonts w:ascii="Times New Roman" w:hAnsi="Times New Roman" w:cs="Times New Roman" w:eastAsia="Times New Roman" w:hint="default"/>
          <w:spacing w:val="-6"/>
        </w:rPr>
        <w:t>6</w:t>
      </w:r>
      <w:r>
        <w:rPr>
          <w:spacing w:val="-6"/>
        </w:rPr>
        <w:t>、截止</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20</w:t>
      </w:r>
      <w:r>
        <w:rPr>
          <w:spacing w:val="-6"/>
        </w:rPr>
        <w:t>日止，公司已收到</w:t>
      </w:r>
      <w:r>
        <w:rPr>
          <w:rFonts w:ascii="Times New Roman" w:hAnsi="Times New Roman" w:cs="Times New Roman" w:eastAsia="Times New Roman" w:hint="default"/>
          <w:spacing w:val="-6"/>
        </w:rPr>
        <w:t>13</w:t>
      </w:r>
      <w:r>
        <w:rPr>
          <w:spacing w:val="-6"/>
        </w:rPr>
        <w:t>名激励对象缴纳的股权激励增资款合计人民币</w:t>
      </w:r>
      <w:r>
        <w:rPr>
          <w:rFonts w:ascii="Times New Roman" w:hAnsi="Times New Roman" w:cs="Times New Roman" w:eastAsia="Times New Roman" w:hint="default"/>
          <w:spacing w:val="-6"/>
        </w:rPr>
        <w:t>558</w:t>
      </w:r>
      <w:r>
        <w:rPr>
          <w:spacing w:val="-6"/>
        </w:rPr>
        <w:t>万元，其中增加注册资本（股</w:t>
      </w:r>
      <w:r>
        <w:rPr>
          <w:w w:val="101"/>
        </w:rPr>
        <w:t> </w:t>
      </w:r>
      <w:r>
        <w:rPr>
          <w:spacing w:val="-4"/>
        </w:rPr>
        <w:t>本）</w:t>
      </w:r>
      <w:r>
        <w:rPr>
          <w:rFonts w:ascii="Times New Roman" w:hAnsi="Times New Roman" w:cs="Times New Roman" w:eastAsia="Times New Roman" w:hint="default"/>
          <w:spacing w:val="-4"/>
        </w:rPr>
        <w:t>279</w:t>
      </w:r>
      <w:r>
        <w:rPr>
          <w:spacing w:val="-4"/>
        </w:rPr>
        <w:t>万元，增加资本公积</w:t>
      </w:r>
      <w:r>
        <w:rPr>
          <w:rFonts w:ascii="Times New Roman" w:hAnsi="Times New Roman" w:cs="Times New Roman" w:eastAsia="Times New Roman" w:hint="default"/>
          <w:spacing w:val="-4"/>
        </w:rPr>
        <w:t>279</w:t>
      </w:r>
      <w:r>
        <w:rPr>
          <w:spacing w:val="-4"/>
        </w:rPr>
        <w:t>万元。大华会计师事务所（特殊普通合伙）出具了</w:t>
      </w:r>
      <w:r>
        <w:rPr>
          <w:rFonts w:ascii="Times New Roman" w:hAnsi="Times New Roman" w:cs="Times New Roman" w:eastAsia="Times New Roman" w:hint="default"/>
          <w:spacing w:val="-4"/>
        </w:rPr>
        <w:t>“</w:t>
      </w:r>
      <w:r>
        <w:rPr>
          <w:spacing w:val="-4"/>
        </w:rPr>
        <w:t>大华验字</w:t>
      </w:r>
      <w:r>
        <w:rPr>
          <w:rFonts w:ascii="Times New Roman" w:hAnsi="Times New Roman" w:cs="Times New Roman" w:eastAsia="Times New Roman" w:hint="default"/>
          <w:spacing w:val="-4"/>
        </w:rPr>
        <w:t>[2014]010015</w:t>
      </w:r>
      <w:r>
        <w:rPr>
          <w:spacing w:val="-4"/>
        </w:rPr>
        <w:t>号</w:t>
      </w:r>
      <w:r>
        <w:rPr>
          <w:rFonts w:ascii="Times New Roman" w:hAnsi="Times New Roman" w:cs="Times New Roman" w:eastAsia="Times New Roman" w:hint="default"/>
          <w:spacing w:val="-4"/>
        </w:rPr>
        <w:t>”</w:t>
      </w:r>
      <w:r>
        <w:rPr>
          <w:spacing w:val="-4"/>
        </w:rPr>
        <w:t>《验资报告》。</w:t>
      </w:r>
      <w:r>
        <w:rPr>
          <w:spacing w:val="68"/>
        </w:rPr>
        <w:t> </w:t>
      </w:r>
      <w:r>
        <w:rPr>
          <w:spacing w:val="68"/>
        </w:rPr>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w:t>
      </w:r>
      <w:r>
        <w:rPr>
          <w:spacing w:val="-4"/>
        </w:rPr>
        <w:t>日公司完成了限制性股票的授予登记工作，并确定上市日期为</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4</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7</w:t>
      </w:r>
      <w:r>
        <w:rPr>
          <w:spacing w:val="-4"/>
        </w:rPr>
        <w:t>日完成了股票期权的授</w:t>
      </w:r>
      <w:r>
        <w:rPr>
          <w:spacing w:val="78"/>
        </w:rPr>
        <w:t> </w:t>
      </w:r>
      <w:r>
        <w:rPr>
          <w:spacing w:val="78"/>
        </w:rPr>
      </w:r>
      <w:r>
        <w:rPr>
          <w:spacing w:val="-3"/>
        </w:rPr>
        <w:t>予登记工作。</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17</w:t>
      </w:r>
      <w:r>
        <w:rPr>
          <w:spacing w:val="-3"/>
        </w:rPr>
        <w:t>日公司完成注册资本的工商变更登记。详见公司分别于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w:t>
      </w:r>
      <w:r>
        <w:rPr>
          <w:spacing w:val="-3"/>
        </w:rPr>
        <w:t>日、</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8</w:t>
      </w:r>
      <w:r>
        <w:rPr>
          <w:spacing w:val="-3"/>
        </w:rPr>
        <w:t>日刊载于证券时报、</w:t>
      </w:r>
      <w:r>
        <w:rPr>
          <w:spacing w:val="2"/>
        </w:rPr>
        <w:t> </w:t>
      </w:r>
      <w:r>
        <w:rPr>
          <w:spacing w:val="2"/>
        </w:rPr>
      </w:r>
      <w:r>
        <w:rPr>
          <w:spacing w:val="-5"/>
        </w:rPr>
        <w:t>中国证券报和巨潮资讯网的《关于限制性股票首次授予登记完成的公告》、《关于股票期权首次授予登记完成的公告》（公</w:t>
      </w:r>
      <w:r>
        <w:rPr>
          <w:spacing w:val="6"/>
        </w:rPr>
        <w:t> </w:t>
      </w:r>
      <w:r>
        <w:rPr>
          <w:spacing w:val="6"/>
        </w:rPr>
      </w:r>
      <w:r>
        <w:rPr/>
        <w:t>告编号：</w:t>
      </w:r>
      <w:r>
        <w:rPr>
          <w:rFonts w:ascii="Times New Roman" w:hAnsi="Times New Roman" w:cs="Times New Roman" w:eastAsia="Times New Roman" w:hint="default"/>
        </w:rPr>
        <w:t>2014-054</w:t>
      </w:r>
      <w:r>
        <w:rPr/>
        <w:t>、</w:t>
      </w:r>
      <w:r>
        <w:rPr>
          <w:rFonts w:ascii="Times New Roman" w:hAnsi="Times New Roman" w:cs="Times New Roman" w:eastAsia="Times New Roman" w:hint="default"/>
        </w:rPr>
        <w:t>062</w:t>
      </w:r>
      <w:r>
        <w:rPr/>
        <w:t>）。</w:t>
      </w:r>
    </w:p>
    <w:p>
      <w:pPr>
        <w:pStyle w:val="BodyText"/>
        <w:spacing w:line="300" w:lineRule="auto" w:before="9"/>
        <w:ind w:left="156" w:right="0" w:firstLine="359"/>
        <w:jc w:val="left"/>
      </w:pP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22</w:t>
      </w:r>
      <w:r>
        <w:rPr>
          <w:spacing w:val="-4"/>
        </w:rPr>
        <w:t>日公司召开的第四届董事会第四次会议，在股东大会授权权限范围内审议通过了《关于回购注销部分限</w:t>
      </w:r>
      <w:r>
        <w:rPr>
          <w:w w:val="101"/>
        </w:rPr>
        <w:t> </w:t>
      </w:r>
      <w:r>
        <w:rPr>
          <w:spacing w:val="-4"/>
        </w:rPr>
        <w:t>制性股票议案》。因公司激励对象陈华明因个人原因向公司提出辞职并已获得公司同意，且已办理完毕离职手续，根据公司</w:t>
      </w:r>
    </w:p>
    <w:p>
      <w:pPr>
        <w:pStyle w:val="BodyText"/>
        <w:spacing w:line="312" w:lineRule="auto" w:before="31"/>
        <w:ind w:left="156" w:right="207"/>
        <w:jc w:val="left"/>
      </w:pPr>
      <w:r>
        <w:rPr>
          <w:spacing w:val="-5"/>
        </w:rPr>
        <w:t>《深圳市实益达科技股份有限公司股票期权与限制性股票激励计划（草案）》的相关规定，公司回购并注销其已获授但尚未</w:t>
      </w:r>
      <w:r>
        <w:rPr>
          <w:spacing w:val="6"/>
        </w:rPr>
        <w:t> </w:t>
      </w:r>
      <w:r>
        <w:rPr>
          <w:spacing w:val="6"/>
        </w:rPr>
      </w:r>
      <w:r>
        <w:rPr>
          <w:spacing w:val="-3"/>
        </w:rPr>
        <w:t>解锁的</w:t>
      </w:r>
      <w:r>
        <w:rPr>
          <w:rFonts w:ascii="Times New Roman" w:hAnsi="Times New Roman" w:cs="Times New Roman" w:eastAsia="Times New Roman" w:hint="default"/>
          <w:spacing w:val="-3"/>
        </w:rPr>
        <w:t>30</w:t>
      </w:r>
      <w:r>
        <w:rPr>
          <w:spacing w:val="-3"/>
        </w:rPr>
        <w:t>万限制性股票，回购价格为</w:t>
      </w:r>
      <w:r>
        <w:rPr>
          <w:rFonts w:ascii="Times New Roman" w:hAnsi="Times New Roman" w:cs="Times New Roman" w:eastAsia="Times New Roman" w:hint="default"/>
          <w:spacing w:val="-3"/>
        </w:rPr>
        <w:t>2.00</w:t>
      </w:r>
      <w:r>
        <w:rPr>
          <w:spacing w:val="-3"/>
        </w:rPr>
        <w:t>元</w:t>
      </w:r>
      <w:r>
        <w:rPr>
          <w:rFonts w:ascii="Times New Roman" w:hAnsi="Times New Roman" w:cs="Times New Roman" w:eastAsia="Times New Roman" w:hint="default"/>
          <w:spacing w:val="-3"/>
        </w:rPr>
        <w:t>/</w:t>
      </w:r>
      <w:r>
        <w:rPr>
          <w:spacing w:val="-3"/>
        </w:rPr>
        <w:t>股。公司独立董事及聘请的法律顾问均发表了意见。 </w:t>
      </w:r>
      <w:r>
        <w:rPr/>
        <w:t>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26"/>
        </w:rPr>
        <w:t> </w:t>
      </w:r>
      <w:r>
        <w:rPr>
          <w:spacing w:val="-4"/>
        </w:rPr>
        <w:t>日刊载于证券时报、中国证券报和巨潮资讯网的《关于回购注销部分已不符合激励条件的激励对象已获授权但未解锁的限制</w:t>
      </w:r>
      <w:r>
        <w:rPr>
          <w:spacing w:val="38"/>
        </w:rPr>
        <w:t> </w:t>
      </w:r>
      <w:r>
        <w:rPr>
          <w:spacing w:val="38"/>
        </w:rPr>
      </w:r>
      <w:r>
        <w:rPr/>
        <w:t>性股票事宜的公告》（公告编号：</w:t>
      </w:r>
      <w:r>
        <w:rPr>
          <w:rFonts w:ascii="Times New Roman" w:hAnsi="Times New Roman" w:cs="Times New Roman" w:eastAsia="Times New Roman" w:hint="default"/>
        </w:rPr>
        <w:t>2014-075</w:t>
      </w:r>
      <w:r>
        <w:rPr/>
        <w:t>）。</w:t>
      </w:r>
    </w:p>
    <w:p>
      <w:pPr>
        <w:pStyle w:val="BodyText"/>
        <w:spacing w:line="300" w:lineRule="auto" w:before="3"/>
        <w:ind w:left="156" w:right="202" w:firstLine="359"/>
        <w:jc w:val="both"/>
      </w:pP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日公司召开的第四届董事会第七次会议，在股东大会授权权限范围内审议通过了《关于向激励对象授</w:t>
      </w:r>
      <w:r>
        <w:rPr>
          <w:w w:val="101"/>
        </w:rPr>
        <w:t> </w:t>
      </w:r>
      <w:r>
        <w:rPr>
          <w:spacing w:val="-4"/>
        </w:rPr>
        <w:t>予预留限制性股票和股票期权的议案》，确定预留限制性股票和股票期权的授予日为</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日，。公司独立董事及聘</w:t>
      </w:r>
      <w:r>
        <w:rPr>
          <w:spacing w:val="59"/>
        </w:rPr>
        <w:t> </w:t>
      </w:r>
      <w:r>
        <w:rPr>
          <w:spacing w:val="59"/>
        </w:rPr>
      </w:r>
      <w:r>
        <w:rPr>
          <w:spacing w:val="-3"/>
        </w:rPr>
        <w:t>请的法律顾问均发表了意见。，详见公司于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w:t>
      </w:r>
      <w:r>
        <w:rPr>
          <w:spacing w:val="-3"/>
        </w:rPr>
        <w:t>日刊登于《证券时报》、《中国证券报》及巨潮资讯网</w:t>
      </w:r>
    </w:p>
    <w:p>
      <w:pPr>
        <w:pStyle w:val="BodyText"/>
        <w:spacing w:line="240" w:lineRule="auto" w:before="13"/>
        <w:ind w:left="156" w:right="0"/>
        <w:jc w:val="left"/>
      </w:pPr>
      <w:r>
        <w:rPr>
          <w:spacing w:val="-3"/>
        </w:rPr>
        <w:t>（</w:t>
      </w:r>
      <w:hyperlink r:id="rId12">
        <w:r>
          <w:rPr>
            <w:rFonts w:ascii="Times New Roman" w:hAnsi="Times New Roman" w:cs="Times New Roman" w:eastAsia="Times New Roman" w:hint="default"/>
            <w:spacing w:val="-3"/>
          </w:rPr>
          <w:t>www.cninfo.com.cn</w:t>
        </w:r>
      </w:hyperlink>
      <w:r>
        <w:rPr>
          <w:spacing w:val="-3"/>
        </w:rPr>
        <w:t>）的《关于向激励对象授予预留限制性股票和股票期权的公告》，公告编号：</w:t>
      </w:r>
      <w:r>
        <w:rPr>
          <w:rFonts w:ascii="Times New Roman" w:hAnsi="Times New Roman" w:cs="Times New Roman" w:eastAsia="Times New Roman" w:hint="default"/>
          <w:spacing w:val="-3"/>
        </w:rPr>
        <w:t>2014-089</w:t>
      </w:r>
      <w:r>
        <w:rPr>
          <w:spacing w:val="-3"/>
        </w:rPr>
        <w:t>。</w:t>
      </w:r>
    </w:p>
    <w:p>
      <w:pPr>
        <w:pStyle w:val="BodyText"/>
        <w:spacing w:line="300" w:lineRule="auto" w:before="63"/>
        <w:ind w:left="156" w:right="0" w:firstLine="359"/>
        <w:jc w:val="left"/>
      </w:pP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12</w:t>
      </w:r>
      <w:r>
        <w:rPr>
          <w:spacing w:val="-3"/>
        </w:rPr>
        <w:t>日公司召开的第四届董事会第八次会议，在股东大会授权权限范围内审议通过了《关于回购注销部分</w:t>
      </w:r>
      <w:r>
        <w:rPr>
          <w:w w:val="101"/>
        </w:rPr>
        <w:t> </w:t>
      </w:r>
      <w:r>
        <w:rPr>
          <w:spacing w:val="-4"/>
        </w:rPr>
        <w:t>限制性股票议案》。鉴于公司激励对象陈钢因个人原因向公司提出辞职并已获得公司同意，且已办理完毕离职手续，根据公</w:t>
      </w:r>
    </w:p>
    <w:p>
      <w:pPr>
        <w:spacing w:after="0" w:line="30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2" w:lineRule="auto" w:before="46"/>
        <w:ind w:right="185"/>
        <w:jc w:val="both"/>
      </w:pPr>
      <w:r>
        <w:rPr>
          <w:spacing w:val="-4"/>
        </w:rPr>
        <w:t>司《深圳市实益达科技股份有限公司股票期权与限制性股票激励计划（草案）》的相关规定，公司回购并注销其已获授但尚</w:t>
      </w:r>
      <w:r>
        <w:rPr>
          <w:spacing w:val="40"/>
        </w:rPr>
        <w:t> </w:t>
      </w:r>
      <w:r>
        <w:rPr>
          <w:spacing w:val="40"/>
        </w:rPr>
      </w:r>
      <w:r>
        <w:rPr>
          <w:spacing w:val="-4"/>
        </w:rPr>
        <w:t>未解锁的</w:t>
      </w:r>
      <w:r>
        <w:rPr>
          <w:rFonts w:ascii="Times New Roman" w:hAnsi="Times New Roman" w:cs="Times New Roman" w:eastAsia="Times New Roman" w:hint="default"/>
          <w:spacing w:val="-4"/>
        </w:rPr>
        <w:t>30</w:t>
      </w:r>
      <w:r>
        <w:rPr>
          <w:spacing w:val="-4"/>
        </w:rPr>
        <w:t>万限制性股票，回购价格为</w:t>
      </w:r>
      <w:r>
        <w:rPr>
          <w:rFonts w:ascii="Times New Roman" w:hAnsi="Times New Roman" w:cs="Times New Roman" w:eastAsia="Times New Roman" w:hint="default"/>
          <w:spacing w:val="-4"/>
        </w:rPr>
        <w:t>2.00</w:t>
      </w:r>
      <w:r>
        <w:rPr>
          <w:spacing w:val="-4"/>
        </w:rPr>
        <w:t>元</w:t>
      </w:r>
      <w:r>
        <w:rPr>
          <w:rFonts w:ascii="Times New Roman" w:hAnsi="Times New Roman" w:cs="Times New Roman" w:eastAsia="Times New Roman" w:hint="default"/>
          <w:spacing w:val="-4"/>
        </w:rPr>
        <w:t>/</w:t>
      </w:r>
      <w:r>
        <w:rPr>
          <w:spacing w:val="-4"/>
        </w:rPr>
        <w:t>股。公司独立董事及聘请的法律顾问均发表了意见。 </w:t>
      </w:r>
      <w:r>
        <w:rPr/>
        <w:t>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27"/>
        </w:rPr>
        <w:t> </w:t>
      </w:r>
      <w:r>
        <w:rPr>
          <w:spacing w:val="-4"/>
        </w:rPr>
        <w:t>日刊载于证券时报、中国证券报和巨潮资讯网的《关于回购注销部分已不符合激励条件的激励对象已获授权但未解锁的限制</w:t>
      </w:r>
      <w:r>
        <w:rPr>
          <w:spacing w:val="38"/>
        </w:rPr>
        <w:t> </w:t>
      </w:r>
      <w:r>
        <w:rPr>
          <w:spacing w:val="38"/>
        </w:rPr>
      </w:r>
      <w:r>
        <w:rPr/>
        <w:t>性股票事宜的公告》（公告编号：</w:t>
      </w:r>
      <w:r>
        <w:rPr>
          <w:rFonts w:ascii="Times New Roman" w:hAnsi="Times New Roman" w:cs="Times New Roman" w:eastAsia="Times New Roman" w:hint="default"/>
        </w:rPr>
        <w:t>2014-094</w:t>
      </w:r>
      <w:r>
        <w:rPr/>
        <w:t>）。</w:t>
      </w:r>
    </w:p>
    <w:p>
      <w:pPr>
        <w:pStyle w:val="BodyText"/>
        <w:spacing w:line="304" w:lineRule="auto" w:before="3"/>
        <w:ind w:left="153" w:right="108" w:firstLine="359"/>
        <w:jc w:val="left"/>
      </w:pPr>
      <w:r>
        <w:rPr>
          <w:rFonts w:ascii="Times New Roman" w:hAnsi="Times New Roman" w:cs="Times New Roman" w:eastAsia="Times New Roman" w:hint="default"/>
          <w:spacing w:val="-4"/>
        </w:rPr>
        <w:t>10</w:t>
      </w:r>
      <w:r>
        <w:rPr>
          <w:spacing w:val="-4"/>
        </w:rPr>
        <w:t>、截止</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13</w:t>
      </w:r>
      <w:r>
        <w:rPr>
          <w:spacing w:val="-4"/>
        </w:rPr>
        <w:t>日止，公司已将陈华明、陈钢的股权激励款退还给其本人，减少注册资本（股本）</w:t>
      </w:r>
      <w:r>
        <w:rPr>
          <w:rFonts w:ascii="Times New Roman" w:hAnsi="Times New Roman" w:cs="Times New Roman" w:eastAsia="Times New Roman" w:hint="default"/>
          <w:spacing w:val="-4"/>
        </w:rPr>
        <w:t>60</w:t>
      </w:r>
      <w:r>
        <w:rPr>
          <w:spacing w:val="-4"/>
        </w:rPr>
        <w:t>万元，减少</w:t>
      </w:r>
      <w:r>
        <w:rPr>
          <w:w w:val="101"/>
        </w:rPr>
        <w:t> </w:t>
      </w:r>
      <w:r>
        <w:rPr>
          <w:spacing w:val="-3"/>
        </w:rPr>
        <w:t>注册资本公积</w:t>
      </w:r>
      <w:r>
        <w:rPr>
          <w:rFonts w:ascii="Times New Roman" w:hAnsi="Times New Roman" w:cs="Times New Roman" w:eastAsia="Times New Roman" w:hint="default"/>
          <w:spacing w:val="-3"/>
        </w:rPr>
        <w:t>60</w:t>
      </w:r>
      <w:r>
        <w:rPr>
          <w:spacing w:val="-3"/>
        </w:rPr>
        <w:t>万元。大华会计师事务所（特殊普通合伙）出具了</w:t>
      </w:r>
      <w:r>
        <w:rPr>
          <w:rFonts w:ascii="Times New Roman" w:hAnsi="Times New Roman" w:cs="Times New Roman" w:eastAsia="Times New Roman" w:hint="default"/>
          <w:spacing w:val="-3"/>
        </w:rPr>
        <w:t>“</w:t>
      </w:r>
      <w:r>
        <w:rPr>
          <w:spacing w:val="-3"/>
        </w:rPr>
        <w:t>大华验字</w:t>
      </w:r>
      <w:r>
        <w:rPr>
          <w:rFonts w:ascii="Times New Roman" w:hAnsi="Times New Roman" w:cs="Times New Roman" w:eastAsia="Times New Roman" w:hint="default"/>
          <w:spacing w:val="-3"/>
        </w:rPr>
        <w:t>[2014]010040</w:t>
      </w:r>
      <w:r>
        <w:rPr>
          <w:spacing w:val="-3"/>
        </w:rPr>
        <w:t>号</w:t>
      </w:r>
      <w:r>
        <w:rPr>
          <w:rFonts w:ascii="Times New Roman" w:hAnsi="Times New Roman" w:cs="Times New Roman" w:eastAsia="Times New Roman" w:hint="default"/>
          <w:spacing w:val="-3"/>
        </w:rPr>
        <w:t>”</w:t>
      </w:r>
      <w:r>
        <w:rPr>
          <w:spacing w:val="-3"/>
        </w:rPr>
        <w:t>《验资报告》。</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3"/>
        </w:rPr>
        <w:t>日公司在中国证券登记结算有限责任公司深圳分公司办理完成回购注销手续。详见公司于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日刊载于证券时报、</w:t>
      </w:r>
      <w:r>
        <w:rPr>
          <w:spacing w:val="78"/>
        </w:rPr>
        <w:t> </w:t>
      </w:r>
      <w:r>
        <w:rPr>
          <w:spacing w:val="78"/>
        </w:rPr>
      </w:r>
      <w:r>
        <w:rPr>
          <w:spacing w:val="-3"/>
        </w:rPr>
        <w:t>中国证券报和巨潮资讯网的《关于股权激励对象所持已获授但尚未解锁的限制性股票回购注销完成的公告》（公告编号：</w:t>
      </w:r>
      <w:r>
        <w:rPr>
          <w:spacing w:val="66"/>
        </w:rPr>
        <w:t> </w:t>
      </w:r>
      <w:r>
        <w:rPr>
          <w:spacing w:val="66"/>
        </w:rPr>
      </w:r>
      <w:r>
        <w:rPr>
          <w:rFonts w:ascii="Times New Roman" w:hAnsi="Times New Roman" w:cs="Times New Roman" w:eastAsia="Times New Roman" w:hint="default"/>
        </w:rPr>
        <w:t>2014-099</w:t>
      </w:r>
      <w:r>
        <w:rPr/>
        <w:t>）。</w:t>
      </w:r>
    </w:p>
    <w:p>
      <w:pPr>
        <w:pStyle w:val="BodyText"/>
        <w:spacing w:line="300" w:lineRule="auto" w:before="9"/>
        <w:ind w:left="153" w:right="189" w:firstLine="359"/>
        <w:jc w:val="both"/>
      </w:pPr>
      <w:r>
        <w:rPr>
          <w:rFonts w:ascii="Times New Roman" w:hAnsi="Times New Roman" w:cs="Times New Roman" w:eastAsia="Times New Roman" w:hint="default"/>
          <w:spacing w:val="-3"/>
        </w:rPr>
        <w:t>11</w:t>
      </w:r>
      <w:r>
        <w:rPr>
          <w:spacing w:val="-3"/>
        </w:rPr>
        <w:t>、截止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13</w:t>
      </w:r>
      <w:r>
        <w:rPr>
          <w:spacing w:val="-3"/>
        </w:rPr>
        <w:t>日止，公司已收到</w:t>
      </w:r>
      <w:r>
        <w:rPr>
          <w:rFonts w:ascii="Times New Roman" w:hAnsi="Times New Roman" w:cs="Times New Roman" w:eastAsia="Times New Roman" w:hint="default"/>
          <w:spacing w:val="-3"/>
        </w:rPr>
        <w:t>2</w:t>
      </w:r>
      <w:r>
        <w:rPr>
          <w:spacing w:val="-3"/>
        </w:rPr>
        <w:t>名激励对象缴纳的股权激励增资款合计人民币</w:t>
      </w:r>
      <w:r>
        <w:rPr>
          <w:rFonts w:ascii="Times New Roman" w:hAnsi="Times New Roman" w:cs="Times New Roman" w:eastAsia="Times New Roman" w:hint="default"/>
          <w:spacing w:val="-3"/>
        </w:rPr>
        <w:t>128.34</w:t>
      </w:r>
      <w:r>
        <w:rPr>
          <w:spacing w:val="-3"/>
        </w:rPr>
        <w:t>万元，其中增加注册资</w:t>
      </w:r>
      <w:r>
        <w:rPr>
          <w:w w:val="101"/>
        </w:rPr>
        <w:t> </w:t>
      </w:r>
      <w:r>
        <w:rPr>
          <w:spacing w:val="-3"/>
        </w:rPr>
        <w:t>本（股本）</w:t>
      </w:r>
      <w:r>
        <w:rPr>
          <w:rFonts w:ascii="Times New Roman" w:hAnsi="Times New Roman" w:cs="Times New Roman" w:eastAsia="Times New Roman" w:hint="default"/>
          <w:spacing w:val="-3"/>
        </w:rPr>
        <w:t>31</w:t>
      </w:r>
      <w:r>
        <w:rPr>
          <w:spacing w:val="-3"/>
        </w:rPr>
        <w:t>万元，增加资本公积</w:t>
      </w:r>
      <w:r>
        <w:rPr>
          <w:rFonts w:ascii="Times New Roman" w:hAnsi="Times New Roman" w:cs="Times New Roman" w:eastAsia="Times New Roman" w:hint="default"/>
          <w:spacing w:val="-3"/>
        </w:rPr>
        <w:t>97.34</w:t>
      </w:r>
      <w:r>
        <w:rPr>
          <w:spacing w:val="-3"/>
        </w:rPr>
        <w:t>万元。大华会计师事务所（特殊普通合伙）出具了</w:t>
      </w:r>
      <w:r>
        <w:rPr>
          <w:rFonts w:ascii="Times New Roman" w:hAnsi="Times New Roman" w:cs="Times New Roman" w:eastAsia="Times New Roman" w:hint="default"/>
          <w:spacing w:val="-3"/>
        </w:rPr>
        <w:t>“</w:t>
      </w:r>
      <w:r>
        <w:rPr>
          <w:spacing w:val="-3"/>
        </w:rPr>
        <w:t>大华验字</w:t>
      </w:r>
      <w:r>
        <w:rPr>
          <w:rFonts w:ascii="Times New Roman" w:hAnsi="Times New Roman" w:cs="Times New Roman" w:eastAsia="Times New Roman" w:hint="default"/>
          <w:spacing w:val="-3"/>
        </w:rPr>
        <w:t>[2014]010041</w:t>
      </w:r>
      <w:r>
        <w:rPr>
          <w:spacing w:val="-3"/>
        </w:rPr>
        <w:t>号</w:t>
      </w:r>
      <w:r>
        <w:rPr>
          <w:rFonts w:ascii="Times New Roman" w:hAnsi="Times New Roman" w:cs="Times New Roman" w:eastAsia="Times New Roman" w:hint="default"/>
          <w:spacing w:val="-3"/>
        </w:rPr>
        <w:t>”</w:t>
      </w:r>
      <w:r>
        <w:rPr>
          <w:spacing w:val="-3"/>
        </w:rPr>
        <w:t>《验资</w:t>
      </w:r>
      <w:r>
        <w:rPr>
          <w:spacing w:val="48"/>
        </w:rPr>
        <w:t> </w:t>
      </w:r>
      <w:r>
        <w:rPr>
          <w:spacing w:val="48"/>
        </w:rPr>
      </w:r>
      <w:r>
        <w:rPr>
          <w:spacing w:val="-3"/>
        </w:rPr>
        <w:t>报告》。</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8</w:t>
      </w:r>
      <w:r>
        <w:rPr>
          <w:spacing w:val="-3"/>
        </w:rPr>
        <w:t>日公司完成了预留股票期权和限制性股票的授予登记工作，并确定预留限制性股票的上市日期为</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7</w:t>
      </w:r>
      <w:r>
        <w:rPr>
          <w:spacing w:val="-3"/>
        </w:rPr>
        <w:t>日公司完成注册资本的工商变更登记。详见公司于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9</w:t>
      </w:r>
      <w:r>
        <w:rPr>
          <w:spacing w:val="-3"/>
        </w:rPr>
        <w:t>日刊载于证券时报、中国证券报和</w:t>
      </w:r>
      <w:r>
        <w:rPr>
          <w:spacing w:val="7"/>
        </w:rPr>
        <w:t> </w:t>
      </w:r>
      <w:r>
        <w:rPr>
          <w:spacing w:val="7"/>
        </w:rPr>
      </w:r>
      <w:r>
        <w:rPr>
          <w:spacing w:val="-3"/>
        </w:rPr>
        <w:t>巨潮资讯网的《关于预留限制性股票与股票期权授予登记完成的公告》。</w:t>
      </w:r>
    </w:p>
    <w:p>
      <w:pPr>
        <w:pStyle w:val="BodyText"/>
        <w:spacing w:line="309" w:lineRule="auto" w:before="31"/>
        <w:ind w:left="154" w:right="173" w:firstLine="359"/>
        <w:jc w:val="left"/>
      </w:pPr>
      <w:r>
        <w:rPr>
          <w:rFonts w:ascii="Times New Roman" w:hAnsi="Times New Roman" w:cs="Times New Roman" w:eastAsia="Times New Roman" w:hint="default"/>
          <w:spacing w:val="-3"/>
        </w:rPr>
        <w:t>12</w:t>
      </w:r>
      <w:r>
        <w:rPr>
          <w:spacing w:val="-3"/>
        </w:rPr>
        <w:t>、报告期内摊销的股权激励总成本为</w:t>
      </w:r>
      <w:r>
        <w:rPr>
          <w:rFonts w:ascii="Times New Roman" w:hAnsi="Times New Roman" w:cs="Times New Roman" w:eastAsia="Times New Roman" w:hint="default"/>
          <w:spacing w:val="-3"/>
        </w:rPr>
        <w:t>262.89</w:t>
      </w:r>
      <w:r>
        <w:rPr>
          <w:spacing w:val="-3"/>
        </w:rPr>
        <w:t>万元，相应减少公司净利润</w:t>
      </w:r>
      <w:r>
        <w:rPr>
          <w:rFonts w:ascii="Times New Roman" w:hAnsi="Times New Roman" w:cs="Times New Roman" w:eastAsia="Times New Roman" w:hint="default"/>
          <w:spacing w:val="-3"/>
        </w:rPr>
        <w:t>262.89</w:t>
      </w:r>
      <w:r>
        <w:rPr>
          <w:spacing w:val="-3"/>
        </w:rPr>
        <w:t>万元</w:t>
      </w:r>
      <w:r>
        <w:rPr>
          <w:rFonts w:ascii="Times New Roman" w:hAnsi="Times New Roman" w:cs="Times New Roman" w:eastAsia="Times New Roman" w:hint="default"/>
          <w:spacing w:val="-3"/>
        </w:rPr>
        <w:t>,</w:t>
      </w:r>
      <w:r>
        <w:rPr>
          <w:spacing w:val="-3"/>
        </w:rPr>
        <w:t>但不会直接减少公司净资产，也不</w:t>
      </w:r>
      <w:r>
        <w:rPr>
          <w:w w:val="101"/>
        </w:rPr>
        <w:t> </w:t>
      </w:r>
      <w:r>
        <w:rPr>
          <w:spacing w:val="-3"/>
        </w:rPr>
        <w:t>会直接影响公司的现金流量。考虑到股权激励计划对公司发展产生的正向作用，由此激发管理、业务、技术团队的积极性，</w:t>
      </w:r>
      <w:r>
        <w:rPr>
          <w:spacing w:val="66"/>
        </w:rPr>
        <w:t> </w:t>
      </w:r>
      <w:r>
        <w:rPr>
          <w:spacing w:val="66"/>
        </w:rPr>
      </w:r>
      <w:r>
        <w:rPr>
          <w:spacing w:val="-3"/>
        </w:rPr>
        <w:t>提高经营效率，激励计划带来的公司业绩提升将高于因其带来的费用增加。</w:t>
      </w:r>
    </w:p>
    <w:p>
      <w:pPr>
        <w:spacing w:line="240" w:lineRule="auto" w:before="8"/>
        <w:rPr>
          <w:rFonts w:ascii="宋体" w:hAnsi="宋体" w:cs="宋体" w:eastAsia="宋体" w:hint="default"/>
          <w:sz w:val="20"/>
          <w:szCs w:val="20"/>
        </w:rPr>
      </w:pPr>
    </w:p>
    <w:p>
      <w:pPr>
        <w:pStyle w:val="Heading3"/>
        <w:spacing w:line="240" w:lineRule="auto"/>
        <w:ind w:right="0"/>
        <w:jc w:val="both"/>
      </w:pPr>
      <w:r>
        <w:rPr/>
        <w:t>七、重大合同及其履行情况</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right="748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7"/>
        <w:rPr>
          <w:rFonts w:ascii="宋体" w:hAnsi="宋体" w:cs="宋体" w:eastAsia="宋体" w:hint="default"/>
          <w:sz w:val="15"/>
          <w:szCs w:val="15"/>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43" w:lineRule="auto"/>
        <w:ind w:right="748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3"/>
        <w:rPr>
          <w:rFonts w:ascii="宋体" w:hAnsi="宋体" w:cs="宋体" w:eastAsia="宋体" w:hint="default"/>
          <w:sz w:val="15"/>
          <w:szCs w:val="15"/>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left="153" w:right="7482" w:hanging="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r>
        <w:rPr>
          <w:w w:val="101"/>
        </w:rPr>
        <w:t> </w:t>
      </w:r>
      <w:r>
        <w:rPr/>
        <w:t>租赁情况说明</w:t>
      </w:r>
    </w:p>
    <w:p>
      <w:pPr>
        <w:pStyle w:val="BodyText"/>
        <w:spacing w:line="314" w:lineRule="auto" w:before="41"/>
        <w:ind w:right="173" w:firstLine="269"/>
        <w:jc w:val="left"/>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日公司与深圳先进微电子科技有限公司（以下简称</w:t>
      </w:r>
      <w:r>
        <w:rPr>
          <w:rFonts w:ascii="Times New Roman" w:hAnsi="Times New Roman" w:cs="Times New Roman" w:eastAsia="Times New Roman" w:hint="default"/>
          <w:spacing w:val="-4"/>
        </w:rPr>
        <w:t>“</w:t>
      </w:r>
      <w:r>
        <w:rPr>
          <w:spacing w:val="-4"/>
        </w:rPr>
        <w:t>先进微</w:t>
      </w:r>
      <w:r>
        <w:rPr>
          <w:rFonts w:ascii="Times New Roman" w:hAnsi="Times New Roman" w:cs="Times New Roman" w:eastAsia="Times New Roman" w:hint="default"/>
          <w:spacing w:val="-4"/>
        </w:rPr>
        <w:t>”</w:t>
      </w:r>
      <w:r>
        <w:rPr>
          <w:spacing w:val="-4"/>
        </w:rPr>
        <w:t>）签署《实益达科技园租赁合同书》，公司将部</w:t>
      </w:r>
      <w:r>
        <w:rPr>
          <w:w w:val="101"/>
        </w:rPr>
        <w:t> </w:t>
      </w:r>
      <w:r>
        <w:rPr>
          <w:spacing w:val="-3"/>
        </w:rPr>
        <w:t>分厂房、设备租赁给先进微做经营及办公之用，合同期为</w:t>
      </w:r>
      <w:r>
        <w:rPr>
          <w:rFonts w:ascii="Times New Roman" w:hAnsi="Times New Roman" w:cs="Times New Roman" w:eastAsia="Times New Roman" w:hint="default"/>
          <w:spacing w:val="-3"/>
        </w:rPr>
        <w:t>5</w:t>
      </w:r>
      <w:r>
        <w:rPr>
          <w:spacing w:val="-3"/>
        </w:rPr>
        <w:t>年，合同期前</w:t>
      </w:r>
      <w:r>
        <w:rPr>
          <w:rFonts w:ascii="Times New Roman" w:hAnsi="Times New Roman" w:cs="Times New Roman" w:eastAsia="Times New Roman" w:hint="default"/>
          <w:spacing w:val="-3"/>
        </w:rPr>
        <w:t>45</w:t>
      </w:r>
      <w:r>
        <w:rPr>
          <w:spacing w:val="-3"/>
        </w:rPr>
        <w:t>天为免租期（装修等产生的水、电费由先进微承</w:t>
      </w:r>
      <w:r>
        <w:rPr>
          <w:spacing w:val="72"/>
        </w:rPr>
        <w:t> </w:t>
      </w:r>
      <w:r>
        <w:rPr>
          <w:spacing w:val="72"/>
        </w:rPr>
      </w:r>
      <w:r>
        <w:rPr>
          <w:spacing w:val="-3"/>
        </w:rPr>
        <w:t>担），合同期内双方提前</w:t>
      </w:r>
      <w:r>
        <w:rPr>
          <w:rFonts w:ascii="Times New Roman" w:hAnsi="Times New Roman" w:cs="Times New Roman" w:eastAsia="Times New Roman" w:hint="default"/>
          <w:spacing w:val="-3"/>
        </w:rPr>
        <w:t>6</w:t>
      </w:r>
      <w:r>
        <w:rPr>
          <w:spacing w:val="-3"/>
        </w:rPr>
        <w:t>个月通知对方且支付相当于月租金</w:t>
      </w:r>
      <w:r>
        <w:rPr>
          <w:rFonts w:ascii="Times New Roman" w:hAnsi="Times New Roman" w:cs="Times New Roman" w:eastAsia="Times New Roman" w:hint="default"/>
          <w:spacing w:val="-3"/>
        </w:rPr>
        <w:t>2</w:t>
      </w:r>
      <w:r>
        <w:rPr>
          <w:spacing w:val="-3"/>
        </w:rPr>
        <w:t>倍的违约金后可解除合同。</w:t>
      </w:r>
      <w:r>
        <w:rPr>
          <w:spacing w:val="27"/>
        </w:rPr>
        <w:t> </w:t>
      </w:r>
      <w:r>
        <w:rPr>
          <w:spacing w:val="27"/>
        </w:rPr>
      </w: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39"/>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69"/>
        <w:gridCol w:w="869"/>
        <w:gridCol w:w="869"/>
        <w:gridCol w:w="878"/>
      </w:tblGrid>
      <w:tr>
        <w:trPr>
          <w:trHeight w:val="710"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40" w:right="60" w:hanging="274"/>
              <w:jc w:val="left"/>
              <w:rPr>
                <w:rFonts w:ascii="宋体" w:hAnsi="宋体" w:cs="宋体" w:eastAsia="宋体" w:hint="default"/>
                <w:sz w:val="18"/>
                <w:szCs w:val="18"/>
              </w:rPr>
            </w:pPr>
            <w:r>
              <w:rPr>
                <w:rFonts w:ascii="宋体" w:hAnsi="宋体" w:cs="宋体" w:eastAsia="宋体" w:hint="default"/>
                <w:sz w:val="18"/>
                <w:szCs w:val="18"/>
              </w:rPr>
              <w:t>出租方名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40" w:right="60" w:hanging="269"/>
              <w:jc w:val="left"/>
              <w:rPr>
                <w:rFonts w:ascii="宋体" w:hAnsi="宋体" w:cs="宋体" w:eastAsia="宋体" w:hint="default"/>
                <w:sz w:val="18"/>
                <w:szCs w:val="18"/>
              </w:rPr>
            </w:pPr>
            <w:r>
              <w:rPr>
                <w:rFonts w:ascii="宋体" w:hAnsi="宋体" w:cs="宋体" w:eastAsia="宋体" w:hint="default"/>
                <w:sz w:val="18"/>
                <w:szCs w:val="18"/>
              </w:rPr>
              <w:t>租赁方名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54" w:right="60" w:hanging="178"/>
              <w:jc w:val="left"/>
              <w:rPr>
                <w:rFonts w:ascii="宋体" w:hAnsi="宋体" w:cs="宋体" w:eastAsia="宋体" w:hint="default"/>
                <w:sz w:val="18"/>
                <w:szCs w:val="18"/>
              </w:rPr>
            </w:pPr>
            <w:r>
              <w:rPr>
                <w:rFonts w:ascii="宋体" w:hAnsi="宋体" w:cs="宋体" w:eastAsia="宋体" w:hint="default"/>
                <w:sz w:val="18"/>
                <w:szCs w:val="18"/>
              </w:rPr>
              <w:t>租赁资产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73"/>
              <w:ind w:left="71" w:right="60"/>
              <w:jc w:val="left"/>
              <w:rPr>
                <w:rFonts w:ascii="宋体" w:hAnsi="宋体" w:cs="宋体" w:eastAsia="宋体" w:hint="default"/>
                <w:sz w:val="18"/>
                <w:szCs w:val="18"/>
              </w:rPr>
            </w:pPr>
            <w:r>
              <w:rPr>
                <w:rFonts w:ascii="宋体" w:hAnsi="宋体" w:cs="宋体" w:eastAsia="宋体" w:hint="default"/>
                <w:sz w:val="18"/>
                <w:szCs w:val="18"/>
              </w:rPr>
              <w:t>租赁资产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涉及金额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40" w:right="60" w:hanging="269"/>
              <w:jc w:val="left"/>
              <w:rPr>
                <w:rFonts w:ascii="宋体" w:hAnsi="宋体" w:cs="宋体" w:eastAsia="宋体" w:hint="default"/>
                <w:sz w:val="18"/>
                <w:szCs w:val="18"/>
              </w:rPr>
            </w:pPr>
            <w:r>
              <w:rPr>
                <w:rFonts w:ascii="宋体" w:hAnsi="宋体" w:cs="宋体" w:eastAsia="宋体" w:hint="default"/>
                <w:sz w:val="18"/>
                <w:szCs w:val="18"/>
              </w:rPr>
              <w:t>租赁起始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40" w:right="65" w:hanging="274"/>
              <w:jc w:val="left"/>
              <w:rPr>
                <w:rFonts w:ascii="宋体" w:hAnsi="宋体" w:cs="宋体" w:eastAsia="宋体" w:hint="default"/>
                <w:sz w:val="18"/>
                <w:szCs w:val="18"/>
              </w:rPr>
            </w:pPr>
            <w:r>
              <w:rPr>
                <w:rFonts w:ascii="宋体" w:hAnsi="宋体" w:cs="宋体" w:eastAsia="宋体" w:hint="default"/>
                <w:sz w:val="18"/>
                <w:szCs w:val="18"/>
              </w:rPr>
              <w:t>租赁终止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租赁收益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73"/>
              <w:ind w:left="67" w:right="65"/>
              <w:jc w:val="left"/>
              <w:rPr>
                <w:rFonts w:ascii="宋体" w:hAnsi="宋体" w:cs="宋体" w:eastAsia="宋体" w:hint="default"/>
                <w:sz w:val="18"/>
                <w:szCs w:val="18"/>
              </w:rPr>
            </w:pPr>
            <w:r>
              <w:rPr>
                <w:rFonts w:ascii="宋体" w:hAnsi="宋体" w:cs="宋体" w:eastAsia="宋体" w:hint="default"/>
                <w:sz w:val="18"/>
                <w:szCs w:val="18"/>
              </w:rPr>
              <w:t>租赁收益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对公司影</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49" w:right="65" w:hanging="183"/>
              <w:jc w:val="left"/>
              <w:rPr>
                <w:rFonts w:ascii="宋体" w:hAnsi="宋体" w:cs="宋体" w:eastAsia="宋体" w:hint="default"/>
                <w:sz w:val="18"/>
                <w:szCs w:val="18"/>
              </w:rPr>
            </w:pPr>
            <w:r>
              <w:rPr>
                <w:rFonts w:ascii="宋体" w:hAnsi="宋体" w:cs="宋体" w:eastAsia="宋体" w:hint="default"/>
                <w:sz w:val="18"/>
                <w:szCs w:val="18"/>
              </w:rPr>
              <w:t>是否关联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40"/>
        </w:sectPr>
      </w:pPr>
    </w:p>
    <w:p>
      <w:pPr>
        <w:spacing w:line="240" w:lineRule="auto" w:before="11"/>
        <w:rPr>
          <w:rFonts w:ascii="宋体" w:hAnsi="宋体" w:cs="宋体" w:eastAsia="宋体" w:hint="default"/>
          <w:sz w:val="28"/>
          <w:szCs w:val="28"/>
        </w:rPr>
      </w:pPr>
    </w:p>
    <w:tbl>
      <w:tblPr>
        <w:tblW w:w="0" w:type="auto"/>
        <w:jc w:val="left"/>
        <w:tblInd w:w="96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69"/>
        <w:gridCol w:w="869"/>
        <w:gridCol w:w="869"/>
        <w:gridCol w:w="878"/>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right="60"/>
              <w:jc w:val="right"/>
              <w:rPr>
                <w:rFonts w:ascii="宋体" w:hAnsi="宋体" w:cs="宋体" w:eastAsia="宋体" w:hint="default"/>
                <w:sz w:val="18"/>
                <w:szCs w:val="18"/>
              </w:rPr>
            </w:pPr>
            <w:r>
              <w:rPr>
                <w:rFonts w:ascii="宋体" w:hAnsi="宋体" w:cs="宋体" w:eastAsia="宋体" w:hint="default"/>
                <w:spacing w:val="-2"/>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响</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3"/>
              <w:jc w:val="both"/>
              <w:rPr>
                <w:rFonts w:ascii="宋体" w:hAnsi="宋体" w:cs="宋体" w:eastAsia="宋体" w:hint="default"/>
                <w:sz w:val="18"/>
                <w:szCs w:val="18"/>
              </w:rPr>
            </w:pPr>
            <w:r>
              <w:rPr>
                <w:rFonts w:ascii="宋体" w:hAnsi="宋体" w:cs="宋体" w:eastAsia="宋体" w:hint="default"/>
                <w:sz w:val="18"/>
                <w:szCs w:val="18"/>
              </w:rPr>
              <w:t>深圳市实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益达科技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深圳先进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微电子科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3,537.08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租赁收入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减去租赁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关税费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24" w:right="108"/>
              <w:jc w:val="both"/>
              <w:rPr>
                <w:rFonts w:ascii="宋体" w:hAnsi="宋体" w:cs="宋体" w:eastAsia="宋体" w:hint="default"/>
                <w:sz w:val="18"/>
                <w:szCs w:val="18"/>
              </w:rPr>
            </w:pPr>
            <w:r>
              <w:rPr>
                <w:rFonts w:ascii="宋体" w:hAnsi="宋体" w:cs="宋体" w:eastAsia="宋体" w:hint="default"/>
                <w:sz w:val="18"/>
                <w:szCs w:val="18"/>
              </w:rPr>
              <w:t>增加租赁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511</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335" w:lineRule="exact"/>
        <w:ind w:left="972" w:right="7032"/>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left="972" w:right="7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公司报告期不存在担保情况。</w:t>
      </w:r>
    </w:p>
    <w:p>
      <w:pPr>
        <w:spacing w:line="240" w:lineRule="auto" w:before="7"/>
        <w:rPr>
          <w:rFonts w:ascii="宋体" w:hAnsi="宋体" w:cs="宋体" w:eastAsia="宋体" w:hint="default"/>
          <w:sz w:val="15"/>
          <w:szCs w:val="15"/>
        </w:rPr>
      </w:pPr>
    </w:p>
    <w:p>
      <w:pPr>
        <w:pStyle w:val="Heading4"/>
        <w:spacing w:line="240" w:lineRule="auto"/>
        <w:ind w:left="972" w:right="7032"/>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left="972" w:right="7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12"/>
        <w:rPr>
          <w:rFonts w:ascii="宋体" w:hAnsi="宋体" w:cs="宋体" w:eastAsia="宋体" w:hint="default"/>
          <w:sz w:val="15"/>
          <w:szCs w:val="15"/>
        </w:rPr>
      </w:pPr>
    </w:p>
    <w:p>
      <w:pPr>
        <w:pStyle w:val="Heading4"/>
        <w:spacing w:line="240" w:lineRule="auto"/>
        <w:ind w:left="972" w:right="7032"/>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38" w:lineRule="auto"/>
        <w:ind w:left="972" w:right="7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公司报告期不存在其他重大交易。</w:t>
      </w:r>
    </w:p>
    <w:p>
      <w:pPr>
        <w:spacing w:line="240" w:lineRule="auto" w:before="4"/>
        <w:rPr>
          <w:rFonts w:ascii="宋体" w:hAnsi="宋体" w:cs="宋体" w:eastAsia="宋体" w:hint="default"/>
          <w:sz w:val="18"/>
          <w:szCs w:val="18"/>
        </w:rPr>
      </w:pPr>
    </w:p>
    <w:p>
      <w:pPr>
        <w:pStyle w:val="Heading3"/>
        <w:spacing w:line="240" w:lineRule="auto"/>
        <w:ind w:left="972" w:right="7032"/>
        <w:jc w:val="left"/>
      </w:pPr>
      <w:r>
        <w:rPr/>
        <w:t>八、承诺事项履行情况</w:t>
      </w:r>
    </w:p>
    <w:p>
      <w:pPr>
        <w:spacing w:line="240" w:lineRule="auto" w:before="2"/>
        <w:rPr>
          <w:rFonts w:ascii="宋体" w:hAnsi="宋体" w:cs="宋体" w:eastAsia="宋体" w:hint="default"/>
          <w:sz w:val="20"/>
          <w:szCs w:val="20"/>
        </w:rPr>
      </w:pPr>
    </w:p>
    <w:p>
      <w:pPr>
        <w:pStyle w:val="Heading4"/>
        <w:spacing w:line="240" w:lineRule="auto"/>
        <w:ind w:left="972" w:right="0"/>
        <w:jc w:val="left"/>
        <w:rPr>
          <w:b w:val="0"/>
          <w:bCs w:val="0"/>
        </w:rPr>
      </w:pPr>
      <w:r>
        <w:rPr>
          <w:rFonts w:ascii="Times New Roman" w:hAnsi="Times New Roman" w:cs="Times New Roman" w:eastAsia="Times New Roman" w:hint="default"/>
        </w:rPr>
        <w:t>1</w:t>
      </w:r>
      <w:r>
        <w:rPr/>
        <w:t>、公司或持股</w:t>
      </w:r>
      <w:r>
        <w:rPr>
          <w:spacing w:val="3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972" w:right="7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0"/>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133"/>
        <w:gridCol w:w="1277"/>
        <w:gridCol w:w="3970"/>
        <w:gridCol w:w="994"/>
        <w:gridCol w:w="989"/>
        <w:gridCol w:w="1133"/>
        <w:gridCol w:w="854"/>
        <w:gridCol w:w="970"/>
      </w:tblGrid>
      <w:tr>
        <w:trPr>
          <w:trHeight w:val="316" w:hRule="exact"/>
        </w:trPr>
        <w:tc>
          <w:tcPr>
            <w:tcW w:w="1133" w:type="dxa"/>
            <w:tcBorders>
              <w:top w:val="single" w:sz="4" w:space="0" w:color="000000"/>
              <w:left w:val="single" w:sz="4" w:space="0" w:color="000000"/>
              <w:bottom w:val="nil" w:sz="6" w:space="0" w:color="auto"/>
              <w:right w:val="single" w:sz="4" w:space="0" w:color="000000"/>
            </w:tcBorders>
            <w:shd w:val="clear" w:color="auto" w:fill="D8D8D8"/>
          </w:tcPr>
          <w:p>
            <w:pPr/>
          </w:p>
        </w:tc>
        <w:tc>
          <w:tcPr>
            <w:tcW w:w="1277" w:type="dxa"/>
            <w:tcBorders>
              <w:top w:val="single" w:sz="4" w:space="0" w:color="000000"/>
              <w:left w:val="single" w:sz="4" w:space="0" w:color="000000"/>
              <w:bottom w:val="nil" w:sz="6" w:space="0" w:color="auto"/>
              <w:right w:val="single" w:sz="4" w:space="0" w:color="000000"/>
            </w:tcBorders>
            <w:shd w:val="clear" w:color="auto" w:fill="D8D8D8"/>
          </w:tcPr>
          <w:p>
            <w:pPr/>
          </w:p>
        </w:tc>
        <w:tc>
          <w:tcPr>
            <w:tcW w:w="3970" w:type="dxa"/>
            <w:tcBorders>
              <w:top w:val="single" w:sz="4" w:space="0" w:color="000000"/>
              <w:left w:val="single" w:sz="4" w:space="0" w:color="000000"/>
              <w:bottom w:val="nil" w:sz="6" w:space="0" w:color="auto"/>
              <w:right w:val="single" w:sz="4" w:space="0" w:color="000000"/>
            </w:tcBorders>
            <w:shd w:val="clear" w:color="auto" w:fill="D8D8D8"/>
          </w:tcPr>
          <w:p>
            <w:pPr/>
          </w:p>
        </w:tc>
        <w:tc>
          <w:tcPr>
            <w:tcW w:w="994" w:type="dxa"/>
            <w:tcBorders>
              <w:top w:val="single" w:sz="4" w:space="0" w:color="000000"/>
              <w:left w:val="single" w:sz="4" w:space="0" w:color="000000"/>
              <w:bottom w:val="nil" w:sz="6" w:space="0" w:color="auto"/>
              <w:right w:val="single" w:sz="4" w:space="0" w:color="000000"/>
            </w:tcBorders>
            <w:shd w:val="clear" w:color="auto" w:fill="D8D8D8"/>
          </w:tcPr>
          <w:p>
            <w:pPr/>
          </w:p>
        </w:tc>
        <w:tc>
          <w:tcPr>
            <w:tcW w:w="989" w:type="dxa"/>
            <w:tcBorders>
              <w:top w:val="single" w:sz="4" w:space="0" w:color="000000"/>
              <w:left w:val="single" w:sz="4" w:space="0" w:color="000000"/>
              <w:bottom w:val="nil" w:sz="6" w:space="0" w:color="auto"/>
              <w:right w:val="single" w:sz="4" w:space="0" w:color="000000"/>
            </w:tcBorders>
            <w:shd w:val="clear" w:color="auto" w:fill="D8D8D8"/>
          </w:tcPr>
          <w:p>
            <w:pPr/>
          </w:p>
        </w:tc>
        <w:tc>
          <w:tcPr>
            <w:tcW w:w="1133" w:type="dxa"/>
            <w:tcBorders>
              <w:top w:val="single" w:sz="4" w:space="0" w:color="000000"/>
              <w:left w:val="single" w:sz="4" w:space="0" w:color="000000"/>
              <w:bottom w:val="nil" w:sz="6" w:space="0" w:color="auto"/>
              <w:right w:val="single" w:sz="4" w:space="0" w:color="000000"/>
            </w:tcBorders>
            <w:shd w:val="clear" w:color="auto" w:fill="D8D8D8"/>
          </w:tcPr>
          <w:p>
            <w:pPr/>
          </w:p>
        </w:tc>
        <w:tc>
          <w:tcPr>
            <w:tcW w:w="854" w:type="dxa"/>
            <w:tcBorders>
              <w:top w:val="single" w:sz="4" w:space="0" w:color="000000"/>
              <w:left w:val="single" w:sz="4" w:space="0" w:color="000000"/>
              <w:bottom w:val="nil" w:sz="6" w:space="0" w:color="auto"/>
              <w:right w:val="single" w:sz="4" w:space="0" w:color="000000"/>
            </w:tcBorders>
            <w:shd w:val="clear" w:color="auto" w:fill="D8D8D8"/>
          </w:tcPr>
          <w:p>
            <w:pPr/>
          </w:p>
        </w:tc>
        <w:tc>
          <w:tcPr>
            <w:tcW w:w="970"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未 完</w:t>
            </w:r>
            <w:r>
              <w:rPr>
                <w:rFonts w:ascii="宋体" w:hAnsi="宋体" w:cs="宋体" w:eastAsia="宋体" w:hint="default"/>
                <w:spacing w:val="-44"/>
                <w:sz w:val="20"/>
                <w:szCs w:val="20"/>
              </w:rPr>
              <w:t> </w:t>
            </w:r>
            <w:r>
              <w:rPr>
                <w:rFonts w:ascii="宋体" w:hAnsi="宋体" w:cs="宋体" w:eastAsia="宋体" w:hint="default"/>
                <w:sz w:val="20"/>
                <w:szCs w:val="20"/>
              </w:rPr>
              <w:t>成</w:t>
            </w:r>
          </w:p>
        </w:tc>
      </w:tr>
      <w:tr>
        <w:trPr>
          <w:trHeight w:val="1248" w:hRule="exact"/>
        </w:trPr>
        <w:tc>
          <w:tcPr>
            <w:tcW w:w="1133"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0" w:right="98"/>
              <w:jc w:val="left"/>
              <w:rPr>
                <w:rFonts w:ascii="宋体" w:hAnsi="宋体" w:cs="宋体" w:eastAsia="宋体" w:hint="default"/>
                <w:sz w:val="20"/>
                <w:szCs w:val="20"/>
              </w:rPr>
            </w:pPr>
            <w:r>
              <w:rPr>
                <w:rFonts w:ascii="宋体" w:hAnsi="宋体" w:cs="宋体" w:eastAsia="宋体" w:hint="default"/>
                <w:sz w:val="20"/>
                <w:szCs w:val="20"/>
              </w:rPr>
              <w:t>承</w:t>
            </w:r>
            <w:r>
              <w:rPr>
                <w:rFonts w:ascii="宋体" w:hAnsi="宋体" w:cs="宋体" w:eastAsia="宋体" w:hint="default"/>
                <w:spacing w:val="-61"/>
                <w:sz w:val="20"/>
                <w:szCs w:val="20"/>
              </w:rPr>
              <w:t> </w:t>
            </w:r>
            <w:r>
              <w:rPr>
                <w:rFonts w:ascii="宋体" w:hAnsi="宋体" w:cs="宋体" w:eastAsia="宋体" w:hint="default"/>
                <w:sz w:val="20"/>
                <w:szCs w:val="20"/>
              </w:rPr>
              <w:t>诺</w:t>
            </w:r>
            <w:r>
              <w:rPr>
                <w:rFonts w:ascii="宋体" w:hAnsi="宋体" w:cs="宋体" w:eastAsia="宋体" w:hint="default"/>
                <w:spacing w:val="-61"/>
                <w:sz w:val="20"/>
                <w:szCs w:val="20"/>
              </w:rPr>
              <w:t> </w:t>
            </w:r>
            <w:r>
              <w:rPr>
                <w:rFonts w:ascii="宋体" w:hAnsi="宋体" w:cs="宋体" w:eastAsia="宋体" w:hint="default"/>
                <w:sz w:val="20"/>
                <w:szCs w:val="20"/>
              </w:rPr>
              <w:t>事</w:t>
            </w:r>
            <w:r>
              <w:rPr>
                <w:rFonts w:ascii="宋体" w:hAnsi="宋体" w:cs="宋体" w:eastAsia="宋体" w:hint="default"/>
                <w:spacing w:val="-61"/>
                <w:sz w:val="20"/>
                <w:szCs w:val="20"/>
              </w:rPr>
              <w:t> </w:t>
            </w:r>
            <w:r>
              <w:rPr>
                <w:rFonts w:ascii="宋体" w:hAnsi="宋体" w:cs="宋体" w:eastAsia="宋体" w:hint="default"/>
                <w:sz w:val="20"/>
                <w:szCs w:val="20"/>
              </w:rPr>
              <w:t>项</w:t>
            </w:r>
            <w:r>
              <w:rPr>
                <w:rFonts w:ascii="宋体" w:hAnsi="宋体" w:cs="宋体" w:eastAsia="宋体" w:hint="default"/>
                <w:w w:val="100"/>
                <w:sz w:val="20"/>
                <w:szCs w:val="20"/>
              </w:rPr>
              <w:t> </w:t>
            </w:r>
            <w:r>
              <w:rPr>
                <w:rFonts w:ascii="宋体" w:hAnsi="宋体" w:cs="宋体" w:eastAsia="宋体" w:hint="default"/>
                <w:sz w:val="20"/>
                <w:szCs w:val="20"/>
              </w:rPr>
              <w:t>类别</w:t>
            </w:r>
          </w:p>
        </w:tc>
        <w:tc>
          <w:tcPr>
            <w:tcW w:w="1277"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5" w:right="94"/>
              <w:jc w:val="left"/>
              <w:rPr>
                <w:rFonts w:ascii="宋体" w:hAnsi="宋体" w:cs="宋体" w:eastAsia="宋体" w:hint="default"/>
                <w:sz w:val="20"/>
                <w:szCs w:val="20"/>
              </w:rPr>
            </w:pPr>
            <w:r>
              <w:rPr>
                <w:rFonts w:ascii="宋体" w:hAnsi="宋体" w:cs="宋体" w:eastAsia="宋体" w:hint="default"/>
                <w:spacing w:val="10"/>
                <w:sz w:val="20"/>
                <w:szCs w:val="20"/>
              </w:rPr>
              <w:t>承诺主体名</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称</w:t>
            </w:r>
          </w:p>
        </w:tc>
        <w:tc>
          <w:tcPr>
            <w:tcW w:w="3970"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承诺内容</w:t>
            </w:r>
          </w:p>
        </w:tc>
        <w:tc>
          <w:tcPr>
            <w:tcW w:w="994"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5" w:right="98"/>
              <w:jc w:val="left"/>
              <w:rPr>
                <w:rFonts w:ascii="宋体" w:hAnsi="宋体" w:cs="宋体" w:eastAsia="宋体" w:hint="default"/>
                <w:sz w:val="20"/>
                <w:szCs w:val="20"/>
              </w:rPr>
            </w:pPr>
            <w:r>
              <w:rPr>
                <w:rFonts w:ascii="宋体" w:hAnsi="宋体" w:cs="宋体" w:eastAsia="宋体" w:hint="default"/>
                <w:sz w:val="20"/>
                <w:szCs w:val="20"/>
              </w:rPr>
              <w:t>承 诺</w:t>
            </w:r>
            <w:r>
              <w:rPr>
                <w:rFonts w:ascii="宋体" w:hAnsi="宋体" w:cs="宋体" w:eastAsia="宋体" w:hint="default"/>
                <w:spacing w:val="-24"/>
                <w:sz w:val="20"/>
                <w:szCs w:val="20"/>
              </w:rPr>
              <w:t> </w:t>
            </w:r>
            <w:r>
              <w:rPr>
                <w:rFonts w:ascii="宋体" w:hAnsi="宋体" w:cs="宋体" w:eastAsia="宋体" w:hint="default"/>
                <w:sz w:val="20"/>
                <w:szCs w:val="20"/>
              </w:rPr>
              <w:t>开</w:t>
            </w:r>
            <w:r>
              <w:rPr>
                <w:rFonts w:ascii="宋体" w:hAnsi="宋体" w:cs="宋体" w:eastAsia="宋体" w:hint="default"/>
                <w:w w:val="100"/>
                <w:sz w:val="20"/>
                <w:szCs w:val="20"/>
              </w:rPr>
              <w:t> </w:t>
            </w:r>
            <w:r>
              <w:rPr>
                <w:rFonts w:ascii="宋体" w:hAnsi="宋体" w:cs="宋体" w:eastAsia="宋体" w:hint="default"/>
                <w:sz w:val="20"/>
                <w:szCs w:val="20"/>
              </w:rPr>
              <w:t>始日期</w:t>
            </w:r>
          </w:p>
        </w:tc>
        <w:tc>
          <w:tcPr>
            <w:tcW w:w="989"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0" w:right="98"/>
              <w:jc w:val="left"/>
              <w:rPr>
                <w:rFonts w:ascii="宋体" w:hAnsi="宋体" w:cs="宋体" w:eastAsia="宋体" w:hint="default"/>
                <w:sz w:val="20"/>
                <w:szCs w:val="20"/>
              </w:rPr>
            </w:pPr>
            <w:r>
              <w:rPr>
                <w:rFonts w:ascii="宋体" w:hAnsi="宋体" w:cs="宋体" w:eastAsia="宋体" w:hint="default"/>
                <w:sz w:val="20"/>
                <w:szCs w:val="20"/>
              </w:rPr>
              <w:t>承 诺</w:t>
            </w:r>
            <w:r>
              <w:rPr>
                <w:rFonts w:ascii="宋体" w:hAnsi="宋体" w:cs="宋体" w:eastAsia="宋体" w:hint="default"/>
                <w:spacing w:val="-24"/>
                <w:sz w:val="20"/>
                <w:szCs w:val="20"/>
              </w:rPr>
              <w:t> </w:t>
            </w:r>
            <w:r>
              <w:rPr>
                <w:rFonts w:ascii="宋体" w:hAnsi="宋体" w:cs="宋体" w:eastAsia="宋体" w:hint="default"/>
                <w:sz w:val="20"/>
                <w:szCs w:val="20"/>
              </w:rPr>
              <w:t>结</w:t>
            </w:r>
            <w:r>
              <w:rPr>
                <w:rFonts w:ascii="宋体" w:hAnsi="宋体" w:cs="宋体" w:eastAsia="宋体" w:hint="default"/>
                <w:w w:val="100"/>
                <w:sz w:val="20"/>
                <w:szCs w:val="20"/>
              </w:rPr>
              <w:t> </w:t>
            </w:r>
            <w:r>
              <w:rPr>
                <w:rFonts w:ascii="宋体" w:hAnsi="宋体" w:cs="宋体" w:eastAsia="宋体" w:hint="default"/>
                <w:sz w:val="20"/>
                <w:szCs w:val="20"/>
              </w:rPr>
              <w:t>束日期</w:t>
            </w:r>
          </w:p>
        </w:tc>
        <w:tc>
          <w:tcPr>
            <w:tcW w:w="1133"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5" w:right="93"/>
              <w:jc w:val="left"/>
              <w:rPr>
                <w:rFonts w:ascii="宋体" w:hAnsi="宋体" w:cs="宋体" w:eastAsia="宋体" w:hint="default"/>
                <w:sz w:val="20"/>
                <w:szCs w:val="20"/>
              </w:rPr>
            </w:pPr>
            <w:r>
              <w:rPr>
                <w:rFonts w:ascii="宋体" w:hAnsi="宋体" w:cs="宋体" w:eastAsia="宋体" w:hint="default"/>
                <w:sz w:val="20"/>
                <w:szCs w:val="20"/>
              </w:rPr>
              <w:t>履</w:t>
            </w:r>
            <w:r>
              <w:rPr>
                <w:rFonts w:ascii="宋体" w:hAnsi="宋体" w:cs="宋体" w:eastAsia="宋体" w:hint="default"/>
                <w:spacing w:val="-61"/>
                <w:sz w:val="20"/>
                <w:szCs w:val="20"/>
              </w:rPr>
              <w:t> </w:t>
            </w:r>
            <w:r>
              <w:rPr>
                <w:rFonts w:ascii="宋体" w:hAnsi="宋体" w:cs="宋体" w:eastAsia="宋体" w:hint="default"/>
                <w:sz w:val="20"/>
                <w:szCs w:val="20"/>
              </w:rPr>
              <w:t>约</w:t>
            </w:r>
            <w:r>
              <w:rPr>
                <w:rFonts w:ascii="宋体" w:hAnsi="宋体" w:cs="宋体" w:eastAsia="宋体" w:hint="default"/>
                <w:spacing w:val="-61"/>
                <w:sz w:val="20"/>
                <w:szCs w:val="20"/>
              </w:rPr>
              <w:t> </w:t>
            </w:r>
            <w:r>
              <w:rPr>
                <w:rFonts w:ascii="宋体" w:hAnsi="宋体" w:cs="宋体" w:eastAsia="宋体" w:hint="default"/>
                <w:sz w:val="20"/>
                <w:szCs w:val="20"/>
              </w:rPr>
              <w:t>情</w:t>
            </w:r>
            <w:r>
              <w:rPr>
                <w:rFonts w:ascii="宋体" w:hAnsi="宋体" w:cs="宋体" w:eastAsia="宋体" w:hint="default"/>
                <w:spacing w:val="-61"/>
                <w:sz w:val="20"/>
                <w:szCs w:val="20"/>
              </w:rPr>
              <w:t> </w:t>
            </w:r>
            <w:r>
              <w:rPr>
                <w:rFonts w:ascii="宋体" w:hAnsi="宋体" w:cs="宋体" w:eastAsia="宋体" w:hint="default"/>
                <w:sz w:val="20"/>
                <w:szCs w:val="20"/>
              </w:rPr>
              <w:t>况</w:t>
            </w:r>
            <w:r>
              <w:rPr>
                <w:rFonts w:ascii="宋体" w:hAnsi="宋体" w:cs="宋体" w:eastAsia="宋体" w:hint="default"/>
                <w:w w:val="100"/>
                <w:sz w:val="20"/>
                <w:szCs w:val="20"/>
              </w:rPr>
              <w:t> </w:t>
            </w:r>
            <w:r>
              <w:rPr>
                <w:rFonts w:ascii="宋体" w:hAnsi="宋体" w:cs="宋体" w:eastAsia="宋体" w:hint="default"/>
                <w:sz w:val="20"/>
                <w:szCs w:val="20"/>
              </w:rPr>
              <w:t>说明</w:t>
            </w:r>
          </w:p>
        </w:tc>
        <w:tc>
          <w:tcPr>
            <w:tcW w:w="854"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85" w:lineRule="auto" w:before="148"/>
              <w:ind w:left="105" w:right="98"/>
              <w:jc w:val="both"/>
              <w:rPr>
                <w:rFonts w:ascii="宋体" w:hAnsi="宋体" w:cs="宋体" w:eastAsia="宋体" w:hint="default"/>
                <w:sz w:val="20"/>
                <w:szCs w:val="20"/>
              </w:rPr>
            </w:pPr>
            <w:r>
              <w:rPr>
                <w:rFonts w:ascii="宋体" w:hAnsi="宋体" w:cs="宋体" w:eastAsia="宋体" w:hint="default"/>
                <w:spacing w:val="10"/>
                <w:sz w:val="20"/>
                <w:szCs w:val="20"/>
              </w:rPr>
              <w:t>是否超</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0"/>
                <w:sz w:val="20"/>
                <w:szCs w:val="20"/>
              </w:rPr>
              <w:t>期未履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行承诺</w:t>
            </w:r>
          </w:p>
        </w:tc>
        <w:tc>
          <w:tcPr>
            <w:tcW w:w="970"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85" w:lineRule="auto"/>
              <w:ind w:left="100" w:right="98"/>
              <w:jc w:val="both"/>
              <w:rPr>
                <w:rFonts w:ascii="宋体" w:hAnsi="宋体" w:cs="宋体" w:eastAsia="宋体" w:hint="default"/>
                <w:sz w:val="20"/>
                <w:szCs w:val="20"/>
              </w:rPr>
            </w:pPr>
            <w:r>
              <w:rPr>
                <w:rFonts w:ascii="宋体" w:hAnsi="宋体" w:cs="宋体" w:eastAsia="宋体" w:hint="default"/>
                <w:sz w:val="20"/>
                <w:szCs w:val="20"/>
              </w:rPr>
              <w:t>履 行</w:t>
            </w:r>
            <w:r>
              <w:rPr>
                <w:rFonts w:ascii="宋体" w:hAnsi="宋体" w:cs="宋体" w:eastAsia="宋体" w:hint="default"/>
                <w:spacing w:val="-44"/>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具 体</w:t>
            </w:r>
            <w:r>
              <w:rPr>
                <w:rFonts w:ascii="宋体" w:hAnsi="宋体" w:cs="宋体" w:eastAsia="宋体" w:hint="default"/>
                <w:spacing w:val="-44"/>
                <w:sz w:val="20"/>
                <w:szCs w:val="20"/>
              </w:rPr>
              <w:t> </w:t>
            </w:r>
            <w:r>
              <w:rPr>
                <w:rFonts w:ascii="宋体" w:hAnsi="宋体" w:cs="宋体" w:eastAsia="宋体" w:hint="default"/>
                <w:sz w:val="20"/>
                <w:szCs w:val="20"/>
              </w:rPr>
              <w:t>原</w:t>
            </w:r>
            <w:r>
              <w:rPr>
                <w:rFonts w:ascii="宋体" w:hAnsi="宋体" w:cs="宋体" w:eastAsia="宋体" w:hint="default"/>
                <w:w w:val="100"/>
                <w:sz w:val="20"/>
                <w:szCs w:val="20"/>
              </w:rPr>
              <w:t> </w:t>
            </w:r>
            <w:r>
              <w:rPr>
                <w:rFonts w:ascii="宋体" w:hAnsi="宋体" w:cs="宋体" w:eastAsia="宋体" w:hint="default"/>
                <w:sz w:val="20"/>
                <w:szCs w:val="20"/>
              </w:rPr>
              <w:t>因 及</w:t>
            </w:r>
            <w:r>
              <w:rPr>
                <w:rFonts w:ascii="宋体" w:hAnsi="宋体" w:cs="宋体" w:eastAsia="宋体" w:hint="default"/>
                <w:spacing w:val="-44"/>
                <w:sz w:val="20"/>
                <w:szCs w:val="20"/>
              </w:rPr>
              <w:t> </w:t>
            </w:r>
            <w:r>
              <w:rPr>
                <w:rFonts w:ascii="宋体" w:hAnsi="宋体" w:cs="宋体" w:eastAsia="宋体" w:hint="default"/>
                <w:sz w:val="20"/>
                <w:szCs w:val="20"/>
              </w:rPr>
              <w:t>下</w:t>
            </w:r>
            <w:r>
              <w:rPr>
                <w:rFonts w:ascii="宋体" w:hAnsi="宋体" w:cs="宋体" w:eastAsia="宋体" w:hint="default"/>
                <w:w w:val="100"/>
                <w:sz w:val="20"/>
                <w:szCs w:val="20"/>
              </w:rPr>
              <w:t> </w:t>
            </w:r>
            <w:r>
              <w:rPr>
                <w:rFonts w:ascii="宋体" w:hAnsi="宋体" w:cs="宋体" w:eastAsia="宋体" w:hint="default"/>
                <w:sz w:val="20"/>
                <w:szCs w:val="20"/>
              </w:rPr>
              <w:t>一 步</w:t>
            </w:r>
            <w:r>
              <w:rPr>
                <w:rFonts w:ascii="宋体" w:hAnsi="宋体" w:cs="宋体" w:eastAsia="宋体" w:hint="default"/>
                <w:spacing w:val="-44"/>
                <w:sz w:val="20"/>
                <w:szCs w:val="20"/>
              </w:rPr>
              <w:t> </w:t>
            </w:r>
            <w:r>
              <w:rPr>
                <w:rFonts w:ascii="宋体" w:hAnsi="宋体" w:cs="宋体" w:eastAsia="宋体" w:hint="default"/>
                <w:sz w:val="20"/>
                <w:szCs w:val="20"/>
              </w:rPr>
              <w:t>计</w:t>
            </w:r>
          </w:p>
        </w:tc>
      </w:tr>
      <w:tr>
        <w:trPr>
          <w:trHeight w:val="320" w:hRule="exact"/>
        </w:trPr>
        <w:tc>
          <w:tcPr>
            <w:tcW w:w="1133" w:type="dxa"/>
            <w:tcBorders>
              <w:top w:val="nil" w:sz="6" w:space="0" w:color="auto"/>
              <w:left w:val="single" w:sz="4" w:space="0" w:color="000000"/>
              <w:bottom w:val="single" w:sz="4" w:space="0" w:color="000000"/>
              <w:right w:val="single" w:sz="4" w:space="0" w:color="000000"/>
            </w:tcBorders>
            <w:shd w:val="clear" w:color="auto" w:fill="D8D8D8"/>
          </w:tcPr>
          <w:p>
            <w:pPr/>
          </w:p>
        </w:tc>
        <w:tc>
          <w:tcPr>
            <w:tcW w:w="1277" w:type="dxa"/>
            <w:tcBorders>
              <w:top w:val="nil" w:sz="6" w:space="0" w:color="auto"/>
              <w:left w:val="single" w:sz="4" w:space="0" w:color="000000"/>
              <w:bottom w:val="single" w:sz="4" w:space="0" w:color="000000"/>
              <w:right w:val="single" w:sz="4" w:space="0" w:color="000000"/>
            </w:tcBorders>
            <w:shd w:val="clear" w:color="auto" w:fill="D8D8D8"/>
          </w:tcPr>
          <w:p>
            <w:pPr/>
          </w:p>
        </w:tc>
        <w:tc>
          <w:tcPr>
            <w:tcW w:w="3970" w:type="dxa"/>
            <w:tcBorders>
              <w:top w:val="nil" w:sz="6" w:space="0" w:color="auto"/>
              <w:left w:val="single" w:sz="4" w:space="0" w:color="000000"/>
              <w:bottom w:val="single" w:sz="4" w:space="0" w:color="000000"/>
              <w:right w:val="single" w:sz="4" w:space="0" w:color="000000"/>
            </w:tcBorders>
            <w:shd w:val="clear" w:color="auto" w:fill="D8D8D8"/>
          </w:tcPr>
          <w:p>
            <w:pPr/>
          </w:p>
        </w:tc>
        <w:tc>
          <w:tcPr>
            <w:tcW w:w="994" w:type="dxa"/>
            <w:tcBorders>
              <w:top w:val="nil" w:sz="6" w:space="0" w:color="auto"/>
              <w:left w:val="single" w:sz="4" w:space="0" w:color="000000"/>
              <w:bottom w:val="single" w:sz="4" w:space="0" w:color="000000"/>
              <w:right w:val="single" w:sz="4" w:space="0" w:color="000000"/>
            </w:tcBorders>
            <w:shd w:val="clear" w:color="auto" w:fill="D8D8D8"/>
          </w:tcPr>
          <w:p>
            <w:pPr/>
          </w:p>
        </w:tc>
        <w:tc>
          <w:tcPr>
            <w:tcW w:w="989" w:type="dxa"/>
            <w:tcBorders>
              <w:top w:val="nil" w:sz="6" w:space="0" w:color="auto"/>
              <w:left w:val="single" w:sz="4" w:space="0" w:color="000000"/>
              <w:bottom w:val="single" w:sz="4" w:space="0" w:color="000000"/>
              <w:right w:val="single" w:sz="4" w:space="0" w:color="000000"/>
            </w:tcBorders>
            <w:shd w:val="clear" w:color="auto" w:fill="D8D8D8"/>
          </w:tcPr>
          <w:p>
            <w:pPr/>
          </w:p>
        </w:tc>
        <w:tc>
          <w:tcPr>
            <w:tcW w:w="1133" w:type="dxa"/>
            <w:tcBorders>
              <w:top w:val="nil" w:sz="6" w:space="0" w:color="auto"/>
              <w:left w:val="single" w:sz="4" w:space="0" w:color="000000"/>
              <w:bottom w:val="single" w:sz="4" w:space="0" w:color="000000"/>
              <w:right w:val="single" w:sz="4" w:space="0" w:color="000000"/>
            </w:tcBorders>
            <w:shd w:val="clear" w:color="auto" w:fill="D8D8D8"/>
          </w:tcPr>
          <w:p>
            <w:pPr/>
          </w:p>
        </w:tc>
        <w:tc>
          <w:tcPr>
            <w:tcW w:w="854" w:type="dxa"/>
            <w:tcBorders>
              <w:top w:val="nil" w:sz="6" w:space="0" w:color="auto"/>
              <w:left w:val="single" w:sz="4" w:space="0" w:color="000000"/>
              <w:bottom w:val="single" w:sz="4" w:space="0" w:color="000000"/>
              <w:right w:val="single" w:sz="4" w:space="0" w:color="000000"/>
            </w:tcBorders>
            <w:shd w:val="clear" w:color="auto" w:fill="D8D8D8"/>
          </w:tcPr>
          <w:p>
            <w:pPr/>
          </w:p>
        </w:tc>
        <w:tc>
          <w:tcPr>
            <w:tcW w:w="970"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划</w:t>
            </w:r>
          </w:p>
        </w:tc>
      </w:tr>
      <w:tr>
        <w:trPr>
          <w:trHeight w:val="319" w:hRule="exact"/>
        </w:trPr>
        <w:tc>
          <w:tcPr>
            <w:tcW w:w="11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68" w:lineRule="exact"/>
              <w:ind w:left="10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、关于关联交易事项的承诺：</w:t>
            </w:r>
          </w:p>
        </w:tc>
        <w:tc>
          <w:tcPr>
            <w:tcW w:w="99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407" w:right="0"/>
              <w:jc w:val="left"/>
              <w:rPr>
                <w:rFonts w:ascii="宋体" w:hAnsi="宋体" w:cs="宋体" w:eastAsia="宋体" w:hint="default"/>
                <w:sz w:val="20"/>
                <w:szCs w:val="20"/>
              </w:rPr>
            </w:pPr>
            <w:r>
              <w:rPr>
                <w:rFonts w:ascii="宋体" w:hAnsi="宋体" w:cs="宋体" w:eastAsia="宋体" w:hint="default"/>
                <w:sz w:val="20"/>
                <w:szCs w:val="20"/>
              </w:rPr>
              <w:t>对于由于各种合理原因而可能发生的关</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联交易将遵循公开、公平、公正的原则，依</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1561"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0" w:right="98"/>
              <w:jc w:val="center"/>
              <w:rPr>
                <w:rFonts w:ascii="宋体" w:hAnsi="宋体" w:cs="宋体" w:eastAsia="宋体" w:hint="default"/>
                <w:sz w:val="20"/>
                <w:szCs w:val="20"/>
              </w:rPr>
            </w:pPr>
            <w:r>
              <w:rPr>
                <w:rFonts w:ascii="宋体" w:hAnsi="宋体" w:cs="宋体" w:eastAsia="宋体" w:hint="default"/>
                <w:sz w:val="20"/>
                <w:szCs w:val="20"/>
              </w:rPr>
              <w:t>关于同业</w:t>
            </w:r>
            <w:r>
              <w:rPr>
                <w:rFonts w:ascii="宋体" w:hAnsi="宋体" w:cs="宋体" w:eastAsia="宋体" w:hint="default"/>
                <w:w w:val="100"/>
                <w:sz w:val="20"/>
                <w:szCs w:val="20"/>
              </w:rPr>
              <w:t> </w:t>
            </w:r>
            <w:r>
              <w:rPr>
                <w:rFonts w:ascii="宋体" w:hAnsi="宋体" w:cs="宋体" w:eastAsia="宋体" w:hint="default"/>
                <w:spacing w:val="-18"/>
                <w:w w:val="100"/>
                <w:sz w:val="20"/>
                <w:szCs w:val="20"/>
              </w:rPr>
              <w:t>竞争、关联</w:t>
            </w:r>
            <w:r>
              <w:rPr>
                <w:rFonts w:ascii="宋体" w:hAnsi="宋体" w:cs="宋体" w:eastAsia="宋体" w:hint="default"/>
                <w:w w:val="100"/>
                <w:sz w:val="20"/>
                <w:szCs w:val="20"/>
              </w:rPr>
              <w:t> </w:t>
            </w:r>
            <w:r>
              <w:rPr>
                <w:rFonts w:ascii="宋体" w:hAnsi="宋体" w:cs="宋体" w:eastAsia="宋体" w:hint="default"/>
                <w:spacing w:val="-18"/>
                <w:w w:val="100"/>
                <w:sz w:val="20"/>
                <w:szCs w:val="20"/>
              </w:rPr>
              <w:t>交易、资金</w:t>
            </w:r>
            <w:r>
              <w:rPr>
                <w:rFonts w:ascii="宋体" w:hAnsi="宋体" w:cs="宋体" w:eastAsia="宋体" w:hint="default"/>
                <w:w w:val="100"/>
                <w:sz w:val="20"/>
                <w:szCs w:val="20"/>
              </w:rPr>
              <w:t> </w:t>
            </w:r>
            <w:r>
              <w:rPr>
                <w:rFonts w:ascii="宋体" w:hAnsi="宋体" w:cs="宋体" w:eastAsia="宋体" w:hint="default"/>
                <w:sz w:val="20"/>
                <w:szCs w:val="20"/>
              </w:rPr>
              <w:t>占用方面</w:t>
            </w:r>
            <w:r>
              <w:rPr>
                <w:rFonts w:ascii="宋体" w:hAnsi="宋体" w:cs="宋体" w:eastAsia="宋体" w:hint="default"/>
                <w:w w:val="100"/>
                <w:sz w:val="20"/>
                <w:szCs w:val="20"/>
              </w:rPr>
              <w:t> </w:t>
            </w:r>
            <w:r>
              <w:rPr>
                <w:rFonts w:ascii="宋体" w:hAnsi="宋体" w:cs="宋体" w:eastAsia="宋体" w:hint="default"/>
                <w:sz w:val="20"/>
                <w:szCs w:val="20"/>
              </w:rPr>
              <w:t>的承诺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85" w:lineRule="auto"/>
              <w:ind w:left="105" w:right="156"/>
              <w:jc w:val="left"/>
              <w:rPr>
                <w:rFonts w:ascii="宋体" w:hAnsi="宋体" w:cs="宋体" w:eastAsia="宋体" w:hint="default"/>
                <w:sz w:val="20"/>
                <w:szCs w:val="20"/>
              </w:rPr>
            </w:pPr>
            <w:r>
              <w:rPr>
                <w:rFonts w:ascii="宋体" w:hAnsi="宋体" w:cs="宋体" w:eastAsia="宋体" w:hint="default"/>
                <w:sz w:val="20"/>
                <w:szCs w:val="20"/>
              </w:rPr>
              <w:t>陈亚妹、乔</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昕</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5" w:right="94"/>
              <w:jc w:val="both"/>
              <w:rPr>
                <w:rFonts w:ascii="宋体" w:hAnsi="宋体" w:cs="宋体" w:eastAsia="宋体" w:hint="default"/>
                <w:sz w:val="20"/>
                <w:szCs w:val="20"/>
              </w:rPr>
            </w:pPr>
            <w:r>
              <w:rPr>
                <w:rFonts w:ascii="宋体" w:hAnsi="宋体" w:cs="宋体" w:eastAsia="宋体" w:hint="default"/>
                <w:spacing w:val="-4"/>
                <w:sz w:val="20"/>
                <w:szCs w:val="20"/>
              </w:rPr>
              <w:t>法签订协议，按照公允、合理的市场价格与</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4"/>
                <w:sz w:val="20"/>
                <w:szCs w:val="20"/>
              </w:rPr>
              <w:t>实益达进行交易，并依据有关法律、法规及</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4"/>
                <w:sz w:val="20"/>
                <w:szCs w:val="20"/>
              </w:rPr>
              <w:t>规范性文件的规定履行决策程序，依法履行</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4"/>
                <w:sz w:val="20"/>
                <w:szCs w:val="20"/>
              </w:rPr>
              <w:t>信息披露义务，保证不通过关联交易损害上</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市公司及其他股东的合法权益。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20"/>
                <w:szCs w:val="20"/>
              </w:rPr>
            </w:pPr>
            <w:r>
              <w:rPr>
                <w:rFonts w:ascii="Arial"/>
                <w:sz w:val="20"/>
              </w:rPr>
              <w:t>2014-12</w:t>
            </w:r>
          </w:p>
          <w:p>
            <w:pPr>
              <w:pStyle w:val="TableParagraph"/>
              <w:spacing w:line="240" w:lineRule="auto" w:before="82"/>
              <w:ind w:left="7" w:right="0"/>
              <w:jc w:val="center"/>
              <w:rPr>
                <w:rFonts w:ascii="Arial" w:hAnsi="Arial" w:cs="Arial" w:eastAsia="Arial" w:hint="default"/>
                <w:sz w:val="20"/>
                <w:szCs w:val="20"/>
              </w:rPr>
            </w:pPr>
            <w:r>
              <w:rPr>
                <w:rFonts w:ascii="Arial"/>
                <w:sz w:val="20"/>
              </w:rPr>
              <w:t>-10</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
              <w:jc w:val="center"/>
              <w:rPr>
                <w:rFonts w:ascii="Arial" w:hAnsi="Arial" w:cs="Arial" w:eastAsia="Arial" w:hint="default"/>
                <w:sz w:val="20"/>
                <w:szCs w:val="20"/>
              </w:rPr>
            </w:pPr>
            <w:r>
              <w:rPr>
                <w:rFonts w:ascii="Arial"/>
                <w:sz w:val="20"/>
              </w:rPr>
              <w:t>9999-12</w:t>
            </w:r>
          </w:p>
          <w:p>
            <w:pPr>
              <w:pStyle w:val="TableParagraph"/>
              <w:spacing w:line="240" w:lineRule="auto" w:before="82"/>
              <w:ind w:left="3" w:right="0"/>
              <w:jc w:val="center"/>
              <w:rPr>
                <w:rFonts w:ascii="Arial" w:hAnsi="Arial" w:cs="Arial" w:eastAsia="Arial" w:hint="default"/>
                <w:sz w:val="20"/>
                <w:szCs w:val="20"/>
              </w:rPr>
            </w:pPr>
            <w:r>
              <w:rPr>
                <w:rFonts w:ascii="Arial"/>
                <w:sz w:val="20"/>
              </w:rPr>
              <w:t>-31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85" w:lineRule="auto" w:before="149"/>
              <w:ind w:left="105" w:right="94" w:firstLine="57"/>
              <w:jc w:val="both"/>
              <w:rPr>
                <w:rFonts w:ascii="宋体" w:hAnsi="宋体" w:cs="宋体" w:eastAsia="宋体" w:hint="default"/>
                <w:sz w:val="20"/>
                <w:szCs w:val="20"/>
              </w:rPr>
            </w:pPr>
            <w:r>
              <w:rPr>
                <w:rFonts w:ascii="宋体" w:hAnsi="宋体" w:cs="宋体" w:eastAsia="宋体" w:hint="default"/>
                <w:sz w:val="20"/>
                <w:szCs w:val="20"/>
              </w:rPr>
              <w:t>正在履行</w:t>
            </w:r>
            <w:r>
              <w:rPr>
                <w:rFonts w:ascii="宋体" w:hAnsi="宋体" w:cs="宋体" w:eastAsia="宋体" w:hint="default"/>
                <w:w w:val="100"/>
                <w:sz w:val="20"/>
                <w:szCs w:val="20"/>
              </w:rPr>
              <w:t> </w:t>
            </w:r>
            <w:r>
              <w:rPr>
                <w:rFonts w:ascii="宋体" w:hAnsi="宋体" w:cs="宋体" w:eastAsia="宋体" w:hint="default"/>
                <w:spacing w:val="-18"/>
                <w:w w:val="100"/>
                <w:sz w:val="20"/>
                <w:szCs w:val="20"/>
              </w:rPr>
              <w:t>中，未发生</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违反承诺</w:t>
            </w:r>
            <w:r>
              <w:rPr>
                <w:rFonts w:ascii="宋体" w:hAnsi="宋体" w:cs="宋体" w:eastAsia="宋体" w:hint="default"/>
                <w:spacing w:val="-94"/>
                <w:sz w:val="20"/>
                <w:szCs w:val="20"/>
              </w:rPr>
              <w:t> </w:t>
            </w:r>
            <w:r>
              <w:rPr>
                <w:rFonts w:ascii="宋体" w:hAnsi="宋体" w:cs="宋体" w:eastAsia="宋体" w:hint="default"/>
                <w:sz w:val="20"/>
                <w:szCs w:val="20"/>
              </w:rPr>
              <w:t>的事项。</w:t>
            </w: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、关于同业竞争事项的承诺：</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407" w:right="0"/>
              <w:jc w:val="left"/>
              <w:rPr>
                <w:rFonts w:ascii="宋体" w:hAnsi="宋体" w:cs="宋体" w:eastAsia="宋体" w:hint="default"/>
                <w:sz w:val="20"/>
                <w:szCs w:val="20"/>
              </w:rPr>
            </w:pPr>
            <w:r>
              <w:rPr>
                <w:rFonts w:ascii="宋体" w:hAnsi="宋体" w:cs="宋体" w:eastAsia="宋体" w:hint="default"/>
                <w:sz w:val="20"/>
                <w:szCs w:val="20"/>
              </w:rPr>
              <w:t>在作为深圳市实益达科技股份有限公司</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9" w:hRule="exact"/>
        </w:trPr>
        <w:tc>
          <w:tcPr>
            <w:tcW w:w="11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实际控制人期间，遵守中国法律法规，以及</w:t>
            </w:r>
          </w:p>
        </w:tc>
        <w:tc>
          <w:tcPr>
            <w:tcW w:w="99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160" w:right="1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33"/>
        <w:gridCol w:w="1277"/>
        <w:gridCol w:w="3970"/>
        <w:gridCol w:w="994"/>
        <w:gridCol w:w="989"/>
        <w:gridCol w:w="1133"/>
        <w:gridCol w:w="854"/>
        <w:gridCol w:w="970"/>
      </w:tblGrid>
      <w:tr>
        <w:trPr>
          <w:trHeight w:val="309" w:hRule="exact"/>
        </w:trPr>
        <w:tc>
          <w:tcPr>
            <w:tcW w:w="1133" w:type="dxa"/>
            <w:vMerge w:val="restart"/>
            <w:tcBorders>
              <w:top w:val="nil" w:sz="6" w:space="0" w:color="auto"/>
              <w:left w:val="single" w:sz="4" w:space="0" w:color="000000"/>
              <w:right w:val="single" w:sz="4" w:space="0" w:color="000000"/>
            </w:tcBorders>
          </w:tcPr>
          <w:p>
            <w:pPr/>
          </w:p>
        </w:tc>
        <w:tc>
          <w:tcPr>
            <w:tcW w:w="1277" w:type="dxa"/>
            <w:vMerge w:val="restart"/>
            <w:tcBorders>
              <w:top w:val="nil" w:sz="6" w:space="0" w:color="auto"/>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中国证监会、深圳证券交易所的要求和规</w:t>
            </w:r>
          </w:p>
        </w:tc>
        <w:tc>
          <w:tcPr>
            <w:tcW w:w="994" w:type="dxa"/>
            <w:vMerge w:val="restart"/>
            <w:tcBorders>
              <w:top w:val="nil" w:sz="6" w:space="0" w:color="auto"/>
              <w:left w:val="single" w:sz="4" w:space="0" w:color="000000"/>
              <w:right w:val="single" w:sz="4" w:space="0" w:color="000000"/>
            </w:tcBorders>
          </w:tcPr>
          <w:p>
            <w:pPr/>
          </w:p>
        </w:tc>
        <w:tc>
          <w:tcPr>
            <w:tcW w:w="989" w:type="dxa"/>
            <w:vMerge w:val="restart"/>
            <w:tcBorders>
              <w:top w:val="nil" w:sz="6" w:space="0" w:color="auto"/>
              <w:left w:val="single" w:sz="4" w:space="0" w:color="000000"/>
              <w:right w:val="single" w:sz="4" w:space="0" w:color="000000"/>
            </w:tcBorders>
          </w:tcPr>
          <w:p>
            <w:pPr/>
          </w:p>
        </w:tc>
        <w:tc>
          <w:tcPr>
            <w:tcW w:w="1133" w:type="dxa"/>
            <w:vMerge w:val="restart"/>
            <w:tcBorders>
              <w:top w:val="nil" w:sz="6" w:space="0" w:color="auto"/>
              <w:left w:val="single" w:sz="4" w:space="0" w:color="000000"/>
              <w:right w:val="single" w:sz="4" w:space="0" w:color="000000"/>
            </w:tcBorders>
          </w:tcPr>
          <w:p>
            <w:pPr/>
          </w:p>
        </w:tc>
        <w:tc>
          <w:tcPr>
            <w:tcW w:w="854" w:type="dxa"/>
            <w:vMerge w:val="restart"/>
            <w:tcBorders>
              <w:top w:val="nil" w:sz="6" w:space="0" w:color="auto"/>
              <w:left w:val="single" w:sz="4" w:space="0" w:color="000000"/>
              <w:right w:val="single" w:sz="4" w:space="0" w:color="000000"/>
            </w:tcBorders>
          </w:tcPr>
          <w:p>
            <w:pPr/>
          </w:p>
        </w:tc>
        <w:tc>
          <w:tcPr>
            <w:tcW w:w="970" w:type="dxa"/>
            <w:vMerge w:val="restart"/>
            <w:tcBorders>
              <w:top w:val="nil" w:sz="6" w:space="0" w:color="auto"/>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定，避免与实益达的业务形成实质性的同业</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竞争。</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、维护实益达独立性的承诺</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408" w:right="0"/>
              <w:jc w:val="left"/>
              <w:rPr>
                <w:rFonts w:ascii="宋体" w:hAnsi="宋体" w:cs="宋体" w:eastAsia="宋体" w:hint="default"/>
                <w:sz w:val="20"/>
                <w:szCs w:val="20"/>
              </w:rPr>
            </w:pPr>
            <w:r>
              <w:rPr>
                <w:rFonts w:ascii="宋体" w:hAnsi="宋体" w:cs="宋体" w:eastAsia="宋体" w:hint="default"/>
                <w:sz w:val="20"/>
                <w:szCs w:val="20"/>
              </w:rPr>
              <w:t>本次收购对深圳市实益达科技股份有限</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公司的人员、资产、财务、业务、机构等方</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面的独立性不产生影响。在本次收购完成</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后，深圳市实益达科技股份有限公司仍将具</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有独立的经营能力和经营场所，在采购、销</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售等方面仍然保持独立。本次股份增持完成</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5"/>
              <w:jc w:val="left"/>
              <w:rPr>
                <w:rFonts w:ascii="宋体" w:hAnsi="宋体" w:cs="宋体" w:eastAsia="宋体" w:hint="default"/>
                <w:sz w:val="20"/>
                <w:szCs w:val="20"/>
              </w:rPr>
            </w:pPr>
            <w:r>
              <w:rPr>
                <w:rFonts w:ascii="宋体" w:hAnsi="宋体" w:cs="宋体" w:eastAsia="宋体" w:hint="default"/>
                <w:spacing w:val="-9"/>
                <w:sz w:val="20"/>
                <w:szCs w:val="20"/>
              </w:rPr>
              <w:t>后，将继续保持实益达资产独立、人员独立、</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9" w:hRule="exact"/>
        </w:trPr>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财务独立、业务独立和机构独立。</w:t>
            </w:r>
          </w:p>
        </w:tc>
        <w:tc>
          <w:tcPr>
            <w:tcW w:w="994"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314" w:hRule="exact"/>
        </w:trPr>
        <w:tc>
          <w:tcPr>
            <w:tcW w:w="11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在使用部分闲置募集资金暂时补充流动资</w:t>
            </w:r>
          </w:p>
        </w:tc>
        <w:tc>
          <w:tcPr>
            <w:tcW w:w="99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金期间，公司保证符合下列条件：</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、不会改变或变相改变募集资金用途，不</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会影响募集资金投资项目计划的正常进行。</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Arial" w:hAnsi="Arial" w:cs="Arial" w:eastAsia="Arial" w:hint="default"/>
                <w:spacing w:val="-2"/>
                <w:w w:val="100"/>
                <w:sz w:val="20"/>
                <w:szCs w:val="20"/>
              </w:rPr>
              <w:t>2</w:t>
            </w:r>
            <w:r>
              <w:rPr>
                <w:rFonts w:ascii="宋体" w:hAnsi="宋体" w:cs="宋体" w:eastAsia="宋体" w:hint="default"/>
                <w:spacing w:val="-82"/>
                <w:w w:val="100"/>
                <w:sz w:val="20"/>
                <w:szCs w:val="20"/>
              </w:rPr>
              <w:t>、</w:t>
            </w:r>
            <w:r>
              <w:rPr>
                <w:rFonts w:ascii="宋体" w:hAnsi="宋体" w:cs="宋体" w:eastAsia="宋体" w:hint="default"/>
                <w:w w:val="100"/>
                <w:sz w:val="20"/>
                <w:szCs w:val="20"/>
              </w:rPr>
              <w:t>过去</w:t>
            </w:r>
            <w:r>
              <w:rPr>
                <w:rFonts w:ascii="宋体" w:hAnsi="宋体" w:cs="宋体" w:eastAsia="宋体" w:hint="default"/>
                <w:spacing w:val="-53"/>
                <w:sz w:val="20"/>
                <w:szCs w:val="20"/>
              </w:rPr>
              <w:t> </w:t>
            </w:r>
            <w:r>
              <w:rPr>
                <w:rFonts w:ascii="Arial" w:hAnsi="Arial" w:cs="Arial" w:eastAsia="Arial" w:hint="default"/>
                <w:w w:val="100"/>
                <w:sz w:val="20"/>
                <w:szCs w:val="20"/>
              </w:rPr>
              <w:t>12</w:t>
            </w:r>
            <w:r>
              <w:rPr>
                <w:rFonts w:ascii="Arial" w:hAnsi="Arial" w:cs="Arial" w:eastAsia="Arial" w:hint="default"/>
                <w:spacing w:val="-11"/>
                <w:sz w:val="20"/>
                <w:szCs w:val="20"/>
              </w:rPr>
              <w:t> </w:t>
            </w:r>
            <w:r>
              <w:rPr>
                <w:rFonts w:ascii="宋体" w:hAnsi="宋体" w:cs="宋体" w:eastAsia="宋体" w:hint="default"/>
                <w:w w:val="100"/>
                <w:sz w:val="20"/>
                <w:szCs w:val="20"/>
              </w:rPr>
              <w:t>个月内不</w:t>
            </w:r>
            <w:r>
              <w:rPr>
                <w:rFonts w:ascii="宋体" w:hAnsi="宋体" w:cs="宋体" w:eastAsia="宋体" w:hint="default"/>
                <w:spacing w:val="-5"/>
                <w:w w:val="100"/>
                <w:sz w:val="20"/>
                <w:szCs w:val="20"/>
              </w:rPr>
              <w:t>存</w:t>
            </w:r>
            <w:r>
              <w:rPr>
                <w:rFonts w:ascii="宋体" w:hAnsi="宋体" w:cs="宋体" w:eastAsia="宋体" w:hint="default"/>
                <w:w w:val="100"/>
                <w:sz w:val="20"/>
                <w:szCs w:val="20"/>
              </w:rPr>
              <w:t>在任</w:t>
            </w:r>
            <w:r>
              <w:rPr>
                <w:rFonts w:ascii="宋体" w:hAnsi="宋体" w:cs="宋体" w:eastAsia="宋体" w:hint="default"/>
                <w:spacing w:val="-5"/>
                <w:w w:val="100"/>
                <w:sz w:val="20"/>
                <w:szCs w:val="20"/>
              </w:rPr>
              <w:t>何</w:t>
            </w:r>
            <w:r>
              <w:rPr>
                <w:rFonts w:ascii="宋体" w:hAnsi="宋体" w:cs="宋体" w:eastAsia="宋体" w:hint="default"/>
                <w:w w:val="100"/>
                <w:sz w:val="20"/>
                <w:szCs w:val="20"/>
              </w:rPr>
              <w:t>证券</w:t>
            </w:r>
            <w:r>
              <w:rPr>
                <w:rFonts w:ascii="宋体" w:hAnsi="宋体" w:cs="宋体" w:eastAsia="宋体" w:hint="default"/>
                <w:spacing w:val="-5"/>
                <w:w w:val="100"/>
                <w:sz w:val="20"/>
                <w:szCs w:val="20"/>
              </w:rPr>
              <w:t>投</w:t>
            </w:r>
            <w:r>
              <w:rPr>
                <w:rFonts w:ascii="宋体" w:hAnsi="宋体" w:cs="宋体" w:eastAsia="宋体" w:hint="default"/>
                <w:w w:val="100"/>
                <w:sz w:val="20"/>
                <w:szCs w:val="20"/>
              </w:rPr>
              <w:t>资等风</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936"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85" w:lineRule="auto" w:before="148"/>
              <w:ind w:left="158" w:right="156"/>
              <w:jc w:val="left"/>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spacing w:val="-94"/>
                <w:sz w:val="20"/>
                <w:szCs w:val="20"/>
              </w:rPr>
              <w:t> </w:t>
            </w:r>
            <w:r>
              <w:rPr>
                <w:rFonts w:ascii="宋体" w:hAnsi="宋体" w:cs="宋体" w:eastAsia="宋体" w:hint="default"/>
                <w:sz w:val="20"/>
                <w:szCs w:val="20"/>
              </w:rPr>
              <w:t>使用承诺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5" w:right="156"/>
              <w:jc w:val="both"/>
              <w:rPr>
                <w:rFonts w:ascii="宋体" w:hAnsi="宋体" w:cs="宋体" w:eastAsia="宋体" w:hint="default"/>
                <w:sz w:val="20"/>
                <w:szCs w:val="20"/>
              </w:rPr>
            </w:pPr>
            <w:r>
              <w:rPr>
                <w:rFonts w:ascii="宋体" w:hAnsi="宋体" w:cs="宋体" w:eastAsia="宋体" w:hint="default"/>
                <w:sz w:val="20"/>
                <w:szCs w:val="20"/>
              </w:rPr>
              <w:t>深圳市实益</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达科技股份</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有限公司</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5" w:right="93"/>
              <w:jc w:val="left"/>
              <w:rPr>
                <w:rFonts w:ascii="宋体" w:hAnsi="宋体" w:cs="宋体" w:eastAsia="宋体" w:hint="default"/>
                <w:sz w:val="20"/>
                <w:szCs w:val="20"/>
              </w:rPr>
            </w:pPr>
            <w:r>
              <w:rPr>
                <w:rFonts w:ascii="宋体" w:hAnsi="宋体" w:cs="宋体" w:eastAsia="宋体" w:hint="default"/>
                <w:spacing w:val="-4"/>
                <w:sz w:val="20"/>
                <w:szCs w:val="20"/>
              </w:rPr>
              <w:t>险投资行为，并承诺在未来募集资金补充流</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动资金期间不从事任何风险投资。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Arial" w:hAnsi="Arial" w:cs="Arial" w:eastAsia="Arial" w:hint="default"/>
                <w:sz w:val="20"/>
                <w:szCs w:val="20"/>
              </w:rPr>
              <w:t>3</w:t>
            </w:r>
            <w:r>
              <w:rPr>
                <w:rFonts w:ascii="宋体" w:hAnsi="宋体" w:cs="宋体" w:eastAsia="宋体" w:hint="default"/>
                <w:sz w:val="20"/>
                <w:szCs w:val="20"/>
              </w:rPr>
              <w:t>、单次补充流动资金时间不得超过</w:t>
            </w:r>
            <w:r>
              <w:rPr>
                <w:rFonts w:ascii="宋体" w:hAnsi="宋体" w:cs="宋体" w:eastAsia="宋体" w:hint="default"/>
                <w:spacing w:val="-49"/>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个</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Arial" w:hAnsi="Arial" w:cs="Arial" w:eastAsia="Arial" w:hint="default"/>
                <w:sz w:val="20"/>
                <w:szCs w:val="20"/>
              </w:rPr>
            </w:pPr>
            <w:r>
              <w:rPr>
                <w:rFonts w:ascii="Arial"/>
                <w:sz w:val="20"/>
              </w:rPr>
              <w:t>2014-07</w:t>
            </w:r>
          </w:p>
          <w:p>
            <w:pPr>
              <w:pStyle w:val="TableParagraph"/>
              <w:spacing w:line="240" w:lineRule="auto" w:before="82"/>
              <w:ind w:left="7" w:right="0"/>
              <w:jc w:val="center"/>
              <w:rPr>
                <w:rFonts w:ascii="Arial" w:hAnsi="Arial" w:cs="Arial" w:eastAsia="Arial" w:hint="default"/>
                <w:sz w:val="20"/>
                <w:szCs w:val="20"/>
              </w:rPr>
            </w:pPr>
            <w:r>
              <w:rPr>
                <w:rFonts w:ascii="Arial"/>
                <w:sz w:val="20"/>
              </w:rPr>
              <w:t>-31</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Arial" w:hAnsi="Arial" w:cs="Arial" w:eastAsia="Arial" w:hint="default"/>
                <w:sz w:val="20"/>
                <w:szCs w:val="20"/>
              </w:rPr>
            </w:pPr>
            <w:r>
              <w:rPr>
                <w:rFonts w:ascii="Arial"/>
                <w:sz w:val="20"/>
              </w:rPr>
              <w:t>2015-07</w:t>
            </w:r>
          </w:p>
          <w:p>
            <w:pPr>
              <w:pStyle w:val="TableParagraph"/>
              <w:spacing w:line="240" w:lineRule="auto" w:before="82"/>
              <w:ind w:left="3" w:right="0"/>
              <w:jc w:val="center"/>
              <w:rPr>
                <w:rFonts w:ascii="Arial" w:hAnsi="Arial" w:cs="Arial" w:eastAsia="Arial" w:hint="default"/>
                <w:sz w:val="20"/>
                <w:szCs w:val="20"/>
              </w:rPr>
            </w:pPr>
            <w:r>
              <w:rPr>
                <w:rFonts w:ascii="Arial"/>
                <w:sz w:val="20"/>
              </w:rPr>
              <w:t>-30</w:t>
            </w: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月。</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5"/>
              <w:jc w:val="left"/>
              <w:rPr>
                <w:rFonts w:ascii="宋体" w:hAnsi="宋体" w:cs="宋体" w:eastAsia="宋体" w:hint="default"/>
                <w:sz w:val="20"/>
                <w:szCs w:val="20"/>
              </w:rPr>
            </w:pPr>
            <w:r>
              <w:rPr>
                <w:rFonts w:ascii="Arial" w:hAnsi="Arial" w:cs="Arial" w:eastAsia="Arial" w:hint="default"/>
                <w:spacing w:val="-5"/>
                <w:sz w:val="20"/>
                <w:szCs w:val="20"/>
              </w:rPr>
              <w:t>4</w:t>
            </w:r>
            <w:r>
              <w:rPr>
                <w:rFonts w:ascii="宋体" w:hAnsi="宋体" w:cs="宋体" w:eastAsia="宋体" w:hint="default"/>
                <w:spacing w:val="-5"/>
                <w:sz w:val="20"/>
                <w:szCs w:val="20"/>
              </w:rPr>
              <w:t>、仅限于与主营业务相关的生产经营使用，</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不得通过直接或间接安排用于新股配售、申</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购，或用于股票及其衍生品种、可转换公司</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9" w:hRule="exact"/>
        </w:trPr>
        <w:tc>
          <w:tcPr>
            <w:tcW w:w="11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债券等的交易。</w:t>
            </w:r>
          </w:p>
        </w:tc>
        <w:tc>
          <w:tcPr>
            <w:tcW w:w="99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9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359" w:right="156" w:hanging="202"/>
              <w:jc w:val="left"/>
              <w:rPr>
                <w:rFonts w:ascii="宋体" w:hAnsi="宋体" w:cs="宋体" w:eastAsia="宋体" w:hint="default"/>
                <w:sz w:val="20"/>
                <w:szCs w:val="20"/>
              </w:rPr>
            </w:pPr>
            <w:r>
              <w:rPr>
                <w:rFonts w:ascii="宋体" w:hAnsi="宋体" w:cs="宋体" w:eastAsia="宋体" w:hint="default"/>
                <w:sz w:val="20"/>
                <w:szCs w:val="20"/>
              </w:rPr>
              <w:t>股份限售</w:t>
            </w:r>
            <w:r>
              <w:rPr>
                <w:rFonts w:ascii="宋体" w:hAnsi="宋体" w:cs="宋体" w:eastAsia="宋体" w:hint="default"/>
                <w:spacing w:val="-94"/>
                <w:sz w:val="20"/>
                <w:szCs w:val="20"/>
              </w:rPr>
              <w:t> </w:t>
            </w:r>
            <w:r>
              <w:rPr>
                <w:rFonts w:ascii="宋体" w:hAnsi="宋体" w:cs="宋体" w:eastAsia="宋体" w:hint="default"/>
                <w:sz w:val="20"/>
                <w:szCs w:val="20"/>
              </w:rPr>
              <w:t>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50"/>
              <w:ind w:left="105" w:right="300"/>
              <w:jc w:val="left"/>
              <w:rPr>
                <w:rFonts w:ascii="宋体" w:hAnsi="宋体" w:cs="宋体" w:eastAsia="宋体" w:hint="default"/>
                <w:sz w:val="20"/>
                <w:szCs w:val="20"/>
              </w:rPr>
            </w:pPr>
            <w:r>
              <w:rPr>
                <w:rFonts w:ascii="宋体" w:hAnsi="宋体" w:cs="宋体" w:eastAsia="宋体" w:hint="default"/>
                <w:sz w:val="20"/>
                <w:szCs w:val="20"/>
              </w:rPr>
              <w:t>黄荣添</w:t>
            </w:r>
            <w:r>
              <w:rPr>
                <w:rFonts w:ascii="Arial" w:hAnsi="Arial" w:cs="Arial" w:eastAsia="Arial" w:hint="default"/>
                <w:sz w:val="20"/>
                <w:szCs w:val="20"/>
              </w:rPr>
              <w:t>;</w:t>
            </w:r>
            <w:r>
              <w:rPr>
                <w:rFonts w:ascii="宋体" w:hAnsi="宋体" w:cs="宋体" w:eastAsia="宋体" w:hint="default"/>
                <w:sz w:val="20"/>
                <w:szCs w:val="20"/>
              </w:rPr>
              <w:t>石</w:t>
            </w:r>
            <w:r>
              <w:rPr>
                <w:rFonts w:ascii="宋体" w:hAnsi="宋体" w:cs="宋体" w:eastAsia="宋体" w:hint="default"/>
                <w:spacing w:val="-98"/>
                <w:sz w:val="20"/>
                <w:szCs w:val="20"/>
              </w:rPr>
              <w:t> </w:t>
            </w:r>
            <w:r>
              <w:rPr>
                <w:rFonts w:ascii="宋体" w:hAnsi="宋体" w:cs="宋体" w:eastAsia="宋体" w:hint="default"/>
                <w:sz w:val="20"/>
                <w:szCs w:val="20"/>
              </w:rPr>
              <w:t>磊</w:t>
            </w:r>
            <w:r>
              <w:rPr>
                <w:rFonts w:ascii="Arial" w:hAnsi="Arial" w:cs="Arial" w:eastAsia="Arial" w:hint="default"/>
                <w:sz w:val="20"/>
                <w:szCs w:val="20"/>
              </w:rPr>
              <w:t>;</w:t>
            </w:r>
            <w:r>
              <w:rPr>
                <w:rFonts w:ascii="宋体" w:hAnsi="宋体" w:cs="宋体" w:eastAsia="宋体" w:hint="default"/>
                <w:sz w:val="20"/>
                <w:szCs w:val="20"/>
              </w:rPr>
              <w:t>杨宝林</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5" w:right="113"/>
              <w:jc w:val="left"/>
              <w:rPr>
                <w:rFonts w:ascii="宋体" w:hAnsi="宋体" w:cs="宋体" w:eastAsia="宋体" w:hint="default"/>
                <w:sz w:val="20"/>
                <w:szCs w:val="20"/>
              </w:rPr>
            </w:pPr>
            <w:r>
              <w:rPr>
                <w:rFonts w:ascii="宋体" w:hAnsi="宋体" w:cs="宋体" w:eastAsia="宋体" w:hint="default"/>
                <w:sz w:val="20"/>
                <w:szCs w:val="20"/>
              </w:rPr>
              <w:t>所持有的深圳市实益达科技股份有限公司</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非公开发行 </w:t>
            </w:r>
            <w:r>
              <w:rPr>
                <w:rFonts w:ascii="Arial" w:hAnsi="Arial" w:cs="Arial" w:eastAsia="Arial" w:hint="default"/>
                <w:sz w:val="20"/>
                <w:szCs w:val="20"/>
              </w:rPr>
              <w:t>A</w:t>
            </w:r>
            <w:r>
              <w:rPr>
                <w:rFonts w:ascii="Arial" w:hAnsi="Arial" w:cs="Arial" w:eastAsia="Arial" w:hint="default"/>
                <w:spacing w:val="47"/>
                <w:sz w:val="20"/>
                <w:szCs w:val="20"/>
              </w:rPr>
              <w:t> </w:t>
            </w:r>
            <w:r>
              <w:rPr>
                <w:rFonts w:ascii="宋体" w:hAnsi="宋体" w:cs="宋体" w:eastAsia="宋体" w:hint="default"/>
                <w:sz w:val="20"/>
                <w:szCs w:val="20"/>
              </w:rPr>
              <w:t>股股票自发行结束之日起，</w:t>
            </w:r>
            <w:r>
              <w:rPr>
                <w:rFonts w:ascii="宋体" w:hAnsi="宋体" w:cs="宋体" w:eastAsia="宋体" w:hint="default"/>
                <w:w w:val="100"/>
                <w:sz w:val="20"/>
                <w:szCs w:val="20"/>
              </w:rPr>
              <w:t> </w:t>
            </w:r>
            <w:r>
              <w:rPr>
                <w:rFonts w:ascii="宋体" w:hAnsi="宋体" w:cs="宋体" w:eastAsia="宋体" w:hint="default"/>
                <w:sz w:val="20"/>
                <w:szCs w:val="20"/>
              </w:rPr>
              <w:t>十二个月内不转让。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20"/>
                <w:szCs w:val="20"/>
              </w:rPr>
            </w:pPr>
            <w:r>
              <w:rPr>
                <w:rFonts w:ascii="Arial"/>
                <w:sz w:val="20"/>
              </w:rPr>
              <w:t>2013-08</w:t>
            </w:r>
          </w:p>
          <w:p>
            <w:pPr>
              <w:pStyle w:val="TableParagraph"/>
              <w:spacing w:line="240" w:lineRule="auto" w:before="82"/>
              <w:ind w:left="7" w:right="0"/>
              <w:jc w:val="center"/>
              <w:rPr>
                <w:rFonts w:ascii="Arial" w:hAnsi="Arial" w:cs="Arial" w:eastAsia="Arial" w:hint="default"/>
                <w:sz w:val="20"/>
                <w:szCs w:val="20"/>
              </w:rPr>
            </w:pPr>
            <w:r>
              <w:rPr>
                <w:rFonts w:ascii="Arial"/>
                <w:sz w:val="20"/>
              </w:rPr>
              <w:t>-09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Arial" w:hAnsi="Arial" w:cs="Arial" w:eastAsia="Arial" w:hint="default"/>
                <w:sz w:val="20"/>
                <w:szCs w:val="20"/>
              </w:rPr>
            </w:pPr>
            <w:r>
              <w:rPr>
                <w:rFonts w:ascii="Arial"/>
                <w:sz w:val="20"/>
              </w:rPr>
              <w:t>2014-08</w:t>
            </w:r>
          </w:p>
          <w:p>
            <w:pPr>
              <w:pStyle w:val="TableParagraph"/>
              <w:spacing w:line="240" w:lineRule="auto" w:before="82"/>
              <w:ind w:left="3" w:right="0"/>
              <w:jc w:val="center"/>
              <w:rPr>
                <w:rFonts w:ascii="Arial" w:hAnsi="Arial" w:cs="Arial" w:eastAsia="Arial" w:hint="default"/>
                <w:sz w:val="20"/>
                <w:szCs w:val="20"/>
              </w:rPr>
            </w:pPr>
            <w:r>
              <w:rPr>
                <w:rFonts w:ascii="Arial"/>
                <w:sz w:val="20"/>
              </w:rPr>
              <w:t>-20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364" w:right="151" w:hanging="202"/>
              <w:jc w:val="left"/>
              <w:rPr>
                <w:rFonts w:ascii="宋体" w:hAnsi="宋体" w:cs="宋体" w:eastAsia="宋体" w:hint="default"/>
                <w:sz w:val="20"/>
                <w:szCs w:val="20"/>
              </w:rPr>
            </w:pPr>
            <w:r>
              <w:rPr>
                <w:rFonts w:ascii="宋体" w:hAnsi="宋体" w:cs="宋体" w:eastAsia="宋体" w:hint="default"/>
                <w:sz w:val="20"/>
                <w:szCs w:val="20"/>
              </w:rPr>
              <w:t>已经履行</w:t>
            </w:r>
            <w:r>
              <w:rPr>
                <w:rFonts w:ascii="宋体" w:hAnsi="宋体" w:cs="宋体" w:eastAsia="宋体" w:hint="default"/>
                <w:spacing w:val="-94"/>
                <w:sz w:val="20"/>
                <w:szCs w:val="20"/>
              </w:rPr>
              <w:t> </w:t>
            </w:r>
            <w:r>
              <w:rPr>
                <w:rFonts w:ascii="宋体" w:hAnsi="宋体" w:cs="宋体" w:eastAsia="宋体" w:hint="default"/>
                <w:sz w:val="20"/>
                <w:szCs w:val="20"/>
              </w:rPr>
              <w:t>完毕</w:t>
            </w:r>
          </w:p>
        </w:tc>
        <w:tc>
          <w:tcPr>
            <w:tcW w:w="85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11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若日后国家税务主管部门要求深圳市汇大</w:t>
            </w:r>
          </w:p>
        </w:tc>
        <w:tc>
          <w:tcPr>
            <w:tcW w:w="99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光电科技有限公司补缴因享受有关税收政</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629"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sz w:val="20"/>
                <w:szCs w:val="20"/>
              </w:rPr>
              <w:t>其他承诺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105" w:right="0"/>
              <w:jc w:val="left"/>
              <w:rPr>
                <w:rFonts w:ascii="宋体" w:hAnsi="宋体" w:cs="宋体" w:eastAsia="宋体" w:hint="default"/>
                <w:sz w:val="20"/>
                <w:szCs w:val="20"/>
              </w:rPr>
            </w:pPr>
            <w:r>
              <w:rPr>
                <w:rFonts w:ascii="宋体" w:hAnsi="宋体" w:cs="宋体" w:eastAsia="宋体" w:hint="default"/>
                <w:sz w:val="20"/>
                <w:szCs w:val="20"/>
              </w:rPr>
              <w:t>陈亚妹</w:t>
            </w:r>
            <w:r>
              <w:rPr>
                <w:rFonts w:ascii="Arial" w:hAnsi="Arial" w:cs="Arial" w:eastAsia="Arial" w:hint="default"/>
                <w:sz w:val="20"/>
                <w:szCs w:val="20"/>
              </w:rPr>
              <w:t>;</w:t>
            </w:r>
            <w:r>
              <w:rPr>
                <w:rFonts w:ascii="宋体" w:hAnsi="宋体" w:cs="宋体" w:eastAsia="宋体" w:hint="default"/>
                <w:sz w:val="20"/>
                <w:szCs w:val="20"/>
              </w:rPr>
              <w:t>乔昕</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5" w:right="93"/>
              <w:jc w:val="left"/>
              <w:rPr>
                <w:rFonts w:ascii="宋体" w:hAnsi="宋体" w:cs="宋体" w:eastAsia="宋体" w:hint="default"/>
                <w:sz w:val="20"/>
                <w:szCs w:val="20"/>
              </w:rPr>
            </w:pPr>
            <w:r>
              <w:rPr>
                <w:rFonts w:ascii="宋体" w:hAnsi="宋体" w:cs="宋体" w:eastAsia="宋体" w:hint="default"/>
                <w:spacing w:val="-4"/>
                <w:sz w:val="20"/>
                <w:szCs w:val="20"/>
              </w:rPr>
              <w:t>策而免缴及少缴的企业所得税，则实际控制</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4"/>
                <w:sz w:val="20"/>
                <w:szCs w:val="20"/>
              </w:rPr>
              <w:t>人将以连带责任方式，无条件全额承担汇大</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sz w:val="20"/>
              </w:rPr>
              <w:t>2012-08</w:t>
            </w:r>
          </w:p>
          <w:p>
            <w:pPr>
              <w:pStyle w:val="TableParagraph"/>
              <w:spacing w:line="240" w:lineRule="auto" w:before="82"/>
              <w:ind w:left="7" w:right="0"/>
              <w:jc w:val="center"/>
              <w:rPr>
                <w:rFonts w:ascii="Arial" w:hAnsi="Arial" w:cs="Arial" w:eastAsia="Arial" w:hint="default"/>
                <w:sz w:val="20"/>
                <w:szCs w:val="20"/>
              </w:rPr>
            </w:pPr>
            <w:r>
              <w:rPr>
                <w:rFonts w:ascii="Arial"/>
                <w:sz w:val="20"/>
              </w:rPr>
              <w:t>-24</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4"/>
              <w:jc w:val="center"/>
              <w:rPr>
                <w:rFonts w:ascii="Arial" w:hAnsi="Arial" w:cs="Arial" w:eastAsia="Arial" w:hint="default"/>
                <w:sz w:val="20"/>
                <w:szCs w:val="20"/>
              </w:rPr>
            </w:pPr>
            <w:r>
              <w:rPr>
                <w:rFonts w:ascii="Arial"/>
                <w:sz w:val="20"/>
              </w:rPr>
              <w:t>9999-12</w:t>
            </w:r>
          </w:p>
          <w:p>
            <w:pPr>
              <w:pStyle w:val="TableParagraph"/>
              <w:spacing w:line="240" w:lineRule="auto" w:before="82"/>
              <w:ind w:left="3" w:right="0"/>
              <w:jc w:val="center"/>
              <w:rPr>
                <w:rFonts w:ascii="Arial" w:hAnsi="Arial" w:cs="Arial" w:eastAsia="Arial" w:hint="default"/>
                <w:sz w:val="20"/>
                <w:szCs w:val="20"/>
              </w:rPr>
            </w:pPr>
            <w:r>
              <w:rPr>
                <w:rFonts w:ascii="Arial"/>
                <w:sz w:val="20"/>
              </w:rPr>
              <w:t>-31</w:t>
            </w: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5" w:right="0"/>
              <w:jc w:val="left"/>
              <w:rPr>
                <w:rFonts w:ascii="宋体" w:hAnsi="宋体" w:cs="宋体" w:eastAsia="宋体" w:hint="default"/>
                <w:sz w:val="20"/>
                <w:szCs w:val="20"/>
              </w:rPr>
            </w:pPr>
            <w:r>
              <w:rPr>
                <w:rFonts w:ascii="宋体" w:hAnsi="宋体" w:cs="宋体" w:eastAsia="宋体" w:hint="default"/>
                <w:sz w:val="20"/>
                <w:szCs w:val="20"/>
              </w:rPr>
              <w:t>光电</w:t>
            </w:r>
            <w:r>
              <w:rPr>
                <w:rFonts w:ascii="宋体" w:hAnsi="宋体" w:cs="宋体" w:eastAsia="宋体" w:hint="default"/>
                <w:spacing w:val="-49"/>
                <w:sz w:val="20"/>
                <w:szCs w:val="20"/>
              </w:rPr>
              <w:t> </w:t>
            </w:r>
            <w:r>
              <w:rPr>
                <w:rFonts w:ascii="Arial" w:hAnsi="Arial" w:cs="Arial" w:eastAsia="Arial" w:hint="default"/>
                <w:sz w:val="20"/>
                <w:szCs w:val="20"/>
              </w:rPr>
              <w:t>2009-2011</w:t>
            </w:r>
            <w:r>
              <w:rPr>
                <w:rFonts w:ascii="Arial" w:hAnsi="Arial" w:cs="Arial" w:eastAsia="Arial" w:hint="default"/>
                <w:spacing w:val="-9"/>
                <w:sz w:val="20"/>
                <w:szCs w:val="20"/>
              </w:rPr>
              <w:t> </w:t>
            </w:r>
            <w:r>
              <w:rPr>
                <w:rFonts w:ascii="宋体" w:hAnsi="宋体" w:cs="宋体" w:eastAsia="宋体" w:hint="default"/>
                <w:sz w:val="20"/>
                <w:szCs w:val="20"/>
              </w:rPr>
              <w:t>年期间应补缴的税款及</w:t>
            </w:r>
            <w:r>
              <w:rPr>
                <w:rFonts w:ascii="Arial" w:hAnsi="Arial" w:cs="Arial" w:eastAsia="Arial" w:hint="default"/>
                <w:sz w:val="20"/>
                <w:szCs w:val="20"/>
              </w:rPr>
              <w:t>/</w:t>
            </w:r>
            <w:r>
              <w:rPr>
                <w:rFonts w:ascii="宋体" w:hAnsi="宋体" w:cs="宋体" w:eastAsia="宋体" w:hint="default"/>
                <w:sz w:val="20"/>
                <w:szCs w:val="20"/>
              </w:rPr>
              <w:t>或</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4" w:hRule="exact"/>
        </w:trPr>
        <w:tc>
          <w:tcPr>
            <w:tcW w:w="11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因此所产生的相关费用。</w:t>
            </w:r>
          </w:p>
        </w:tc>
        <w:tc>
          <w:tcPr>
            <w:tcW w:w="99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319" w:hRule="exact"/>
        </w:trPr>
        <w:tc>
          <w:tcPr>
            <w:tcW w:w="11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68" w:lineRule="exact"/>
              <w:ind w:left="105" w:right="0"/>
              <w:jc w:val="left"/>
              <w:rPr>
                <w:rFonts w:ascii="宋体" w:hAnsi="宋体" w:cs="宋体" w:eastAsia="宋体" w:hint="default"/>
                <w:sz w:val="20"/>
                <w:szCs w:val="20"/>
              </w:rPr>
            </w:pPr>
            <w:r>
              <w:rPr>
                <w:rFonts w:ascii="宋体" w:hAnsi="宋体" w:cs="宋体" w:eastAsia="宋体" w:hint="default"/>
                <w:sz w:val="20"/>
                <w:szCs w:val="20"/>
              </w:rPr>
              <w:t>陈亚妹</w:t>
            </w:r>
            <w:r>
              <w:rPr>
                <w:rFonts w:ascii="Arial" w:hAnsi="Arial" w:cs="Arial" w:eastAsia="Arial" w:hint="default"/>
                <w:sz w:val="20"/>
                <w:szCs w:val="20"/>
              </w:rPr>
              <w:t>;</w:t>
            </w:r>
            <w:r>
              <w:rPr>
                <w:rFonts w:ascii="宋体" w:hAnsi="宋体" w:cs="宋体" w:eastAsia="宋体" w:hint="default"/>
                <w:sz w:val="20"/>
                <w:szCs w:val="20"/>
              </w:rPr>
              <w:t>乔</w:t>
            </w:r>
          </w:p>
        </w:tc>
        <w:tc>
          <w:tcPr>
            <w:tcW w:w="397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关于同业</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5" w:right="0"/>
              <w:jc w:val="left"/>
              <w:rPr>
                <w:rFonts w:ascii="宋体" w:hAnsi="宋体" w:cs="宋体" w:eastAsia="宋体" w:hint="default"/>
                <w:sz w:val="20"/>
                <w:szCs w:val="20"/>
              </w:rPr>
            </w:pPr>
            <w:r>
              <w:rPr>
                <w:rFonts w:ascii="宋体" w:hAnsi="宋体" w:cs="宋体" w:eastAsia="宋体" w:hint="default"/>
                <w:sz w:val="20"/>
                <w:szCs w:val="20"/>
              </w:rPr>
              <w:t>昕</w:t>
            </w:r>
            <w:r>
              <w:rPr>
                <w:rFonts w:ascii="Arial" w:hAnsi="Arial" w:cs="Arial" w:eastAsia="Arial" w:hint="default"/>
                <w:sz w:val="20"/>
                <w:szCs w:val="20"/>
              </w:rPr>
              <w:t>;</w:t>
            </w:r>
            <w:r>
              <w:rPr>
                <w:rFonts w:ascii="宋体" w:hAnsi="宋体" w:cs="宋体" w:eastAsia="宋体" w:hint="default"/>
                <w:sz w:val="20"/>
                <w:szCs w:val="20"/>
              </w:rPr>
              <w:t>新余天道</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在作为公司股东期间，其不会在中国境内或</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931"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0" w:right="98"/>
              <w:jc w:val="both"/>
              <w:rPr>
                <w:rFonts w:ascii="宋体" w:hAnsi="宋体" w:cs="宋体" w:eastAsia="宋体" w:hint="default"/>
                <w:sz w:val="20"/>
                <w:szCs w:val="20"/>
              </w:rPr>
            </w:pPr>
            <w:r>
              <w:rPr>
                <w:rFonts w:ascii="宋体" w:hAnsi="宋体" w:cs="宋体" w:eastAsia="宋体" w:hint="default"/>
                <w:spacing w:val="-18"/>
                <w:w w:val="100"/>
                <w:sz w:val="20"/>
                <w:szCs w:val="20"/>
              </w:rPr>
              <w:t>竞争、关联</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pacing w:val="-18"/>
                <w:w w:val="100"/>
                <w:sz w:val="20"/>
                <w:szCs w:val="20"/>
              </w:rPr>
              <w:t>交易、资金</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占用方面</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5" w:right="100"/>
              <w:jc w:val="both"/>
              <w:rPr>
                <w:rFonts w:ascii="宋体" w:hAnsi="宋体" w:cs="宋体" w:eastAsia="宋体" w:hint="default"/>
                <w:sz w:val="20"/>
                <w:szCs w:val="20"/>
              </w:rPr>
            </w:pPr>
            <w:r>
              <w:rPr>
                <w:rFonts w:ascii="宋体" w:hAnsi="宋体" w:cs="宋体" w:eastAsia="宋体" w:hint="default"/>
                <w:sz w:val="20"/>
                <w:szCs w:val="20"/>
              </w:rPr>
              <w:t>酬勤投资发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展有限公司</w:t>
            </w:r>
            <w:r>
              <w:rPr>
                <w:rFonts w:ascii="Arial" w:hAnsi="Arial" w:cs="Arial" w:eastAsia="Arial" w:hint="default"/>
                <w:sz w:val="20"/>
                <w:szCs w:val="20"/>
              </w:rPr>
              <w:t>;</w:t>
            </w:r>
            <w:r>
              <w:rPr>
                <w:rFonts w:ascii="Arial" w:hAnsi="Arial" w:cs="Arial" w:eastAsia="Arial" w:hint="default"/>
                <w:spacing w:val="-54"/>
                <w:sz w:val="20"/>
                <w:szCs w:val="20"/>
              </w:rPr>
              <w:t> </w:t>
            </w:r>
            <w:r>
              <w:rPr>
                <w:rFonts w:ascii="宋体" w:hAnsi="宋体" w:cs="宋体" w:eastAsia="宋体" w:hint="default"/>
                <w:sz w:val="20"/>
                <w:szCs w:val="20"/>
              </w:rPr>
              <w:t>拉萨市冠德</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auto"/>
              <w:ind w:left="105" w:right="180"/>
              <w:jc w:val="both"/>
              <w:rPr>
                <w:rFonts w:ascii="宋体" w:hAnsi="宋体" w:cs="宋体" w:eastAsia="宋体" w:hint="default"/>
                <w:sz w:val="20"/>
                <w:szCs w:val="20"/>
              </w:rPr>
            </w:pPr>
            <w:r>
              <w:rPr>
                <w:rFonts w:ascii="宋体" w:hAnsi="宋体" w:cs="宋体" w:eastAsia="宋体" w:hint="default"/>
                <w:spacing w:val="-2"/>
                <w:sz w:val="20"/>
                <w:szCs w:val="20"/>
              </w:rPr>
              <w:t>境外，以任何方式</w:t>
            </w:r>
            <w:r>
              <w:rPr>
                <w:rFonts w:ascii="Arial" w:hAnsi="Arial" w:cs="Arial" w:eastAsia="Arial" w:hint="default"/>
                <w:spacing w:val="-2"/>
                <w:sz w:val="20"/>
                <w:szCs w:val="20"/>
              </w:rPr>
              <w:t>(</w:t>
            </w:r>
            <w:r>
              <w:rPr>
                <w:rFonts w:ascii="宋体" w:hAnsi="宋体" w:cs="宋体" w:eastAsia="宋体" w:hint="default"/>
                <w:spacing w:val="-2"/>
                <w:sz w:val="20"/>
                <w:szCs w:val="20"/>
              </w:rPr>
              <w:t>包括但不限于独资、合</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
                <w:sz w:val="20"/>
                <w:szCs w:val="20"/>
              </w:rPr>
              <w:t>资、合作经营或者承包、租赁经营</w:t>
            </w:r>
            <w:r>
              <w:rPr>
                <w:rFonts w:ascii="Arial" w:hAnsi="Arial" w:cs="Arial" w:eastAsia="Arial" w:hint="default"/>
                <w:spacing w:val="-2"/>
                <w:sz w:val="20"/>
                <w:szCs w:val="20"/>
              </w:rPr>
              <w:t>)</w:t>
            </w:r>
            <w:r>
              <w:rPr>
                <w:rFonts w:ascii="宋体" w:hAnsi="宋体" w:cs="宋体" w:eastAsia="宋体" w:hint="default"/>
                <w:spacing w:val="-2"/>
                <w:sz w:val="20"/>
                <w:szCs w:val="20"/>
              </w:rPr>
              <w:t>直接或</w:t>
            </w:r>
            <w:r>
              <w:rPr>
                <w:rFonts w:ascii="宋体" w:hAnsi="宋体" w:cs="宋体" w:eastAsia="宋体" w:hint="default"/>
                <w:spacing w:val="-58"/>
                <w:sz w:val="20"/>
                <w:szCs w:val="20"/>
              </w:rPr>
              <w:t> </w:t>
            </w:r>
            <w:r>
              <w:rPr>
                <w:rFonts w:ascii="宋体" w:hAnsi="宋体" w:cs="宋体" w:eastAsia="宋体" w:hint="default"/>
                <w:sz w:val="20"/>
                <w:szCs w:val="20"/>
              </w:rPr>
              <w:t>者间接从事对公司的生产经营构成或可能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Arial" w:hAnsi="Arial" w:cs="Arial" w:eastAsia="Arial" w:hint="default"/>
                <w:sz w:val="20"/>
                <w:szCs w:val="20"/>
              </w:rPr>
            </w:pPr>
            <w:r>
              <w:rPr>
                <w:rFonts w:ascii="Arial"/>
                <w:sz w:val="20"/>
              </w:rPr>
              <w:t>2007-06</w:t>
            </w:r>
          </w:p>
          <w:p>
            <w:pPr>
              <w:pStyle w:val="TableParagraph"/>
              <w:spacing w:line="240" w:lineRule="auto" w:before="82"/>
              <w:ind w:left="7" w:right="0"/>
              <w:jc w:val="center"/>
              <w:rPr>
                <w:rFonts w:ascii="Arial" w:hAnsi="Arial" w:cs="Arial" w:eastAsia="Arial" w:hint="default"/>
                <w:sz w:val="20"/>
                <w:szCs w:val="20"/>
              </w:rPr>
            </w:pPr>
            <w:r>
              <w:rPr>
                <w:rFonts w:ascii="Arial"/>
                <w:sz w:val="20"/>
              </w:rPr>
              <w:t>-13</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Arial" w:hAnsi="Arial" w:cs="Arial" w:eastAsia="Arial" w:hint="default"/>
                <w:sz w:val="20"/>
                <w:szCs w:val="20"/>
              </w:rPr>
            </w:pPr>
            <w:r>
              <w:rPr>
                <w:rFonts w:ascii="Arial"/>
                <w:sz w:val="20"/>
              </w:rPr>
              <w:t>9999-12</w:t>
            </w:r>
          </w:p>
          <w:p>
            <w:pPr>
              <w:pStyle w:val="TableParagraph"/>
              <w:spacing w:line="240" w:lineRule="auto" w:before="82"/>
              <w:ind w:left="3" w:right="0"/>
              <w:jc w:val="center"/>
              <w:rPr>
                <w:rFonts w:ascii="Arial" w:hAnsi="Arial" w:cs="Arial" w:eastAsia="Arial" w:hint="default"/>
                <w:sz w:val="20"/>
                <w:szCs w:val="20"/>
              </w:rPr>
            </w:pPr>
            <w:r>
              <w:rPr>
                <w:rFonts w:ascii="Arial"/>
                <w:sz w:val="20"/>
              </w:rPr>
              <w:t>-31</w:t>
            </w: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的承诺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成科技发展</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构成竞争的业务或活动。</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9" w:hRule="exact"/>
        </w:trPr>
        <w:tc>
          <w:tcPr>
            <w:tcW w:w="11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397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9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其他承诺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陈亚妹</w:t>
            </w:r>
            <w:r>
              <w:rPr>
                <w:rFonts w:ascii="Arial" w:hAnsi="Arial" w:cs="Arial" w:eastAsia="Arial" w:hint="default"/>
                <w:sz w:val="20"/>
                <w:szCs w:val="20"/>
              </w:rPr>
              <w:t>;</w:t>
            </w:r>
            <w:r>
              <w:rPr>
                <w:rFonts w:ascii="宋体" w:hAnsi="宋体" w:cs="宋体" w:eastAsia="宋体" w:hint="default"/>
                <w:sz w:val="20"/>
                <w:szCs w:val="20"/>
              </w:rPr>
              <w:t>乔昕</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5" w:right="93"/>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1</w:t>
            </w:r>
            <w:r>
              <w:rPr>
                <w:rFonts w:ascii="宋体" w:hAnsi="宋体" w:cs="宋体" w:eastAsia="宋体" w:hint="default"/>
                <w:sz w:val="20"/>
                <w:szCs w:val="20"/>
              </w:rPr>
              <w:t>）如果日后有关政府主管部门要求无锡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4"/>
                <w:sz w:val="20"/>
                <w:szCs w:val="20"/>
              </w:rPr>
              <w:t>实益达电子有限公司按照《出让合同》的约</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定缴付全部土地使用权出让金人民币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20"/>
                <w:szCs w:val="20"/>
              </w:rPr>
            </w:pPr>
            <w:r>
              <w:rPr>
                <w:rFonts w:ascii="Arial"/>
                <w:sz w:val="20"/>
              </w:rPr>
              <w:t>2007-06</w:t>
            </w:r>
          </w:p>
          <w:p>
            <w:pPr>
              <w:pStyle w:val="TableParagraph"/>
              <w:spacing w:line="240" w:lineRule="auto" w:before="82"/>
              <w:ind w:left="8" w:right="0"/>
              <w:jc w:val="center"/>
              <w:rPr>
                <w:rFonts w:ascii="Arial" w:hAnsi="Arial" w:cs="Arial" w:eastAsia="Arial" w:hint="default"/>
                <w:sz w:val="20"/>
                <w:szCs w:val="20"/>
              </w:rPr>
            </w:pPr>
            <w:r>
              <w:rPr>
                <w:rFonts w:ascii="Arial"/>
                <w:sz w:val="20"/>
              </w:rPr>
              <w:t>-13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Arial" w:hAnsi="Arial" w:cs="Arial" w:eastAsia="Arial" w:hint="default"/>
                <w:sz w:val="20"/>
                <w:szCs w:val="20"/>
              </w:rPr>
            </w:pPr>
            <w:r>
              <w:rPr>
                <w:rFonts w:ascii="Arial"/>
                <w:sz w:val="20"/>
              </w:rPr>
              <w:t>9999-12</w:t>
            </w:r>
          </w:p>
          <w:p>
            <w:pPr>
              <w:pStyle w:val="TableParagraph"/>
              <w:spacing w:line="240" w:lineRule="auto" w:before="82"/>
              <w:ind w:left="3" w:right="0"/>
              <w:jc w:val="center"/>
              <w:rPr>
                <w:rFonts w:ascii="Arial" w:hAnsi="Arial" w:cs="Arial" w:eastAsia="Arial" w:hint="default"/>
                <w:sz w:val="20"/>
                <w:szCs w:val="20"/>
              </w:rPr>
            </w:pPr>
            <w:r>
              <w:rPr>
                <w:rFonts w:ascii="Arial"/>
                <w:sz w:val="20"/>
              </w:rPr>
              <w:t>-31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160" w:right="1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33"/>
        <w:gridCol w:w="1277"/>
        <w:gridCol w:w="3970"/>
        <w:gridCol w:w="994"/>
        <w:gridCol w:w="989"/>
        <w:gridCol w:w="1133"/>
        <w:gridCol w:w="854"/>
        <w:gridCol w:w="970"/>
      </w:tblGrid>
      <w:tr>
        <w:trPr>
          <w:trHeight w:val="314" w:hRule="exact"/>
        </w:trPr>
        <w:tc>
          <w:tcPr>
            <w:tcW w:w="1133" w:type="dxa"/>
            <w:vMerge w:val="restart"/>
            <w:tcBorders>
              <w:top w:val="nil" w:sz="6" w:space="0" w:color="auto"/>
              <w:left w:val="single" w:sz="4" w:space="0" w:color="000000"/>
              <w:right w:val="single" w:sz="4" w:space="0" w:color="000000"/>
            </w:tcBorders>
          </w:tcPr>
          <w:p>
            <w:pPr/>
          </w:p>
        </w:tc>
        <w:tc>
          <w:tcPr>
            <w:tcW w:w="1277" w:type="dxa"/>
            <w:vMerge w:val="restart"/>
            <w:tcBorders>
              <w:top w:val="nil" w:sz="6" w:space="0" w:color="auto"/>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05" w:right="0"/>
              <w:jc w:val="left"/>
              <w:rPr>
                <w:rFonts w:ascii="宋体" w:hAnsi="宋体" w:cs="宋体" w:eastAsia="宋体" w:hint="default"/>
                <w:sz w:val="20"/>
                <w:szCs w:val="20"/>
              </w:rPr>
            </w:pPr>
            <w:r>
              <w:rPr>
                <w:rFonts w:ascii="Arial" w:hAnsi="Arial" w:cs="Arial" w:eastAsia="Arial" w:hint="default"/>
                <w:sz w:val="20"/>
                <w:szCs w:val="20"/>
              </w:rPr>
              <w:t>9,388,730</w:t>
            </w:r>
            <w:r>
              <w:rPr>
                <w:rFonts w:ascii="Arial" w:hAnsi="Arial" w:cs="Arial" w:eastAsia="Arial" w:hint="default"/>
                <w:spacing w:val="-4"/>
                <w:sz w:val="20"/>
                <w:szCs w:val="20"/>
              </w:rPr>
              <w:t> </w:t>
            </w:r>
            <w:r>
              <w:rPr>
                <w:rFonts w:ascii="宋体" w:hAnsi="宋体" w:cs="宋体" w:eastAsia="宋体" w:hint="default"/>
                <w:sz w:val="20"/>
                <w:szCs w:val="20"/>
              </w:rPr>
              <w:t>元，则乔昕、陈亚妹将对无锡实</w:t>
            </w:r>
          </w:p>
        </w:tc>
        <w:tc>
          <w:tcPr>
            <w:tcW w:w="994" w:type="dxa"/>
            <w:vMerge w:val="restart"/>
            <w:tcBorders>
              <w:top w:val="nil" w:sz="6" w:space="0" w:color="auto"/>
              <w:left w:val="single" w:sz="4" w:space="0" w:color="000000"/>
              <w:right w:val="single" w:sz="4" w:space="0" w:color="000000"/>
            </w:tcBorders>
          </w:tcPr>
          <w:p>
            <w:pPr/>
          </w:p>
        </w:tc>
        <w:tc>
          <w:tcPr>
            <w:tcW w:w="989" w:type="dxa"/>
            <w:vMerge w:val="restart"/>
            <w:tcBorders>
              <w:top w:val="nil" w:sz="6" w:space="0" w:color="auto"/>
              <w:left w:val="single" w:sz="4" w:space="0" w:color="000000"/>
              <w:right w:val="single" w:sz="4" w:space="0" w:color="000000"/>
            </w:tcBorders>
          </w:tcPr>
          <w:p>
            <w:pPr/>
          </w:p>
        </w:tc>
        <w:tc>
          <w:tcPr>
            <w:tcW w:w="1133" w:type="dxa"/>
            <w:vMerge w:val="restart"/>
            <w:tcBorders>
              <w:top w:val="nil" w:sz="6" w:space="0" w:color="auto"/>
              <w:left w:val="single" w:sz="4" w:space="0" w:color="000000"/>
              <w:right w:val="single" w:sz="4" w:space="0" w:color="000000"/>
            </w:tcBorders>
          </w:tcPr>
          <w:p>
            <w:pPr/>
          </w:p>
        </w:tc>
        <w:tc>
          <w:tcPr>
            <w:tcW w:w="854" w:type="dxa"/>
            <w:vMerge w:val="restart"/>
            <w:tcBorders>
              <w:top w:val="nil" w:sz="6" w:space="0" w:color="auto"/>
              <w:left w:val="single" w:sz="4" w:space="0" w:color="000000"/>
              <w:right w:val="single" w:sz="4" w:space="0" w:color="000000"/>
            </w:tcBorders>
          </w:tcPr>
          <w:p>
            <w:pPr/>
          </w:p>
        </w:tc>
        <w:tc>
          <w:tcPr>
            <w:tcW w:w="970" w:type="dxa"/>
            <w:vMerge w:val="restart"/>
            <w:tcBorders>
              <w:top w:val="nil" w:sz="6" w:space="0" w:color="auto"/>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益达欠缴的土地使用权出让金人民币</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Arial" w:hAnsi="Arial" w:cs="Arial" w:eastAsia="Arial" w:hint="default"/>
                <w:sz w:val="20"/>
                <w:szCs w:val="20"/>
              </w:rPr>
              <w:t>6,259,130</w:t>
            </w:r>
            <w:r>
              <w:rPr>
                <w:rFonts w:ascii="Arial" w:hAnsi="Arial" w:cs="Arial" w:eastAsia="Arial" w:hint="default"/>
                <w:spacing w:val="18"/>
                <w:sz w:val="20"/>
                <w:szCs w:val="20"/>
              </w:rPr>
              <w:t> </w:t>
            </w:r>
            <w:r>
              <w:rPr>
                <w:rFonts w:ascii="宋体" w:hAnsi="宋体" w:cs="宋体" w:eastAsia="宋体" w:hint="default"/>
                <w:spacing w:val="-8"/>
                <w:sz w:val="20"/>
                <w:szCs w:val="20"/>
              </w:rPr>
              <w:t>元承担连带责任；（</w:t>
            </w:r>
            <w:r>
              <w:rPr>
                <w:rFonts w:ascii="Arial" w:hAnsi="Arial" w:cs="Arial" w:eastAsia="Arial" w:hint="default"/>
                <w:spacing w:val="-8"/>
                <w:sz w:val="20"/>
                <w:szCs w:val="20"/>
              </w:rPr>
              <w:t>2</w:t>
            </w:r>
            <w:r>
              <w:rPr>
                <w:rFonts w:ascii="宋体" w:hAnsi="宋体" w:cs="宋体" w:eastAsia="宋体" w:hint="default"/>
                <w:spacing w:val="-8"/>
                <w:sz w:val="20"/>
                <w:szCs w:val="20"/>
              </w:rPr>
              <w:t>）如果日后</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有关政府主管部门因无锡实益达公司未能</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缴足土地使用权出让金而要求其支付相应</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宋体" w:hAnsi="宋体" w:cs="宋体" w:eastAsia="宋体" w:hint="default"/>
                <w:sz w:val="20"/>
                <w:szCs w:val="20"/>
              </w:rPr>
              <w:t>的滞纳金及</w:t>
            </w:r>
            <w:r>
              <w:rPr>
                <w:rFonts w:ascii="Arial" w:hAnsi="Arial" w:cs="Arial" w:eastAsia="Arial" w:hint="default"/>
                <w:sz w:val="20"/>
                <w:szCs w:val="20"/>
              </w:rPr>
              <w:t>/</w:t>
            </w:r>
            <w:r>
              <w:rPr>
                <w:rFonts w:ascii="宋体" w:hAnsi="宋体" w:cs="宋体" w:eastAsia="宋体" w:hint="default"/>
                <w:sz w:val="20"/>
                <w:szCs w:val="20"/>
              </w:rPr>
              <w:t>或要求其承担其它任何经济处</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罚，则乔昕、陈亚妹将以连带责任方式代无</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宋体" w:hAnsi="宋体" w:cs="宋体" w:eastAsia="宋体" w:hint="default"/>
                <w:sz w:val="20"/>
                <w:szCs w:val="20"/>
              </w:rPr>
              <w:t>锡实益达公司支付该等滞纳金及</w:t>
            </w:r>
            <w:r>
              <w:rPr>
                <w:rFonts w:ascii="Arial" w:hAnsi="Arial" w:cs="Arial" w:eastAsia="Arial" w:hint="default"/>
                <w:sz w:val="20"/>
                <w:szCs w:val="20"/>
              </w:rPr>
              <w:t>/</w:t>
            </w:r>
            <w:r>
              <w:rPr>
                <w:rFonts w:ascii="宋体" w:hAnsi="宋体" w:cs="宋体" w:eastAsia="宋体" w:hint="default"/>
                <w:sz w:val="20"/>
                <w:szCs w:val="20"/>
              </w:rPr>
              <w:t>或承担其</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它任何经济处罚，且不向无锡实益达公司进</w:t>
            </w:r>
          </w:p>
        </w:tc>
        <w:tc>
          <w:tcPr>
            <w:tcW w:w="99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9" w:hRule="exact"/>
        </w:trPr>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行追偿。</w:t>
            </w:r>
          </w:p>
        </w:tc>
        <w:tc>
          <w:tcPr>
            <w:tcW w:w="994"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r>
        <w:trPr>
          <w:trHeight w:val="314" w:hRule="exact"/>
        </w:trPr>
        <w:tc>
          <w:tcPr>
            <w:tcW w:w="11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若日后国家税务主管部门要求公司补缴因</w:t>
            </w:r>
          </w:p>
        </w:tc>
        <w:tc>
          <w:tcPr>
            <w:tcW w:w="99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宋体" w:hAnsi="宋体" w:cs="宋体" w:eastAsia="宋体" w:hint="default"/>
                <w:sz w:val="20"/>
                <w:szCs w:val="20"/>
              </w:rPr>
              <w:t>陈亚妹</w:t>
            </w:r>
            <w:r>
              <w:rPr>
                <w:rFonts w:ascii="Arial" w:hAnsi="Arial" w:cs="Arial" w:eastAsia="Arial" w:hint="default"/>
                <w:sz w:val="20"/>
                <w:szCs w:val="20"/>
              </w:rPr>
              <w:t>;</w:t>
            </w:r>
            <w:r>
              <w:rPr>
                <w:rFonts w:ascii="宋体" w:hAnsi="宋体" w:cs="宋体" w:eastAsia="宋体" w:hint="default"/>
                <w:sz w:val="20"/>
                <w:szCs w:val="20"/>
              </w:rPr>
              <w:t>乔</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享受有关税收优惠政策而免缴及少缴的企</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5" w:right="0"/>
              <w:jc w:val="left"/>
              <w:rPr>
                <w:rFonts w:ascii="宋体" w:hAnsi="宋体" w:cs="宋体" w:eastAsia="宋体" w:hint="default"/>
                <w:sz w:val="20"/>
                <w:szCs w:val="20"/>
              </w:rPr>
            </w:pPr>
            <w:r>
              <w:rPr>
                <w:rFonts w:ascii="宋体" w:hAnsi="宋体" w:cs="宋体" w:eastAsia="宋体" w:hint="default"/>
                <w:sz w:val="20"/>
                <w:szCs w:val="20"/>
              </w:rPr>
              <w:t>昕</w:t>
            </w:r>
            <w:r>
              <w:rPr>
                <w:rFonts w:ascii="Arial" w:hAnsi="Arial" w:cs="Arial" w:eastAsia="Arial" w:hint="default"/>
                <w:sz w:val="20"/>
                <w:szCs w:val="20"/>
              </w:rPr>
              <w:t>;</w:t>
            </w:r>
            <w:r>
              <w:rPr>
                <w:rFonts w:ascii="宋体" w:hAnsi="宋体" w:cs="宋体" w:eastAsia="宋体" w:hint="default"/>
                <w:sz w:val="20"/>
                <w:szCs w:val="20"/>
              </w:rPr>
              <w:t>新余天道</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业所得税，则陈亚妹、乔昕、新余天道酬勤</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932"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sz w:val="20"/>
                <w:szCs w:val="20"/>
              </w:rPr>
              <w:t>其他承诺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5" w:right="100"/>
              <w:jc w:val="both"/>
              <w:rPr>
                <w:rFonts w:ascii="宋体" w:hAnsi="宋体" w:cs="宋体" w:eastAsia="宋体" w:hint="default"/>
                <w:sz w:val="20"/>
                <w:szCs w:val="20"/>
              </w:rPr>
            </w:pPr>
            <w:r>
              <w:rPr>
                <w:rFonts w:ascii="宋体" w:hAnsi="宋体" w:cs="宋体" w:eastAsia="宋体" w:hint="default"/>
                <w:sz w:val="20"/>
                <w:szCs w:val="20"/>
              </w:rPr>
              <w:t>酬勤投资发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展有限公司</w:t>
            </w:r>
            <w:r>
              <w:rPr>
                <w:rFonts w:ascii="Arial" w:hAnsi="Arial" w:cs="Arial" w:eastAsia="Arial" w:hint="default"/>
                <w:sz w:val="20"/>
                <w:szCs w:val="20"/>
              </w:rPr>
              <w:t>;</w:t>
            </w:r>
            <w:r>
              <w:rPr>
                <w:rFonts w:ascii="Arial" w:hAnsi="Arial" w:cs="Arial" w:eastAsia="Arial" w:hint="default"/>
                <w:spacing w:val="-54"/>
                <w:sz w:val="20"/>
                <w:szCs w:val="20"/>
              </w:rPr>
              <w:t> </w:t>
            </w:r>
            <w:r>
              <w:rPr>
                <w:rFonts w:ascii="宋体" w:hAnsi="宋体" w:cs="宋体" w:eastAsia="宋体" w:hint="default"/>
                <w:sz w:val="20"/>
                <w:szCs w:val="20"/>
              </w:rPr>
              <w:t>拉萨市冠德</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5" w:right="94"/>
              <w:jc w:val="both"/>
              <w:rPr>
                <w:rFonts w:ascii="宋体" w:hAnsi="宋体" w:cs="宋体" w:eastAsia="宋体" w:hint="default"/>
                <w:sz w:val="20"/>
                <w:szCs w:val="20"/>
              </w:rPr>
            </w:pPr>
            <w:r>
              <w:rPr>
                <w:rFonts w:ascii="宋体" w:hAnsi="宋体" w:cs="宋体" w:eastAsia="宋体" w:hint="default"/>
                <w:spacing w:val="-4"/>
                <w:sz w:val="20"/>
                <w:szCs w:val="20"/>
              </w:rPr>
              <w:t>投资发展有限公司（前身系深圳市恒顺昌投</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4"/>
                <w:sz w:val="20"/>
                <w:szCs w:val="20"/>
              </w:rPr>
              <w:t>资发展有限公司）和拉萨市冠德成科技发展</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4"/>
                <w:sz w:val="20"/>
                <w:szCs w:val="20"/>
              </w:rPr>
              <w:t>有限公司（前身系深圳市冠德成科技发展有</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Arial" w:hAnsi="Arial" w:cs="Arial" w:eastAsia="Arial" w:hint="default"/>
                <w:sz w:val="20"/>
                <w:szCs w:val="20"/>
              </w:rPr>
            </w:pPr>
            <w:r>
              <w:rPr>
                <w:rFonts w:ascii="Arial"/>
                <w:sz w:val="20"/>
              </w:rPr>
              <w:t>2007-06</w:t>
            </w:r>
          </w:p>
          <w:p>
            <w:pPr>
              <w:pStyle w:val="TableParagraph"/>
              <w:spacing w:line="240" w:lineRule="auto" w:before="82"/>
              <w:ind w:left="7" w:right="0"/>
              <w:jc w:val="center"/>
              <w:rPr>
                <w:rFonts w:ascii="Arial" w:hAnsi="Arial" w:cs="Arial" w:eastAsia="Arial" w:hint="default"/>
                <w:sz w:val="20"/>
                <w:szCs w:val="20"/>
              </w:rPr>
            </w:pPr>
            <w:r>
              <w:rPr>
                <w:rFonts w:ascii="Arial"/>
                <w:sz w:val="20"/>
              </w:rPr>
              <w:t>-13</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Arial" w:hAnsi="Arial" w:cs="Arial" w:eastAsia="Arial" w:hint="default"/>
                <w:sz w:val="20"/>
                <w:szCs w:val="20"/>
              </w:rPr>
            </w:pPr>
            <w:r>
              <w:rPr>
                <w:rFonts w:ascii="Arial"/>
                <w:sz w:val="20"/>
              </w:rPr>
              <w:t>9999-12</w:t>
            </w:r>
          </w:p>
          <w:p>
            <w:pPr>
              <w:pStyle w:val="TableParagraph"/>
              <w:spacing w:line="240" w:lineRule="auto" w:before="82"/>
              <w:ind w:left="3" w:right="0"/>
              <w:jc w:val="center"/>
              <w:rPr>
                <w:rFonts w:ascii="Arial" w:hAnsi="Arial" w:cs="Arial" w:eastAsia="Arial" w:hint="default"/>
                <w:sz w:val="20"/>
                <w:szCs w:val="20"/>
              </w:rPr>
            </w:pPr>
            <w:r>
              <w:rPr>
                <w:rFonts w:ascii="Arial"/>
                <w:sz w:val="20"/>
              </w:rPr>
              <w:t>-31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85" w:lineRule="auto" w:before="149"/>
              <w:ind w:left="460" w:right="151" w:hanging="298"/>
              <w:jc w:val="left"/>
              <w:rPr>
                <w:rFonts w:ascii="宋体" w:hAnsi="宋体" w:cs="宋体" w:eastAsia="宋体" w:hint="default"/>
                <w:sz w:val="20"/>
                <w:szCs w:val="20"/>
              </w:rPr>
            </w:pPr>
            <w:r>
              <w:rPr>
                <w:rFonts w:ascii="宋体" w:hAnsi="宋体" w:cs="宋体" w:eastAsia="宋体" w:hint="default"/>
                <w:sz w:val="20"/>
                <w:szCs w:val="20"/>
              </w:rPr>
              <w:t>正在履行</w:t>
            </w:r>
            <w:r>
              <w:rPr>
                <w:rFonts w:ascii="宋体" w:hAnsi="宋体" w:cs="宋体" w:eastAsia="宋体" w:hint="default"/>
                <w:spacing w:val="-94"/>
                <w:sz w:val="20"/>
                <w:szCs w:val="20"/>
              </w:rPr>
              <w:t> </w:t>
            </w:r>
            <w:r>
              <w:rPr>
                <w:rFonts w:ascii="宋体" w:hAnsi="宋体" w:cs="宋体" w:eastAsia="宋体" w:hint="default"/>
                <w:sz w:val="20"/>
                <w:szCs w:val="20"/>
              </w:rPr>
              <w:t>中</w:t>
            </w: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成科技发展</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pacing w:val="-4"/>
                <w:sz w:val="20"/>
                <w:szCs w:val="20"/>
              </w:rPr>
              <w:t>限公司）将以连带责任方式，无条件全额承</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5" w:right="0"/>
              <w:jc w:val="left"/>
              <w:rPr>
                <w:rFonts w:ascii="宋体" w:hAnsi="宋体" w:cs="宋体" w:eastAsia="宋体" w:hint="default"/>
                <w:sz w:val="20"/>
                <w:szCs w:val="20"/>
              </w:rPr>
            </w:pPr>
            <w:r>
              <w:rPr>
                <w:rFonts w:ascii="宋体" w:hAnsi="宋体" w:cs="宋体" w:eastAsia="宋体" w:hint="default"/>
                <w:sz w:val="20"/>
                <w:szCs w:val="20"/>
              </w:rPr>
              <w:t>担公司在上市前应补缴的税款及</w:t>
            </w:r>
            <w:r>
              <w:rPr>
                <w:rFonts w:ascii="Arial" w:hAnsi="Arial" w:cs="Arial" w:eastAsia="Arial" w:hint="default"/>
                <w:sz w:val="20"/>
                <w:szCs w:val="20"/>
              </w:rPr>
              <w:t>/</w:t>
            </w:r>
            <w:r>
              <w:rPr>
                <w:rFonts w:ascii="宋体" w:hAnsi="宋体" w:cs="宋体" w:eastAsia="宋体" w:hint="default"/>
                <w:sz w:val="20"/>
                <w:szCs w:val="20"/>
              </w:rPr>
              <w:t>或因此所</w:t>
            </w:r>
          </w:p>
        </w:tc>
        <w:tc>
          <w:tcPr>
            <w:tcW w:w="994"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r>
      <w:tr>
        <w:trPr>
          <w:trHeight w:val="314" w:hRule="exact"/>
        </w:trPr>
        <w:tc>
          <w:tcPr>
            <w:tcW w:w="11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产生的所有相关费用。</w:t>
            </w:r>
          </w:p>
        </w:tc>
        <w:tc>
          <w:tcPr>
            <w:tcW w:w="99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pStyle w:val="Heading4"/>
        <w:spacing w:line="312" w:lineRule="exact" w:before="32"/>
        <w:ind w:left="97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2"/>
        <w:rPr>
          <w:rFonts w:ascii="Microsoft JhengHei" w:hAnsi="Microsoft JhengHei" w:cs="Microsoft JhengHei" w:eastAsia="Microsoft JhengHei" w:hint="default"/>
          <w:b/>
          <w:bCs/>
          <w:sz w:val="19"/>
          <w:szCs w:val="19"/>
        </w:rPr>
      </w:pPr>
    </w:p>
    <w:p>
      <w:pPr>
        <w:pStyle w:val="BodyText"/>
        <w:spacing w:line="240" w:lineRule="auto"/>
        <w:ind w:left="972" w:right="7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7"/>
          <w:szCs w:val="17"/>
        </w:rPr>
      </w:pPr>
    </w:p>
    <w:p>
      <w:pPr>
        <w:pStyle w:val="Heading2"/>
        <w:spacing w:line="240" w:lineRule="auto"/>
        <w:ind w:left="972" w:right="0"/>
        <w:jc w:val="left"/>
        <w:rPr>
          <w:b w:val="0"/>
          <w:bCs w:val="0"/>
        </w:rPr>
      </w:pPr>
      <w:r>
        <w:rPr/>
        <w:t>九、聘任、解聘会计师事务所情况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972" w:right="7032"/>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968" w:type="dxa"/>
        <w:tblLayout w:type="fixed"/>
        <w:tblCellMar>
          <w:top w:w="0" w:type="dxa"/>
          <w:left w:w="0" w:type="dxa"/>
          <w:bottom w:w="0" w:type="dxa"/>
          <w:right w:w="0" w:type="dxa"/>
        </w:tblCellMar>
        <w:tblLook w:val="01E0"/>
      </w:tblPr>
      <w:tblGrid>
        <w:gridCol w:w="3883"/>
        <w:gridCol w:w="5683"/>
      </w:tblGrid>
      <w:tr>
        <w:trPr>
          <w:trHeight w:val="403" w:hRule="exact"/>
        </w:trPr>
        <w:tc>
          <w:tcPr>
            <w:tcW w:w="3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1" w:hRule="exact"/>
        </w:trPr>
        <w:tc>
          <w:tcPr>
            <w:tcW w:w="3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3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3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杨熹、徐书华</w:t>
            </w:r>
          </w:p>
        </w:tc>
      </w:tr>
    </w:tbl>
    <w:p>
      <w:pPr>
        <w:pStyle w:val="BodyText"/>
        <w:spacing w:line="240" w:lineRule="auto" w:before="53"/>
        <w:ind w:left="972" w:right="7032"/>
        <w:jc w:val="left"/>
      </w:pPr>
      <w:r>
        <w:rPr>
          <w:spacing w:val="-3"/>
        </w:rPr>
        <w:t>当期是否改聘会计师事务所</w:t>
      </w:r>
    </w:p>
    <w:p>
      <w:pPr>
        <w:pStyle w:val="BodyText"/>
        <w:spacing w:line="338" w:lineRule="auto" w:before="119"/>
        <w:ind w:left="972" w:right="540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left="972" w:right="7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0" w:lineRule="auto" w:before="101"/>
        <w:ind w:left="973" w:right="0" w:hanging="1"/>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2012</w:t>
      </w:r>
      <w:r>
        <w:rPr>
          <w:spacing w:val="-3"/>
        </w:rPr>
        <w:t>年度，公司因非公开发行事项，聘请安信证券股份有限公司为保荐机构，保荐费用从本次发行募集资金中直接扣</w:t>
      </w:r>
      <w:r>
        <w:rPr>
          <w:spacing w:val="76"/>
        </w:rPr>
        <w:t> </w:t>
      </w:r>
      <w:r>
        <w:rPr>
          <w:spacing w:val="76"/>
        </w:rPr>
      </w:r>
      <w:r>
        <w:rPr>
          <w:spacing w:val="-3"/>
        </w:rPr>
        <w:t>除，报告期内公司完成了非公开发行事宜，共支付保荐费用人民币</w:t>
      </w:r>
      <w:r>
        <w:rPr>
          <w:rFonts w:ascii="Times New Roman" w:hAnsi="Times New Roman" w:cs="Times New Roman" w:eastAsia="Times New Roman" w:hint="default"/>
          <w:spacing w:val="-3"/>
        </w:rPr>
        <w:t>300</w:t>
      </w:r>
      <w:r>
        <w:rPr>
          <w:spacing w:val="-3"/>
        </w:rPr>
        <w:t>万元，目前公司处于持续督导期。</w:t>
      </w:r>
    </w:p>
    <w:p>
      <w:pPr>
        <w:pStyle w:val="BodyText"/>
        <w:spacing w:line="240" w:lineRule="auto" w:before="13"/>
        <w:ind w:left="973" w:right="0"/>
        <w:jc w:val="left"/>
      </w:pPr>
      <w:r>
        <w:rPr>
          <w:spacing w:val="-3"/>
        </w:rPr>
        <w:t>（</w:t>
      </w:r>
      <w:r>
        <w:rPr>
          <w:rFonts w:ascii="Times New Roman" w:hAnsi="Times New Roman" w:cs="Times New Roman" w:eastAsia="Times New Roman" w:hint="default"/>
          <w:spacing w:val="-3"/>
        </w:rPr>
        <w:t>2</w:t>
      </w:r>
      <w:r>
        <w:rPr>
          <w:spacing w:val="-3"/>
        </w:rPr>
        <w:t>）报告期内，公司未聘请内部控制审计会计师事务所。</w:t>
      </w:r>
    </w:p>
    <w:p>
      <w:pPr>
        <w:spacing w:after="0" w:line="240" w:lineRule="auto"/>
        <w:jc w:val="left"/>
        <w:sectPr>
          <w:pgSz w:w="11910" w:h="16840"/>
          <w:pgMar w:header="741" w:footer="979" w:top="1060" w:bottom="1160" w:left="160" w:right="180"/>
        </w:sectPr>
      </w:pPr>
    </w:p>
    <w:p>
      <w:pPr>
        <w:spacing w:line="240" w:lineRule="auto" w:before="10"/>
        <w:rPr>
          <w:rFonts w:ascii="宋体" w:hAnsi="宋体" w:cs="宋体" w:eastAsia="宋体" w:hint="default"/>
          <w:sz w:val="23"/>
          <w:szCs w:val="23"/>
        </w:rPr>
      </w:pPr>
    </w:p>
    <w:p>
      <w:pPr>
        <w:pStyle w:val="Heading2"/>
        <w:spacing w:line="367" w:lineRule="exact"/>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十一、年度报告披露后面临暂停上市和终止上市情况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十二、其他重大事项的说明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518"/>
        <w:gridCol w:w="965"/>
        <w:gridCol w:w="1056"/>
        <w:gridCol w:w="4258"/>
        <w:gridCol w:w="2962"/>
      </w:tblGrid>
      <w:tr>
        <w:trPr>
          <w:trHeight w:val="634" w:hRule="exact"/>
        </w:trPr>
        <w:tc>
          <w:tcPr>
            <w:tcW w:w="51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58"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序</w:t>
            </w:r>
            <w:r>
              <w:rPr>
                <w:rFonts w:ascii="Microsoft JhengHei" w:hAnsi="Microsoft JhengHei" w:cs="Microsoft JhengHei" w:eastAsia="Microsoft JhengHei" w:hint="default"/>
                <w:w w:val="100"/>
                <w:sz w:val="20"/>
                <w:szCs w:val="20"/>
              </w:rPr>
            </w:r>
          </w:p>
          <w:p>
            <w:pPr>
              <w:pStyle w:val="TableParagraph"/>
              <w:spacing w:line="330"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号</w:t>
            </w:r>
            <w:r>
              <w:rPr>
                <w:rFonts w:ascii="Microsoft JhengHei" w:hAnsi="Microsoft JhengHei" w:cs="Microsoft JhengHei" w:eastAsia="Microsoft JhengHei" w:hint="default"/>
                <w:w w:val="100"/>
                <w:sz w:val="20"/>
                <w:szCs w:val="20"/>
              </w:rPr>
            </w:r>
          </w:p>
        </w:tc>
        <w:tc>
          <w:tcPr>
            <w:tcW w:w="96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58"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公告编</w:t>
            </w:r>
            <w:r>
              <w:rPr>
                <w:rFonts w:ascii="Microsoft JhengHei" w:hAnsi="Microsoft JhengHei" w:cs="Microsoft JhengHei" w:eastAsia="Microsoft JhengHei" w:hint="default"/>
                <w:sz w:val="20"/>
                <w:szCs w:val="20"/>
              </w:rPr>
            </w:r>
          </w:p>
          <w:p>
            <w:pPr>
              <w:pStyle w:val="TableParagraph"/>
              <w:spacing w:line="330"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号</w:t>
            </w:r>
            <w:r>
              <w:rPr>
                <w:rFonts w:ascii="Microsoft JhengHei" w:hAnsi="Microsoft JhengHei" w:cs="Microsoft JhengHei" w:eastAsia="Microsoft JhengHei" w:hint="default"/>
                <w:w w:val="100"/>
                <w:sz w:val="20"/>
                <w:szCs w:val="20"/>
              </w:rPr>
            </w:r>
          </w:p>
        </w:tc>
        <w:tc>
          <w:tcPr>
            <w:tcW w:w="105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6"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公告日期</w:t>
            </w:r>
            <w:r>
              <w:rPr>
                <w:rFonts w:ascii="Microsoft JhengHei" w:hAnsi="Microsoft JhengHei" w:cs="Microsoft JhengHei" w:eastAsia="Microsoft JhengHei" w:hint="default"/>
                <w:sz w:val="20"/>
                <w:szCs w:val="20"/>
              </w:rPr>
            </w:r>
          </w:p>
        </w:tc>
        <w:tc>
          <w:tcPr>
            <w:tcW w:w="42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6"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公告内容</w:t>
            </w:r>
            <w:r>
              <w:rPr>
                <w:rFonts w:ascii="Microsoft JhengHei" w:hAnsi="Microsoft JhengHei" w:cs="Microsoft JhengHei" w:eastAsia="Microsoft JhengHei" w:hint="default"/>
                <w:sz w:val="20"/>
                <w:szCs w:val="20"/>
              </w:rPr>
            </w:r>
          </w:p>
        </w:tc>
        <w:tc>
          <w:tcPr>
            <w:tcW w:w="296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6"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刊登媒体</w:t>
            </w:r>
            <w:r>
              <w:rPr>
                <w:rFonts w:ascii="Microsoft JhengHei" w:hAnsi="Microsoft JhengHei" w:cs="Microsoft JhengHei" w:eastAsia="Microsoft JhengHei" w:hint="default"/>
                <w:sz w:val="20"/>
                <w:szCs w:val="20"/>
              </w:rPr>
            </w:r>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2014-1-9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关于签订募集资金三方监管协议的公告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2014-1-13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展公告（四）</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2014-1-17</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展公告（五）</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2014-1-24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年度业绩预告修正公告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2014-1-24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关于延长使用部分闲置募集资金购买银行理财产品</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决议有效期的公告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2014-009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2014-1-28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展公告（六）</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2014-2-12</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关于公司股东、关联方以及公司承诺履行情况的公</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2014-2-20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关于计提资产减值准备的公告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2014-2-26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展公告（七）</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2014-2-28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年度业绩快报</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2014-018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2014-3-11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关于股票期权与限制性股票激励计划（草案）获得</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中国证券监督管理委员会备案无异议的公告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2014-019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2014-3-28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年第一季度业绩预告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2014-4-8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关于将首次公开发行股票节余募集资金永久补充流</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动资金的公告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14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2014-026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Times New Roman" w:hAnsi="Times New Roman" w:cs="Times New Roman" w:eastAsia="Times New Roman" w:hint="default"/>
                <w:sz w:val="18"/>
                <w:szCs w:val="18"/>
              </w:rPr>
            </w:pPr>
            <w:r>
              <w:rPr>
                <w:rFonts w:ascii="Times New Roman"/>
                <w:sz w:val="18"/>
              </w:rPr>
              <w:t>2014-4-8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独立董事公开征集委托投票权报告书</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15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Times New Roman" w:hAnsi="Times New Roman" w:cs="Times New Roman" w:eastAsia="Times New Roman" w:hint="default"/>
                <w:sz w:val="18"/>
                <w:szCs w:val="18"/>
              </w:rPr>
            </w:pPr>
            <w:r>
              <w:rPr>
                <w:rFonts w:ascii="Times New Roman"/>
                <w:sz w:val="18"/>
              </w:rPr>
              <w:t>2014-4-8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展公告（八）</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2014-030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2014-4-24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年度报告摘要</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bl>
    <w:p>
      <w:pPr>
        <w:spacing w:after="0" w:line="266" w:lineRule="exact"/>
        <w:jc w:val="center"/>
        <w:rPr>
          <w:rFonts w:ascii="宋体" w:hAnsi="宋体" w:cs="宋体" w:eastAsia="宋体" w:hint="default"/>
          <w:sz w:val="22"/>
          <w:szCs w:val="22"/>
        </w:rPr>
        <w:sectPr>
          <w:pgSz w:w="11910" w:h="16840"/>
          <w:pgMar w:header="741" w:footer="979" w:top="1060" w:bottom="1160" w:left="980" w:right="900"/>
        </w:sectPr>
      </w:pPr>
    </w:p>
    <w:p>
      <w:pPr>
        <w:spacing w:line="240" w:lineRule="auto" w:before="0"/>
        <w:rPr>
          <w:rFonts w:ascii="Times New Roman" w:hAnsi="Times New Roman" w:cs="Times New Roman" w:eastAsia="Times New Roman" w:hint="default"/>
          <w:sz w:val="20"/>
          <w:szCs w:val="20"/>
        </w:rPr>
      </w:pPr>
      <w:r>
        <w:rPr/>
        <w:pict>
          <v:group style="position:absolute;margin-left:401.040009pt;margin-top:85.919991pt;width:137.550pt;height:.1pt;mso-position-horizontal-relative:page;mso-position-vertical-relative:page;z-index:-821704" coordorigin="8021,1718" coordsize="2751,2">
            <v:shape style="position:absolute;left:8021;top:1718;width:2751;height:2" coordorigin="8021,1718" coordsize="2751,0" path="m8021,1718l10771,1718e" filled="false" stroked="true" strokeweight=".48pt" strokecolor="#0000ff">
              <v:path arrowok="t"/>
            </v:shape>
            <w10:wrap type="none"/>
          </v:group>
        </w:pict>
      </w:r>
      <w:r>
        <w:rPr/>
        <w:pict>
          <v:group style="position:absolute;margin-left:401.040009pt;margin-top:112.799995pt;width:137.550pt;height:.1pt;mso-position-horizontal-relative:page;mso-position-vertical-relative:page;z-index:-821680" coordorigin="8021,2256" coordsize="2751,2">
            <v:shape style="position:absolute;left:8021;top:2256;width:2751;height:2" coordorigin="8021,2256" coordsize="2751,0" path="m8021,2256l10771,2256e" filled="false" stroked="true" strokeweight=".48pt" strokecolor="#0000ff">
              <v:path arrowok="t"/>
            </v:shape>
            <w10:wrap type="none"/>
          </v:group>
        </w:pict>
      </w:r>
      <w:r>
        <w:rPr/>
        <w:pict>
          <v:group style="position:absolute;margin-left:401.040009pt;margin-top:139.439987pt;width:137.550pt;height:.1pt;mso-position-horizontal-relative:page;mso-position-vertical-relative:page;z-index:-821656" coordorigin="8021,2789" coordsize="2751,2">
            <v:shape style="position:absolute;left:8021;top:2789;width:2751;height:2" coordorigin="8021,2789" coordsize="2751,0" path="m8021,2789l10771,2789e" filled="false" stroked="true" strokeweight=".48pt" strokecolor="#0000ff">
              <v:path arrowok="t"/>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18"/>
        <w:gridCol w:w="965"/>
        <w:gridCol w:w="1056"/>
        <w:gridCol w:w="4258"/>
        <w:gridCol w:w="2962"/>
      </w:tblGrid>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2014-034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2014-4-26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关于续聘会计师事务所的公告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hyperlink r:id="rId12">
              <w:r>
                <w:rPr>
                  <w:rFonts w:ascii="宋体"/>
                  <w:color w:val="0000FF"/>
                  <w:sz w:val="22"/>
                </w:rPr>
                <w:t>http://www.cninfo.com.cn/</w:t>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18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2014-035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Times New Roman" w:hAnsi="Times New Roman" w:cs="Times New Roman" w:eastAsia="Times New Roman" w:hint="default"/>
                <w:sz w:val="18"/>
                <w:szCs w:val="18"/>
              </w:rPr>
            </w:pPr>
            <w:r>
              <w:rPr>
                <w:rFonts w:ascii="Times New Roman"/>
                <w:sz w:val="18"/>
              </w:rPr>
              <w:t>2014-4-26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年第一季度报告正文</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hyperlink r:id="rId12">
              <w:r>
                <w:rPr>
                  <w:rFonts w:ascii="宋体"/>
                  <w:color w:val="0000FF"/>
                  <w:sz w:val="22"/>
                </w:rPr>
                <w:t>http://www.cninfo.com.cn/</w:t>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2014-4-30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关于对股票期权与限制性股票激励计划进行调整的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hyperlink r:id="rId12">
              <w:r>
                <w:rPr>
                  <w:rFonts w:ascii="宋体"/>
                  <w:color w:val="0000FF"/>
                  <w:sz w:val="22"/>
                </w:rPr>
                <w:t>http://www.cninfo.com.cn/</w:t>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2014-4-30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关于向激励对象授予股票期权与限制性股票的公告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21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2014-043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Times New Roman" w:hAnsi="Times New Roman" w:cs="Times New Roman" w:eastAsia="Times New Roman" w:hint="default"/>
                <w:sz w:val="18"/>
                <w:szCs w:val="18"/>
              </w:rPr>
            </w:pPr>
            <w:r>
              <w:rPr>
                <w:rFonts w:ascii="Times New Roman"/>
                <w:sz w:val="18"/>
              </w:rPr>
              <w:t>2014-5-29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展公告（九）</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2014-6-11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展公告（十）</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2014-6-11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关于签订募集资金三方监管协议的公告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2014-6-19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关于对股票期权与限制性股票激励计划进行调整的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2014-7-3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关于限制性股票首次授予登记完成的公告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2014-7-4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关于变更部分募集资金用途暨使用募集资金对外股</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权投资的公告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2014-062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2014-7-8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关于股票期权首次授予登记完成的公告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2014-8-1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关于使用部分闲置募集资金暂时补充流动资金的公</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2014-8-1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关于使用部分自有闲置资金进行现金管理的公告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2014-8-20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关于与深圳市九派资本管理有限公司签署《战略合</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作框架协议》的公告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2014-8-26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年半年度报告摘要</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2014-8-26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关于回购注销部分已不符合激励条件的激励对象已</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获授权但未解锁的限制性股票事宜的公告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33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2014-076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Times New Roman"/>
                <w:sz w:val="18"/>
              </w:rPr>
              <w:t>2014-8-26</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2014-10-10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关于参与投资设立并购基金进行产业整合暨关联交</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易的公告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35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2014-083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2014-10-14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展公告（十一）</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2014-10-28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年第三季度报告正文</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2014-089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2014-11-3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关于向激励对象授予预留限制性股票和股票期权的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38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2014-091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Times New Roman" w:hAnsi="Times New Roman" w:cs="Times New Roman" w:eastAsia="Times New Roman" w:hint="default"/>
                <w:sz w:val="18"/>
                <w:szCs w:val="18"/>
              </w:rPr>
            </w:pPr>
            <w:r>
              <w:rPr>
                <w:rFonts w:ascii="Times New Roman"/>
                <w:sz w:val="18"/>
              </w:rPr>
              <w:t>2014-11-3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关于公司会计政策变更的公告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2014-094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2014-11-13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关于回购注销部分已不符合激励条件的激励对象已</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获授权但未解锁的限制性股票事宜的公告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bl>
    <w:p>
      <w:pPr>
        <w:spacing w:after="0" w:line="266" w:lineRule="exact"/>
        <w:jc w:val="center"/>
        <w:rPr>
          <w:rFonts w:ascii="宋体" w:hAnsi="宋体" w:cs="宋体" w:eastAsia="宋体" w:hint="default"/>
          <w:sz w:val="22"/>
          <w:szCs w:val="22"/>
        </w:rPr>
        <w:sectPr>
          <w:pgSz w:w="11910" w:h="16840"/>
          <w:pgMar w:header="741" w:footer="979" w:top="1060" w:bottom="1160" w:left="980" w:right="900"/>
        </w:sectPr>
      </w:pPr>
    </w:p>
    <w:p>
      <w:pPr>
        <w:spacing w:line="240" w:lineRule="auto" w:before="0"/>
        <w:rPr>
          <w:rFonts w:ascii="Times New Roman" w:hAnsi="Times New Roman" w:cs="Times New Roman" w:eastAsia="Times New Roman" w:hint="default"/>
          <w:sz w:val="20"/>
          <w:szCs w:val="20"/>
        </w:rPr>
      </w:pPr>
      <w:r>
        <w:rPr/>
        <w:pict>
          <v:group style="position:absolute;margin-left:401.040009pt;margin-top:85.919991pt;width:137.550pt;height:.1pt;mso-position-horizontal-relative:page;mso-position-vertical-relative:page;z-index:-821632" coordorigin="8021,1718" coordsize="2751,2">
            <v:shape style="position:absolute;left:8021;top:1718;width:2751;height:2" coordorigin="8021,1718" coordsize="2751,0" path="m8021,1718l10771,1718e" filled="false" stroked="true" strokeweight=".48pt" strokecolor="#0000ff">
              <v:path arrowok="t"/>
            </v:shape>
            <w10:wrap type="none"/>
          </v:group>
        </w:pict>
      </w:r>
      <w:r>
        <w:rPr/>
        <w:pict>
          <v:group style="position:absolute;margin-left:401.040009pt;margin-top:112.799995pt;width:137.550pt;height:.1pt;mso-position-horizontal-relative:page;mso-position-vertical-relative:page;z-index:-821608" coordorigin="8021,2256" coordsize="2751,2">
            <v:shape style="position:absolute;left:8021;top:2256;width:2751;height:2" coordorigin="8021,2256" coordsize="2751,0" path="m8021,2256l10771,2256e" filled="false" stroked="true" strokeweight=".48pt" strokecolor="#0000ff">
              <v:path arrowok="t"/>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18"/>
        <w:gridCol w:w="965"/>
        <w:gridCol w:w="1056"/>
        <w:gridCol w:w="4258"/>
        <w:gridCol w:w="2962"/>
      </w:tblGrid>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2014-095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2014-11-13</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hyperlink r:id="rId12">
              <w:r>
                <w:rPr>
                  <w:rFonts w:ascii="宋体"/>
                  <w:color w:val="0000FF"/>
                  <w:sz w:val="22"/>
                </w:rPr>
                <w:t>http://www.cninfo.com.cn/</w:t>
              </w:r>
              <w:r>
                <w:rPr>
                  <w:rFonts w:ascii="宋体"/>
                  <w:sz w:val="22"/>
                </w:rPr>
              </w:r>
            </w:hyperlink>
          </w:p>
        </w:tc>
      </w:tr>
      <w:tr>
        <w:trPr>
          <w:trHeight w:val="6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41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2014-097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left"/>
              <w:rPr>
                <w:rFonts w:ascii="Times New Roman" w:hAnsi="Times New Roman" w:cs="Times New Roman" w:eastAsia="Times New Roman" w:hint="default"/>
                <w:sz w:val="18"/>
                <w:szCs w:val="18"/>
              </w:rPr>
            </w:pPr>
            <w:r>
              <w:rPr>
                <w:rFonts w:ascii="Times New Roman"/>
                <w:sz w:val="18"/>
              </w:rPr>
              <w:t>2014-11-19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展公告</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hyperlink r:id="rId12">
              <w:r>
                <w:rPr>
                  <w:rFonts w:ascii="宋体"/>
                  <w:color w:val="0000FF"/>
                  <w:sz w:val="22"/>
                </w:rPr>
                <w:t>http://www.cninfo.com.cn/</w:t>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2014-099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2014-11-28</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关于股权激励对象所持已获授但尚未解锁的限制性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股票回购注销完成的公告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2014-102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2014-12-4</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关于公司实际控制人进行股票质押式回购交易的公</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2014-104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2014-12-5</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关于控股股东停止融资融券业务的公告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2014-105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2014-12-9</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关于预留限制性股票与股票期权授予登记完成的公</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8"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46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2014-107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2014-12-11</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收购报告书（摘要）</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2014-108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2014-12-25</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关于公司实际控制人部分股权补充质押的公告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48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2014-110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2014-12-30</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5"/>
              <w:jc w:val="left"/>
              <w:rPr>
                <w:rFonts w:ascii="宋体" w:hAnsi="宋体" w:cs="宋体" w:eastAsia="宋体" w:hint="default"/>
                <w:sz w:val="18"/>
                <w:szCs w:val="18"/>
              </w:rPr>
            </w:pPr>
            <w:r>
              <w:rPr>
                <w:rFonts w:ascii="宋体" w:hAnsi="宋体" w:cs="宋体" w:eastAsia="宋体" w:hint="default"/>
                <w:spacing w:val="-3"/>
                <w:sz w:val="18"/>
                <w:szCs w:val="18"/>
              </w:rPr>
              <w:t>关于使用部分闲置募集资金购买银行理财产品的进</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展公告（十三）</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pStyle w:val="Heading3"/>
        <w:spacing w:line="240" w:lineRule="auto" w:before="26"/>
        <w:ind w:right="0"/>
        <w:jc w:val="left"/>
      </w:pPr>
      <w:r>
        <w:rPr/>
        <w:t>十三、公司子公司重要事项</w:t>
      </w:r>
    </w:p>
    <w:p>
      <w:pPr>
        <w:spacing w:line="240" w:lineRule="auto" w:before="8"/>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514"/>
        <w:gridCol w:w="960"/>
        <w:gridCol w:w="1056"/>
        <w:gridCol w:w="4267"/>
        <w:gridCol w:w="2962"/>
      </w:tblGrid>
      <w:tr>
        <w:trPr>
          <w:trHeight w:val="63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序</w:t>
            </w:r>
            <w:r>
              <w:rPr>
                <w:rFonts w:ascii="Microsoft JhengHei" w:hAnsi="Microsoft JhengHei" w:cs="Microsoft JhengHei" w:eastAsia="Microsoft JhengHei" w:hint="default"/>
                <w:w w:val="100"/>
                <w:sz w:val="20"/>
                <w:szCs w:val="20"/>
              </w:rPr>
            </w:r>
          </w:p>
          <w:p>
            <w:pPr>
              <w:pStyle w:val="TableParagraph"/>
              <w:spacing w:line="330"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号</w:t>
            </w:r>
            <w:r>
              <w:rPr>
                <w:rFonts w:ascii="Microsoft JhengHei" w:hAnsi="Microsoft JhengHei" w:cs="Microsoft JhengHei" w:eastAsia="Microsoft JhengHei" w:hint="default"/>
                <w:w w:val="100"/>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公告编</w:t>
            </w:r>
            <w:r>
              <w:rPr>
                <w:rFonts w:ascii="Microsoft JhengHei" w:hAnsi="Microsoft JhengHei" w:cs="Microsoft JhengHei" w:eastAsia="Microsoft JhengHei" w:hint="default"/>
                <w:sz w:val="20"/>
                <w:szCs w:val="20"/>
              </w:rPr>
            </w:r>
          </w:p>
          <w:p>
            <w:pPr>
              <w:pStyle w:val="TableParagraph"/>
              <w:spacing w:line="330" w:lineRule="exact"/>
              <w:ind w:right="7"/>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号</w:t>
            </w:r>
            <w:r>
              <w:rPr>
                <w:rFonts w:ascii="Microsoft JhengHei" w:hAnsi="Microsoft JhengHei" w:cs="Microsoft JhengHei" w:eastAsia="Microsoft JhengHei" w:hint="default"/>
                <w:w w:val="100"/>
                <w:sz w:val="20"/>
                <w:szCs w:val="20"/>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公告日期</w:t>
            </w:r>
            <w:r>
              <w:rPr>
                <w:rFonts w:ascii="Microsoft JhengHei" w:hAnsi="Microsoft JhengHei" w:cs="Microsoft JhengHei" w:eastAsia="Microsoft JhengHei" w:hint="default"/>
                <w:sz w:val="20"/>
                <w:szCs w:val="20"/>
              </w:rPr>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公告内容</w:t>
            </w:r>
            <w:r>
              <w:rPr>
                <w:rFonts w:ascii="Microsoft JhengHei" w:hAnsi="Microsoft JhengHei" w:cs="Microsoft JhengHei" w:eastAsia="Microsoft JhengHei" w:hint="default"/>
                <w:sz w:val="20"/>
                <w:szCs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刊登媒体</w:t>
            </w:r>
            <w:r>
              <w:rPr>
                <w:rFonts w:ascii="Microsoft JhengHei" w:hAnsi="Microsoft JhengHei" w:cs="Microsoft JhengHei" w:eastAsia="Microsoft JhengHei" w:hint="default"/>
                <w:sz w:val="20"/>
                <w:szCs w:val="20"/>
              </w:rPr>
            </w:r>
          </w:p>
        </w:tc>
      </w:tr>
      <w:tr>
        <w:trPr>
          <w:trHeight w:val="533"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100"/>
                <w:sz w:val="20"/>
              </w:rPr>
              <w:t>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Times New Roman" w:hAnsi="Times New Roman" w:cs="Times New Roman" w:eastAsia="Times New Roman" w:hint="default"/>
                <w:sz w:val="18"/>
                <w:szCs w:val="18"/>
              </w:rPr>
            </w:pPr>
            <w:r>
              <w:rPr>
                <w:rFonts w:ascii="Times New Roman"/>
                <w:spacing w:val="-1"/>
                <w:sz w:val="18"/>
              </w:rPr>
              <w:t>2014-002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2014-1-9</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子公司无锡实益达电子完成实收资本工商变更登记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8"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w w:val="100"/>
                <w:sz w:val="20"/>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7"/>
              <w:jc w:val="right"/>
              <w:rPr>
                <w:rFonts w:ascii="Times New Roman" w:hAnsi="Times New Roman" w:cs="Times New Roman" w:eastAsia="Times New Roman" w:hint="default"/>
                <w:sz w:val="18"/>
                <w:szCs w:val="18"/>
              </w:rPr>
            </w:pPr>
            <w:r>
              <w:rPr>
                <w:rFonts w:ascii="Times New Roman"/>
                <w:spacing w:val="-1"/>
                <w:sz w:val="18"/>
              </w:rPr>
              <w:t>2014-020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2014-4-1</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0" w:right="190"/>
              <w:jc w:val="left"/>
              <w:rPr>
                <w:rFonts w:ascii="宋体" w:hAnsi="宋体" w:cs="宋体" w:eastAsia="宋体" w:hint="default"/>
                <w:sz w:val="18"/>
                <w:szCs w:val="18"/>
              </w:rPr>
            </w:pPr>
            <w:r>
              <w:rPr>
                <w:rFonts w:ascii="宋体" w:hAnsi="宋体" w:cs="宋体" w:eastAsia="宋体" w:hint="default"/>
                <w:spacing w:val="-3"/>
                <w:sz w:val="18"/>
                <w:szCs w:val="18"/>
              </w:rPr>
              <w:t>公司与无锡实益达电子共同投资设立子公司无锡实</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益达照明科技有限公司并完成工商设立登记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533"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100"/>
                <w:sz w:val="20"/>
              </w:rPr>
              <w:t>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Times New Roman" w:hAnsi="Times New Roman" w:cs="Times New Roman" w:eastAsia="Times New Roman" w:hint="default"/>
                <w:sz w:val="18"/>
                <w:szCs w:val="18"/>
              </w:rPr>
            </w:pPr>
            <w:r>
              <w:rPr>
                <w:rFonts w:ascii="Times New Roman"/>
                <w:spacing w:val="-1"/>
                <w:sz w:val="18"/>
              </w:rPr>
              <w:t>2014-024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2014-4-8</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对子公司无锡实益达照明科技有限公司增资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100"/>
                <w:sz w:val="20"/>
              </w:rPr>
              <w:t>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Times New Roman" w:hAnsi="Times New Roman" w:cs="Times New Roman" w:eastAsia="Times New Roman" w:hint="default"/>
                <w:sz w:val="18"/>
                <w:szCs w:val="18"/>
              </w:rPr>
            </w:pPr>
            <w:r>
              <w:rPr>
                <w:rFonts w:ascii="Times New Roman"/>
                <w:spacing w:val="-1"/>
                <w:sz w:val="18"/>
              </w:rPr>
              <w:t>2014-051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2014-6-19</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91"/>
              <w:jc w:val="left"/>
              <w:rPr>
                <w:rFonts w:ascii="宋体" w:hAnsi="宋体" w:cs="宋体" w:eastAsia="宋体" w:hint="default"/>
                <w:sz w:val="18"/>
                <w:szCs w:val="18"/>
              </w:rPr>
            </w:pPr>
            <w:r>
              <w:rPr>
                <w:rFonts w:ascii="宋体" w:hAnsi="宋体" w:cs="宋体" w:eastAsia="宋体" w:hint="default"/>
                <w:spacing w:val="-3"/>
                <w:sz w:val="18"/>
                <w:szCs w:val="18"/>
              </w:rPr>
              <w:t>与关联方在深圳市前海深港合作区共同投资设立子</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公司深圳前海实益达投资发展有限公司</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100"/>
                <w:sz w:val="20"/>
              </w:rPr>
              <w:t>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7"/>
              <w:jc w:val="right"/>
              <w:rPr>
                <w:rFonts w:ascii="Times New Roman" w:hAnsi="Times New Roman" w:cs="Times New Roman" w:eastAsia="Times New Roman" w:hint="default"/>
                <w:sz w:val="18"/>
                <w:szCs w:val="18"/>
              </w:rPr>
            </w:pPr>
            <w:r>
              <w:rPr>
                <w:rFonts w:ascii="Times New Roman"/>
                <w:spacing w:val="-1"/>
                <w:sz w:val="18"/>
              </w:rPr>
              <w:t>2014-065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2014-7-25</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firstLine="91"/>
              <w:jc w:val="left"/>
              <w:rPr>
                <w:rFonts w:ascii="宋体" w:hAnsi="宋体" w:cs="宋体" w:eastAsia="宋体" w:hint="default"/>
                <w:sz w:val="18"/>
                <w:szCs w:val="18"/>
              </w:rPr>
            </w:pPr>
            <w:r>
              <w:rPr>
                <w:rFonts w:ascii="宋体" w:hAnsi="宋体" w:cs="宋体" w:eastAsia="宋体" w:hint="default"/>
                <w:spacing w:val="-3"/>
                <w:sz w:val="18"/>
                <w:szCs w:val="18"/>
              </w:rPr>
              <w:t>子公司深圳前海实益达投资发展有限公司完成工商</w:t>
            </w:r>
            <w:r>
              <w:rPr>
                <w:rFonts w:ascii="宋体" w:hAnsi="宋体" w:cs="宋体" w:eastAsia="宋体" w:hint="default"/>
                <w:w w:val="101"/>
                <w:sz w:val="18"/>
                <w:szCs w:val="18"/>
              </w:rPr>
              <w:t> </w:t>
            </w:r>
            <w:r>
              <w:rPr>
                <w:rFonts w:ascii="宋体" w:hAnsi="宋体" w:cs="宋体" w:eastAsia="宋体" w:hint="default"/>
                <w:sz w:val="18"/>
                <w:szCs w:val="18"/>
              </w:rPr>
              <w:t>设立登记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w w:val="100"/>
                <w:sz w:val="20"/>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Times New Roman" w:hAnsi="Times New Roman" w:cs="Times New Roman" w:eastAsia="Times New Roman" w:hint="default"/>
                <w:sz w:val="18"/>
                <w:szCs w:val="18"/>
              </w:rPr>
            </w:pPr>
            <w:r>
              <w:rPr>
                <w:rFonts w:ascii="Times New Roman"/>
                <w:spacing w:val="-1"/>
                <w:sz w:val="18"/>
              </w:rPr>
              <w:t>2014-077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2014-9-12</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14"/>
                <w:w w:val="101"/>
                <w:sz w:val="18"/>
                <w:szCs w:val="18"/>
              </w:rPr>
              <w:t>子公司“深圳市实益达照明工程有限公司”更名为“深</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圳市实益达照明有限公司”并完成工商变更登记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0"/>
                <w:szCs w:val="20"/>
              </w:rPr>
            </w:pPr>
            <w:r>
              <w:rPr>
                <w:rFonts w:ascii="Times New Roman"/>
                <w:sz w:val="20"/>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Times New Roman" w:hAnsi="Times New Roman" w:cs="Times New Roman" w:eastAsia="Times New Roman" w:hint="default"/>
                <w:sz w:val="18"/>
                <w:szCs w:val="18"/>
              </w:rPr>
            </w:pPr>
            <w:r>
              <w:rPr>
                <w:rFonts w:ascii="Times New Roman"/>
                <w:spacing w:val="-1"/>
                <w:sz w:val="18"/>
              </w:rPr>
              <w:t>2014-082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2014-10-10</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7"/>
              <w:jc w:val="left"/>
              <w:rPr>
                <w:rFonts w:ascii="宋体" w:hAnsi="宋体" w:cs="宋体" w:eastAsia="宋体" w:hint="default"/>
                <w:sz w:val="18"/>
                <w:szCs w:val="18"/>
              </w:rPr>
            </w:pPr>
            <w:r>
              <w:rPr>
                <w:rFonts w:ascii="宋体" w:hAnsi="宋体" w:cs="宋体" w:eastAsia="宋体" w:hint="default"/>
                <w:spacing w:val="-3"/>
                <w:sz w:val="18"/>
                <w:szCs w:val="18"/>
              </w:rPr>
              <w:t>参股子公司新余久益投资管理合伙企业（有限合伙）</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完成工商注册登记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r>
        <w:trPr>
          <w:trHeight w:val="638"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Times New Roman" w:hAnsi="Times New Roman" w:cs="Times New Roman" w:eastAsia="Times New Roman" w:hint="default"/>
                <w:sz w:val="20"/>
                <w:szCs w:val="20"/>
              </w:rPr>
            </w:pPr>
            <w:r>
              <w:rPr>
                <w:rFonts w:ascii="Times New Roman"/>
                <w:sz w:val="20"/>
              </w:rPr>
              <w:t>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7"/>
              <w:jc w:val="right"/>
              <w:rPr>
                <w:rFonts w:ascii="Times New Roman" w:hAnsi="Times New Roman" w:cs="Times New Roman" w:eastAsia="Times New Roman" w:hint="default"/>
                <w:sz w:val="18"/>
                <w:szCs w:val="18"/>
              </w:rPr>
            </w:pPr>
            <w:r>
              <w:rPr>
                <w:rFonts w:ascii="Times New Roman"/>
                <w:spacing w:val="-1"/>
                <w:sz w:val="18"/>
              </w:rPr>
              <w:t>2014-090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2014-11-3</w:t>
            </w:r>
          </w:p>
        </w:tc>
        <w:tc>
          <w:tcPr>
            <w:tcW w:w="4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91"/>
              <w:jc w:val="left"/>
              <w:rPr>
                <w:rFonts w:ascii="宋体" w:hAnsi="宋体" w:cs="宋体" w:eastAsia="宋体" w:hint="default"/>
                <w:sz w:val="18"/>
                <w:szCs w:val="18"/>
              </w:rPr>
            </w:pPr>
            <w:r>
              <w:rPr>
                <w:rFonts w:ascii="宋体" w:hAnsi="宋体" w:cs="宋体" w:eastAsia="宋体" w:hint="default"/>
                <w:spacing w:val="-3"/>
                <w:sz w:val="18"/>
                <w:szCs w:val="18"/>
              </w:rPr>
              <w:t>全资子公司无锡实益达电子有限公司签订工程施工</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合同</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color w:val="0000FF"/>
                <w:w w:val="100"/>
                <w:sz w:val="22"/>
              </w:rPr>
            </w:r>
            <w:hyperlink r:id="rId12">
              <w:r>
                <w:rPr>
                  <w:rFonts w:ascii="宋体"/>
                  <w:color w:val="0000FF"/>
                  <w:sz w:val="22"/>
                  <w:u w:val="single" w:color="0000FF"/>
                </w:rPr>
                <w:t>http://www.cninfo.com.cn/</w:t>
              </w:r>
              <w:r>
                <w:rPr>
                  <w:rFonts w:ascii="宋体"/>
                  <w:color w:val="0000FF"/>
                  <w:sz w:val="22"/>
                </w:rPr>
              </w:r>
              <w:r>
                <w:rPr>
                  <w:rFonts w:ascii="宋体"/>
                  <w:sz w:val="22"/>
                </w:rPr>
              </w:r>
            </w:hyperlink>
          </w:p>
        </w:tc>
      </w:tr>
    </w:tbl>
    <w:p>
      <w:pPr>
        <w:spacing w:after="0" w:line="266" w:lineRule="exact"/>
        <w:jc w:val="center"/>
        <w:rPr>
          <w:rFonts w:ascii="宋体" w:hAnsi="宋体" w:cs="宋体" w:eastAsia="宋体" w:hint="default"/>
          <w:sz w:val="22"/>
          <w:szCs w:val="22"/>
        </w:rPr>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Heading2"/>
        <w:spacing w:line="367" w:lineRule="exact"/>
        <w:ind w:right="0"/>
        <w:jc w:val="left"/>
        <w:rPr>
          <w:b w:val="0"/>
          <w:bCs w:val="0"/>
        </w:rPr>
      </w:pPr>
      <w:r>
        <w:rPr/>
        <w:t>十四、公司发行公司债券的情况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965" w:right="0"/>
        <w:jc w:val="left"/>
      </w:pPr>
      <w:bookmarkStart w:name="_TOC_250006" w:id="6"/>
      <w:r>
        <w:rPr/>
        <w:t>第六节</w:t>
      </w:r>
      <w:r>
        <w:rPr>
          <w:spacing w:val="17"/>
        </w:rPr>
        <w:t> </w:t>
      </w:r>
      <w:bookmarkEnd w:id="6"/>
      <w:r>
        <w:rPr/>
        <w:t>股份变动及股东情况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367" w:lineRule="exact"/>
        <w:ind w:right="0"/>
        <w:jc w:val="left"/>
        <w:rPr>
          <w:b w:val="0"/>
          <w:bCs w:val="0"/>
        </w:rPr>
      </w:pPr>
      <w:r>
        <w:rPr/>
        <w:t>一、股份变动情况</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240" w:lineRule="auto" w:before="46"/>
        <w:ind w:left="0" w:right="206"/>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3"/>
        <w:gridCol w:w="1032"/>
        <w:gridCol w:w="811"/>
        <w:gridCol w:w="850"/>
        <w:gridCol w:w="427"/>
        <w:gridCol w:w="706"/>
        <w:gridCol w:w="994"/>
        <w:gridCol w:w="850"/>
        <w:gridCol w:w="1234"/>
        <w:gridCol w:w="821"/>
      </w:tblGrid>
      <w:tr>
        <w:trPr>
          <w:trHeight w:val="398"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8"/>
              <w:ind w:left="167" w:right="69"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41,751,321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2,500,000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1,731,013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43,482,334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9.43%</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41,751,321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2,500,000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1,731,013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43,482,334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9.43%</w:t>
            </w:r>
          </w:p>
        </w:tc>
      </w:tr>
      <w:tr>
        <w:trPr>
          <w:trHeight w:val="398"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境内自然人持</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41,751,321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2,500,000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1,731,013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43,482,334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9.43%</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0"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境外自然人持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416,659,279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90.89%</w:t>
            </w: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417,428,266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90.57%</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416,659,279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90.89%</w:t>
            </w: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768,987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417,428,266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90.57%</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458,410,600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2,500,000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460,910,600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0"/>
        <w:jc w:val="left"/>
      </w:pPr>
      <w:r>
        <w:rPr>
          <w:spacing w:val="-3"/>
        </w:rPr>
        <w:t>股份变动的原因</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6"/>
        <w:ind w:left="153" w:right="0"/>
        <w:jc w:val="left"/>
      </w:pPr>
      <w:r>
        <w:rPr>
          <w:rFonts w:ascii="Times New Roman" w:hAnsi="Times New Roman" w:cs="Times New Roman" w:eastAsia="Times New Roman" w:hint="default"/>
        </w:rPr>
        <w:t>1</w:t>
      </w:r>
      <w:r>
        <w:rPr/>
        <w:t>、关于发行新股</w:t>
      </w:r>
      <w:r>
        <w:rPr>
          <w:rFonts w:ascii="Times New Roman" w:hAnsi="Times New Roman" w:cs="Times New Roman" w:eastAsia="Times New Roman" w:hint="default"/>
        </w:rPr>
        <w:t>250</w:t>
      </w:r>
      <w:r>
        <w:rPr/>
        <w:t>万股事宜：</w:t>
      </w:r>
    </w:p>
    <w:p>
      <w:pPr>
        <w:pStyle w:val="BodyText"/>
        <w:spacing w:line="302" w:lineRule="auto" w:before="63"/>
        <w:ind w:left="153" w:right="0" w:firstLine="359"/>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29</w:t>
      </w:r>
      <w:r>
        <w:rPr>
          <w:spacing w:val="-3"/>
        </w:rPr>
        <w:t>日公司召开的第三届董事会第二十四次会议，审议通过了《关于向激励对象授予股票期权和限制性股票的</w:t>
      </w:r>
      <w:r>
        <w:rPr>
          <w:w w:val="101"/>
        </w:rPr>
        <w:t> </w:t>
      </w:r>
      <w:r>
        <w:rPr>
          <w:spacing w:val="-3"/>
        </w:rPr>
        <w:t>议案》，公司向</w:t>
      </w:r>
      <w:r>
        <w:rPr>
          <w:rFonts w:ascii="Times New Roman" w:hAnsi="Times New Roman" w:cs="Times New Roman" w:eastAsia="Times New Roman" w:hint="default"/>
          <w:spacing w:val="-3"/>
        </w:rPr>
        <w:t>13</w:t>
      </w:r>
      <w:r>
        <w:rPr>
          <w:spacing w:val="-3"/>
        </w:rPr>
        <w:t>名激励对象授予限制性股票</w:t>
      </w:r>
      <w:r>
        <w:rPr>
          <w:rFonts w:ascii="Times New Roman" w:hAnsi="Times New Roman" w:cs="Times New Roman" w:eastAsia="Times New Roman" w:hint="default"/>
          <w:spacing w:val="-3"/>
        </w:rPr>
        <w:t>279</w:t>
      </w:r>
      <w:r>
        <w:rPr>
          <w:spacing w:val="-3"/>
        </w:rPr>
        <w:t>万股，并确定</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29</w:t>
      </w:r>
      <w:r>
        <w:rPr>
          <w:spacing w:val="-3"/>
        </w:rPr>
        <w:t>日为本次激励计划的授予日，截至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4"/>
        </w:rPr>
        <w:t>日，公司已收到</w:t>
      </w:r>
      <w:r>
        <w:rPr>
          <w:rFonts w:ascii="Times New Roman" w:hAnsi="Times New Roman" w:cs="Times New Roman" w:eastAsia="Times New Roman" w:hint="default"/>
          <w:spacing w:val="-4"/>
        </w:rPr>
        <w:t>13</w:t>
      </w:r>
      <w:r>
        <w:rPr>
          <w:spacing w:val="-4"/>
        </w:rPr>
        <w:t>名激励对象缴纳的股权激励增资款合计人民币</w:t>
      </w:r>
      <w:r>
        <w:rPr>
          <w:rFonts w:ascii="Times New Roman" w:hAnsi="Times New Roman" w:cs="Times New Roman" w:eastAsia="Times New Roman" w:hint="default"/>
          <w:spacing w:val="-4"/>
        </w:rPr>
        <w:t>558</w:t>
      </w:r>
      <w:r>
        <w:rPr>
          <w:spacing w:val="-4"/>
        </w:rPr>
        <w:t>万元，其中增加注册资本（股本）</w:t>
      </w:r>
      <w:r>
        <w:rPr>
          <w:rFonts w:ascii="Times New Roman" w:hAnsi="Times New Roman" w:cs="Times New Roman" w:eastAsia="Times New Roman" w:hint="default"/>
          <w:spacing w:val="-4"/>
        </w:rPr>
        <w:t>279</w:t>
      </w:r>
      <w:r>
        <w:rPr>
          <w:spacing w:val="-4"/>
        </w:rPr>
        <w:t>万元，增加资本公</w:t>
      </w:r>
      <w:r>
        <w:rPr>
          <w:spacing w:val="56"/>
        </w:rPr>
        <w:t> </w:t>
      </w:r>
      <w:r>
        <w:rPr>
          <w:spacing w:val="56"/>
        </w:rPr>
      </w:r>
      <w:r>
        <w:rPr>
          <w:spacing w:val="-3"/>
        </w:rPr>
        <w:t>积</w:t>
      </w:r>
      <w:r>
        <w:rPr>
          <w:rFonts w:ascii="Times New Roman" w:hAnsi="Times New Roman" w:cs="Times New Roman" w:eastAsia="Times New Roman" w:hint="default"/>
          <w:spacing w:val="-3"/>
        </w:rPr>
        <w:t>279</w:t>
      </w:r>
      <w:r>
        <w:rPr>
          <w:spacing w:val="-3"/>
        </w:rPr>
        <w:t>万元；根据第四届董事会第四次会议、第四届董事会第八次会议审议通过的《关于回购注销部分限制性股票议案》，</w:t>
      </w:r>
      <w:r>
        <w:rPr>
          <w:spacing w:val="73"/>
        </w:rPr>
        <w:t> </w:t>
      </w:r>
      <w:r>
        <w:rPr>
          <w:spacing w:val="73"/>
        </w:rPr>
      </w:r>
      <w:r>
        <w:rPr>
          <w:spacing w:val="-4"/>
        </w:rPr>
        <w:t>因激励对象陈华明、陈钢因个人原因向公司提出辞职并已获得公司同意，且已办理完毕离职手续，公司回购并注销其已获授</w:t>
      </w:r>
      <w:r>
        <w:rPr>
          <w:spacing w:val="43"/>
        </w:rPr>
        <w:t> </w:t>
      </w:r>
      <w:r>
        <w:rPr>
          <w:spacing w:val="43"/>
        </w:rPr>
      </w:r>
      <w:r>
        <w:rPr>
          <w:spacing w:val="-4"/>
        </w:rPr>
        <w:t>但尚未解锁的限制性股票共</w:t>
      </w:r>
      <w:r>
        <w:rPr>
          <w:rFonts w:ascii="Times New Roman" w:hAnsi="Times New Roman" w:cs="Times New Roman" w:eastAsia="Times New Roman" w:hint="default"/>
          <w:spacing w:val="-4"/>
        </w:rPr>
        <w:t>60</w:t>
      </w:r>
      <w:r>
        <w:rPr>
          <w:spacing w:val="-4"/>
        </w:rPr>
        <w:t>万股；根据第四届董事会第七次会议审议通过的《关于向激励对象授予预留限制性股票和股票</w:t>
      </w:r>
      <w:r>
        <w:rPr>
          <w:spacing w:val="45"/>
        </w:rPr>
        <w:t> </w:t>
      </w:r>
      <w:r>
        <w:rPr>
          <w:spacing w:val="45"/>
        </w:rPr>
      </w:r>
      <w:r>
        <w:rPr>
          <w:spacing w:val="-5"/>
        </w:rPr>
        <w:t>期权的议案》，公司向</w:t>
      </w:r>
      <w:r>
        <w:rPr>
          <w:rFonts w:ascii="Times New Roman" w:hAnsi="Times New Roman" w:cs="Times New Roman" w:eastAsia="Times New Roman" w:hint="default"/>
          <w:spacing w:val="-5"/>
        </w:rPr>
        <w:t>2</w:t>
      </w:r>
      <w:r>
        <w:rPr>
          <w:spacing w:val="-5"/>
        </w:rPr>
        <w:t>名激励对象授予预留限制性股票</w:t>
      </w:r>
      <w:r>
        <w:rPr>
          <w:rFonts w:ascii="Times New Roman" w:hAnsi="Times New Roman" w:cs="Times New Roman" w:eastAsia="Times New Roman" w:hint="default"/>
          <w:spacing w:val="-5"/>
        </w:rPr>
        <w:t>31</w:t>
      </w:r>
      <w:r>
        <w:rPr>
          <w:spacing w:val="-5"/>
        </w:rPr>
        <w:t>万股，并确定</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31</w:t>
      </w:r>
      <w:r>
        <w:rPr>
          <w:spacing w:val="-5"/>
        </w:rPr>
        <w:t>日为本次激励计划的授予日，截止</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13</w:t>
      </w:r>
      <w:r>
        <w:rPr>
          <w:spacing w:val="-3"/>
        </w:rPr>
        <w:t>日止，公司已收到</w:t>
      </w:r>
      <w:r>
        <w:rPr>
          <w:rFonts w:ascii="Times New Roman" w:hAnsi="Times New Roman" w:cs="Times New Roman" w:eastAsia="Times New Roman" w:hint="default"/>
          <w:spacing w:val="-3"/>
        </w:rPr>
        <w:t>2</w:t>
      </w:r>
      <w:r>
        <w:rPr>
          <w:spacing w:val="-3"/>
        </w:rPr>
        <w:t>名激励对象缴纳的股权激励增资款合计人民币</w:t>
      </w:r>
      <w:r>
        <w:rPr>
          <w:rFonts w:ascii="Times New Roman" w:hAnsi="Times New Roman" w:cs="Times New Roman" w:eastAsia="Times New Roman" w:hint="default"/>
          <w:spacing w:val="-3"/>
        </w:rPr>
        <w:t>128.34</w:t>
      </w:r>
      <w:r>
        <w:rPr>
          <w:spacing w:val="-3"/>
        </w:rPr>
        <w:t>万元，其中增加注册资本（股本）</w:t>
      </w:r>
      <w:r>
        <w:rPr>
          <w:rFonts w:ascii="Times New Roman" w:hAnsi="Times New Roman" w:cs="Times New Roman" w:eastAsia="Times New Roman" w:hint="default"/>
          <w:spacing w:val="-3"/>
        </w:rPr>
        <w:t>31</w:t>
      </w:r>
      <w:r>
        <w:rPr>
          <w:spacing w:val="-3"/>
        </w:rPr>
        <w:t>万元，</w:t>
      </w:r>
      <w:r>
        <w:rPr>
          <w:spacing w:val="53"/>
        </w:rPr>
        <w:t> </w:t>
      </w:r>
      <w:r>
        <w:rPr>
          <w:spacing w:val="53"/>
        </w:rPr>
      </w:r>
      <w:r>
        <w:rPr>
          <w:spacing w:val="-3"/>
        </w:rPr>
        <w:t>增加资本公积</w:t>
      </w:r>
      <w:r>
        <w:rPr>
          <w:rFonts w:ascii="Times New Roman" w:hAnsi="Times New Roman" w:cs="Times New Roman" w:eastAsia="Times New Roman" w:hint="default"/>
          <w:spacing w:val="-3"/>
        </w:rPr>
        <w:t>97.34</w:t>
      </w:r>
      <w:r>
        <w:rPr>
          <w:spacing w:val="-3"/>
        </w:rPr>
        <w:t>万元。鉴于此，报告期内公司增加股权激励限售股</w:t>
      </w:r>
      <w:r>
        <w:rPr>
          <w:rFonts w:ascii="Times New Roman" w:hAnsi="Times New Roman" w:cs="Times New Roman" w:eastAsia="Times New Roman" w:hint="default"/>
          <w:spacing w:val="-3"/>
        </w:rPr>
        <w:t>250</w:t>
      </w:r>
      <w:r>
        <w:rPr>
          <w:spacing w:val="-3"/>
        </w:rPr>
        <w:t>万股。</w:t>
      </w:r>
    </w:p>
    <w:p>
      <w:pPr>
        <w:pStyle w:val="BodyText"/>
        <w:spacing w:line="240" w:lineRule="auto" w:before="11"/>
        <w:ind w:left="154" w:right="0"/>
        <w:jc w:val="left"/>
      </w:pPr>
      <w:r>
        <w:rPr>
          <w:rFonts w:ascii="Times New Roman" w:hAnsi="Times New Roman" w:cs="Times New Roman" w:eastAsia="Times New Roman" w:hint="default"/>
          <w:spacing w:val="-3"/>
        </w:rPr>
        <w:t>2</w:t>
      </w:r>
      <w:r>
        <w:rPr>
          <w:spacing w:val="-3"/>
        </w:rPr>
        <w:t>、报告期内其他变动的主要原因为：</w:t>
      </w:r>
    </w:p>
    <w:p>
      <w:pPr>
        <w:spacing w:after="0" w:line="24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00" w:lineRule="auto" w:before="46"/>
        <w:ind w:right="227" w:firstLine="359"/>
        <w:jc w:val="both"/>
      </w:pPr>
      <w:r>
        <w:rPr>
          <w:spacing w:val="-3"/>
        </w:rPr>
        <w:t>（</w:t>
      </w:r>
      <w:r>
        <w:rPr>
          <w:rFonts w:ascii="Times New Roman" w:hAnsi="Times New Roman" w:cs="Times New Roman" w:eastAsia="Times New Roman" w:hint="default"/>
          <w:spacing w:val="-3"/>
        </w:rPr>
        <w:t>1</w:t>
      </w:r>
      <w:r>
        <w:rPr>
          <w:spacing w:val="-3"/>
        </w:rPr>
        <w:t>）因公司董事吕昌荣先生于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13</w:t>
      </w:r>
      <w:r>
        <w:rPr>
          <w:spacing w:val="-3"/>
        </w:rPr>
        <w:t>日离任，根据相关规定，其离任后</w:t>
      </w:r>
      <w:r>
        <w:rPr>
          <w:rFonts w:ascii="Times New Roman" w:hAnsi="Times New Roman" w:cs="Times New Roman" w:eastAsia="Times New Roman" w:hint="default"/>
          <w:spacing w:val="-3"/>
        </w:rPr>
        <w:t>6</w:t>
      </w:r>
      <w:r>
        <w:rPr>
          <w:spacing w:val="-3"/>
        </w:rPr>
        <w:t>个月内股份全部锁定，</w:t>
      </w:r>
      <w:r>
        <w:rPr>
          <w:rFonts w:ascii="Times New Roman" w:hAnsi="Times New Roman" w:cs="Times New Roman" w:eastAsia="Times New Roman" w:hint="default"/>
          <w:spacing w:val="-3"/>
        </w:rPr>
        <w:t>6</w:t>
      </w:r>
      <w:r>
        <w:rPr>
          <w:spacing w:val="-3"/>
        </w:rPr>
        <w:t>个月后按</w:t>
      </w:r>
      <w:r>
        <w:rPr>
          <w:rFonts w:ascii="Times New Roman" w:hAnsi="Times New Roman" w:cs="Times New Roman" w:eastAsia="Times New Roman" w:hint="default"/>
          <w:spacing w:val="-3"/>
        </w:rPr>
        <w:t>50%</w:t>
      </w:r>
      <w:r>
        <w:rPr>
          <w:rFonts w:ascii="Times New Roman" w:hAnsi="Times New Roman" w:cs="Times New Roman" w:eastAsia="Times New Roman" w:hint="default"/>
          <w:w w:val="101"/>
        </w:rPr>
        <w:t> </w:t>
      </w:r>
      <w:r>
        <w:rPr>
          <w:spacing w:val="-3"/>
        </w:rPr>
        <w:t>的比例锁定</w:t>
      </w:r>
      <w:r>
        <w:rPr>
          <w:rFonts w:ascii="Times New Roman" w:hAnsi="Times New Roman" w:cs="Times New Roman" w:eastAsia="Times New Roman" w:hint="default"/>
          <w:spacing w:val="-3"/>
        </w:rPr>
        <w:t>12</w:t>
      </w:r>
      <w:r>
        <w:rPr>
          <w:spacing w:val="-3"/>
        </w:rPr>
        <w:t>个月。报告期内，吕昌荣先生所持有的股份解锁</w:t>
      </w:r>
      <w:r>
        <w:rPr>
          <w:rFonts w:ascii="Times New Roman" w:hAnsi="Times New Roman" w:cs="Times New Roman" w:eastAsia="Times New Roman" w:hint="default"/>
          <w:spacing w:val="-3"/>
        </w:rPr>
        <w:t>50%</w:t>
      </w:r>
      <w:r>
        <w:rPr>
          <w:spacing w:val="-3"/>
        </w:rPr>
        <w:t>，即</w:t>
      </w:r>
      <w:r>
        <w:rPr>
          <w:rFonts w:ascii="Times New Roman" w:hAnsi="Times New Roman" w:cs="Times New Roman" w:eastAsia="Times New Roman" w:hint="default"/>
          <w:spacing w:val="-3"/>
        </w:rPr>
        <w:t>187,506</w:t>
      </w:r>
      <w:r>
        <w:rPr>
          <w:spacing w:val="-3"/>
        </w:rPr>
        <w:t>股，从而导致公司限售股份减少</w:t>
      </w:r>
      <w:r>
        <w:rPr>
          <w:rFonts w:ascii="Times New Roman" w:hAnsi="Times New Roman" w:cs="Times New Roman" w:eastAsia="Times New Roman" w:hint="default"/>
          <w:spacing w:val="-3"/>
        </w:rPr>
        <w:t>187,506</w:t>
      </w:r>
      <w:r>
        <w:rPr>
          <w:spacing w:val="-3"/>
        </w:rPr>
        <w:t>股，</w:t>
      </w:r>
      <w:r>
        <w:rPr>
          <w:spacing w:val="3"/>
        </w:rPr>
        <w:t> </w:t>
      </w:r>
      <w:r>
        <w:rPr>
          <w:spacing w:val="3"/>
        </w:rPr>
      </w:r>
      <w:r>
        <w:rPr/>
        <w:t>同时无限售股份增加</w:t>
      </w:r>
      <w:r>
        <w:rPr>
          <w:rFonts w:ascii="Times New Roman" w:hAnsi="Times New Roman" w:cs="Times New Roman" w:eastAsia="Times New Roman" w:hint="default"/>
        </w:rPr>
        <w:t>187,506</w:t>
      </w:r>
      <w:r>
        <w:rPr/>
        <w:t>股。</w:t>
      </w:r>
    </w:p>
    <w:p>
      <w:pPr>
        <w:pStyle w:val="BodyText"/>
        <w:spacing w:line="300" w:lineRule="auto" w:before="13"/>
        <w:ind w:left="153" w:right="185" w:firstLine="359"/>
        <w:jc w:val="both"/>
      </w:pPr>
      <w:r>
        <w:rPr>
          <w:spacing w:val="-4"/>
        </w:rPr>
        <w:t>（</w:t>
      </w:r>
      <w:r>
        <w:rPr>
          <w:rFonts w:ascii="Times New Roman" w:hAnsi="Times New Roman" w:cs="Times New Roman" w:eastAsia="Times New Roman" w:hint="default"/>
          <w:spacing w:val="-4"/>
        </w:rPr>
        <w:t>2</w:t>
      </w:r>
      <w:r>
        <w:rPr>
          <w:spacing w:val="-4"/>
        </w:rPr>
        <w:t>）因公司非公开发行的股份</w:t>
      </w:r>
      <w:r>
        <w:rPr>
          <w:rFonts w:ascii="Times New Roman" w:hAnsi="Times New Roman" w:cs="Times New Roman" w:eastAsia="Times New Roman" w:hint="default"/>
          <w:spacing w:val="-4"/>
        </w:rPr>
        <w:t>3700</w:t>
      </w:r>
      <w:r>
        <w:rPr>
          <w:spacing w:val="-4"/>
        </w:rPr>
        <w:t>万股于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20</w:t>
      </w:r>
      <w:r>
        <w:rPr>
          <w:spacing w:val="-4"/>
        </w:rPr>
        <w:t>日解禁上市流通，导致公司限售股份减少</w:t>
      </w:r>
      <w:r>
        <w:rPr>
          <w:rFonts w:ascii="Times New Roman" w:hAnsi="Times New Roman" w:cs="Times New Roman" w:eastAsia="Times New Roman" w:hint="default"/>
          <w:spacing w:val="-4"/>
        </w:rPr>
        <w:t>3700</w:t>
      </w:r>
      <w:r>
        <w:rPr>
          <w:spacing w:val="-4"/>
        </w:rPr>
        <w:t>万股，同时无限售</w:t>
      </w:r>
      <w:r>
        <w:rPr>
          <w:w w:val="101"/>
        </w:rPr>
        <w:t> </w:t>
      </w:r>
      <w:r>
        <w:rPr/>
        <w:t>股份增加</w:t>
      </w:r>
      <w:r>
        <w:rPr>
          <w:rFonts w:ascii="Times New Roman" w:hAnsi="Times New Roman" w:cs="Times New Roman" w:eastAsia="Times New Roman" w:hint="default"/>
        </w:rPr>
        <w:t>3700</w:t>
      </w:r>
      <w:r>
        <w:rPr/>
        <w:t>万股。</w:t>
      </w:r>
    </w:p>
    <w:p>
      <w:pPr>
        <w:pStyle w:val="BodyText"/>
        <w:spacing w:line="300" w:lineRule="auto" w:before="13"/>
        <w:ind w:left="153" w:right="173" w:firstLine="359"/>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日公司原董事兼副总经理宋东红先生离任，根据相关规定，其申报离任后</w:t>
      </w:r>
      <w:r>
        <w:rPr>
          <w:rFonts w:ascii="Times New Roman" w:hAnsi="Times New Roman" w:cs="Times New Roman" w:eastAsia="Times New Roman" w:hint="default"/>
          <w:spacing w:val="-3"/>
        </w:rPr>
        <w:t>6</w:t>
      </w:r>
      <w:r>
        <w:rPr>
          <w:spacing w:val="-3"/>
        </w:rPr>
        <w:t>个月内不得买卖公司股份，</w:t>
      </w:r>
      <w:r>
        <w:rPr>
          <w:w w:val="101"/>
        </w:rPr>
        <w:t> </w:t>
      </w:r>
      <w:r>
        <w:rPr>
          <w:spacing w:val="-3"/>
        </w:rPr>
        <w:t>离任后</w:t>
      </w:r>
      <w:r>
        <w:rPr>
          <w:rFonts w:ascii="Times New Roman" w:hAnsi="Times New Roman" w:cs="Times New Roman" w:eastAsia="Times New Roman" w:hint="default"/>
          <w:spacing w:val="-3"/>
        </w:rPr>
        <w:t>6</w:t>
      </w:r>
      <w:r>
        <w:rPr>
          <w:spacing w:val="-3"/>
        </w:rPr>
        <w:t>个月后的</w:t>
      </w:r>
      <w:r>
        <w:rPr>
          <w:rFonts w:ascii="Times New Roman" w:hAnsi="Times New Roman" w:cs="Times New Roman" w:eastAsia="Times New Roman" w:hint="default"/>
          <w:spacing w:val="-3"/>
        </w:rPr>
        <w:t>12</w:t>
      </w:r>
      <w:r>
        <w:rPr>
          <w:spacing w:val="-3"/>
        </w:rPr>
        <w:t>个月内减持公司股份比例不得超过</w:t>
      </w:r>
      <w:r>
        <w:rPr>
          <w:rFonts w:ascii="Times New Roman" w:hAnsi="Times New Roman" w:cs="Times New Roman" w:eastAsia="Times New Roman" w:hint="default"/>
          <w:spacing w:val="-3"/>
        </w:rPr>
        <w:t>50%</w:t>
      </w:r>
      <w:r>
        <w:rPr>
          <w:spacing w:val="-3"/>
        </w:rPr>
        <w:t>，离任后十八个月后其持有的股份全部解锁。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9</w:t>
      </w:r>
      <w:r>
        <w:rPr>
          <w:spacing w:val="-3"/>
        </w:rPr>
        <w:t>日宋 东红离任满十八个月，其锁定股</w:t>
      </w:r>
      <w:r>
        <w:rPr>
          <w:rFonts w:ascii="Times New Roman" w:hAnsi="Times New Roman" w:cs="Times New Roman" w:eastAsia="Times New Roman" w:hint="default"/>
          <w:spacing w:val="-3"/>
        </w:rPr>
        <w:t>249,075</w:t>
      </w:r>
      <w:r>
        <w:rPr>
          <w:spacing w:val="-3"/>
        </w:rPr>
        <w:t>股全部解锁，导致公司限售股份减少</w:t>
      </w:r>
      <w:r>
        <w:rPr>
          <w:rFonts w:ascii="Times New Roman" w:hAnsi="Times New Roman" w:cs="Times New Roman" w:eastAsia="Times New Roman" w:hint="default"/>
          <w:spacing w:val="-3"/>
        </w:rPr>
        <w:t>249,075</w:t>
      </w:r>
      <w:r>
        <w:rPr>
          <w:spacing w:val="-3"/>
        </w:rPr>
        <w:t>股，同时无限售股份增加</w:t>
      </w:r>
      <w:r>
        <w:rPr>
          <w:rFonts w:ascii="Times New Roman" w:hAnsi="Times New Roman" w:cs="Times New Roman" w:eastAsia="Times New Roman" w:hint="default"/>
          <w:spacing w:val="-3"/>
        </w:rPr>
        <w:t>249,075</w:t>
      </w:r>
      <w:r>
        <w:rPr>
          <w:spacing w:val="-3"/>
        </w:rPr>
        <w:t>股。</w:t>
      </w:r>
    </w:p>
    <w:p>
      <w:pPr>
        <w:pStyle w:val="BodyText"/>
        <w:spacing w:line="300" w:lineRule="auto" w:before="13"/>
        <w:ind w:left="153" w:right="184" w:firstLine="359"/>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28</w:t>
      </w:r>
      <w:r>
        <w:rPr>
          <w:spacing w:val="-3"/>
        </w:rPr>
        <w:t>日乔昕先生与冠德成签署《股份转让协议书》，冠德成将其持有的实益达无限售流动股</w:t>
      </w:r>
      <w:r>
        <w:rPr>
          <w:rFonts w:ascii="Times New Roman" w:hAnsi="Times New Roman" w:cs="Times New Roman" w:eastAsia="Times New Roman" w:hint="default"/>
          <w:spacing w:val="-3"/>
        </w:rPr>
        <w:t>48,890,126</w:t>
      </w:r>
      <w:r>
        <w:rPr>
          <w:spacing w:val="-3"/>
        </w:rPr>
        <w:t>股</w:t>
      </w:r>
      <w:r>
        <w:rPr>
          <w:w w:val="101"/>
        </w:rPr>
        <w:t> </w:t>
      </w:r>
      <w:r>
        <w:rPr>
          <w:spacing w:val="-4"/>
        </w:rPr>
        <w:t>协议转让给乔昕先生，并于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22</w:t>
      </w:r>
      <w:r>
        <w:rPr>
          <w:spacing w:val="-4"/>
        </w:rPr>
        <w:t>日完成所有股份的过户交易手续，因乔昕先生系公司董事，其协议受让冠德成股份</w:t>
      </w:r>
      <w:r>
        <w:rPr>
          <w:spacing w:val="59"/>
        </w:rPr>
        <w:t> </w:t>
      </w:r>
      <w:r>
        <w:rPr>
          <w:spacing w:val="59"/>
        </w:rPr>
      </w:r>
      <w:r>
        <w:rPr>
          <w:spacing w:val="-2"/>
        </w:rPr>
        <w:t>后会自动锁定</w:t>
      </w:r>
      <w:r>
        <w:rPr>
          <w:rFonts w:ascii="Times New Roman" w:hAnsi="Times New Roman" w:cs="Times New Roman" w:eastAsia="Times New Roman" w:hint="default"/>
          <w:spacing w:val="-2"/>
        </w:rPr>
        <w:t>75%</w:t>
      </w:r>
      <w:r>
        <w:rPr>
          <w:spacing w:val="-2"/>
        </w:rPr>
        <w:t>，导致公司限售股份增加</w:t>
      </w:r>
      <w:r>
        <w:rPr>
          <w:rFonts w:ascii="Times New Roman" w:hAnsi="Times New Roman" w:cs="Times New Roman" w:eastAsia="Times New Roman" w:hint="default"/>
          <w:spacing w:val="-2"/>
        </w:rPr>
        <w:t>36,667,594</w:t>
      </w:r>
      <w:r>
        <w:rPr>
          <w:spacing w:val="-2"/>
        </w:rPr>
        <w:t>股，同时无限售股份减少</w:t>
      </w:r>
      <w:r>
        <w:rPr>
          <w:rFonts w:ascii="Times New Roman" w:hAnsi="Times New Roman" w:cs="Times New Roman" w:eastAsia="Times New Roman" w:hint="default"/>
          <w:spacing w:val="-2"/>
        </w:rPr>
        <w:t>36,667,594</w:t>
      </w:r>
      <w:r>
        <w:rPr>
          <w:spacing w:val="-2"/>
        </w:rPr>
        <w:t>股。</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left="153" w:right="0"/>
        <w:jc w:val="both"/>
      </w:pPr>
      <w:r>
        <w:rPr>
          <w:spacing w:val="-3"/>
        </w:rPr>
        <w:t>股份变动的批准情况</w:t>
      </w:r>
    </w:p>
    <w:p>
      <w:pPr>
        <w:pStyle w:val="BodyText"/>
        <w:spacing w:line="240" w:lineRule="auto" w:before="115"/>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left="153" w:right="0"/>
        <w:jc w:val="both"/>
      </w:pPr>
      <w:r>
        <w:rPr>
          <w:spacing w:val="-3"/>
        </w:rPr>
        <w:t>股份变动的过户情况</w:t>
      </w:r>
    </w:p>
    <w:p>
      <w:pPr>
        <w:pStyle w:val="BodyText"/>
        <w:spacing w:line="333" w:lineRule="auto" w:before="115"/>
        <w:ind w:left="513" w:right="173" w:hanging="3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公司实际控制人乔昕先生于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28</w:t>
      </w:r>
      <w:r>
        <w:rPr>
          <w:spacing w:val="-3"/>
        </w:rPr>
        <w:t>日与冠德成签署《股份转让协议书》，乔昕先生通过协议转让方式受让冠德成</w:t>
      </w:r>
    </w:p>
    <w:p>
      <w:pPr>
        <w:pStyle w:val="BodyText"/>
        <w:spacing w:line="234" w:lineRule="exact"/>
        <w:ind w:left="153" w:right="0" w:hanging="1"/>
        <w:jc w:val="both"/>
      </w:pPr>
      <w:r>
        <w:rPr>
          <w:spacing w:val="-3"/>
        </w:rPr>
        <w:t>持有的实益达全部股份</w:t>
      </w:r>
      <w:r>
        <w:rPr>
          <w:rFonts w:ascii="Times New Roman" w:hAnsi="Times New Roman" w:cs="Times New Roman" w:eastAsia="Times New Roman" w:hint="default"/>
          <w:spacing w:val="-3"/>
        </w:rPr>
        <w:t>48,890,126</w:t>
      </w:r>
      <w:r>
        <w:rPr>
          <w:spacing w:val="-3"/>
        </w:rPr>
        <w:t>股，并已于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22</w:t>
      </w:r>
      <w:r>
        <w:rPr>
          <w:spacing w:val="-3"/>
        </w:rPr>
        <w:t>日完成股份过户登记手续。因冠德成系乔昕先生控制的公司，本</w:t>
      </w:r>
    </w:p>
    <w:p>
      <w:pPr>
        <w:pStyle w:val="BodyText"/>
        <w:spacing w:line="312" w:lineRule="auto" w:before="63"/>
        <w:ind w:left="153" w:right="189"/>
        <w:jc w:val="both"/>
      </w:pPr>
      <w:r>
        <w:rPr>
          <w:spacing w:val="-3"/>
        </w:rPr>
        <w:t>次转让系同一控制下的转让，公司已根据相关规定履行了信息披露义务，详见公司于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30</w:t>
      </w:r>
      <w:r>
        <w:rPr>
          <w:spacing w:val="-3"/>
        </w:rPr>
        <w:t>日刊载于证券时报、中国</w:t>
      </w:r>
      <w:r>
        <w:rPr>
          <w:spacing w:val="78"/>
        </w:rPr>
        <w:t> </w:t>
      </w:r>
      <w:r>
        <w:rPr>
          <w:spacing w:val="78"/>
        </w:rPr>
      </w:r>
      <w:r>
        <w:rPr>
          <w:spacing w:val="-5"/>
        </w:rPr>
        <w:t>证券报、巨潮资讯网的《关于同一实际控制人下股份转让的提示性公告》、《简式权益变动报告书》和《详式权益变动报告</w:t>
      </w:r>
      <w:r>
        <w:rPr>
          <w:spacing w:val="5"/>
        </w:rPr>
        <w:t> </w:t>
      </w:r>
      <w:r>
        <w:rPr>
          <w:spacing w:val="5"/>
        </w:rPr>
      </w:r>
      <w:r>
        <w:rPr/>
        <w:t>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3" w:right="0"/>
        <w:jc w:val="both"/>
      </w:pPr>
      <w:r>
        <w:rPr>
          <w:spacing w:val="-3"/>
        </w:rPr>
        <w:t>股份变动对最近一年和最近一期基本每股收益和稀释每股收益、归属于公司普通股股东的每股净资产等财务指标的影响</w:t>
      </w:r>
    </w:p>
    <w:p>
      <w:pPr>
        <w:pStyle w:val="BodyText"/>
        <w:spacing w:line="343" w:lineRule="auto" w:before="115"/>
        <w:ind w:left="153" w:right="550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37"/>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1"/>
        <w:rPr>
          <w:rFonts w:ascii="宋体" w:hAnsi="宋体" w:cs="宋体" w:eastAsia="宋体" w:hint="default"/>
          <w:sz w:val="22"/>
          <w:szCs w:val="22"/>
        </w:rPr>
      </w:pPr>
    </w:p>
    <w:p>
      <w:pPr>
        <w:pStyle w:val="Heading3"/>
        <w:spacing w:line="240" w:lineRule="auto"/>
        <w:ind w:right="0"/>
        <w:jc w:val="both"/>
      </w:pPr>
      <w:r>
        <w:rPr/>
        <w:t>二、证券发行与上市情况</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99"/>
        <w:gridCol w:w="1560"/>
        <w:gridCol w:w="1138"/>
        <w:gridCol w:w="1070"/>
        <w:gridCol w:w="1478"/>
        <w:gridCol w:w="1421"/>
        <w:gridCol w:w="1205"/>
      </w:tblGrid>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758" w:right="26" w:hanging="721"/>
              <w:jc w:val="left"/>
              <w:rPr>
                <w:rFonts w:ascii="宋体" w:hAnsi="宋体" w:cs="宋体" w:eastAsia="宋体" w:hint="default"/>
                <w:sz w:val="18"/>
                <w:szCs w:val="18"/>
              </w:rPr>
            </w:pPr>
            <w:r>
              <w:rPr>
                <w:rFonts w:ascii="宋体" w:hAnsi="宋体" w:cs="宋体" w:eastAsia="宋体" w:hint="default"/>
                <w:spacing w:val="-3"/>
                <w:sz w:val="18"/>
                <w:szCs w:val="18"/>
              </w:rPr>
              <w:t>股票及其衍生证券名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92" w:right="17" w:hanging="269"/>
              <w:jc w:val="left"/>
              <w:rPr>
                <w:rFonts w:ascii="宋体" w:hAnsi="宋体" w:cs="宋体" w:eastAsia="宋体" w:hint="default"/>
                <w:sz w:val="18"/>
                <w:szCs w:val="18"/>
              </w:rPr>
            </w:pPr>
            <w:r>
              <w:rPr>
                <w:rFonts w:ascii="宋体" w:hAnsi="宋体" w:cs="宋体" w:eastAsia="宋体" w:hint="default"/>
                <w:spacing w:val="-2"/>
                <w:sz w:val="18"/>
                <w:szCs w:val="18"/>
              </w:rPr>
              <w:t>发行价格（或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利率）</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614" w:right="69" w:hanging="538"/>
              <w:jc w:val="left"/>
              <w:rPr>
                <w:rFonts w:ascii="宋体" w:hAnsi="宋体" w:cs="宋体" w:eastAsia="宋体" w:hint="default"/>
                <w:sz w:val="18"/>
                <w:szCs w:val="18"/>
              </w:rPr>
            </w:pPr>
            <w:r>
              <w:rPr>
                <w:rFonts w:ascii="宋体" w:hAnsi="宋体" w:cs="宋体" w:eastAsia="宋体" w:hint="default"/>
                <w:spacing w:val="-3"/>
                <w:sz w:val="18"/>
                <w:szCs w:val="18"/>
              </w:rPr>
              <w:t>获准上市交易数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3.99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4.14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可转换公司债券、分离交易可转债、公司债类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40"/>
        </w:sectPr>
      </w:pPr>
    </w:p>
    <w:p>
      <w:pPr>
        <w:spacing w:line="240" w:lineRule="auto" w:before="6"/>
        <w:rPr>
          <w:rFonts w:ascii="宋体" w:hAnsi="宋体" w:cs="宋体" w:eastAsia="宋体" w:hint="default"/>
          <w:sz w:val="26"/>
          <w:szCs w:val="26"/>
        </w:rPr>
      </w:pPr>
    </w:p>
    <w:p>
      <w:pPr>
        <w:pStyle w:val="BodyText"/>
        <w:spacing w:line="240" w:lineRule="auto" w:before="46"/>
        <w:ind w:right="0"/>
        <w:jc w:val="both"/>
      </w:pPr>
      <w:r>
        <w:rPr>
          <w:spacing w:val="-3"/>
        </w:rPr>
        <w:t>前三年历次证券发行情况的说明</w:t>
      </w:r>
    </w:p>
    <w:p>
      <w:pPr>
        <w:pStyle w:val="BodyText"/>
        <w:spacing w:line="240" w:lineRule="auto" w:before="110"/>
        <w:ind w:left="512"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2013</w:t>
      </w:r>
      <w:r>
        <w:rPr>
          <w:spacing w:val="-3"/>
        </w:rPr>
        <w:t>年公司完成了非公开发行股票事宜，具体情况如下：</w:t>
      </w:r>
    </w:p>
    <w:p>
      <w:pPr>
        <w:pStyle w:val="BodyText"/>
        <w:spacing w:line="300" w:lineRule="auto" w:before="63"/>
        <w:ind w:left="512" w:right="0"/>
        <w:jc w:val="left"/>
      </w:pPr>
      <w:r>
        <w:rPr>
          <w:spacing w:val="-3"/>
        </w:rPr>
        <w:t>（</w:t>
      </w:r>
      <w:r>
        <w:rPr>
          <w:rFonts w:ascii="Times New Roman" w:hAnsi="Times New Roman" w:cs="Times New Roman" w:eastAsia="Times New Roman" w:hint="default"/>
          <w:spacing w:val="-3"/>
        </w:rPr>
        <w:t>1</w:t>
      </w:r>
      <w:r>
        <w:rPr>
          <w:spacing w:val="-3"/>
        </w:rPr>
        <w:t>）本次非公开发行履行的内部决策程序</w:t>
      </w:r>
      <w:r>
        <w:rPr>
          <w:spacing w:val="-29"/>
        </w:rPr>
        <w:t> </w:t>
      </w:r>
      <w:r>
        <w:rPr>
          <w:spacing w:val="-29"/>
        </w:rPr>
      </w:r>
      <w:r>
        <w:rPr>
          <w:spacing w:val="-3"/>
        </w:rPr>
        <w:t>公司关于本次非公开发行股票方案，于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9</w:t>
      </w:r>
      <w:r>
        <w:rPr>
          <w:spacing w:val="-3"/>
        </w:rPr>
        <w:t>日经公司第三届董事会第五次会议审议通过，并于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日经</w:t>
      </w:r>
    </w:p>
    <w:p>
      <w:pPr>
        <w:pStyle w:val="BodyText"/>
        <w:spacing w:line="300" w:lineRule="auto" w:before="13"/>
        <w:ind w:left="153" w:right="215"/>
        <w:jc w:val="both"/>
      </w:pPr>
      <w:r>
        <w:rPr>
          <w:spacing w:val="-3"/>
        </w:rPr>
        <w:t>公司</w:t>
      </w:r>
      <w:r>
        <w:rPr>
          <w:rFonts w:ascii="Times New Roman" w:hAnsi="Times New Roman" w:cs="Times New Roman" w:eastAsia="Times New Roman" w:hint="default"/>
          <w:spacing w:val="-3"/>
        </w:rPr>
        <w:t>2011</w:t>
      </w:r>
      <w:r>
        <w:rPr>
          <w:spacing w:val="-3"/>
        </w:rPr>
        <w:t>年度股东大会审议通过。公司于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日召开</w:t>
      </w:r>
      <w:r>
        <w:rPr>
          <w:rFonts w:ascii="Times New Roman" w:hAnsi="Times New Roman" w:cs="Times New Roman" w:eastAsia="Times New Roman" w:hint="default"/>
          <w:spacing w:val="-3"/>
        </w:rPr>
        <w:t>2013</w:t>
      </w:r>
      <w:r>
        <w:rPr>
          <w:spacing w:val="-3"/>
        </w:rPr>
        <w:t>年度第一次临时股东大会，审议通过本次非公开发行股票</w:t>
      </w:r>
      <w:r>
        <w:rPr>
          <w:spacing w:val="4"/>
        </w:rPr>
        <w:t> </w:t>
      </w:r>
      <w:r>
        <w:rPr>
          <w:spacing w:val="4"/>
        </w:rPr>
      </w:r>
      <w:r>
        <w:rPr>
          <w:spacing w:val="-3"/>
        </w:rPr>
        <w:t>方案股东大会决议的有效期自</w:t>
      </w:r>
      <w:r>
        <w:rPr>
          <w:rFonts w:ascii="Times New Roman" w:hAnsi="Times New Roman" w:cs="Times New Roman" w:eastAsia="Times New Roman" w:hint="default"/>
          <w:spacing w:val="-3"/>
        </w:rPr>
        <w:t>2011</w:t>
      </w:r>
      <w:r>
        <w:rPr>
          <w:spacing w:val="-3"/>
        </w:rPr>
        <w:t>年度股东大会决议有效期届满之日起延长</w:t>
      </w:r>
      <w:r>
        <w:rPr>
          <w:rFonts w:ascii="Times New Roman" w:hAnsi="Times New Roman" w:cs="Times New Roman" w:eastAsia="Times New Roman" w:hint="default"/>
          <w:spacing w:val="-3"/>
        </w:rPr>
        <w:t>6</w:t>
      </w:r>
      <w:r>
        <w:rPr>
          <w:spacing w:val="-3"/>
        </w:rPr>
        <w:t>个月的决议。</w:t>
      </w:r>
    </w:p>
    <w:p>
      <w:pPr>
        <w:pStyle w:val="BodyText"/>
        <w:spacing w:line="240" w:lineRule="auto" w:before="13"/>
        <w:ind w:left="513" w:right="0"/>
        <w:jc w:val="left"/>
      </w:pPr>
      <w:r>
        <w:rPr>
          <w:spacing w:val="-3"/>
        </w:rPr>
        <w:t>（</w:t>
      </w:r>
      <w:r>
        <w:rPr>
          <w:rFonts w:ascii="Times New Roman" w:hAnsi="Times New Roman" w:cs="Times New Roman" w:eastAsia="Times New Roman" w:hint="default"/>
          <w:spacing w:val="-3"/>
        </w:rPr>
        <w:t>2</w:t>
      </w:r>
      <w:r>
        <w:rPr>
          <w:spacing w:val="-3"/>
        </w:rPr>
        <w:t>）本次非公开发行监管部门的核准过程</w:t>
      </w:r>
    </w:p>
    <w:p>
      <w:pPr>
        <w:pStyle w:val="BodyText"/>
        <w:spacing w:line="240" w:lineRule="auto" w:before="63"/>
        <w:ind w:left="513" w:right="0"/>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日，经中国证监会发行审核委员会审核，本次非公开发行申请获得有条件通过。</w:t>
      </w:r>
    </w:p>
    <w:p>
      <w:pPr>
        <w:pStyle w:val="BodyText"/>
        <w:spacing w:line="300" w:lineRule="auto" w:before="63"/>
        <w:ind w:left="153" w:right="0" w:firstLine="359"/>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16</w:t>
      </w:r>
      <w:r>
        <w:rPr>
          <w:spacing w:val="-3"/>
        </w:rPr>
        <w:t>日，中国证监会下发《关于核准深圳市实益达科技股份有限公司非公开发行股票的批复》（证监许可</w:t>
      </w:r>
      <w:r>
        <w:rPr>
          <w:w w:val="101"/>
        </w:rPr>
        <w:t> </w:t>
      </w:r>
      <w:r>
        <w:rPr>
          <w:rFonts w:ascii="Times New Roman" w:hAnsi="Times New Roman" w:cs="Times New Roman" w:eastAsia="Times New Roman" w:hint="default"/>
        </w:rPr>
        <w:t>[2013]160</w:t>
      </w:r>
      <w:r>
        <w:rPr/>
        <w:t>号文），核准公司本次非公开发行新股。</w:t>
      </w:r>
    </w:p>
    <w:p>
      <w:pPr>
        <w:pStyle w:val="BodyText"/>
        <w:spacing w:line="300" w:lineRule="auto" w:before="13"/>
        <w:ind w:left="513" w:right="0"/>
        <w:jc w:val="left"/>
      </w:pPr>
      <w:r>
        <w:rPr>
          <w:spacing w:val="-3"/>
        </w:rPr>
        <w:t>（</w:t>
      </w:r>
      <w:r>
        <w:rPr>
          <w:rFonts w:ascii="Times New Roman" w:hAnsi="Times New Roman" w:cs="Times New Roman" w:eastAsia="Times New Roman" w:hint="default"/>
          <w:spacing w:val="-3"/>
        </w:rPr>
        <w:t>3</w:t>
      </w:r>
      <w:r>
        <w:rPr>
          <w:spacing w:val="-3"/>
        </w:rPr>
        <w:t>）定价方式及发行价格</w:t>
      </w:r>
      <w:r>
        <w:rPr>
          <w:spacing w:val="-52"/>
        </w:rPr>
        <w:t> </w:t>
      </w:r>
      <w:r>
        <w:rPr>
          <w:spacing w:val="-52"/>
        </w:rPr>
      </w:r>
      <w:r>
        <w:rPr>
          <w:spacing w:val="-4"/>
        </w:rPr>
        <w:t>根据公司第三届董事会第五次会议决议、</w:t>
      </w:r>
      <w:r>
        <w:rPr>
          <w:rFonts w:ascii="Times New Roman" w:hAnsi="Times New Roman" w:cs="Times New Roman" w:eastAsia="Times New Roman" w:hint="default"/>
          <w:spacing w:val="-4"/>
        </w:rPr>
        <w:t>2011</w:t>
      </w:r>
      <w:r>
        <w:rPr>
          <w:spacing w:val="-4"/>
        </w:rPr>
        <w:t>年度股东大会决议，本次非公开发行的定价基准日为公司第三届董事会第</w:t>
      </w:r>
    </w:p>
    <w:p>
      <w:pPr>
        <w:pStyle w:val="BodyText"/>
        <w:spacing w:line="300" w:lineRule="auto" w:before="13"/>
        <w:ind w:left="153" w:right="205"/>
        <w:jc w:val="both"/>
      </w:pPr>
      <w:r>
        <w:rPr>
          <w:spacing w:val="-4"/>
        </w:rPr>
        <w:t>五次会议决议公告日（</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10</w:t>
      </w:r>
      <w:r>
        <w:rPr>
          <w:spacing w:val="-4"/>
        </w:rPr>
        <w:t>日），发行价格不低于定价基准日前</w:t>
      </w:r>
      <w:r>
        <w:rPr>
          <w:rFonts w:ascii="Times New Roman" w:hAnsi="Times New Roman" w:cs="Times New Roman" w:eastAsia="Times New Roman" w:hint="default"/>
          <w:spacing w:val="-4"/>
        </w:rPr>
        <w:t>20</w:t>
      </w:r>
      <w:r>
        <w:rPr>
          <w:spacing w:val="-4"/>
        </w:rPr>
        <w:t>个交易日公司股票交易均价的</w:t>
      </w:r>
      <w:r>
        <w:rPr>
          <w:rFonts w:ascii="Times New Roman" w:hAnsi="Times New Roman" w:cs="Times New Roman" w:eastAsia="Times New Roman" w:hint="default"/>
          <w:spacing w:val="-4"/>
        </w:rPr>
        <w:t>90%</w:t>
      </w:r>
      <w:r>
        <w:rPr>
          <w:spacing w:val="-4"/>
        </w:rPr>
        <w:t>，即不低于</w:t>
      </w:r>
      <w:r>
        <w:rPr>
          <w:rFonts w:ascii="Times New Roman" w:hAnsi="Times New Roman" w:cs="Times New Roman" w:eastAsia="Times New Roman" w:hint="default"/>
          <w:spacing w:val="-4"/>
        </w:rPr>
        <w:t>5.49</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4"/>
        </w:rPr>
        <w:t>元</w:t>
      </w:r>
      <w:r>
        <w:rPr>
          <w:rFonts w:ascii="Times New Roman" w:hAnsi="Times New Roman" w:cs="Times New Roman" w:eastAsia="Times New Roman" w:hint="default"/>
          <w:spacing w:val="-4"/>
        </w:rPr>
        <w:t>/</w:t>
      </w:r>
      <w:r>
        <w:rPr>
          <w:spacing w:val="-4"/>
        </w:rPr>
        <w:t>股（注：定价基准日前二十个交易日公司股票交易均价＝定价基准日前二十个交易日公司股票交易总额</w:t>
      </w:r>
      <w:r>
        <w:rPr>
          <w:rFonts w:ascii="Times New Roman" w:hAnsi="Times New Roman" w:cs="Times New Roman" w:eastAsia="Times New Roman" w:hint="default"/>
          <w:spacing w:val="-4"/>
        </w:rPr>
        <w:t>÷</w:t>
      </w:r>
      <w:r>
        <w:rPr>
          <w:spacing w:val="-4"/>
        </w:rPr>
        <w:t>定价基准日前二</w:t>
      </w:r>
      <w:r>
        <w:rPr>
          <w:spacing w:val="73"/>
        </w:rPr>
        <w:t> </w:t>
      </w:r>
      <w:r>
        <w:rPr>
          <w:spacing w:val="73"/>
        </w:rPr>
      </w:r>
      <w:r>
        <w:rPr>
          <w:spacing w:val="-3"/>
        </w:rPr>
        <w:t>十个交易日公司股票交易总量）。</w:t>
      </w:r>
    </w:p>
    <w:p>
      <w:pPr>
        <w:pStyle w:val="BodyText"/>
        <w:spacing w:line="240" w:lineRule="auto" w:before="31"/>
        <w:ind w:left="51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年度利润分配预案》，决定以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日股本总数</w:t>
      </w:r>
    </w:p>
    <w:p>
      <w:pPr>
        <w:pStyle w:val="BodyText"/>
        <w:spacing w:line="300" w:lineRule="auto" w:before="63"/>
        <w:ind w:left="153" w:right="258"/>
        <w:jc w:val="both"/>
      </w:pPr>
      <w:r>
        <w:rPr>
          <w:rFonts w:ascii="Times New Roman" w:hAnsi="Times New Roman" w:cs="Times New Roman" w:eastAsia="Times New Roman" w:hint="default"/>
          <w:spacing w:val="-3"/>
        </w:rPr>
        <w:t>312,156,000</w:t>
      </w:r>
      <w:r>
        <w:rPr>
          <w:spacing w:val="-3"/>
        </w:rPr>
        <w:t>股为基数，向全体股东每</w:t>
      </w:r>
      <w:r>
        <w:rPr>
          <w:rFonts w:ascii="Times New Roman" w:hAnsi="Times New Roman" w:cs="Times New Roman" w:eastAsia="Times New Roman" w:hint="default"/>
          <w:spacing w:val="-3"/>
        </w:rPr>
        <w:t>10</w:t>
      </w:r>
      <w:r>
        <w:rPr>
          <w:spacing w:val="-3"/>
        </w:rPr>
        <w:t>股派发现金</w:t>
      </w:r>
      <w:r>
        <w:rPr>
          <w:rFonts w:ascii="Times New Roman" w:hAnsi="Times New Roman" w:cs="Times New Roman" w:eastAsia="Times New Roman" w:hint="default"/>
          <w:spacing w:val="-3"/>
        </w:rPr>
        <w:t>0.8</w:t>
      </w:r>
      <w:r>
        <w:rPr>
          <w:spacing w:val="-3"/>
        </w:rPr>
        <w:t>元（含税）；本次不进行资本公积金转增股本和送红股。公司</w:t>
      </w:r>
      <w:r>
        <w:rPr>
          <w:rFonts w:ascii="Times New Roman" w:hAnsi="Times New Roman" w:cs="Times New Roman" w:eastAsia="Times New Roman" w:hint="default"/>
          <w:spacing w:val="-3"/>
        </w:rPr>
        <w:t>2011</w:t>
      </w:r>
      <w:r>
        <w:rPr>
          <w:spacing w:val="-3"/>
        </w:rPr>
        <w:t>年</w:t>
      </w:r>
      <w:r>
        <w:rPr>
          <w:spacing w:val="10"/>
        </w:rPr>
        <w:t> </w:t>
      </w:r>
      <w:r>
        <w:rPr>
          <w:spacing w:val="-3"/>
        </w:rPr>
        <w:t>度利润分配方案实施完毕后，本次非公开发行股票的发行价格调整为不低于</w:t>
      </w:r>
      <w:r>
        <w:rPr>
          <w:rFonts w:ascii="Times New Roman" w:hAnsi="Times New Roman" w:cs="Times New Roman" w:eastAsia="Times New Roman" w:hint="default"/>
          <w:spacing w:val="-3"/>
        </w:rPr>
        <w:t>5.41</w:t>
      </w:r>
      <w:r>
        <w:rPr>
          <w:spacing w:val="-3"/>
        </w:rPr>
        <w:t>元</w:t>
      </w:r>
      <w:r>
        <w:rPr>
          <w:rFonts w:ascii="Times New Roman" w:hAnsi="Times New Roman" w:cs="Times New Roman" w:eastAsia="Times New Roman" w:hint="default"/>
          <w:spacing w:val="-3"/>
        </w:rPr>
        <w:t>/</w:t>
      </w:r>
      <w:r>
        <w:rPr>
          <w:spacing w:val="-3"/>
        </w:rPr>
        <w:t>股。</w:t>
      </w:r>
    </w:p>
    <w:p>
      <w:pPr>
        <w:pStyle w:val="BodyText"/>
        <w:spacing w:line="240" w:lineRule="auto" w:before="13"/>
        <w:ind w:left="51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2012</w:t>
      </w:r>
      <w:r>
        <w:rPr/>
        <w:t>年度股东大会审议通过了《</w:t>
      </w:r>
      <w:r>
        <w:rPr>
          <w:rFonts w:ascii="Times New Roman" w:hAnsi="Times New Roman" w:cs="Times New Roman" w:eastAsia="Times New Roman" w:hint="default"/>
        </w:rPr>
        <w:t>2012</w:t>
      </w:r>
      <w:r>
        <w:rPr/>
        <w:t>年度利润分配预案》，决定以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日股本总数</w:t>
      </w:r>
    </w:p>
    <w:p>
      <w:pPr>
        <w:pStyle w:val="BodyText"/>
        <w:spacing w:line="300" w:lineRule="auto" w:before="63"/>
        <w:ind w:left="153" w:right="258"/>
        <w:jc w:val="both"/>
      </w:pPr>
      <w:r>
        <w:rPr>
          <w:rFonts w:ascii="Times New Roman" w:hAnsi="Times New Roman" w:cs="Times New Roman" w:eastAsia="Times New Roman" w:hint="default"/>
          <w:spacing w:val="-2"/>
        </w:rPr>
        <w:t>312,156,000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0.2</w:t>
      </w:r>
      <w:r>
        <w:rPr>
          <w:spacing w:val="-2"/>
        </w:rPr>
        <w:t>元（含税）；同时进行资本公积金转增股本，以</w:t>
      </w:r>
      <w:r>
        <w:rPr>
          <w:rFonts w:ascii="Times New Roman" w:hAnsi="Times New Roman" w:cs="Times New Roman" w:eastAsia="Times New Roman" w:hint="default"/>
          <w:spacing w:val="-2"/>
        </w:rPr>
        <w:t>312,156,000</w:t>
      </w:r>
      <w:r>
        <w:rPr>
          <w:spacing w:val="-2"/>
        </w:rPr>
        <w:t>股为基数</w:t>
      </w:r>
      <w:r>
        <w:rPr>
          <w:spacing w:val="40"/>
        </w:rPr>
        <w:t> </w:t>
      </w:r>
      <w:r>
        <w:rPr>
          <w:spacing w:val="40"/>
        </w:rPr>
      </w:r>
      <w:r>
        <w:rPr>
          <w:spacing w:val="-3"/>
        </w:rPr>
        <w:t>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3.5</w:t>
      </w:r>
      <w:r>
        <w:rPr>
          <w:spacing w:val="-3"/>
        </w:rPr>
        <w:t>股，转增后公司总股本将增加至</w:t>
      </w:r>
      <w:r>
        <w:rPr>
          <w:rFonts w:ascii="Times New Roman" w:hAnsi="Times New Roman" w:cs="Times New Roman" w:eastAsia="Times New Roman" w:hint="default"/>
          <w:spacing w:val="-3"/>
        </w:rPr>
        <w:t>421,410,600</w:t>
      </w:r>
      <w:r>
        <w:rPr>
          <w:spacing w:val="-3"/>
        </w:rPr>
        <w:t>股。公司</w:t>
      </w:r>
      <w:r>
        <w:rPr>
          <w:rFonts w:ascii="Times New Roman" w:hAnsi="Times New Roman" w:cs="Times New Roman" w:eastAsia="Times New Roman" w:hint="default"/>
          <w:spacing w:val="-3"/>
        </w:rPr>
        <w:t>2012</w:t>
      </w:r>
      <w:r>
        <w:rPr>
          <w:spacing w:val="-3"/>
        </w:rPr>
        <w:t>年度利润分配方案实施完毕后，本次非</w:t>
      </w:r>
      <w:r>
        <w:rPr>
          <w:spacing w:val="7"/>
        </w:rPr>
        <w:t> </w:t>
      </w:r>
      <w:r>
        <w:rPr>
          <w:spacing w:val="7"/>
        </w:rPr>
      </w:r>
      <w:r>
        <w:rPr>
          <w:spacing w:val="-3"/>
        </w:rPr>
        <w:t>公开发行股票的发行价格调整为不低于</w:t>
      </w:r>
      <w:r>
        <w:rPr>
          <w:rFonts w:ascii="Times New Roman" w:hAnsi="Times New Roman" w:cs="Times New Roman" w:eastAsia="Times New Roman" w:hint="default"/>
          <w:spacing w:val="-3"/>
        </w:rPr>
        <w:t>3.99</w:t>
      </w:r>
      <w:r>
        <w:rPr>
          <w:spacing w:val="-3"/>
        </w:rPr>
        <w:t>元</w:t>
      </w:r>
      <w:r>
        <w:rPr>
          <w:rFonts w:ascii="Times New Roman" w:hAnsi="Times New Roman" w:cs="Times New Roman" w:eastAsia="Times New Roman" w:hint="default"/>
          <w:spacing w:val="-3"/>
        </w:rPr>
        <w:t>/</w:t>
      </w:r>
      <w:r>
        <w:rPr>
          <w:spacing w:val="-3"/>
        </w:rPr>
        <w:t>股。</w:t>
      </w:r>
    </w:p>
    <w:p>
      <w:pPr>
        <w:pStyle w:val="BodyText"/>
        <w:spacing w:line="300" w:lineRule="auto" w:before="13"/>
        <w:ind w:left="513" w:right="0"/>
        <w:jc w:val="left"/>
      </w:pPr>
      <w:r>
        <w:rPr>
          <w:spacing w:val="-3"/>
        </w:rPr>
        <w:t>（</w:t>
      </w:r>
      <w:r>
        <w:rPr>
          <w:rFonts w:ascii="Times New Roman" w:hAnsi="Times New Roman" w:cs="Times New Roman" w:eastAsia="Times New Roman" w:hint="default"/>
          <w:spacing w:val="-3"/>
        </w:rPr>
        <w:t>4</w:t>
      </w:r>
      <w:r>
        <w:rPr>
          <w:spacing w:val="-3"/>
        </w:rPr>
        <w:t>）本次非公开发行的缴款及验资程序</w:t>
      </w:r>
      <w:r>
        <w:rPr>
          <w:spacing w:val="-34"/>
        </w:rPr>
        <w:t> </w:t>
      </w:r>
      <w:r>
        <w:rPr>
          <w:spacing w:val="-34"/>
        </w:rPr>
      </w:r>
      <w:r>
        <w:rPr>
          <w:spacing w:val="-3"/>
        </w:rPr>
        <w:t>经大华会计师事务所出具《验资报告》（大华验字</w:t>
      </w:r>
      <w:r>
        <w:rPr>
          <w:rFonts w:ascii="Times New Roman" w:hAnsi="Times New Roman" w:cs="Times New Roman" w:eastAsia="Times New Roman" w:hint="default"/>
          <w:spacing w:val="-3"/>
        </w:rPr>
        <w:t>[2013]000228</w:t>
      </w:r>
      <w:r>
        <w:rPr>
          <w:spacing w:val="-3"/>
        </w:rPr>
        <w:t>号）验证，截至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9</w:t>
      </w:r>
      <w:r>
        <w:rPr>
          <w:spacing w:val="-3"/>
        </w:rPr>
        <w:t>日，本次发行募集资金总额</w:t>
      </w:r>
    </w:p>
    <w:p>
      <w:pPr>
        <w:pStyle w:val="BodyText"/>
        <w:spacing w:line="300" w:lineRule="auto" w:before="13"/>
        <w:ind w:left="153" w:right="0"/>
        <w:jc w:val="left"/>
      </w:pPr>
      <w:r>
        <w:rPr>
          <w:rFonts w:ascii="Times New Roman" w:hAnsi="Times New Roman" w:cs="Times New Roman" w:eastAsia="Times New Roman" w:hint="default"/>
          <w:spacing w:val="-5"/>
        </w:rPr>
        <w:t>14,763.00</w:t>
      </w:r>
      <w:r>
        <w:rPr>
          <w:spacing w:val="-5"/>
        </w:rPr>
        <w:t>万元，扣除与发行有关的费用（包括承销及保荐费用、审计及验资费用、律师费用、股份登记费用等）</w:t>
      </w:r>
      <w:r>
        <w:rPr>
          <w:rFonts w:ascii="Times New Roman" w:hAnsi="Times New Roman" w:cs="Times New Roman" w:eastAsia="Times New Roman" w:hint="default"/>
          <w:spacing w:val="-5"/>
        </w:rPr>
        <w:t>796.79</w:t>
      </w:r>
      <w:r>
        <w:rPr>
          <w:spacing w:val="-5"/>
        </w:rPr>
        <w:t>万元，</w:t>
      </w:r>
      <w:r>
        <w:rPr>
          <w:spacing w:val="10"/>
        </w:rPr>
        <w:t> </w:t>
      </w:r>
      <w:r>
        <w:rPr>
          <w:spacing w:val="10"/>
        </w:rPr>
      </w:r>
      <w:r>
        <w:rPr/>
        <w:t>实际募集资金净额为</w:t>
      </w:r>
      <w:r>
        <w:rPr>
          <w:rFonts w:ascii="Times New Roman" w:hAnsi="Times New Roman" w:cs="Times New Roman" w:eastAsia="Times New Roman" w:hint="default"/>
        </w:rPr>
        <w:t>13,966.21</w:t>
      </w:r>
      <w:r>
        <w:rPr/>
        <w:t>万元。</w:t>
      </w:r>
    </w:p>
    <w:p>
      <w:pPr>
        <w:pStyle w:val="BodyText"/>
        <w:spacing w:line="240" w:lineRule="auto" w:before="13"/>
        <w:ind w:left="513" w:right="0"/>
        <w:jc w:val="left"/>
      </w:pPr>
      <w:r>
        <w:rPr>
          <w:spacing w:val="-3"/>
        </w:rPr>
        <w:t>（</w:t>
      </w:r>
      <w:r>
        <w:rPr>
          <w:rFonts w:ascii="Times New Roman" w:hAnsi="Times New Roman" w:cs="Times New Roman" w:eastAsia="Times New Roman" w:hint="default"/>
          <w:spacing w:val="-3"/>
        </w:rPr>
        <w:t>5</w:t>
      </w:r>
      <w:r>
        <w:rPr>
          <w:spacing w:val="-3"/>
        </w:rPr>
        <w:t>）本次非公开发行新增股份登记情况</w:t>
      </w:r>
    </w:p>
    <w:p>
      <w:pPr>
        <w:pStyle w:val="BodyText"/>
        <w:spacing w:line="300" w:lineRule="auto" w:before="63"/>
        <w:ind w:left="154" w:right="0" w:firstLine="359"/>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日公司就本次增发股份向登记结算公司提交相关登记材料并于</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19</w:t>
      </w:r>
      <w:r>
        <w:rPr>
          <w:spacing w:val="-3"/>
        </w:rPr>
        <w:t>日登记到账，正式列入公司的股东名</w:t>
      </w:r>
      <w:r>
        <w:rPr>
          <w:w w:val="101"/>
        </w:rPr>
        <w:t> </w:t>
      </w:r>
      <w:r>
        <w:rPr>
          <w:spacing w:val="-3"/>
        </w:rPr>
        <w:t>册。本次发行新增股份的性质为有限售条件的流通股，上市日为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w:t>
      </w:r>
    </w:p>
    <w:p>
      <w:pPr>
        <w:pStyle w:val="BodyText"/>
        <w:spacing w:line="240" w:lineRule="auto" w:before="13"/>
        <w:ind w:left="514" w:right="0"/>
        <w:jc w:val="left"/>
      </w:pPr>
      <w:r>
        <w:rPr>
          <w:spacing w:val="-3"/>
        </w:rPr>
        <w:t>（</w:t>
      </w:r>
      <w:r>
        <w:rPr>
          <w:rFonts w:ascii="Times New Roman" w:hAnsi="Times New Roman" w:cs="Times New Roman" w:eastAsia="Times New Roman" w:hint="default"/>
          <w:spacing w:val="-3"/>
        </w:rPr>
        <w:t>6</w:t>
      </w:r>
      <w:r>
        <w:rPr>
          <w:spacing w:val="-3"/>
        </w:rPr>
        <w:t>）本次非公开发行股份解禁上市情况</w:t>
      </w:r>
    </w:p>
    <w:p>
      <w:pPr>
        <w:pStyle w:val="BodyText"/>
        <w:spacing w:line="300" w:lineRule="auto" w:before="63"/>
        <w:ind w:left="154" w:right="229" w:firstLine="359"/>
        <w:jc w:val="left"/>
      </w:pPr>
      <w:r>
        <w:rPr/>
        <w:t>本次非公开发行的股份</w:t>
      </w:r>
      <w:r>
        <w:rPr>
          <w:rFonts w:ascii="Times New Roman" w:hAnsi="Times New Roman" w:cs="Times New Roman" w:eastAsia="Times New Roman" w:hint="default"/>
        </w:rPr>
        <w:t>3700</w:t>
      </w:r>
      <w:r>
        <w:rPr/>
        <w:t>万股于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日解禁上市流通，</w:t>
      </w:r>
      <w:r>
        <w:rPr>
          <w:spacing w:val="49"/>
        </w:rPr>
        <w:t> </w:t>
      </w:r>
      <w:r>
        <w:rPr>
          <w:spacing w:val="-3"/>
        </w:rPr>
        <w:t>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日刊载于证券时报、中国证</w:t>
      </w:r>
      <w:r>
        <w:rPr>
          <w:w w:val="101"/>
        </w:rPr>
        <w:t> </w:t>
      </w:r>
      <w:r>
        <w:rPr>
          <w:spacing w:val="-3"/>
        </w:rPr>
        <w:t>券报和巨潮资讯网的《关于非公开发行限售股解禁上市流通的提示性公告》（公告编号：</w:t>
      </w:r>
      <w:r>
        <w:rPr>
          <w:rFonts w:ascii="Times New Roman" w:hAnsi="Times New Roman" w:cs="Times New Roman" w:eastAsia="Times New Roman" w:hint="default"/>
          <w:spacing w:val="-3"/>
        </w:rPr>
        <w:t>2014-070</w:t>
      </w:r>
      <w:r>
        <w:rPr>
          <w:spacing w:val="-3"/>
        </w:rPr>
        <w:t>）。</w:t>
      </w:r>
    </w:p>
    <w:p>
      <w:pPr>
        <w:pStyle w:val="BodyText"/>
        <w:spacing w:line="240" w:lineRule="auto" w:before="13"/>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年实施限制性股票激励计划情况：</w:t>
      </w:r>
    </w:p>
    <w:p>
      <w:pPr>
        <w:pStyle w:val="BodyText"/>
        <w:spacing w:line="240" w:lineRule="auto" w:before="63"/>
        <w:ind w:left="514" w:right="0"/>
        <w:jc w:val="left"/>
      </w:pPr>
      <w:r>
        <w:rPr>
          <w:spacing w:val="-3"/>
        </w:rPr>
        <w:t>（</w:t>
      </w:r>
      <w:r>
        <w:rPr>
          <w:rFonts w:ascii="Times New Roman" w:hAnsi="Times New Roman" w:cs="Times New Roman" w:eastAsia="Times New Roman" w:hint="default"/>
          <w:spacing w:val="-3"/>
        </w:rPr>
        <w:t>1</w:t>
      </w:r>
      <w:r>
        <w:rPr>
          <w:spacing w:val="-3"/>
        </w:rPr>
        <w:t>）首次授予限制性股票情况</w:t>
      </w:r>
    </w:p>
    <w:p>
      <w:pPr>
        <w:pStyle w:val="BodyText"/>
        <w:spacing w:line="302" w:lineRule="auto" w:before="63"/>
        <w:ind w:left="246" w:right="202" w:firstLine="268"/>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29</w:t>
      </w:r>
      <w:r>
        <w:rPr>
          <w:spacing w:val="-3"/>
        </w:rPr>
        <w:t>日公司召开的第三届董事会第二十四次会议，审议通过了《关于向激励对象授予股票期权和限制性股票的</w:t>
      </w:r>
      <w:r>
        <w:rPr>
          <w:w w:val="101"/>
        </w:rPr>
        <w:t> </w:t>
      </w:r>
      <w:r>
        <w:rPr>
          <w:spacing w:val="-4"/>
        </w:rPr>
        <w:t>议案》，公司向</w:t>
      </w:r>
      <w:r>
        <w:rPr>
          <w:rFonts w:ascii="Times New Roman" w:hAnsi="Times New Roman" w:cs="Times New Roman" w:eastAsia="Times New Roman" w:hint="default"/>
          <w:spacing w:val="-4"/>
        </w:rPr>
        <w:t>13</w:t>
      </w:r>
      <w:r>
        <w:rPr>
          <w:spacing w:val="-4"/>
        </w:rPr>
        <w:t>名激励对象授予限制性股票</w:t>
      </w:r>
      <w:r>
        <w:rPr>
          <w:rFonts w:ascii="Times New Roman" w:hAnsi="Times New Roman" w:cs="Times New Roman" w:eastAsia="Times New Roman" w:hint="default"/>
          <w:spacing w:val="-4"/>
        </w:rPr>
        <w:t>279</w:t>
      </w:r>
      <w:r>
        <w:rPr>
          <w:spacing w:val="-4"/>
        </w:rPr>
        <w:t>万股，并确定</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29</w:t>
      </w:r>
      <w:r>
        <w:rPr>
          <w:spacing w:val="-4"/>
        </w:rPr>
        <w:t>日为本次激励计划的授予日，截至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20</w:t>
      </w:r>
      <w:r>
        <w:rPr>
          <w:rFonts w:ascii="Times New Roman" w:hAnsi="Times New Roman" w:cs="Times New Roman" w:eastAsia="Times New Roman" w:hint="default"/>
          <w:spacing w:val="-2"/>
        </w:rPr>
        <w:t> </w:t>
      </w:r>
      <w:r>
        <w:rPr>
          <w:spacing w:val="-3"/>
        </w:rPr>
        <w:t>日，公司已收到</w:t>
      </w:r>
      <w:r>
        <w:rPr>
          <w:rFonts w:ascii="Times New Roman" w:hAnsi="Times New Roman" w:cs="Times New Roman" w:eastAsia="Times New Roman" w:hint="default"/>
          <w:spacing w:val="-3"/>
        </w:rPr>
        <w:t>13</w:t>
      </w:r>
      <w:r>
        <w:rPr>
          <w:spacing w:val="-3"/>
        </w:rPr>
        <w:t>名激励对象缴纳的股权激励增资款合计人民币</w:t>
      </w:r>
      <w:r>
        <w:rPr>
          <w:rFonts w:ascii="Times New Roman" w:hAnsi="Times New Roman" w:cs="Times New Roman" w:eastAsia="Times New Roman" w:hint="default"/>
          <w:spacing w:val="-3"/>
        </w:rPr>
        <w:t>558</w:t>
      </w:r>
      <w:r>
        <w:rPr>
          <w:spacing w:val="-3"/>
        </w:rPr>
        <w:t>万元，其中增加注册资本（股本）</w:t>
      </w:r>
      <w:r>
        <w:rPr>
          <w:rFonts w:ascii="Times New Roman" w:hAnsi="Times New Roman" w:cs="Times New Roman" w:eastAsia="Times New Roman" w:hint="default"/>
          <w:spacing w:val="-3"/>
        </w:rPr>
        <w:t>279</w:t>
      </w:r>
      <w:r>
        <w:rPr>
          <w:spacing w:val="-3"/>
        </w:rPr>
        <w:t>万元，增加资本</w:t>
      </w:r>
      <w:r>
        <w:rPr>
          <w:spacing w:val="78"/>
        </w:rPr>
        <w:t> </w:t>
      </w:r>
      <w:r>
        <w:rPr>
          <w:spacing w:val="78"/>
        </w:rPr>
      </w:r>
      <w:r>
        <w:rPr>
          <w:spacing w:val="-4"/>
        </w:rPr>
        <w:t>公积</w:t>
      </w:r>
      <w:r>
        <w:rPr>
          <w:rFonts w:ascii="Times New Roman" w:hAnsi="Times New Roman" w:cs="Times New Roman" w:eastAsia="Times New Roman" w:hint="default"/>
          <w:spacing w:val="-4"/>
        </w:rPr>
        <w:t>279</w:t>
      </w:r>
      <w:r>
        <w:rPr>
          <w:spacing w:val="-4"/>
        </w:rPr>
        <w:t>万元。</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w:t>
      </w:r>
      <w:r>
        <w:rPr>
          <w:spacing w:val="-4"/>
        </w:rPr>
        <w:t>日，公司完成了限制性股票在中国证券登记结算有限公司深圳分公司的登记手续，并确定上市日</w:t>
      </w:r>
      <w:r>
        <w:rPr>
          <w:spacing w:val="58"/>
        </w:rPr>
        <w:t> </w:t>
      </w:r>
      <w:r>
        <w:rPr>
          <w:spacing w:val="58"/>
        </w:rPr>
      </w:r>
      <w:r>
        <w:rPr>
          <w:spacing w:val="-3"/>
        </w:rPr>
        <w:t>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4</w:t>
      </w:r>
      <w:r>
        <w:rPr>
          <w:spacing w:val="-3"/>
        </w:rPr>
        <w:t>日。根据第四届董事会第四次会议、第四届董事会第八次会议审议通过的《关于回购注销部分限制性股票议</w:t>
      </w:r>
      <w:r>
        <w:rPr>
          <w:spacing w:val="75"/>
        </w:rPr>
        <w:t> </w:t>
      </w:r>
      <w:r>
        <w:rPr>
          <w:spacing w:val="75"/>
        </w:rPr>
      </w:r>
      <w:r>
        <w:rPr>
          <w:spacing w:val="-3"/>
        </w:rPr>
        <w:t>案》，因激励对象陈华明、陈钢因个人原因向公司提出辞职并已获得公司同意，且已办理完毕离职手续，公司回购并注销</w:t>
      </w:r>
      <w:r>
        <w:rPr>
          <w:spacing w:val="66"/>
        </w:rPr>
        <w:t> </w:t>
      </w:r>
      <w:r>
        <w:rPr>
          <w:spacing w:val="66"/>
        </w:rPr>
      </w:r>
      <w:r>
        <w:rPr>
          <w:spacing w:val="-3"/>
        </w:rPr>
        <w:t>其已获授但尚未解锁的限制性股票共</w:t>
      </w:r>
      <w:r>
        <w:rPr>
          <w:rFonts w:ascii="Times New Roman" w:hAnsi="Times New Roman" w:cs="Times New Roman" w:eastAsia="Times New Roman" w:hint="default"/>
          <w:spacing w:val="-3"/>
        </w:rPr>
        <w:t>60</w:t>
      </w:r>
      <w:r>
        <w:rPr>
          <w:spacing w:val="-3"/>
        </w:rPr>
        <w:t>万股；</w:t>
      </w:r>
    </w:p>
    <w:p>
      <w:pPr>
        <w:pStyle w:val="BodyText"/>
        <w:spacing w:line="240" w:lineRule="auto" w:before="11"/>
        <w:ind w:left="516" w:right="0"/>
        <w:jc w:val="left"/>
      </w:pPr>
      <w:r>
        <w:rPr>
          <w:spacing w:val="-3"/>
        </w:rPr>
        <w:t>（</w:t>
      </w:r>
      <w:r>
        <w:rPr>
          <w:rFonts w:ascii="Times New Roman" w:hAnsi="Times New Roman" w:cs="Times New Roman" w:eastAsia="Times New Roman" w:hint="default"/>
          <w:spacing w:val="-3"/>
        </w:rPr>
        <w:t>2</w:t>
      </w:r>
      <w:r>
        <w:rPr>
          <w:spacing w:val="-3"/>
        </w:rPr>
        <w:t>）预留部分限制性股票授予情况：</w:t>
      </w:r>
    </w:p>
    <w:p>
      <w:pPr>
        <w:pStyle w:val="BodyText"/>
        <w:spacing w:line="300" w:lineRule="auto" w:before="63"/>
        <w:ind w:left="247" w:right="0" w:firstLine="268"/>
        <w:jc w:val="left"/>
        <w:rPr>
          <w:rFonts w:ascii="Times New Roman" w:hAnsi="Times New Roman" w:cs="Times New Roman" w:eastAsia="Times New Roman" w:hint="default"/>
        </w:rPr>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日，公司召开第四届董事会第七次会议审议通过了《关于向激励对象授予预留限制性股票和股票期权的议</w:t>
      </w:r>
      <w:r>
        <w:rPr>
          <w:w w:val="101"/>
        </w:rPr>
        <w:t> </w:t>
      </w:r>
      <w:r>
        <w:rPr>
          <w:spacing w:val="-3"/>
        </w:rPr>
        <w:t>案》，公司向</w:t>
      </w:r>
      <w:r>
        <w:rPr>
          <w:rFonts w:ascii="Times New Roman" w:hAnsi="Times New Roman" w:cs="Times New Roman" w:eastAsia="Times New Roman" w:hint="default"/>
          <w:spacing w:val="-3"/>
        </w:rPr>
        <w:t>2</w:t>
      </w:r>
      <w:r>
        <w:rPr>
          <w:spacing w:val="-3"/>
        </w:rPr>
        <w:t>名激励对象授予预留限制性股票</w:t>
      </w:r>
      <w:r>
        <w:rPr>
          <w:rFonts w:ascii="Times New Roman" w:hAnsi="Times New Roman" w:cs="Times New Roman" w:eastAsia="Times New Roman" w:hint="default"/>
          <w:spacing w:val="-3"/>
        </w:rPr>
        <w:t>31</w:t>
      </w:r>
      <w:r>
        <w:rPr>
          <w:spacing w:val="-3"/>
        </w:rPr>
        <w:t>万股，并确定</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日为本次激励计划的授予日，截止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p>
    <w:p>
      <w:pPr>
        <w:spacing w:after="0" w:line="300" w:lineRule="auto"/>
        <w:jc w:val="left"/>
        <w:rPr>
          <w:rFonts w:ascii="Times New Roman" w:hAnsi="Times New Roman" w:cs="Times New Roman" w:eastAsia="Times New Roman" w:hint="default"/>
        </w:rPr>
        <w:sectPr>
          <w:pgSz w:w="11910" w:h="16840"/>
          <w:pgMar w:header="741" w:footer="979" w:top="1060" w:bottom="1160" w:left="980" w:right="920"/>
        </w:sectPr>
      </w:pPr>
    </w:p>
    <w:p>
      <w:pPr>
        <w:spacing w:line="240" w:lineRule="auto" w:before="8"/>
        <w:rPr>
          <w:rFonts w:ascii="Times New Roman" w:hAnsi="Times New Roman" w:cs="Times New Roman" w:eastAsia="Times New Roman" w:hint="default"/>
          <w:sz w:val="29"/>
          <w:szCs w:val="29"/>
        </w:rPr>
      </w:pPr>
    </w:p>
    <w:p>
      <w:pPr>
        <w:pStyle w:val="BodyText"/>
        <w:spacing w:line="300" w:lineRule="auto" w:before="46"/>
        <w:ind w:left="244" w:right="0" w:hanging="1"/>
        <w:jc w:val="left"/>
      </w:pPr>
      <w:r>
        <w:rPr>
          <w:spacing w:val="-3"/>
        </w:rPr>
        <w:t>月</w:t>
      </w:r>
      <w:r>
        <w:rPr>
          <w:rFonts w:ascii="Times New Roman" w:hAnsi="Times New Roman" w:cs="Times New Roman" w:eastAsia="Times New Roman" w:hint="default"/>
          <w:spacing w:val="-3"/>
        </w:rPr>
        <w:t>13</w:t>
      </w:r>
      <w:r>
        <w:rPr>
          <w:spacing w:val="-3"/>
        </w:rPr>
        <w:t>日止，公司已收到</w:t>
      </w:r>
      <w:r>
        <w:rPr>
          <w:rFonts w:ascii="Times New Roman" w:hAnsi="Times New Roman" w:cs="Times New Roman" w:eastAsia="Times New Roman" w:hint="default"/>
          <w:spacing w:val="-3"/>
        </w:rPr>
        <w:t>2</w:t>
      </w:r>
      <w:r>
        <w:rPr>
          <w:spacing w:val="-3"/>
        </w:rPr>
        <w:t>名激励对象缴纳的股权激励增资款合计人民币</w:t>
      </w:r>
      <w:r>
        <w:rPr>
          <w:rFonts w:ascii="Times New Roman" w:hAnsi="Times New Roman" w:cs="Times New Roman" w:eastAsia="Times New Roman" w:hint="default"/>
          <w:spacing w:val="-3"/>
        </w:rPr>
        <w:t>128.34</w:t>
      </w:r>
      <w:r>
        <w:rPr>
          <w:spacing w:val="-3"/>
        </w:rPr>
        <w:t>万元，其中增加注册资本（股本）</w:t>
      </w:r>
      <w:r>
        <w:rPr>
          <w:rFonts w:ascii="Times New Roman" w:hAnsi="Times New Roman" w:cs="Times New Roman" w:eastAsia="Times New Roman" w:hint="default"/>
          <w:spacing w:val="-3"/>
        </w:rPr>
        <w:t>31</w:t>
      </w:r>
      <w:r>
        <w:rPr>
          <w:spacing w:val="-3"/>
        </w:rPr>
        <w:t>万元，增</w:t>
      </w:r>
      <w:r>
        <w:rPr>
          <w:spacing w:val="45"/>
        </w:rPr>
        <w:t> </w:t>
      </w:r>
      <w:r>
        <w:rPr>
          <w:spacing w:val="45"/>
        </w:rPr>
      </w:r>
      <w:r>
        <w:rPr>
          <w:spacing w:val="-3"/>
        </w:rPr>
        <w:t>加资本公积</w:t>
      </w:r>
      <w:r>
        <w:rPr>
          <w:rFonts w:ascii="Times New Roman" w:hAnsi="Times New Roman" w:cs="Times New Roman" w:eastAsia="Times New Roman" w:hint="default"/>
          <w:spacing w:val="-3"/>
        </w:rPr>
        <w:t>97.34</w:t>
      </w:r>
      <w:r>
        <w:rPr>
          <w:spacing w:val="-3"/>
        </w:rPr>
        <w:t>万元。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8</w:t>
      </w:r>
      <w:r>
        <w:rPr>
          <w:spacing w:val="-3"/>
        </w:rPr>
        <w:t>日，公司完成了预留限制性股票在中国证券登记结算有限公司深圳分公司的登记手续，</w:t>
      </w:r>
      <w:r>
        <w:rPr>
          <w:spacing w:val="50"/>
        </w:rPr>
        <w:t> </w:t>
      </w:r>
      <w:r>
        <w:rPr>
          <w:spacing w:val="50"/>
        </w:rPr>
      </w:r>
      <w:r>
        <w:rPr/>
        <w:t>并确定上市日为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210"/>
        <w:jc w:val="righ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2011</w:t>
      </w:r>
      <w:r>
        <w:rPr>
          <w:spacing w:val="-4"/>
        </w:rPr>
        <w:t>年：经公司</w:t>
      </w:r>
      <w:r>
        <w:rPr>
          <w:rFonts w:ascii="Times New Roman" w:hAnsi="Times New Roman" w:cs="Times New Roman" w:eastAsia="Times New Roman" w:hint="default"/>
          <w:spacing w:val="-4"/>
        </w:rPr>
        <w:t>2010</w:t>
      </w:r>
      <w:r>
        <w:rPr>
          <w:spacing w:val="-4"/>
        </w:rPr>
        <w:t>年度股东大会审议通过，公司以</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日股本总数</w:t>
      </w:r>
      <w:r>
        <w:rPr>
          <w:rFonts w:ascii="Times New Roman" w:hAnsi="Times New Roman" w:cs="Times New Roman" w:eastAsia="Times New Roman" w:hint="default"/>
          <w:spacing w:val="-4"/>
        </w:rPr>
        <w:t>260,130,000</w:t>
      </w:r>
      <w:r>
        <w:rPr>
          <w:spacing w:val="-4"/>
        </w:rPr>
        <w:t>股为基数，向全体股东每</w:t>
      </w:r>
      <w:r>
        <w:rPr>
          <w:rFonts w:ascii="Times New Roman" w:hAnsi="Times New Roman" w:cs="Times New Roman" w:eastAsia="Times New Roman" w:hint="default"/>
          <w:spacing w:val="-4"/>
        </w:rPr>
        <w:t>10</w:t>
      </w:r>
    </w:p>
    <w:p>
      <w:pPr>
        <w:pStyle w:val="BodyText"/>
        <w:spacing w:line="240" w:lineRule="auto" w:before="67"/>
        <w:ind w:left="153" w:right="0"/>
        <w:jc w:val="left"/>
      </w:pPr>
      <w:r>
        <w:rPr/>
        <w:t>股转增</w:t>
      </w:r>
      <w:r>
        <w:rPr>
          <w:rFonts w:ascii="Times New Roman" w:hAnsi="Times New Roman" w:cs="Times New Roman" w:eastAsia="Times New Roman" w:hint="default"/>
        </w:rPr>
        <w:t>2</w:t>
      </w:r>
      <w:r>
        <w:rPr/>
        <w:t>股，并于</w:t>
      </w:r>
      <w:r>
        <w:rPr>
          <w:rFonts w:ascii="Times New Roman" w:hAnsi="Times New Roman" w:cs="Times New Roman" w:eastAsia="Times New Roman" w:hint="default"/>
        </w:rPr>
        <w:t>2011</w:t>
      </w:r>
      <w:r>
        <w:rPr/>
        <w:t>年度实施，转增后公司注册资本增加至</w:t>
      </w:r>
      <w:r>
        <w:rPr>
          <w:rFonts w:ascii="Times New Roman" w:hAnsi="Times New Roman" w:cs="Times New Roman" w:eastAsia="Times New Roman" w:hint="default"/>
        </w:rPr>
        <w:t>312,156,000</w:t>
      </w:r>
      <w:r>
        <w:rPr/>
        <w:t>股。</w:t>
      </w:r>
    </w:p>
    <w:p>
      <w:pPr>
        <w:pStyle w:val="BodyText"/>
        <w:spacing w:line="302" w:lineRule="auto" w:before="96"/>
        <w:ind w:left="153" w:right="210" w:firstLine="269"/>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2013</w:t>
      </w:r>
      <w:r>
        <w:rPr>
          <w:spacing w:val="-4"/>
        </w:rPr>
        <w:t>年：经公司</w:t>
      </w:r>
      <w:r>
        <w:rPr>
          <w:rFonts w:ascii="Times New Roman" w:hAnsi="Times New Roman" w:cs="Times New Roman" w:eastAsia="Times New Roman" w:hint="default"/>
          <w:spacing w:val="-4"/>
        </w:rPr>
        <w:t>2012</w:t>
      </w:r>
      <w:r>
        <w:rPr>
          <w:spacing w:val="-4"/>
        </w:rPr>
        <w:t>年度股东大会决议，公司以</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日股本总数</w:t>
      </w:r>
      <w:r>
        <w:rPr>
          <w:rFonts w:ascii="Times New Roman" w:hAnsi="Times New Roman" w:cs="Times New Roman" w:eastAsia="Times New Roman" w:hint="default"/>
          <w:spacing w:val="-4"/>
        </w:rPr>
        <w:t>312,156,000</w:t>
      </w:r>
      <w:r>
        <w:rPr>
          <w:spacing w:val="-4"/>
        </w:rPr>
        <w:t>股为基数，向全体股东每</w:t>
      </w:r>
      <w:r>
        <w:rPr>
          <w:rFonts w:ascii="Times New Roman" w:hAnsi="Times New Roman" w:cs="Times New Roman" w:eastAsia="Times New Roman" w:hint="default"/>
          <w:spacing w:val="-4"/>
        </w:rPr>
        <w:t>10</w:t>
      </w:r>
      <w:r>
        <w:rPr>
          <w:spacing w:val="-4"/>
        </w:rPr>
        <w:t>股转</w:t>
      </w:r>
      <w:r>
        <w:rPr>
          <w:w w:val="101"/>
        </w:rPr>
        <w:t> </w:t>
      </w:r>
      <w:r>
        <w:rPr>
          <w:spacing w:val="-2"/>
        </w:rPr>
        <w:t>增</w:t>
      </w:r>
      <w:r>
        <w:rPr>
          <w:rFonts w:ascii="Times New Roman" w:hAnsi="Times New Roman" w:cs="Times New Roman" w:eastAsia="Times New Roman" w:hint="default"/>
          <w:spacing w:val="-2"/>
        </w:rPr>
        <w:t>3.5</w:t>
      </w:r>
      <w:r>
        <w:rPr>
          <w:spacing w:val="-2"/>
        </w:rPr>
        <w:t>股，共计转增</w:t>
      </w:r>
      <w:r>
        <w:rPr>
          <w:rFonts w:ascii="Times New Roman" w:hAnsi="Times New Roman" w:cs="Times New Roman" w:eastAsia="Times New Roman" w:hint="default"/>
          <w:spacing w:val="-2"/>
        </w:rPr>
        <w:t>10,925.46</w:t>
      </w:r>
      <w:r>
        <w:rPr>
          <w:spacing w:val="-2"/>
        </w:rPr>
        <w:t>万股，并于</w:t>
      </w:r>
      <w:r>
        <w:rPr>
          <w:rFonts w:ascii="Times New Roman" w:hAnsi="Times New Roman" w:cs="Times New Roman" w:eastAsia="Times New Roman" w:hint="default"/>
          <w:spacing w:val="-2"/>
        </w:rPr>
        <w:t>2013</w:t>
      </w:r>
      <w:r>
        <w:rPr>
          <w:spacing w:val="-2"/>
        </w:rPr>
        <w:t>年度实施，转增后公司注册资本增加至</w:t>
      </w:r>
      <w:r>
        <w:rPr>
          <w:rFonts w:ascii="Times New Roman" w:hAnsi="Times New Roman" w:cs="Times New Roman" w:eastAsia="Times New Roman" w:hint="default"/>
          <w:spacing w:val="-2"/>
        </w:rPr>
        <w:t>421,410,600</w:t>
      </w:r>
      <w:r>
        <w:rPr>
          <w:spacing w:val="-2"/>
        </w:rPr>
        <w:t>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日非公开发</w:t>
      </w:r>
      <w:r>
        <w:rPr>
          <w:spacing w:val="46"/>
        </w:rPr>
        <w:t> </w:t>
      </w:r>
      <w:r>
        <w:rPr>
          <w:spacing w:val="46"/>
        </w:rPr>
      </w:r>
      <w:r>
        <w:rPr/>
        <w:t>行</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37,000,000</w:t>
      </w:r>
      <w:r>
        <w:rPr/>
        <w:t>股</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日上市，本次非公开发行股票后公司注册资本增加至</w:t>
      </w:r>
      <w:r>
        <w:rPr>
          <w:rFonts w:ascii="Times New Roman" w:hAnsi="Times New Roman" w:cs="Times New Roman" w:eastAsia="Times New Roman" w:hint="default"/>
        </w:rPr>
        <w:t>458,410,600</w:t>
      </w:r>
      <w:r>
        <w:rPr/>
        <w:t>股。</w:t>
      </w:r>
    </w:p>
    <w:p>
      <w:pPr>
        <w:pStyle w:val="BodyText"/>
        <w:spacing w:line="302" w:lineRule="auto" w:before="44"/>
        <w:ind w:left="153" w:right="205" w:firstLine="268"/>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29</w:t>
      </w:r>
      <w:r>
        <w:rPr>
          <w:spacing w:val="-3"/>
        </w:rPr>
        <w:t>日公司召开的第三届董事会第二十四次会议，审议通过了《关于向激励对象授予股票期权和限</w:t>
      </w:r>
      <w:r>
        <w:rPr>
          <w:w w:val="101"/>
        </w:rPr>
        <w:t> </w:t>
      </w:r>
      <w:r>
        <w:rPr>
          <w:spacing w:val="-7"/>
        </w:rPr>
        <w:t>制性股票的议案》，公司向</w:t>
      </w:r>
      <w:r>
        <w:rPr>
          <w:rFonts w:ascii="Times New Roman" w:hAnsi="Times New Roman" w:cs="Times New Roman" w:eastAsia="Times New Roman" w:hint="default"/>
          <w:spacing w:val="-7"/>
        </w:rPr>
        <w:t>13</w:t>
      </w:r>
      <w:r>
        <w:rPr>
          <w:spacing w:val="-7"/>
        </w:rPr>
        <w:t>名激励对象授予限制性股票</w:t>
      </w:r>
      <w:r>
        <w:rPr>
          <w:rFonts w:ascii="Times New Roman" w:hAnsi="Times New Roman" w:cs="Times New Roman" w:eastAsia="Times New Roman" w:hint="default"/>
          <w:spacing w:val="-7"/>
        </w:rPr>
        <w:t>279</w:t>
      </w:r>
      <w:r>
        <w:rPr>
          <w:spacing w:val="-7"/>
        </w:rPr>
        <w:t>万股，并确定</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29</w:t>
      </w:r>
      <w:r>
        <w:rPr>
          <w:spacing w:val="-7"/>
        </w:rPr>
        <w:t>日为本次激励计划的授予日，截至</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日，公司已收到</w:t>
      </w:r>
      <w:r>
        <w:rPr>
          <w:rFonts w:ascii="Times New Roman" w:hAnsi="Times New Roman" w:cs="Times New Roman" w:eastAsia="Times New Roman" w:hint="default"/>
          <w:spacing w:val="-3"/>
        </w:rPr>
        <w:t>13</w:t>
      </w:r>
      <w:r>
        <w:rPr>
          <w:spacing w:val="-3"/>
        </w:rPr>
        <w:t>名激励对象缴纳的股权激励增资款合计人民币</w:t>
      </w:r>
      <w:r>
        <w:rPr>
          <w:rFonts w:ascii="Times New Roman" w:hAnsi="Times New Roman" w:cs="Times New Roman" w:eastAsia="Times New Roman" w:hint="default"/>
          <w:spacing w:val="-3"/>
        </w:rPr>
        <w:t>558</w:t>
      </w:r>
      <w:r>
        <w:rPr>
          <w:spacing w:val="-3"/>
        </w:rPr>
        <w:t>万元，其中增加注册资本（股本）</w:t>
      </w:r>
      <w:r>
        <w:rPr>
          <w:rFonts w:ascii="Times New Roman" w:hAnsi="Times New Roman" w:cs="Times New Roman" w:eastAsia="Times New Roman" w:hint="default"/>
          <w:spacing w:val="-3"/>
        </w:rPr>
        <w:t>279</w:t>
      </w:r>
      <w:r>
        <w:rPr>
          <w:spacing w:val="-3"/>
        </w:rPr>
        <w:t>万元，增</w:t>
      </w:r>
      <w:r>
        <w:rPr>
          <w:spacing w:val="-2"/>
        </w:rPr>
        <w:t> </w:t>
      </w:r>
      <w:r>
        <w:rPr>
          <w:spacing w:val="-2"/>
        </w:rPr>
      </w:r>
      <w:r>
        <w:rPr/>
        <w:t>加资本公积</w:t>
      </w:r>
      <w:r>
        <w:rPr>
          <w:rFonts w:ascii="Times New Roman" w:hAnsi="Times New Roman" w:cs="Times New Roman" w:eastAsia="Times New Roman" w:hint="default"/>
        </w:rPr>
        <w:t>279</w:t>
      </w:r>
      <w:r>
        <w:rPr/>
        <w:t>万元，公司注册资本增加至</w:t>
      </w:r>
      <w:r>
        <w:rPr>
          <w:rFonts w:ascii="Times New Roman" w:hAnsi="Times New Roman" w:cs="Times New Roman" w:eastAsia="Times New Roman" w:hint="default"/>
        </w:rPr>
        <w:t>461,200,600</w:t>
      </w:r>
      <w:r>
        <w:rPr/>
        <w:t>股。</w:t>
      </w:r>
    </w:p>
    <w:p>
      <w:pPr>
        <w:pStyle w:val="BodyText"/>
        <w:spacing w:line="321" w:lineRule="auto" w:before="49"/>
        <w:ind w:left="153" w:right="205" w:firstLine="268"/>
        <w:jc w:val="both"/>
      </w:pPr>
      <w:r>
        <w:rPr>
          <w:spacing w:val="-3"/>
        </w:rPr>
        <w:t>根据第四届董事会第四次会议、第四届董事会第八次会议审议通过的《关于回购注销部分限制性股票议案》，因激励对</w:t>
      </w:r>
      <w:r>
        <w:rPr>
          <w:w w:val="101"/>
        </w:rPr>
        <w:t> </w:t>
      </w:r>
      <w:r>
        <w:rPr>
          <w:spacing w:val="-4"/>
        </w:rPr>
        <w:t>象陈华明、陈钢因个人原因向公司提出辞职并已获得公司同意，且已办理完毕离职手续，公司回购并注销其已获授但尚未解</w:t>
      </w:r>
      <w:r>
        <w:rPr>
          <w:spacing w:val="43"/>
        </w:rPr>
        <w:t> </w:t>
      </w:r>
      <w:r>
        <w:rPr>
          <w:spacing w:val="43"/>
        </w:rPr>
      </w:r>
      <w:r>
        <w:rPr>
          <w:spacing w:val="-3"/>
        </w:rPr>
        <w:t>锁的限制性股票共</w:t>
      </w:r>
      <w:r>
        <w:rPr>
          <w:rFonts w:ascii="Times New Roman" w:hAnsi="Times New Roman" w:cs="Times New Roman" w:eastAsia="Times New Roman" w:hint="default"/>
          <w:spacing w:val="-3"/>
        </w:rPr>
        <w:t>60</w:t>
      </w:r>
      <w:r>
        <w:rPr>
          <w:spacing w:val="-3"/>
        </w:rPr>
        <w:t>万股，公司注册资本减少至</w:t>
      </w:r>
      <w:r>
        <w:rPr>
          <w:rFonts w:ascii="Times New Roman" w:hAnsi="Times New Roman" w:cs="Times New Roman" w:eastAsia="Times New Roman" w:hint="default"/>
          <w:spacing w:val="-3"/>
        </w:rPr>
        <w:t>460,600,600</w:t>
      </w:r>
      <w:r>
        <w:rPr>
          <w:spacing w:val="-3"/>
        </w:rPr>
        <w:t>股；</w:t>
      </w:r>
    </w:p>
    <w:p>
      <w:pPr>
        <w:pStyle w:val="BodyText"/>
        <w:spacing w:line="302" w:lineRule="auto" w:before="28"/>
        <w:ind w:left="153" w:right="204" w:firstLine="268"/>
        <w:jc w:val="both"/>
      </w:pPr>
      <w:r>
        <w:rPr>
          <w:spacing w:val="-4"/>
        </w:rPr>
        <w:t>根据第四届董事会第七次会议审议通过的《关于向激励对象授予预留限制性股票和股票期权的议案》，公司向</w:t>
      </w:r>
      <w:r>
        <w:rPr>
          <w:rFonts w:ascii="Times New Roman" w:hAnsi="Times New Roman" w:cs="Times New Roman" w:eastAsia="Times New Roman" w:hint="default"/>
          <w:spacing w:val="-4"/>
        </w:rPr>
        <w:t>2</w:t>
      </w:r>
      <w:r>
        <w:rPr>
          <w:spacing w:val="-4"/>
        </w:rPr>
        <w:t>名激励对</w:t>
      </w:r>
      <w:r>
        <w:rPr>
          <w:w w:val="101"/>
        </w:rPr>
        <w:t> </w:t>
      </w:r>
      <w:r>
        <w:rPr>
          <w:spacing w:val="-3"/>
        </w:rPr>
        <w:t>象授予预留限制性股票</w:t>
      </w:r>
      <w:r>
        <w:rPr>
          <w:rFonts w:ascii="Times New Roman" w:hAnsi="Times New Roman" w:cs="Times New Roman" w:eastAsia="Times New Roman" w:hint="default"/>
          <w:spacing w:val="-3"/>
        </w:rPr>
        <w:t>31</w:t>
      </w:r>
      <w:r>
        <w:rPr>
          <w:spacing w:val="-3"/>
        </w:rPr>
        <w:t>万股，并确定</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日为本次激励计划的授予日，截止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13</w:t>
      </w:r>
      <w:r>
        <w:rPr>
          <w:spacing w:val="-3"/>
        </w:rPr>
        <w:t>日止，公司已收到</w:t>
      </w:r>
      <w:r>
        <w:rPr>
          <w:rFonts w:ascii="Times New Roman" w:hAnsi="Times New Roman" w:cs="Times New Roman" w:eastAsia="Times New Roman" w:hint="default"/>
          <w:spacing w:val="-3"/>
        </w:rPr>
        <w:t>2</w:t>
      </w:r>
      <w:r>
        <w:rPr>
          <w:spacing w:val="-3"/>
        </w:rPr>
        <w:t>名</w:t>
      </w:r>
      <w:r>
        <w:rPr>
          <w:spacing w:val="9"/>
        </w:rPr>
        <w:t> </w:t>
      </w:r>
      <w:r>
        <w:rPr>
          <w:spacing w:val="-4"/>
        </w:rPr>
        <w:t>激励对象缴纳的股权激励增资款合计人民币</w:t>
      </w:r>
      <w:r>
        <w:rPr>
          <w:rFonts w:ascii="Times New Roman" w:hAnsi="Times New Roman" w:cs="Times New Roman" w:eastAsia="Times New Roman" w:hint="default"/>
          <w:spacing w:val="-4"/>
        </w:rPr>
        <w:t>128.34</w:t>
      </w:r>
      <w:r>
        <w:rPr>
          <w:spacing w:val="-4"/>
        </w:rPr>
        <w:t>万元，其中增加注册资本（股本）</w:t>
      </w:r>
      <w:r>
        <w:rPr>
          <w:rFonts w:ascii="Times New Roman" w:hAnsi="Times New Roman" w:cs="Times New Roman" w:eastAsia="Times New Roman" w:hint="default"/>
          <w:spacing w:val="-4"/>
        </w:rPr>
        <w:t>31</w:t>
      </w:r>
      <w:r>
        <w:rPr>
          <w:spacing w:val="-4"/>
        </w:rPr>
        <w:t>万元，增加资本公积</w:t>
      </w:r>
      <w:r>
        <w:rPr>
          <w:rFonts w:ascii="Times New Roman" w:hAnsi="Times New Roman" w:cs="Times New Roman" w:eastAsia="Times New Roman" w:hint="default"/>
          <w:spacing w:val="-4"/>
        </w:rPr>
        <w:t>97.34</w:t>
      </w:r>
      <w:r>
        <w:rPr>
          <w:spacing w:val="-4"/>
        </w:rPr>
        <w:t>万元，公司</w:t>
      </w:r>
      <w:r>
        <w:rPr>
          <w:spacing w:val="66"/>
        </w:rPr>
        <w:t> </w:t>
      </w:r>
      <w:r>
        <w:rPr>
          <w:spacing w:val="66"/>
        </w:rPr>
      </w:r>
      <w:r>
        <w:rPr/>
        <w:t>注册资本增加至</w:t>
      </w:r>
      <w:r>
        <w:rPr>
          <w:rFonts w:ascii="Times New Roman" w:hAnsi="Times New Roman" w:cs="Times New Roman" w:eastAsia="Times New Roman" w:hint="default"/>
        </w:rPr>
        <w:t>460,910,600</w:t>
      </w:r>
      <w:r>
        <w:rPr/>
        <w:t>股。</w:t>
      </w:r>
    </w:p>
    <w:p>
      <w:pPr>
        <w:spacing w:line="240" w:lineRule="auto" w:before="1"/>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3"/>
        <w:spacing w:line="240" w:lineRule="auto"/>
        <w:ind w:right="0"/>
        <w:jc w:val="left"/>
      </w:pPr>
      <w:r>
        <w:rPr/>
        <w:t>三、股东和实际控制人情况</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206"/>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06"/>
        <w:gridCol w:w="1032"/>
        <w:gridCol w:w="461"/>
        <w:gridCol w:w="398"/>
        <w:gridCol w:w="1090"/>
        <w:gridCol w:w="106"/>
        <w:gridCol w:w="883"/>
        <w:gridCol w:w="710"/>
        <w:gridCol w:w="283"/>
        <w:gridCol w:w="994"/>
        <w:gridCol w:w="317"/>
        <w:gridCol w:w="533"/>
        <w:gridCol w:w="1066"/>
      </w:tblGrid>
      <w:tr>
        <w:trPr>
          <w:trHeight w:val="1339"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13"/>
              <w:jc w:val="left"/>
              <w:rPr>
                <w:rFonts w:ascii="宋体" w:hAnsi="宋体" w:cs="宋体" w:eastAsia="宋体" w:hint="default"/>
                <w:sz w:val="18"/>
                <w:szCs w:val="18"/>
              </w:rPr>
            </w:pPr>
            <w:r>
              <w:rPr>
                <w:rFonts w:ascii="宋体" w:hAnsi="宋体" w:cs="宋体" w:eastAsia="宋体" w:hint="default"/>
                <w:spacing w:val="-2"/>
                <w:sz w:val="18"/>
                <w:szCs w:val="18"/>
              </w:rPr>
              <w:t>报告期末普通股股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东总数</w:t>
            </w:r>
          </w:p>
        </w:tc>
        <w:tc>
          <w:tcPr>
            <w:tcW w:w="15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18,102</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3" w:right="113"/>
              <w:jc w:val="both"/>
              <w:rPr>
                <w:rFonts w:ascii="宋体" w:hAnsi="宋体" w:cs="宋体" w:eastAsia="宋体" w:hint="default"/>
                <w:sz w:val="18"/>
                <w:szCs w:val="18"/>
              </w:rPr>
            </w:pPr>
            <w:r>
              <w:rPr>
                <w:rFonts w:ascii="宋体" w:hAnsi="宋体" w:cs="宋体" w:eastAsia="宋体" w:hint="default"/>
                <w:spacing w:val="-2"/>
                <w:sz w:val="18"/>
                <w:szCs w:val="18"/>
              </w:rPr>
              <w:t>年度报告披露日前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w:t>
            </w:r>
            <w:r>
              <w:rPr>
                <w:rFonts w:ascii="宋体" w:hAnsi="宋体" w:cs="宋体" w:eastAsia="宋体" w:hint="default"/>
                <w:w w:val="101"/>
                <w:sz w:val="18"/>
                <w:szCs w:val="18"/>
              </w:rPr>
              <w:t> </w:t>
            </w:r>
            <w:r>
              <w:rPr>
                <w:rFonts w:ascii="宋体" w:hAnsi="宋体" w:cs="宋体" w:eastAsia="宋体" w:hint="default"/>
                <w:sz w:val="18"/>
                <w:szCs w:val="18"/>
              </w:rPr>
              <w:t>通股股东总数</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16,312</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报告期末表决权恢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复的优先股股东总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数（如有）（参见注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8" w:hRule="exact"/>
        </w:trPr>
        <w:tc>
          <w:tcPr>
            <w:tcW w:w="16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4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268" w:right="84"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9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3" w:right="31"/>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9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8"/>
              <w:ind w:left="43" w:right="36"/>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8"/>
              <w:ind w:left="43" w:right="36"/>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91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699" w:type="dxa"/>
            <w:gridSpan w:val="2"/>
            <w:vMerge/>
            <w:tcBorders>
              <w:left w:val="single" w:sz="4" w:space="0" w:color="000000"/>
              <w:bottom w:val="single" w:sz="4" w:space="0" w:color="000000"/>
              <w:right w:val="single" w:sz="4" w:space="0" w:color="000000"/>
            </w:tcBorders>
            <w:shd w:val="clear" w:color="auto" w:fill="D3D3D3"/>
          </w:tcPr>
          <w:p>
            <w:pPr/>
          </w:p>
        </w:tc>
        <w:tc>
          <w:tcPr>
            <w:tcW w:w="1032" w:type="dxa"/>
            <w:vMerge/>
            <w:tcBorders>
              <w:left w:val="single" w:sz="4" w:space="0" w:color="000000"/>
              <w:bottom w:val="single" w:sz="4" w:space="0" w:color="000000"/>
              <w:right w:val="single" w:sz="4" w:space="0" w:color="000000"/>
            </w:tcBorders>
            <w:shd w:val="clear" w:color="auto" w:fill="D3D3D3"/>
          </w:tcPr>
          <w:p>
            <w:pPr/>
          </w:p>
        </w:tc>
        <w:tc>
          <w:tcPr>
            <w:tcW w:w="859" w:type="dxa"/>
            <w:gridSpan w:val="2"/>
            <w:vMerge/>
            <w:tcBorders>
              <w:left w:val="single" w:sz="4" w:space="0" w:color="000000"/>
              <w:bottom w:val="single" w:sz="4" w:space="0" w:color="000000"/>
              <w:right w:val="single" w:sz="4" w:space="0" w:color="000000"/>
            </w:tcBorders>
            <w:shd w:val="clear" w:color="auto" w:fill="D3D3D3"/>
          </w:tcPr>
          <w:p>
            <w:pPr/>
          </w:p>
        </w:tc>
        <w:tc>
          <w:tcPr>
            <w:tcW w:w="1090" w:type="dxa"/>
            <w:vMerge/>
            <w:tcBorders>
              <w:left w:val="single" w:sz="4" w:space="0" w:color="000000"/>
              <w:bottom w:val="single" w:sz="4" w:space="0" w:color="000000"/>
              <w:right w:val="single" w:sz="4" w:space="0" w:color="000000"/>
            </w:tcBorders>
            <w:shd w:val="clear" w:color="auto" w:fill="D3D3D3"/>
          </w:tcPr>
          <w:p>
            <w:pPr/>
          </w:p>
        </w:tc>
        <w:tc>
          <w:tcPr>
            <w:tcW w:w="989" w:type="dxa"/>
            <w:gridSpan w:val="2"/>
            <w:vMerge/>
            <w:tcBorders>
              <w:left w:val="single" w:sz="4" w:space="0" w:color="000000"/>
              <w:bottom w:val="single" w:sz="4" w:space="0" w:color="000000"/>
              <w:right w:val="single" w:sz="4" w:space="0" w:color="000000"/>
            </w:tcBorders>
            <w:shd w:val="clear" w:color="auto" w:fill="D3D3D3"/>
          </w:tcPr>
          <w:p>
            <w:pPr/>
          </w:p>
        </w:tc>
        <w:tc>
          <w:tcPr>
            <w:tcW w:w="994" w:type="dxa"/>
            <w:gridSpan w:val="2"/>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pacing w:val="-3"/>
                <w:sz w:val="18"/>
                <w:szCs w:val="18"/>
              </w:rPr>
              <w:t>新余天道酬勤投资发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展有限公司</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47.24%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217,741,121</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217,741,121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group style="position:absolute;margin-left:193.440002pt;margin-top:378.23999pt;width:341.55pt;height:50.65pt;mso-position-horizontal-relative:page;mso-position-vertical-relative:page;z-index:-821584" coordorigin="3869,7565" coordsize="6831,1013">
            <v:group style="position:absolute;left:3869;top:7565;width:6831;height:312" coordorigin="3869,7565" coordsize="6831,312">
              <v:shape style="position:absolute;left:3869;top:7565;width:6831;height:312" coordorigin="3869,7565" coordsize="6831,312" path="m3869,7877l10699,7877,10699,7565,3869,7565,3869,7877xe" filled="true" fillcolor="#ffffff" stroked="false">
                <v:path arrowok="t"/>
                <v:fill type="solid"/>
              </v:shape>
            </v:group>
            <v:group style="position:absolute;left:3869;top:8266;width:6831;height:312" coordorigin="3869,8266" coordsize="6831,312">
              <v:shape style="position:absolute;left:3869;top:8266;width:6831;height:312" coordorigin="3869,8266" coordsize="6831,312" path="m3869,8578l10699,8578,10699,8266,3869,8266,3869,8578xe" filled="true" fillcolor="#ffffff" stroked="false">
                <v:path arrowok="t"/>
                <v:fill type="solid"/>
              </v:shape>
            </v:group>
            <v:group style="position:absolute;left:3893;top:7877;width:6783;height:389" coordorigin="3893,7877" coordsize="6783,389">
              <v:shape style="position:absolute;left:3893;top:7877;width:6783;height:389" coordorigin="3893,7877" coordsize="6783,389" path="m3893,8266l10675,8266,10675,7877,3893,7877,3893,8266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99"/>
        <w:gridCol w:w="1032"/>
        <w:gridCol w:w="859"/>
        <w:gridCol w:w="1090"/>
        <w:gridCol w:w="989"/>
        <w:gridCol w:w="994"/>
        <w:gridCol w:w="173"/>
        <w:gridCol w:w="821"/>
        <w:gridCol w:w="547"/>
        <w:gridCol w:w="302"/>
        <w:gridCol w:w="1066"/>
      </w:tblGrid>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52,049,126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48,890,126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39,036,845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13,012,281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43,300,000</w:t>
            </w:r>
          </w:p>
        </w:tc>
      </w:tr>
      <w:tr>
        <w:trPr>
          <w:trHeight w:val="398"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黄荣添</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15,000,000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12,000,000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12,000,000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4"/>
              <w:ind w:left="23" w:right="41"/>
              <w:jc w:val="left"/>
              <w:rPr>
                <w:rFonts w:ascii="宋体" w:hAnsi="宋体" w:cs="宋体" w:eastAsia="宋体" w:hint="default"/>
                <w:sz w:val="18"/>
                <w:szCs w:val="18"/>
              </w:rPr>
            </w:pPr>
            <w:r>
              <w:rPr>
                <w:rFonts w:ascii="宋体" w:hAnsi="宋体" w:cs="宋体" w:eastAsia="宋体" w:hint="default"/>
                <w:spacing w:val="-3"/>
                <w:sz w:val="18"/>
                <w:szCs w:val="18"/>
              </w:rPr>
              <w:t>新疆允公股权投资合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伙企业（有限合伙）</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4"/>
              <w:ind w:left="23" w:right="94"/>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8,554,209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8,554,209</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8,554,209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0.51%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2,343,978</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1,757,983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4" w:right="0"/>
              <w:jc w:val="left"/>
              <w:rPr>
                <w:rFonts w:ascii="Times New Roman" w:hAnsi="Times New Roman" w:cs="Times New Roman" w:eastAsia="Times New Roman" w:hint="default"/>
                <w:sz w:val="18"/>
                <w:szCs w:val="18"/>
              </w:rPr>
            </w:pPr>
            <w:r>
              <w:rPr>
                <w:rFonts w:ascii="Times New Roman"/>
                <w:sz w:val="18"/>
              </w:rPr>
              <w:t>585,995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41"/>
              <w:jc w:val="both"/>
              <w:rPr>
                <w:rFonts w:ascii="宋体" w:hAnsi="宋体" w:cs="宋体" w:eastAsia="宋体" w:hint="default"/>
                <w:sz w:val="18"/>
                <w:szCs w:val="18"/>
              </w:rPr>
            </w:pPr>
            <w:r>
              <w:rPr>
                <w:rFonts w:ascii="宋体" w:hAnsi="宋体" w:cs="宋体" w:eastAsia="宋体" w:hint="default"/>
                <w:spacing w:val="-3"/>
                <w:sz w:val="18"/>
                <w:szCs w:val="18"/>
              </w:rPr>
              <w:t>中国光大银行股份有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限公司－中欧新动力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股票型证券投资基金</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4"/>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0.48%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2,200,000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2,200,000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0" w:right="0"/>
              <w:jc w:val="left"/>
              <w:rPr>
                <w:rFonts w:ascii="Times New Roman" w:hAnsi="Times New Roman" w:cs="Times New Roman" w:eastAsia="Times New Roman" w:hint="default"/>
                <w:sz w:val="18"/>
                <w:szCs w:val="18"/>
              </w:rPr>
            </w:pPr>
            <w:r>
              <w:rPr>
                <w:rFonts w:ascii="Times New Roman"/>
                <w:sz w:val="18"/>
              </w:rPr>
              <w:t>2,200,000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41"/>
              <w:jc w:val="left"/>
              <w:rPr>
                <w:rFonts w:ascii="宋体" w:hAnsi="宋体" w:cs="宋体" w:eastAsia="宋体" w:hint="default"/>
                <w:sz w:val="18"/>
                <w:szCs w:val="18"/>
              </w:rPr>
            </w:pPr>
            <w:r>
              <w:rPr>
                <w:rFonts w:ascii="宋体" w:hAnsi="宋体" w:cs="宋体" w:eastAsia="宋体" w:hint="default"/>
                <w:spacing w:val="-3"/>
                <w:sz w:val="18"/>
                <w:szCs w:val="18"/>
              </w:rPr>
              <w:t>中融国际信托有限公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93"/>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0.31%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1,443,100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1,443,100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1,443,100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pacing w:val="-3"/>
                <w:sz w:val="18"/>
                <w:szCs w:val="18"/>
              </w:rPr>
              <w:t>诺安基金－建设银行</w:t>
            </w:r>
          </w:p>
          <w:p>
            <w:pPr>
              <w:pStyle w:val="TableParagraph"/>
              <w:spacing w:line="321" w:lineRule="auto" w:before="76"/>
              <w:ind w:left="23" w:right="41"/>
              <w:jc w:val="both"/>
              <w:rPr>
                <w:rFonts w:ascii="宋体" w:hAnsi="宋体" w:cs="宋体" w:eastAsia="宋体" w:hint="default"/>
                <w:sz w:val="18"/>
                <w:szCs w:val="18"/>
              </w:rPr>
            </w:pPr>
            <w:r>
              <w:rPr>
                <w:rFonts w:ascii="宋体" w:hAnsi="宋体" w:cs="宋体" w:eastAsia="宋体" w:hint="default"/>
                <w:spacing w:val="-3"/>
                <w:sz w:val="18"/>
                <w:szCs w:val="18"/>
              </w:rPr>
              <w:t>－中国人寿－中国人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寿委托诺安基金公司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股票型组合</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9"/>
              <w:ind w:left="23" w:right="94"/>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0.22%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1,002,289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1,002,289</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0" w:right="0"/>
              <w:jc w:val="left"/>
              <w:rPr>
                <w:rFonts w:ascii="Times New Roman" w:hAnsi="Times New Roman" w:cs="Times New Roman" w:eastAsia="Times New Roman" w:hint="default"/>
                <w:sz w:val="18"/>
                <w:szCs w:val="18"/>
              </w:rPr>
            </w:pPr>
            <w:r>
              <w:rPr>
                <w:rFonts w:ascii="Times New Roman"/>
                <w:sz w:val="18"/>
              </w:rPr>
              <w:t>1,002,289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廖加虹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0" w:right="0"/>
              <w:jc w:val="left"/>
              <w:rPr>
                <w:rFonts w:ascii="Times New Roman" w:hAnsi="Times New Roman" w:cs="Times New Roman" w:eastAsia="Times New Roman" w:hint="default"/>
                <w:sz w:val="18"/>
                <w:szCs w:val="18"/>
              </w:rPr>
            </w:pPr>
            <w:r>
              <w:rPr>
                <w:rFonts w:ascii="Times New Roman"/>
                <w:sz w:val="18"/>
              </w:rPr>
              <w:t>1,000,000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4"/>
              <w:ind w:left="23" w:right="-34"/>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股成为前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名股东的情况（如有）</w:t>
            </w:r>
            <w:r>
              <w:rPr>
                <w:rFonts w:ascii="宋体" w:hAnsi="宋体" w:cs="宋体" w:eastAsia="宋体" w:hint="default"/>
                <w:sz w:val="18"/>
                <w:szCs w:val="18"/>
              </w:rPr>
            </w:r>
          </w:p>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0" w:type="dxa"/>
            <w:gridSpan w:val="9"/>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63" w:hRule="exact"/>
        </w:trPr>
        <w:tc>
          <w:tcPr>
            <w:tcW w:w="273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9"/>
            <w:vMerge w:val="restart"/>
            <w:tcBorders>
              <w:top w:val="single" w:sz="4" w:space="0" w:color="000000"/>
              <w:left w:val="single" w:sz="4" w:space="0" w:color="000000"/>
              <w:right w:val="single" w:sz="4" w:space="0" w:color="000000"/>
            </w:tcBorders>
          </w:tcPr>
          <w:p>
            <w:pPr>
              <w:pStyle w:val="TableParagraph"/>
              <w:spacing w:line="316" w:lineRule="auto" w:before="58"/>
              <w:ind w:left="23" w:right="17"/>
              <w:jc w:val="both"/>
              <w:rPr>
                <w:rFonts w:ascii="宋体" w:hAnsi="宋体" w:cs="宋体" w:eastAsia="宋体" w:hint="default"/>
                <w:sz w:val="18"/>
                <w:szCs w:val="18"/>
              </w:rPr>
            </w:pPr>
            <w:r>
              <w:rPr>
                <w:rFonts w:ascii="宋体" w:hAnsi="宋体" w:cs="宋体" w:eastAsia="宋体" w:hint="default"/>
                <w:spacing w:val="-4"/>
                <w:sz w:val="18"/>
                <w:szCs w:val="18"/>
              </w:rPr>
              <w:t>上述股东中，乔昕先生与陈亚妹女士为夫妻关系；新余天道酬勤投资发展有限公司系公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司实际控制人乔昕先生和陈亚妹女士共同控制的企业；未知其他股东相互之间是否存在</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关联关系，也未知是否属于一致行动人。</w:t>
            </w:r>
          </w:p>
        </w:tc>
      </w:tr>
      <w:tr>
        <w:trPr>
          <w:trHeight w:val="706" w:hRule="exact"/>
        </w:trPr>
        <w:tc>
          <w:tcPr>
            <w:tcW w:w="273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3"/>
              <w:ind w:left="23" w:right="17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6840" w:type="dxa"/>
            <w:gridSpan w:val="9"/>
            <w:vMerge/>
            <w:tcBorders>
              <w:left w:val="single" w:sz="4" w:space="0" w:color="000000"/>
              <w:right w:val="single" w:sz="4" w:space="0" w:color="000000"/>
            </w:tcBorders>
          </w:tcPr>
          <w:p>
            <w:pPr/>
          </w:p>
        </w:tc>
      </w:tr>
      <w:tr>
        <w:trPr>
          <w:trHeight w:val="158" w:hRule="exact"/>
        </w:trPr>
        <w:tc>
          <w:tcPr>
            <w:tcW w:w="273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9"/>
            <w:vMerge/>
            <w:tcBorders>
              <w:left w:val="single" w:sz="4" w:space="0" w:color="000000"/>
              <w:bottom w:val="single" w:sz="4" w:space="0" w:color="000000"/>
              <w:right w:val="single" w:sz="4" w:space="0" w:color="000000"/>
            </w:tcBorders>
          </w:tcPr>
          <w:p>
            <w:pP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73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3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700"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736" w:type="dxa"/>
            <w:gridSpan w:val="4"/>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731" w:type="dxa"/>
            <w:gridSpan w:val="2"/>
            <w:vMerge/>
            <w:tcBorders>
              <w:left w:val="single" w:sz="4" w:space="0" w:color="000000"/>
              <w:bottom w:val="nil" w:sz="6" w:space="0" w:color="auto"/>
              <w:right w:val="single" w:sz="4" w:space="0" w:color="000000"/>
            </w:tcBorders>
            <w:shd w:val="clear" w:color="auto" w:fill="D3D3D3"/>
          </w:tcPr>
          <w:p>
            <w:pPr/>
          </w:p>
        </w:tc>
        <w:tc>
          <w:tcPr>
            <w:tcW w:w="4104" w:type="dxa"/>
            <w:gridSpan w:val="5"/>
            <w:vMerge/>
            <w:tcBorders>
              <w:left w:val="single" w:sz="4" w:space="0" w:color="000000"/>
              <w:bottom w:val="nil" w:sz="6" w:space="0" w:color="auto"/>
              <w:right w:val="single" w:sz="4" w:space="0" w:color="000000"/>
            </w:tcBorders>
            <w:shd w:val="clear" w:color="auto" w:fill="D3D3D3"/>
          </w:tcPr>
          <w:p>
            <w:pP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273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新余天道酬勤投资发展有限公司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217,741,121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6" w:right="0"/>
              <w:jc w:val="left"/>
              <w:rPr>
                <w:rFonts w:ascii="Times New Roman" w:hAnsi="Times New Roman" w:cs="Times New Roman" w:eastAsia="Times New Roman" w:hint="default"/>
                <w:sz w:val="18"/>
                <w:szCs w:val="18"/>
              </w:rPr>
            </w:pPr>
            <w:r>
              <w:rPr>
                <w:rFonts w:ascii="Times New Roman"/>
                <w:sz w:val="18"/>
              </w:rPr>
              <w:t>217,741,121</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黄荣添</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13,012,281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13,012,281</w:t>
            </w:r>
          </w:p>
        </w:tc>
      </w:tr>
      <w:tr>
        <w:trPr>
          <w:trHeight w:val="398"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12,000,000</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4"/>
                <w:sz w:val="18"/>
                <w:szCs w:val="18"/>
              </w:rPr>
              <w:t>新疆允公股权投资合伙企业（有限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合伙）</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8,554,209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8,554,209</w:t>
            </w:r>
          </w:p>
        </w:tc>
      </w:tr>
      <w:tr>
        <w:trPr>
          <w:trHeight w:val="1027"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0"/>
              <w:jc w:val="left"/>
              <w:rPr>
                <w:rFonts w:ascii="宋体" w:hAnsi="宋体" w:cs="宋体" w:eastAsia="宋体" w:hint="default"/>
                <w:sz w:val="18"/>
                <w:szCs w:val="18"/>
              </w:rPr>
            </w:pPr>
            <w:r>
              <w:rPr>
                <w:rFonts w:ascii="宋体" w:hAnsi="宋体" w:cs="宋体" w:eastAsia="宋体" w:hint="default"/>
                <w:spacing w:val="-3"/>
                <w:sz w:val="18"/>
                <w:szCs w:val="18"/>
              </w:rPr>
              <w:t>中国光大银行股份有限公司－中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欧新动力股票型证券投资基金</w:t>
            </w:r>
          </w:p>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2,200,000</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中融国际信托有限公司－</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融新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1,443,100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1,443,100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诺安基金－建设银行－中国人寿</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1,002,289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1,002,289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31"/>
        <w:gridCol w:w="4104"/>
        <w:gridCol w:w="1368"/>
        <w:gridCol w:w="1368"/>
      </w:tblGrid>
      <w:tr>
        <w:trPr>
          <w:trHeight w:val="672"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0"/>
              <w:ind w:left="23" w:right="170"/>
              <w:jc w:val="left"/>
              <w:rPr>
                <w:rFonts w:ascii="宋体" w:hAnsi="宋体" w:cs="宋体" w:eastAsia="宋体" w:hint="default"/>
                <w:sz w:val="18"/>
                <w:szCs w:val="18"/>
              </w:rPr>
            </w:pPr>
            <w:r>
              <w:rPr>
                <w:rFonts w:ascii="宋体" w:hAnsi="宋体" w:cs="宋体" w:eastAsia="宋体" w:hint="default"/>
                <w:spacing w:val="-3"/>
                <w:sz w:val="18"/>
                <w:szCs w:val="18"/>
              </w:rPr>
              <w:t>－中国人寿委托诺安基金公司股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票型组合</w:t>
            </w:r>
          </w:p>
        </w:tc>
        <w:tc>
          <w:tcPr>
            <w:tcW w:w="410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廖加虹</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何秀琴</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339" w:hRule="exact"/>
        </w:trPr>
        <w:tc>
          <w:tcPr>
            <w:tcW w:w="2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79"/>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名无限售流通股股东之间，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以及前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上述股东中，乔昕先生与陈亚妹女士为夫妻关系；新余天道酬勤投资发展有限公司系公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司实际控制人乔昕先生和陈亚妹女士共同控制的企业；未知其他股东相互之间是否存在</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关联关系，也未知是否属于一致行动人。</w:t>
            </w:r>
          </w:p>
        </w:tc>
      </w:tr>
    </w:tbl>
    <w:p>
      <w:pPr>
        <w:pStyle w:val="BodyText"/>
        <w:spacing w:line="240" w:lineRule="auto" w:before="54"/>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left="153"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t>法人</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34"/>
        <w:gridCol w:w="1493"/>
        <w:gridCol w:w="1330"/>
        <w:gridCol w:w="1459"/>
        <w:gridCol w:w="1589"/>
        <w:gridCol w:w="1862"/>
      </w:tblGrid>
      <w:tr>
        <w:trPr>
          <w:trHeight w:val="715"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4"/>
              <w:ind w:left="470" w:right="79" w:hanging="38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w:t>
            </w:r>
            <w:r>
              <w:rPr>
                <w:rFonts w:ascii="宋体" w:hAnsi="宋体" w:cs="宋体" w:eastAsia="宋体" w:hint="default"/>
                <w:spacing w:val="-71"/>
                <w:sz w:val="18"/>
                <w:szCs w:val="18"/>
              </w:rPr>
              <w:t> </w:t>
            </w:r>
            <w:r>
              <w:rPr>
                <w:rFonts w:ascii="宋体" w:hAnsi="宋体" w:cs="宋体" w:eastAsia="宋体" w:hint="default"/>
                <w:sz w:val="18"/>
                <w:szCs w:val="18"/>
              </w:rPr>
              <w:t>负责人</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75"/>
              <w:jc w:val="left"/>
              <w:rPr>
                <w:rFonts w:ascii="宋体" w:hAnsi="宋体" w:cs="宋体" w:eastAsia="宋体" w:hint="default"/>
                <w:sz w:val="18"/>
                <w:szCs w:val="18"/>
              </w:rPr>
            </w:pPr>
            <w:r>
              <w:rPr>
                <w:rFonts w:ascii="宋体" w:hAnsi="宋体" w:cs="宋体" w:eastAsia="宋体" w:hint="default"/>
                <w:spacing w:val="-3"/>
                <w:sz w:val="18"/>
                <w:szCs w:val="18"/>
              </w:rPr>
              <w:t>新余天道酬勤投资发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展有限公司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77272276-7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投资兴办实业</w:t>
            </w: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3"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4"/>
                <w:sz w:val="18"/>
                <w:szCs w:val="18"/>
              </w:rPr>
              <w:t>目前，天道酬勤除投资实益达外未经营其他业务，亦无其他投资，其主要收益是投资实益达产生的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投资收益。</w:t>
            </w:r>
          </w:p>
        </w:tc>
      </w:tr>
      <w:tr>
        <w:trPr>
          <w:trHeight w:val="357" w:hRule="exact"/>
        </w:trPr>
        <w:tc>
          <w:tcPr>
            <w:tcW w:w="18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733"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目前，天道酬勤除投资实益达外未经营其他业务，亦无其他投资，其主要收益是投资实益达产生的</w:t>
            </w:r>
          </w:p>
        </w:tc>
      </w:tr>
      <w:tr>
        <w:trPr>
          <w:trHeight w:val="315" w:hRule="exact"/>
        </w:trPr>
        <w:tc>
          <w:tcPr>
            <w:tcW w:w="18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left="23" w:right="-5"/>
              <w:jc w:val="left"/>
              <w:rPr>
                <w:rFonts w:ascii="宋体" w:hAnsi="宋体" w:cs="宋体" w:eastAsia="宋体" w:hint="default"/>
                <w:sz w:val="18"/>
                <w:szCs w:val="18"/>
              </w:rPr>
            </w:pPr>
            <w:r>
              <w:rPr>
                <w:rFonts w:ascii="宋体" w:hAnsi="宋体" w:cs="宋体" w:eastAsia="宋体" w:hint="default"/>
                <w:spacing w:val="-2"/>
                <w:sz w:val="18"/>
                <w:szCs w:val="18"/>
              </w:rPr>
              <w:t>经营成果、财务状况、</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宋体" w:hAnsi="宋体" w:cs="宋体" w:eastAsia="宋体" w:hint="default"/>
                <w:spacing w:val="7"/>
                <w:sz w:val="18"/>
                <w:szCs w:val="18"/>
              </w:rPr>
              <w:t> </w:t>
            </w: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日，资产总计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9768.46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r>
              <w:rPr>
                <w:rFonts w:ascii="宋体" w:hAnsi="宋体" w:cs="宋体" w:eastAsia="宋体" w:hint="default"/>
                <w:spacing w:val="7"/>
                <w:sz w:val="18"/>
                <w:szCs w:val="18"/>
              </w:rPr>
              <w:t> </w:t>
            </w:r>
            <w:r>
              <w:rPr>
                <w:rFonts w:ascii="宋体" w:hAnsi="宋体" w:cs="宋体" w:eastAsia="宋体" w:hint="default"/>
                <w:sz w:val="18"/>
                <w:szCs w:val="18"/>
              </w:rPr>
              <w:t>元，负债总计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万元，所有者权益</w:t>
            </w:r>
          </w:p>
        </w:tc>
      </w:tr>
      <w:tr>
        <w:trPr>
          <w:trHeight w:val="314" w:hRule="exact"/>
        </w:trPr>
        <w:tc>
          <w:tcPr>
            <w:tcW w:w="18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现金流等</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总计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9768.11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万元元，实现营业收入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元，投资收益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万元，利润总额</w:t>
            </w:r>
            <w:r>
              <w:rPr>
                <w:rFonts w:ascii="Times New Roman" w:hAnsi="Times New Roman" w:cs="Times New Roman" w:eastAsia="Times New Roman" w:hint="default"/>
                <w:sz w:val="18"/>
                <w:szCs w:val="18"/>
              </w:rPr>
              <w:t>-187.31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年末天</w:t>
            </w:r>
          </w:p>
        </w:tc>
      </w:tr>
      <w:tr>
        <w:trPr>
          <w:trHeight w:val="348" w:hRule="exact"/>
        </w:trPr>
        <w:tc>
          <w:tcPr>
            <w:tcW w:w="18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733"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道酬勤现金及现金等价物余额为 </w:t>
            </w:r>
            <w:r>
              <w:rPr>
                <w:rFonts w:ascii="Times New Roman" w:hAnsi="Times New Roman" w:cs="Times New Roman" w:eastAsia="Times New Roman" w:hint="default"/>
                <w:sz w:val="18"/>
                <w:szCs w:val="18"/>
              </w:rPr>
              <w:t>257.44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w:t>
            </w:r>
          </w:p>
        </w:tc>
      </w:tr>
      <w:tr>
        <w:trPr>
          <w:trHeight w:val="359" w:hRule="exact"/>
        </w:trPr>
        <w:tc>
          <w:tcPr>
            <w:tcW w:w="18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控股股东报告期内控</w:t>
            </w:r>
          </w:p>
        </w:tc>
        <w:tc>
          <w:tcPr>
            <w:tcW w:w="7733" w:type="dxa"/>
            <w:gridSpan w:val="5"/>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8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3" w:right="175"/>
              <w:jc w:val="left"/>
              <w:rPr>
                <w:rFonts w:ascii="宋体" w:hAnsi="宋体" w:cs="宋体" w:eastAsia="宋体" w:hint="default"/>
                <w:sz w:val="18"/>
                <w:szCs w:val="18"/>
              </w:rPr>
            </w:pPr>
            <w:r>
              <w:rPr>
                <w:rFonts w:ascii="宋体" w:hAnsi="宋体" w:cs="宋体" w:eastAsia="宋体" w:hint="default"/>
                <w:spacing w:val="-3"/>
                <w:sz w:val="18"/>
                <w:szCs w:val="18"/>
              </w:rPr>
              <w:t>股和参股的其他境内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外上市公司的股权情</w:t>
            </w:r>
          </w:p>
        </w:tc>
        <w:tc>
          <w:tcPr>
            <w:tcW w:w="773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除实益达外，天道酬勤未控股或参股其他境内外上市公司。</w:t>
            </w:r>
          </w:p>
        </w:tc>
      </w:tr>
      <w:tr>
        <w:trPr>
          <w:trHeight w:val="353" w:hRule="exact"/>
        </w:trPr>
        <w:tc>
          <w:tcPr>
            <w:tcW w:w="18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7733" w:type="dxa"/>
            <w:gridSpan w:val="5"/>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控股股东报告期内变更</w:t>
      </w:r>
    </w:p>
    <w:p>
      <w:pPr>
        <w:pStyle w:val="BodyText"/>
        <w:spacing w:line="338" w:lineRule="auto" w:before="119"/>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12"/>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75"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96"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39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、陈亚妹女士，现任公司董事长，兼任无锡实益达电子董事、香港实益达执</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18"/>
        <w:gridCol w:w="6149"/>
      </w:tblGrid>
      <w:tr>
        <w:trPr>
          <w:trHeight w:val="316" w:hRule="exact"/>
        </w:trPr>
        <w:tc>
          <w:tcPr>
            <w:tcW w:w="3418" w:type="dxa"/>
            <w:vMerge w:val="restart"/>
            <w:tcBorders>
              <w:top w:val="single" w:sz="4" w:space="0" w:color="000000"/>
              <w:left w:val="single" w:sz="4" w:space="0" w:color="000000"/>
              <w:right w:val="single" w:sz="4" w:space="0" w:color="000000"/>
            </w:tcBorders>
            <w:shd w:val="clear" w:color="auto" w:fill="D3D3D3"/>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行董事、凯扬商贸执行董事、前海实益达董事、天道酬勤执行董事、冠德成监</w:t>
            </w:r>
          </w:p>
        </w:tc>
      </w:tr>
      <w:tr>
        <w:trPr>
          <w:trHeight w:val="317" w:hRule="exact"/>
        </w:trPr>
        <w:tc>
          <w:tcPr>
            <w:tcW w:w="3418" w:type="dxa"/>
            <w:vMerge/>
            <w:tcBorders>
              <w:left w:val="single" w:sz="4" w:space="0" w:color="000000"/>
              <w:right w:val="single" w:sz="4" w:space="0" w:color="000000"/>
            </w:tcBorders>
            <w:shd w:val="clear" w:color="auto" w:fill="D3D3D3"/>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事。陈亚妹女士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年创办公司前身实益达实业，历任公司执行董事、总经</w:t>
            </w:r>
          </w:p>
        </w:tc>
      </w:tr>
      <w:tr>
        <w:trPr>
          <w:trHeight w:val="312" w:hRule="exact"/>
        </w:trPr>
        <w:tc>
          <w:tcPr>
            <w:tcW w:w="3418" w:type="dxa"/>
            <w:vMerge/>
            <w:tcBorders>
              <w:left w:val="single" w:sz="4" w:space="0" w:color="000000"/>
              <w:right w:val="single" w:sz="4" w:space="0" w:color="000000"/>
            </w:tcBorders>
            <w:shd w:val="clear" w:color="auto" w:fill="D3D3D3"/>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理、董事长等职务。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、乔昕先生，现任公司董事兼总裁，兼任无锡实益达电</w:t>
            </w:r>
          </w:p>
        </w:tc>
      </w:tr>
      <w:tr>
        <w:trPr>
          <w:trHeight w:val="307" w:hRule="exact"/>
        </w:trPr>
        <w:tc>
          <w:tcPr>
            <w:tcW w:w="3418" w:type="dxa"/>
            <w:vMerge/>
            <w:tcBorders>
              <w:left w:val="single" w:sz="4" w:space="0" w:color="000000"/>
              <w:right w:val="single" w:sz="4" w:space="0" w:color="000000"/>
            </w:tcBorders>
            <w:shd w:val="clear" w:color="auto" w:fill="D3D3D3"/>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子董事长、汇大光电董事长、电明科技董事、冠德成执行董事、无锡实益达照</w:t>
            </w:r>
          </w:p>
        </w:tc>
      </w:tr>
      <w:tr>
        <w:trPr>
          <w:trHeight w:val="317" w:hRule="exact"/>
        </w:trPr>
        <w:tc>
          <w:tcPr>
            <w:tcW w:w="3418" w:type="dxa"/>
            <w:vMerge/>
            <w:tcBorders>
              <w:left w:val="single" w:sz="4" w:space="0" w:color="000000"/>
              <w:right w:val="single" w:sz="4" w:space="0" w:color="000000"/>
            </w:tcBorders>
            <w:shd w:val="clear" w:color="auto" w:fill="D3D3D3"/>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明总经理、前海实益达董事长、百华科技执行董事。乔昕先生 </w:t>
            </w:r>
            <w:r>
              <w:rPr>
                <w:rFonts w:ascii="Times New Roman" w:hAnsi="Times New Roman" w:cs="Times New Roman" w:eastAsia="Times New Roman" w:hint="default"/>
                <w:sz w:val="18"/>
                <w:szCs w:val="18"/>
              </w:rPr>
              <w:t>1985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年大学毕</w:t>
            </w:r>
          </w:p>
        </w:tc>
      </w:tr>
      <w:tr>
        <w:trPr>
          <w:trHeight w:val="309" w:hRule="exact"/>
        </w:trPr>
        <w:tc>
          <w:tcPr>
            <w:tcW w:w="3418" w:type="dxa"/>
            <w:vMerge/>
            <w:tcBorders>
              <w:left w:val="single" w:sz="4" w:space="0" w:color="000000"/>
              <w:right w:val="single" w:sz="4" w:space="0" w:color="000000"/>
            </w:tcBorders>
            <w:shd w:val="clear" w:color="auto" w:fill="D3D3D3"/>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5"/>
              <w:jc w:val="left"/>
              <w:rPr>
                <w:rFonts w:ascii="宋体" w:hAnsi="宋体" w:cs="宋体" w:eastAsia="宋体" w:hint="default"/>
                <w:sz w:val="18"/>
                <w:szCs w:val="18"/>
              </w:rPr>
            </w:pPr>
            <w:r>
              <w:rPr>
                <w:rFonts w:ascii="宋体" w:hAnsi="宋体" w:cs="宋体" w:eastAsia="宋体" w:hint="default"/>
                <w:spacing w:val="-3"/>
                <w:sz w:val="18"/>
                <w:szCs w:val="18"/>
              </w:rPr>
              <w:t>业后，先后在无锡机床研究所、日本北陆电气工业株式会社深圳办事处工作，</w:t>
            </w:r>
          </w:p>
        </w:tc>
      </w:tr>
      <w:tr>
        <w:trPr>
          <w:trHeight w:val="354" w:hRule="exact"/>
        </w:trPr>
        <w:tc>
          <w:tcPr>
            <w:tcW w:w="3418" w:type="dxa"/>
            <w:vMerge/>
            <w:tcBorders>
              <w:left w:val="single" w:sz="4" w:space="0" w:color="000000"/>
              <w:bottom w:val="single" w:sz="4" w:space="0" w:color="000000"/>
              <w:right w:val="single" w:sz="4" w:space="0" w:color="000000"/>
            </w:tcBorders>
            <w:shd w:val="clear" w:color="auto" w:fill="D3D3D3"/>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 </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年创办公司前身实益达实业，历任公司董事、总经理等职务。</w:t>
            </w:r>
          </w:p>
        </w:tc>
      </w:tr>
    </w:tbl>
    <w:p>
      <w:pPr>
        <w:pStyle w:val="BodyText"/>
        <w:spacing w:line="240" w:lineRule="auto" w:before="53"/>
        <w:ind w:right="0"/>
        <w:jc w:val="left"/>
      </w:pPr>
      <w:r>
        <w:rPr>
          <w:spacing w:val="-3"/>
        </w:rPr>
        <w:t>实际控制人报告期内变更</w:t>
      </w:r>
    </w:p>
    <w:p>
      <w:pPr>
        <w:pStyle w:val="BodyText"/>
        <w:spacing w:line="350" w:lineRule="auto" w:before="119"/>
        <w:ind w:right="5701"/>
        <w:jc w:val="left"/>
      </w:pPr>
      <w:r>
        <w:rPr/>
        <w:pict>
          <v:group style="position:absolute;margin-left:261.359985pt;margin-top:138.386063pt;width:6pt;height:21.15pt;mso-position-horizontal-relative:page;mso-position-vertical-relative:paragraph;z-index:-821344" coordorigin="5227,2768" coordsize="120,423">
            <v:shape style="position:absolute;left:5227;top:2768;width:120;height:423" coordorigin="5227,2768" coordsize="120,423" path="m5280,3070l5227,3070,5290,3190,5338,3089,5280,3089,5280,3070xe" filled="true" fillcolor="#000000" stroked="false">
              <v:path arrowok="t"/>
              <v:fill type="solid"/>
            </v:shape>
            <v:shape style="position:absolute;left:5227;top:2768;width:120;height:423" coordorigin="5227,2768" coordsize="120,423" path="m5299,2768l5280,2768,5280,3089,5299,3089,5299,2768xe" filled="true" fillcolor="#000000" stroked="false">
              <v:path arrowok="t"/>
              <v:fill type="solid"/>
            </v:shape>
            <v:shape style="position:absolute;left:5227;top:2768;width:120;height:423" coordorigin="5227,2768" coordsize="120,423" path="m5347,3070l5299,3070,5299,3089,5338,3089,5347,3070xe" filled="true" fillcolor="#000000" stroked="false">
              <v:path arrowok="t"/>
              <v:fill type="solid"/>
            </v:shape>
            <w10:wrap type="none"/>
          </v:group>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6"/>
        <w:rPr>
          <w:rFonts w:ascii="宋体" w:hAnsi="宋体" w:cs="宋体" w:eastAsia="宋体" w:hint="default"/>
          <w:sz w:val="23"/>
          <w:szCs w:val="23"/>
        </w:rPr>
      </w:pPr>
    </w:p>
    <w:p>
      <w:pPr>
        <w:spacing w:line="3828" w:lineRule="exact"/>
        <w:ind w:left="2190"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221.2pt;height:191.4pt;mso-position-horizontal-relative:char;mso-position-vertical-relative:line" coordorigin="0,0" coordsize="4424,3828">
            <v:group style="position:absolute;left:175;top:3238;width:4210;height:20" coordorigin="175,3238" coordsize="4210,20">
              <v:shape style="position:absolute;left:175;top:3238;width:4210;height:20" coordorigin="175,3238" coordsize="4210,20" path="m175,3257l4385,3257,4385,3238,175,3238,175,3257xe" filled="true" fillcolor="#e9eff7" stroked="false">
                <v:path arrowok="t"/>
                <v:fill type="solid"/>
              </v:shape>
            </v:group>
            <v:group style="position:absolute;left:214;top:3809;width:4210;height:20" coordorigin="214,3809" coordsize="4210,20">
              <v:shape style="position:absolute;left:214;top:3809;width:4210;height:20" coordorigin="214,3809" coordsize="4210,20" path="m214,3828l4423,3828,4423,3809,214,3809,214,3828xe" filled="true" fillcolor="#838991" stroked="false">
                <v:path arrowok="t"/>
                <v:fill type="solid"/>
              </v:shape>
            </v:group>
            <v:group style="position:absolute;left:194;top:3257;width:4210;height:552" coordorigin="194,3257" coordsize="4210,552">
              <v:shape style="position:absolute;left:194;top:3257;width:4210;height:552" coordorigin="194,3257" coordsize="4210,552" path="m194,3809l4404,3809,4404,3257,194,3257,194,3809xe" filled="true" fillcolor="#dbe5f1" stroked="false">
                <v:path arrowok="t"/>
                <v:fill type="solid"/>
              </v:shape>
            </v:group>
            <v:group style="position:absolute;left:636;top:578;width:120;height:2597" coordorigin="636,578" coordsize="120,2597">
              <v:shape style="position:absolute;left:636;top:578;width:120;height:2597" coordorigin="636,578" coordsize="120,2597" path="m660,578l641,578,641,655,660,655,660,578xe" filled="true" fillcolor="#333333" stroked="false">
                <v:path arrowok="t"/>
                <v:fill type="solid"/>
              </v:shape>
              <v:shape style="position:absolute;left:636;top:578;width:120;height:2597" coordorigin="636,578" coordsize="120,2597" path="m665,718l641,718,646,799,665,799,665,718xe" filled="true" fillcolor="#333333" stroked="false">
                <v:path arrowok="t"/>
                <v:fill type="solid"/>
              </v:shape>
              <v:shape style="position:absolute;left:636;top:578;width:120;height:2597" coordorigin="636,578" coordsize="120,2597" path="m665,857l646,857,646,938,670,938,665,857xe" filled="true" fillcolor="#333333" stroked="false">
                <v:path arrowok="t"/>
                <v:fill type="solid"/>
              </v:shape>
              <v:shape style="position:absolute;left:636;top:578;width:120;height:2597" coordorigin="636,578" coordsize="120,2597" path="m670,996l650,996,650,1078,670,1078,670,996xe" filled="true" fillcolor="#333333" stroked="false">
                <v:path arrowok="t"/>
                <v:fill type="solid"/>
              </v:shape>
              <v:shape style="position:absolute;left:636;top:578;width:120;height:2597" coordorigin="636,578" coordsize="120,2597" path="m670,1135l650,1135,650,1217,674,1217,670,1135xe" filled="true" fillcolor="#333333" stroked="false">
                <v:path arrowok="t"/>
                <v:fill type="solid"/>
              </v:shape>
              <v:shape style="position:absolute;left:636;top:578;width:120;height:2597" coordorigin="636,578" coordsize="120,2597" path="m674,1279l655,1279,655,1356,674,1356,674,1279xe" filled="true" fillcolor="#333333" stroked="false">
                <v:path arrowok="t"/>
                <v:fill type="solid"/>
              </v:shape>
              <v:shape style="position:absolute;left:636;top:578;width:120;height:2597" coordorigin="636,578" coordsize="120,2597" path="m674,1418l655,1418,660,1495,679,1495,674,1418xe" filled="true" fillcolor="#333333" stroked="false">
                <v:path arrowok="t"/>
                <v:fill type="solid"/>
              </v:shape>
              <v:shape style="position:absolute;left:636;top:578;width:120;height:2597" coordorigin="636,578" coordsize="120,2597" path="m679,1558l660,1558,660,1639,679,1639,679,1558xe" filled="true" fillcolor="#333333" stroked="false">
                <v:path arrowok="t"/>
                <v:fill type="solid"/>
              </v:shape>
              <v:shape style="position:absolute;left:636;top:578;width:120;height:2597" coordorigin="636,578" coordsize="120,2597" path="m684,1697l660,1697,665,1778,684,1778,684,1697xe" filled="true" fillcolor="#333333" stroked="false">
                <v:path arrowok="t"/>
                <v:fill type="solid"/>
              </v:shape>
              <v:shape style="position:absolute;left:636;top:578;width:120;height:2597" coordorigin="636,578" coordsize="120,2597" path="m684,1836l665,1836,665,1918,684,1918,684,1836xe" filled="true" fillcolor="#333333" stroked="false">
                <v:path arrowok="t"/>
                <v:fill type="solid"/>
              </v:shape>
              <v:shape style="position:absolute;left:636;top:578;width:120;height:2597" coordorigin="636,578" coordsize="120,2597" path="m689,1975l670,1975,670,2057,689,2057,689,1975xe" filled="true" fillcolor="#333333" stroked="false">
                <v:path arrowok="t"/>
                <v:fill type="solid"/>
              </v:shape>
              <v:shape style="position:absolute;left:636;top:578;width:120;height:2597" coordorigin="636,578" coordsize="120,2597" path="m689,2114l670,2119,670,2196,694,2196,689,2114xe" filled="true" fillcolor="#333333" stroked="false">
                <v:path arrowok="t"/>
                <v:fill type="solid"/>
              </v:shape>
              <v:shape style="position:absolute;left:636;top:578;width:120;height:2597" coordorigin="636,578" coordsize="120,2597" path="m694,2258l674,2258,674,2335,694,2335,694,2258xe" filled="true" fillcolor="#333333" stroked="false">
                <v:path arrowok="t"/>
                <v:fill type="solid"/>
              </v:shape>
              <v:shape style="position:absolute;left:636;top:578;width:120;height:2597" coordorigin="636,578" coordsize="120,2597" path="m694,2398l674,2398,679,2479,698,2474,694,2398xe" filled="true" fillcolor="#333333" stroked="false">
                <v:path arrowok="t"/>
                <v:fill type="solid"/>
              </v:shape>
              <v:shape style="position:absolute;left:636;top:578;width:120;height:2597" coordorigin="636,578" coordsize="120,2597" path="m698,2537l679,2537,679,2618,698,2618,698,2537xe" filled="true" fillcolor="#333333" stroked="false">
                <v:path arrowok="t"/>
                <v:fill type="solid"/>
              </v:shape>
              <v:shape style="position:absolute;left:636;top:578;width:120;height:2597" coordorigin="636,578" coordsize="120,2597" path="m703,2676l679,2676,684,2758,703,2758,703,2676xe" filled="true" fillcolor="#333333" stroked="false">
                <v:path arrowok="t"/>
                <v:fill type="solid"/>
              </v:shape>
              <v:shape style="position:absolute;left:636;top:578;width:120;height:2597" coordorigin="636,578" coordsize="120,2597" path="m703,2815l684,2815,684,2897,703,2897,703,2815xe" filled="true" fillcolor="#333333" stroked="false">
                <v:path arrowok="t"/>
                <v:fill type="solid"/>
              </v:shape>
              <v:shape style="position:absolute;left:636;top:578;width:120;height:2597" coordorigin="636,578" coordsize="120,2597" path="m708,2954l684,2959,689,3036,708,3036,708,2954xe" filled="true" fillcolor="#333333" stroked="false">
                <v:path arrowok="t"/>
                <v:fill type="solid"/>
              </v:shape>
              <v:shape style="position:absolute;left:636;top:578;width:120;height:2597" coordorigin="636,578" coordsize="120,2597" path="m756,3055l636,3055,698,3175,756,3055xe" filled="true" fillcolor="#333333" stroked="false">
                <v:path arrowok="t"/>
                <v:fill type="solid"/>
              </v:shape>
            </v:group>
            <v:group style="position:absolute;left:3838;top:574;width:120;height:2602" coordorigin="3838,574" coordsize="120,2602">
              <v:shape style="position:absolute;left:3838;top:574;width:120;height:2602" coordorigin="3838,574" coordsize="120,2602" path="m3905,574l3886,574,3886,655,3905,655,3905,574xe" filled="true" fillcolor="#333333" stroked="false">
                <v:path arrowok="t"/>
                <v:fill type="solid"/>
              </v:shape>
              <v:shape style="position:absolute;left:3838;top:574;width:120;height:2602" coordorigin="3838,574" coordsize="120,2602" path="m3905,713l3886,713,3886,794,3905,794,3905,713xe" filled="true" fillcolor="#333333" stroked="false">
                <v:path arrowok="t"/>
                <v:fill type="solid"/>
              </v:shape>
              <v:shape style="position:absolute;left:3838;top:574;width:120;height:2602" coordorigin="3838,574" coordsize="120,2602" path="m3905,852l3886,852,3886,934,3905,934,3905,852xe" filled="true" fillcolor="#333333" stroked="false">
                <v:path arrowok="t"/>
                <v:fill type="solid"/>
              </v:shape>
              <v:shape style="position:absolute;left:3838;top:574;width:120;height:2602" coordorigin="3838,574" coordsize="120,2602" path="m3905,991l3886,991,3886,1073,3905,1073,3905,991xe" filled="true" fillcolor="#333333" stroked="false">
                <v:path arrowok="t"/>
                <v:fill type="solid"/>
              </v:shape>
              <v:shape style="position:absolute;left:3838;top:574;width:120;height:2602" coordorigin="3838,574" coordsize="120,2602" path="m3905,1135l3886,1135,3886,1212,3905,1212,3905,1135xe" filled="true" fillcolor="#333333" stroked="false">
                <v:path arrowok="t"/>
                <v:fill type="solid"/>
              </v:shape>
              <v:shape style="position:absolute;left:3838;top:574;width:120;height:2602" coordorigin="3838,574" coordsize="120,2602" path="m3905,1274l3886,1274,3886,1351,3905,1351,3905,1274xe" filled="true" fillcolor="#333333" stroked="false">
                <v:path arrowok="t"/>
                <v:fill type="solid"/>
              </v:shape>
              <v:shape style="position:absolute;left:3838;top:574;width:120;height:2602" coordorigin="3838,574" coordsize="120,2602" path="m3905,1414l3886,1414,3886,1495,3905,1495,3905,1414xe" filled="true" fillcolor="#333333" stroked="false">
                <v:path arrowok="t"/>
                <v:fill type="solid"/>
              </v:shape>
              <v:shape style="position:absolute;left:3838;top:574;width:120;height:2602" coordorigin="3838,574" coordsize="120,2602" path="m3905,1553l3886,1553,3886,1634,3905,1634,3905,1553xe" filled="true" fillcolor="#333333" stroked="false">
                <v:path arrowok="t"/>
                <v:fill type="solid"/>
              </v:shape>
              <v:shape style="position:absolute;left:3838;top:574;width:120;height:2602" coordorigin="3838,574" coordsize="120,2602" path="m3905,1692l3886,1692,3886,1774,3905,1774,3905,1692xe" filled="true" fillcolor="#333333" stroked="false">
                <v:path arrowok="t"/>
                <v:fill type="solid"/>
              </v:shape>
              <v:shape style="position:absolute;left:3838;top:574;width:120;height:2602" coordorigin="3838,574" coordsize="120,2602" path="m3905,1831l3886,1831,3886,1913,3905,1913,3905,1831xe" filled="true" fillcolor="#333333" stroked="false">
                <v:path arrowok="t"/>
                <v:fill type="solid"/>
              </v:shape>
              <v:shape style="position:absolute;left:3838;top:574;width:120;height:2602" coordorigin="3838,574" coordsize="120,2602" path="m3905,1975l3886,1975,3886,2052,3905,2052,3905,1975xe" filled="true" fillcolor="#333333" stroked="false">
                <v:path arrowok="t"/>
                <v:fill type="solid"/>
              </v:shape>
              <v:shape style="position:absolute;left:3838;top:574;width:120;height:2602" coordorigin="3838,574" coordsize="120,2602" path="m3905,2114l3886,2114,3886,2191,3905,2191,3905,2114xe" filled="true" fillcolor="#333333" stroked="false">
                <v:path arrowok="t"/>
                <v:fill type="solid"/>
              </v:shape>
              <v:shape style="position:absolute;left:3838;top:574;width:120;height:2602" coordorigin="3838,574" coordsize="120,2602" path="m3905,2254l3886,2254,3886,2335,3905,2335,3905,2254xe" filled="true" fillcolor="#333333" stroked="false">
                <v:path arrowok="t"/>
                <v:fill type="solid"/>
              </v:shape>
              <v:shape style="position:absolute;left:3838;top:574;width:120;height:2602" coordorigin="3838,574" coordsize="120,2602" path="m3905,2393l3886,2393,3886,2474,3905,2474,3905,2393xe" filled="true" fillcolor="#333333" stroked="false">
                <v:path arrowok="t"/>
                <v:fill type="solid"/>
              </v:shape>
              <v:shape style="position:absolute;left:3838;top:574;width:120;height:2602" coordorigin="3838,574" coordsize="120,2602" path="m3905,2532l3886,2532,3886,2614,3905,2614,3905,2532xe" filled="true" fillcolor="#333333" stroked="false">
                <v:path arrowok="t"/>
                <v:fill type="solid"/>
              </v:shape>
              <v:shape style="position:absolute;left:3838;top:574;width:120;height:2602" coordorigin="3838,574" coordsize="120,2602" path="m3905,2671l3886,2671,3886,2753,3905,2753,3905,2671xe" filled="true" fillcolor="#333333" stroked="false">
                <v:path arrowok="t"/>
                <v:fill type="solid"/>
              </v:shape>
              <v:shape style="position:absolute;left:3838;top:574;width:120;height:2602" coordorigin="3838,574" coordsize="120,2602" path="m3905,2815l3886,2815,3886,2892,3905,2892,3905,2815xe" filled="true" fillcolor="#333333" stroked="false">
                <v:path arrowok="t"/>
                <v:fill type="solid"/>
              </v:shape>
              <v:shape style="position:absolute;left:3838;top:574;width:120;height:2602" coordorigin="3838,574" coordsize="120,2602" path="m3905,2954l3886,2954,3886,3031,3905,3031,3905,2954xe" filled="true" fillcolor="#333333" stroked="false">
                <v:path arrowok="t"/>
                <v:fill type="solid"/>
              </v:shape>
              <v:shape style="position:absolute;left:3838;top:574;width:120;height:2602" coordorigin="3838,574" coordsize="120,2602" path="m3958,3055l3838,3055,3895,3175,3958,3055xe" filled="true" fillcolor="#333333" stroked="false">
                <v:path arrowok="t"/>
                <v:fill type="solid"/>
              </v:shape>
            </v:group>
            <v:group style="position:absolute;left:2062;top:2508;width:120;height:754" coordorigin="2062,2508" coordsize="120,754">
              <v:shape style="position:absolute;left:2062;top:2508;width:120;height:754" coordorigin="2062,2508" coordsize="120,754" path="m2110,3142l2062,3142,2119,3262,2172,3161,2110,3161,2110,3142xe" filled="true" fillcolor="#000000" stroked="false">
                <v:path arrowok="t"/>
                <v:fill type="solid"/>
              </v:shape>
              <v:shape style="position:absolute;left:2062;top:2508;width:120;height:754" coordorigin="2062,2508" coordsize="120,754" path="m2134,2508l2110,2508,2110,3161,2134,3161,2134,2508xe" filled="true" fillcolor="#000000" stroked="false">
                <v:path arrowok="t"/>
                <v:fill type="solid"/>
              </v:shape>
              <v:shape style="position:absolute;left:2062;top:2508;width:120;height:754" coordorigin="2062,2508" coordsize="120,754" path="m2182,3142l2134,3142,2134,3161,2172,3161,2182,3142xe" filled="true" fillcolor="#000000" stroked="false">
                <v:path arrowok="t"/>
                <v:fill type="solid"/>
              </v:shape>
            </v:group>
            <v:group style="position:absolute;left:3458;top:574;width:2;height:677" coordorigin="3458,574" coordsize="2,677">
              <v:shape style="position:absolute;left:3458;top:574;width:2;height:677" coordorigin="3458,574" coordsize="0,677" path="m3458,574l3458,1250e" filled="false" stroked="true" strokeweight=".96pt" strokecolor="#000000">
                <v:path arrowok="t"/>
              </v:shape>
            </v:group>
            <v:group style="position:absolute;left:2359;top:7;width:1973;height:548" coordorigin="2359,7" coordsize="1973,548">
              <v:shape style="position:absolute;left:2359;top:7;width:1973;height:548" coordorigin="2359,7" coordsize="1973,548" path="m2359,7l2359,554,4332,554,4332,7,2359,7xe" filled="false" stroked="true" strokeweight=".72pt" strokecolor="#000000">
                <v:path arrowok="t"/>
              </v:shape>
            </v:group>
            <v:group style="position:absolute;left:924;top:574;width:2;height:677" coordorigin="924,574" coordsize="2,677">
              <v:shape style="position:absolute;left:924;top:574;width:2;height:677" coordorigin="924,574" coordsize="0,677" path="m924,574l924,1250e" filled="false" stroked="true" strokeweight=".96pt" strokecolor="#000000">
                <v:path arrowok="t"/>
              </v:shape>
            </v:group>
            <v:group style="position:absolute;left:7;top:7;width:1973;height:548" coordorigin="7,7" coordsize="1973,548">
              <v:shape style="position:absolute;left:7;top:7;width:1973;height:548" coordorigin="7,7" coordsize="1973,548" path="m7,7l7,554,1980,554,1980,7,7,7xe" filled="false" stroked="true" strokeweight=".72pt" strokecolor="#000000">
                <v:path arrowok="t"/>
              </v:shape>
              <v:shape style="position:absolute;left:7;top:7;width:1973;height:548" type="#_x0000_t202" filled="false" stroked="false">
                <v:textbox inset="0,0,0,0">
                  <w:txbxContent>
                    <w:p>
                      <w:pPr>
                        <w:tabs>
                          <w:tab w:pos="964" w:val="left" w:leader="none"/>
                        </w:tabs>
                        <w:spacing w:before="63"/>
                        <w:ind w:left="42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乔</w:t>
                        <w:tab/>
                        <w:t>昕</w:t>
                      </w:r>
                      <w:r>
                        <w:rPr>
                          <w:rFonts w:ascii="Microsoft JhengHei" w:hAnsi="Microsoft JhengHei" w:cs="Microsoft JhengHei" w:eastAsia="Microsoft JhengHei" w:hint="default"/>
                          <w:sz w:val="18"/>
                          <w:szCs w:val="18"/>
                        </w:rPr>
                      </w:r>
                    </w:p>
                  </w:txbxContent>
                </v:textbox>
                <w10:wrap type="none"/>
              </v:shape>
              <v:shape style="position:absolute;left:2359;top:7;width:1973;height:548" type="#_x0000_t202" filled="false" stroked="false">
                <v:textbox inset="0,0,0,0">
                  <w:txbxContent>
                    <w:p>
                      <w:pPr>
                        <w:spacing w:before="63"/>
                        <w:ind w:left="336"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陈    亚   </w:t>
                      </w:r>
                      <w:r>
                        <w:rPr>
                          <w:rFonts w:ascii="Microsoft JhengHei" w:hAnsi="Microsoft JhengHei" w:cs="Microsoft JhengHei" w:eastAsia="Microsoft JhengHei" w:hint="default"/>
                          <w:b/>
                          <w:bCs/>
                          <w:spacing w:val="6"/>
                          <w:sz w:val="18"/>
                          <w:szCs w:val="18"/>
                        </w:rPr>
                        <w:t> </w:t>
                      </w:r>
                      <w:r>
                        <w:rPr>
                          <w:rFonts w:ascii="Microsoft JhengHei" w:hAnsi="Microsoft JhengHei" w:cs="Microsoft JhengHei" w:eastAsia="Microsoft JhengHei" w:hint="default"/>
                          <w:b/>
                          <w:bCs/>
                          <w:sz w:val="18"/>
                          <w:szCs w:val="18"/>
                        </w:rPr>
                        <w:t>妹</w:t>
                      </w:r>
                      <w:r>
                        <w:rPr>
                          <w:rFonts w:ascii="Microsoft JhengHei" w:hAnsi="Microsoft JhengHei" w:cs="Microsoft JhengHei" w:eastAsia="Microsoft JhengHei" w:hint="default"/>
                          <w:sz w:val="18"/>
                          <w:szCs w:val="18"/>
                        </w:rPr>
                      </w:r>
                    </w:p>
                  </w:txbxContent>
                </v:textbox>
                <w10:wrap type="none"/>
              </v:shape>
              <v:shape style="position:absolute;left:948;top:1128;width:2511;height:193" type="#_x0000_t202" filled="false" stroked="false">
                <v:textbox inset="0,0,0,0">
                  <w:txbxContent>
                    <w:p>
                      <w:pPr>
                        <w:tabs>
                          <w:tab w:pos="1905" w:val="left" w:leader="none"/>
                          <w:tab w:pos="2510" w:val="left" w:leader="none"/>
                        </w:tabs>
                        <w:spacing w:line="192" w:lineRule="exact" w:before="0"/>
                        <w:ind w:left="0" w:right="0" w:firstLine="0"/>
                        <w:jc w:val="left"/>
                        <w:rPr>
                          <w:rFonts w:ascii="Times New Roman" w:hAnsi="Times New Roman" w:cs="Times New Roman" w:eastAsia="Times New Roman" w:hint="default"/>
                          <w:sz w:val="18"/>
                          <w:szCs w:val="18"/>
                        </w:rPr>
                      </w:pPr>
                      <w:r>
                        <w:rPr>
                          <w:rFonts w:ascii="Times New Roman"/>
                          <w:w w:val="101"/>
                          <w:position w:val="1"/>
                          <w:sz w:val="18"/>
                        </w:rPr>
                      </w:r>
                      <w:r>
                        <w:rPr>
                          <w:rFonts w:ascii="Times New Roman"/>
                          <w:position w:val="1"/>
                          <w:sz w:val="18"/>
                          <w:u w:val="single" w:color="000000"/>
                        </w:rPr>
                        <w:t>20%</w:t>
                        <w:tab/>
                      </w:r>
                      <w:r>
                        <w:rPr>
                          <w:rFonts w:ascii="Times New Roman"/>
                          <w:sz w:val="18"/>
                          <w:u w:val="single" w:color="000000"/>
                        </w:rPr>
                        <w:t>80%</w:t>
                        <w:tab/>
                      </w:r>
                      <w:r>
                        <w:rPr>
                          <w:rFonts w:ascii="Times New Roman"/>
                          <w:sz w:val="18"/>
                        </w:rPr>
                      </w:r>
                    </w:p>
                  </w:txbxContent>
                </v:textbox>
                <w10:wrap type="none"/>
              </v:shape>
              <v:shape style="position:absolute;left:132;top:2462;width:551;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color w:val="333333"/>
                          <w:spacing w:val="-3"/>
                          <w:sz w:val="18"/>
                        </w:rPr>
                        <w:t>11.29%</w:t>
                      </w:r>
                      <w:r>
                        <w:rPr>
                          <w:rFonts w:ascii="Times New Roman"/>
                          <w:spacing w:val="-3"/>
                          <w:sz w:val="18"/>
                        </w:rPr>
                      </w:r>
                    </w:p>
                  </w:txbxContent>
                </v:textbox>
                <w10:wrap type="none"/>
              </v:shape>
              <v:shape style="position:absolute;left:2134;top:2865;width:560;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sz w:val="18"/>
                        </w:rPr>
                        <w:t>47.24%</w:t>
                      </w:r>
                    </w:p>
                  </w:txbxContent>
                </v:textbox>
                <w10:wrap type="none"/>
              </v:shape>
              <v:shape style="position:absolute;left:3943;top:2884;width:469;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Times New Roman"/>
                          <w:color w:val="333333"/>
                          <w:sz w:val="18"/>
                        </w:rPr>
                        <w:t>0.51%</w:t>
                      </w:r>
                      <w:r>
                        <w:rPr>
                          <w:rFonts w:ascii="Times New Roman"/>
                          <w:sz w:val="18"/>
                        </w:rPr>
                      </w:r>
                    </w:p>
                  </w:txbxContent>
                </v:textbox>
                <w10:wrap type="none"/>
              </v:shape>
              <v:shape style="position:absolute;left:1073;top:1754;width:2122;height:749" type="#_x0000_t202" filled="false" stroked="true" strokeweight=".72pt" strokecolor="#000000">
                <v:textbox inset="0,0,0,0">
                  <w:txbxContent>
                    <w:p>
                      <w:pPr>
                        <w:spacing w:line="242" w:lineRule="auto" w:before="66"/>
                        <w:ind w:left="146" w:right="134"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新余天道酬勤投资发展</w:t>
                      </w:r>
                      <w:r>
                        <w:rPr>
                          <w:rFonts w:ascii="Microsoft JhengHei" w:hAnsi="Microsoft JhengHei" w:cs="Microsoft JhengHei" w:eastAsia="Microsoft JhengHei" w:hint="default"/>
                          <w:b/>
                          <w:bCs/>
                          <w:spacing w:val="-21"/>
                          <w:sz w:val="18"/>
                          <w:szCs w:val="18"/>
                        </w:rPr>
                        <w:t> </w:t>
                      </w: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xbxContent>
                </v:textbox>
                <w10:wrap type="none"/>
              </v:shape>
              <v:shape style="position:absolute;left:194;top:3247;width:4210;height:572" type="#_x0000_t202" filled="false" stroked="false">
                <v:textbox inset="0,0,0,0">
                  <w:txbxContent>
                    <w:p>
                      <w:pPr>
                        <w:spacing w:before="8"/>
                        <w:ind w:left="475"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深圳市实益达科技股份有限公司</w:t>
                      </w:r>
                      <w:r>
                        <w:rPr>
                          <w:rFonts w:ascii="Microsoft JhengHei" w:hAnsi="Microsoft JhengHei" w:cs="Microsoft JhengHei" w:eastAsia="Microsoft JhengHei" w:hint="default"/>
                          <w:sz w:val="24"/>
                          <w:szCs w:val="24"/>
                        </w:rPr>
                      </w:r>
                    </w:p>
                  </w:txbxContent>
                </v:textbox>
                <w10:wrap type="none"/>
              </v:shape>
            </v:group>
          </v:group>
        </w:pict>
      </w:r>
      <w:r>
        <w:rPr>
          <w:rFonts w:ascii="宋体" w:hAnsi="宋体" w:cs="宋体" w:eastAsia="宋体" w:hint="default"/>
          <w:position w:val="-76"/>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spacing w:val="-3"/>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13"/>
        </w:rPr>
        <w:t> </w:t>
      </w:r>
      <w:r>
        <w:rPr>
          <w:rFonts w:ascii="Times New Roman" w:hAnsi="Times New Roman" w:cs="Times New Roman" w:eastAsia="Times New Roman" w:hint="default"/>
        </w:rPr>
        <w:t>10%</w:t>
      </w:r>
      <w:r>
        <w:rPr/>
        <w:t>以上的法人股东</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38" w:lineRule="auto"/>
        <w:ind w:right="17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在公司所知的范围内，没有公司股东及其一致行动人在报告期提出或实施股份增持计划。</w:t>
      </w:r>
    </w:p>
    <w:p>
      <w:pPr>
        <w:spacing w:after="0" w:line="338"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458" w:lineRule="exact" w:before="0"/>
        <w:ind w:left="3282" w:right="0" w:firstLine="0"/>
        <w:jc w:val="left"/>
        <w:rPr>
          <w:rFonts w:ascii="Microsoft JhengHei" w:hAnsi="Microsoft JhengHei" w:cs="Microsoft JhengHei" w:eastAsia="Microsoft JhengHei" w:hint="default"/>
          <w:sz w:val="32"/>
          <w:szCs w:val="32"/>
        </w:rPr>
      </w:pPr>
      <w:bookmarkStart w:name="_TOC_250005" w:id="7"/>
      <w:r>
        <w:rPr>
          <w:rFonts w:ascii="Microsoft JhengHei" w:hAnsi="Microsoft JhengHei" w:cs="Microsoft JhengHei" w:eastAsia="Microsoft JhengHei" w:hint="default"/>
          <w:b/>
          <w:bCs/>
          <w:sz w:val="32"/>
          <w:szCs w:val="32"/>
        </w:rPr>
        <w:t>第七节 </w:t>
      </w:r>
      <w:r>
        <w:rPr>
          <w:rFonts w:ascii="Microsoft JhengHei" w:hAnsi="Microsoft JhengHei" w:cs="Microsoft JhengHei" w:eastAsia="Microsoft JhengHei" w:hint="default"/>
          <w:b/>
          <w:bCs/>
          <w:spacing w:val="13"/>
          <w:sz w:val="32"/>
          <w:szCs w:val="32"/>
        </w:rPr>
        <w:t> </w:t>
      </w:r>
      <w:r>
        <w:rPr>
          <w:rFonts w:ascii="Microsoft JhengHei" w:hAnsi="Microsoft JhengHei" w:cs="Microsoft JhengHei" w:eastAsia="Microsoft JhengHei" w:hint="default"/>
          <w:b/>
          <w:bCs/>
          <w:sz w:val="32"/>
          <w:szCs w:val="32"/>
        </w:rPr>
        <w:t>优先股相关情况</w:t>
      </w:r>
      <w:bookmarkEnd w:id="7"/>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6"/>
        <w:ind w:right="64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679" w:right="0"/>
        <w:jc w:val="left"/>
      </w:pPr>
      <w:bookmarkStart w:name="_TOC_250004" w:id="8"/>
      <w:r>
        <w:rPr/>
        <w:t>第八节</w:t>
      </w:r>
      <w:r>
        <w:rPr>
          <w:spacing w:val="24"/>
        </w:rPr>
        <w:t> </w:t>
      </w:r>
      <w:bookmarkEnd w:id="8"/>
      <w:r>
        <w:rPr/>
        <w:t>董事、监事、高级管理人员和员工情况</w:t>
      </w:r>
    </w:p>
    <w:p>
      <w:pPr>
        <w:spacing w:line="240" w:lineRule="auto" w:before="5"/>
        <w:rPr>
          <w:rFonts w:ascii="宋体" w:hAnsi="宋体" w:cs="宋体" w:eastAsia="宋体" w:hint="default"/>
          <w:sz w:val="32"/>
          <w:szCs w:val="3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710"/>
        <w:gridCol w:w="989"/>
        <w:gridCol w:w="571"/>
        <w:gridCol w:w="422"/>
        <w:gridCol w:w="427"/>
        <w:gridCol w:w="1560"/>
        <w:gridCol w:w="1555"/>
        <w:gridCol w:w="854"/>
        <w:gridCol w:w="989"/>
        <w:gridCol w:w="614"/>
        <w:gridCol w:w="869"/>
      </w:tblGrid>
      <w:tr>
        <w:trPr>
          <w:trHeight w:val="357" w:hRule="exact"/>
        </w:trPr>
        <w:tc>
          <w:tcPr>
            <w:tcW w:w="710" w:type="dxa"/>
            <w:tcBorders>
              <w:top w:val="single" w:sz="4" w:space="0" w:color="000000"/>
              <w:left w:val="single" w:sz="4" w:space="0" w:color="000000"/>
              <w:bottom w:val="nil" w:sz="6" w:space="0" w:color="auto"/>
              <w:right w:val="single" w:sz="4" w:space="0" w:color="000000"/>
            </w:tcBorders>
            <w:shd w:val="clear" w:color="auto" w:fill="D3D3D3"/>
          </w:tcPr>
          <w:p>
            <w:pPr/>
          </w:p>
        </w:tc>
        <w:tc>
          <w:tcPr>
            <w:tcW w:w="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571" w:type="dxa"/>
            <w:tcBorders>
              <w:top w:val="single" w:sz="4" w:space="0" w:color="000000"/>
              <w:left w:val="single" w:sz="4" w:space="0" w:color="000000"/>
              <w:bottom w:val="nil" w:sz="6" w:space="0" w:color="auto"/>
              <w:right w:val="single" w:sz="4" w:space="0" w:color="000000"/>
            </w:tcBorders>
            <w:shd w:val="clear" w:color="auto" w:fill="D3D3D3"/>
          </w:tcPr>
          <w:p>
            <w:pPr/>
          </w:p>
        </w:tc>
        <w:tc>
          <w:tcPr>
            <w:tcW w:w="422" w:type="dxa"/>
            <w:tcBorders>
              <w:top w:val="single" w:sz="4" w:space="0" w:color="000000"/>
              <w:left w:val="single" w:sz="4" w:space="0" w:color="000000"/>
              <w:bottom w:val="nil" w:sz="6" w:space="0" w:color="auto"/>
              <w:right w:val="single" w:sz="4" w:space="0" w:color="000000"/>
            </w:tcBorders>
            <w:shd w:val="clear" w:color="auto" w:fill="D3D3D3"/>
          </w:tcPr>
          <w:p>
            <w:pPr/>
          </w:p>
        </w:tc>
        <w:tc>
          <w:tcPr>
            <w:tcW w:w="4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5" w:type="dxa"/>
            <w:tcBorders>
              <w:top w:val="single" w:sz="4" w:space="0" w:color="000000"/>
              <w:left w:val="single" w:sz="4" w:space="0" w:color="000000"/>
              <w:bottom w:val="nil" w:sz="6" w:space="0" w:color="auto"/>
              <w:right w:val="single" w:sz="4" w:space="0" w:color="000000"/>
            </w:tcBorders>
            <w:shd w:val="clear" w:color="auto" w:fill="D3D3D3"/>
          </w:tcPr>
          <w:p>
            <w:pPr/>
          </w:p>
        </w:tc>
        <w:tc>
          <w:tcPr>
            <w:tcW w:w="8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right="26"/>
              <w:jc w:val="right"/>
              <w:rPr>
                <w:rFonts w:ascii="宋体" w:hAnsi="宋体" w:cs="宋体" w:eastAsia="宋体" w:hint="default"/>
                <w:sz w:val="18"/>
                <w:szCs w:val="18"/>
              </w:rPr>
            </w:pPr>
            <w:r>
              <w:rPr>
                <w:rFonts w:ascii="宋体" w:hAnsi="宋体" w:cs="宋体" w:eastAsia="宋体" w:hint="default"/>
                <w:spacing w:val="-2"/>
                <w:sz w:val="18"/>
                <w:szCs w:val="18"/>
              </w:rPr>
              <w:t>本期减</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6" w:hRule="exact"/>
        </w:trPr>
        <w:tc>
          <w:tcPr>
            <w:tcW w:w="7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3"/>
              <w:ind w:left="96" w:right="98"/>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4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3"/>
              <w:ind w:left="62" w:right="55"/>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9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3"/>
              <w:ind w:left="24" w:right="31" w:firstLine="19"/>
              <w:jc w:val="left"/>
              <w:rPr>
                <w:rFonts w:ascii="宋体" w:hAnsi="宋体" w:cs="宋体" w:eastAsia="宋体" w:hint="default"/>
                <w:sz w:val="18"/>
                <w:szCs w:val="18"/>
              </w:rPr>
            </w:pPr>
            <w:r>
              <w:rPr>
                <w:rFonts w:ascii="宋体" w:hAnsi="宋体" w:cs="宋体" w:eastAsia="宋体" w:hint="default"/>
                <w:spacing w:val="-2"/>
                <w:sz w:val="18"/>
                <w:szCs w:val="18"/>
              </w:rPr>
              <w:t>本期增持股</w:t>
            </w:r>
            <w:r>
              <w:rPr>
                <w:rFonts w:ascii="宋体" w:hAnsi="宋体" w:cs="宋体" w:eastAsia="宋体" w:hint="default"/>
                <w:w w:val="101"/>
                <w:sz w:val="18"/>
                <w:szCs w:val="18"/>
              </w:rPr>
              <w:t> </w:t>
            </w:r>
            <w:r>
              <w:rPr>
                <w:rFonts w:ascii="宋体" w:hAnsi="宋体" w:cs="宋体" w:eastAsia="宋体" w:hint="default"/>
                <w:spacing w:val="-13"/>
                <w:sz w:val="18"/>
                <w:szCs w:val="18"/>
              </w:rPr>
              <w:t>份数量（股</w:t>
            </w:r>
          </w:p>
        </w:tc>
        <w:tc>
          <w:tcPr>
            <w:tcW w:w="6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33" w:right="0"/>
              <w:jc w:val="left"/>
              <w:rPr>
                <w:rFonts w:ascii="宋体" w:hAnsi="宋体" w:cs="宋体" w:eastAsia="宋体" w:hint="default"/>
                <w:sz w:val="18"/>
                <w:szCs w:val="18"/>
              </w:rPr>
            </w:pPr>
            <w:r>
              <w:rPr>
                <w:rFonts w:ascii="宋体" w:hAnsi="宋体" w:cs="宋体" w:eastAsia="宋体" w:hint="default"/>
                <w:sz w:val="18"/>
                <w:szCs w:val="18"/>
              </w:rPr>
              <w:t>持股份</w:t>
            </w:r>
          </w:p>
          <w:p>
            <w:pPr>
              <w:pStyle w:val="TableParagraph"/>
              <w:spacing w:line="240" w:lineRule="auto" w:before="81"/>
              <w:ind w:left="-11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z w:val="18"/>
                <w:szCs w:val="18"/>
              </w:rPr>
              <w:t>数量</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3"/>
              <w:ind w:left="71" w:right="60"/>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351" w:hRule="exact"/>
        </w:trPr>
        <w:tc>
          <w:tcPr>
            <w:tcW w:w="710" w:type="dxa"/>
            <w:tcBorders>
              <w:top w:val="nil" w:sz="6" w:space="0" w:color="auto"/>
              <w:left w:val="single" w:sz="4" w:space="0" w:color="000000"/>
              <w:bottom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single" w:sz="4" w:space="0" w:color="000000"/>
              <w:right w:val="single" w:sz="4" w:space="0" w:color="000000"/>
            </w:tcBorders>
            <w:shd w:val="clear" w:color="auto" w:fill="D3D3D3"/>
          </w:tcPr>
          <w:p>
            <w:pPr/>
          </w:p>
        </w:tc>
        <w:tc>
          <w:tcPr>
            <w:tcW w:w="571" w:type="dxa"/>
            <w:tcBorders>
              <w:top w:val="nil" w:sz="6" w:space="0" w:color="auto"/>
              <w:left w:val="single" w:sz="4" w:space="0" w:color="000000"/>
              <w:bottom w:val="single" w:sz="4" w:space="0" w:color="000000"/>
              <w:right w:val="single" w:sz="4" w:space="0" w:color="000000"/>
            </w:tcBorders>
            <w:shd w:val="clear" w:color="auto" w:fill="D3D3D3"/>
          </w:tcPr>
          <w:p>
            <w:pPr/>
          </w:p>
        </w:tc>
        <w:tc>
          <w:tcPr>
            <w:tcW w:w="422" w:type="dxa"/>
            <w:tcBorders>
              <w:top w:val="nil" w:sz="6" w:space="0" w:color="auto"/>
              <w:left w:val="single" w:sz="4" w:space="0" w:color="000000"/>
              <w:bottom w:val="single" w:sz="4" w:space="0" w:color="000000"/>
              <w:right w:val="single" w:sz="4" w:space="0" w:color="000000"/>
            </w:tcBorders>
            <w:shd w:val="clear" w:color="auto" w:fill="D3D3D3"/>
          </w:tcPr>
          <w:p>
            <w:pPr/>
          </w:p>
        </w:tc>
        <w:tc>
          <w:tcPr>
            <w:tcW w:w="4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5" w:type="dxa"/>
            <w:tcBorders>
              <w:top w:val="nil" w:sz="6" w:space="0" w:color="auto"/>
              <w:left w:val="single" w:sz="4" w:space="0" w:color="000000"/>
              <w:bottom w:val="single" w:sz="4" w:space="0" w:color="000000"/>
              <w:right w:val="single" w:sz="4" w:space="0" w:color="000000"/>
            </w:tcBorders>
            <w:shd w:val="clear" w:color="auto" w:fill="D3D3D3"/>
          </w:tcPr>
          <w:p>
            <w:pPr/>
          </w:p>
        </w:tc>
        <w:tc>
          <w:tcPr>
            <w:tcW w:w="8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single" w:sz="4" w:space="0" w:color="000000"/>
              <w:right w:val="single" w:sz="4" w:space="0" w:color="000000"/>
            </w:tcBorders>
            <w:shd w:val="clear" w:color="auto" w:fill="D3D3D3"/>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26"/>
              <w:jc w:val="right"/>
              <w:rPr>
                <w:rFonts w:ascii="宋体" w:hAnsi="宋体" w:cs="宋体" w:eastAsia="宋体" w:hint="default"/>
                <w:sz w:val="18"/>
                <w:szCs w:val="18"/>
              </w:rPr>
            </w:pPr>
            <w:r>
              <w:rPr>
                <w:rFonts w:ascii="宋体" w:hAnsi="宋体" w:cs="宋体" w:eastAsia="宋体" w:hint="default"/>
                <w:spacing w:val="-2"/>
                <w:sz w:val="18"/>
                <w:szCs w:val="18"/>
              </w:rPr>
              <w:t>（股）</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2,343,978</w:t>
            </w: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2,343,978</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1"/>
                <w:sz w:val="18"/>
                <w:szCs w:val="18"/>
              </w:rPr>
              <w:t> </w:t>
            </w:r>
            <w:r>
              <w:rPr>
                <w:rFonts w:ascii="宋体" w:hAnsi="宋体" w:cs="宋体" w:eastAsia="宋体" w:hint="default"/>
                <w:sz w:val="18"/>
                <w:szCs w:val="18"/>
              </w:rPr>
              <w:t>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3,159,000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48,890,126</w:t>
            </w: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52,049,126</w:t>
            </w:r>
          </w:p>
        </w:tc>
      </w:tr>
      <w:tr>
        <w:trPr>
          <w:trHeight w:val="357" w:hRule="exact"/>
        </w:trPr>
        <w:tc>
          <w:tcPr>
            <w:tcW w:w="71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董事、副总</w:t>
            </w:r>
          </w:p>
        </w:tc>
        <w:tc>
          <w:tcPr>
            <w:tcW w:w="571" w:type="dxa"/>
            <w:tcBorders>
              <w:top w:val="single" w:sz="4" w:space="0" w:color="000000"/>
              <w:left w:val="single" w:sz="4" w:space="0" w:color="000000"/>
              <w:bottom w:val="nil" w:sz="6" w:space="0" w:color="auto"/>
              <w:right w:val="single" w:sz="4" w:space="0" w:color="000000"/>
            </w:tcBorders>
          </w:tcPr>
          <w:p>
            <w:pPr/>
          </w:p>
        </w:tc>
        <w:tc>
          <w:tcPr>
            <w:tcW w:w="422"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裁、财务总</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z w:val="18"/>
              </w:rPr>
              <w:t>38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vMerge/>
            <w:tcBorders>
              <w:left w:val="single" w:sz="4" w:space="0" w:color="000000"/>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500,000</w:t>
            </w:r>
          </w:p>
        </w:tc>
        <w:tc>
          <w:tcPr>
            <w:tcW w:w="61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351" w:hRule="exact"/>
        </w:trPr>
        <w:tc>
          <w:tcPr>
            <w:tcW w:w="71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监</w:t>
            </w:r>
            <w:r>
              <w:rPr>
                <w:rFonts w:ascii="宋体" w:hAnsi="宋体" w:cs="宋体" w:eastAsia="宋体" w:hint="default"/>
                <w:sz w:val="18"/>
                <w:szCs w:val="18"/>
              </w:rPr>
            </w:r>
          </w:p>
        </w:tc>
        <w:tc>
          <w:tcPr>
            <w:tcW w:w="571" w:type="dxa"/>
            <w:tcBorders>
              <w:top w:val="nil" w:sz="6" w:space="0" w:color="auto"/>
              <w:left w:val="single" w:sz="4" w:space="0" w:color="000000"/>
              <w:bottom w:val="single" w:sz="4" w:space="0" w:color="000000"/>
              <w:right w:val="single" w:sz="4" w:space="0" w:color="000000"/>
            </w:tcBorders>
          </w:tcPr>
          <w:p>
            <w:pPr/>
          </w:p>
        </w:tc>
        <w:tc>
          <w:tcPr>
            <w:tcW w:w="422"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0"/>
              <w:jc w:val="left"/>
              <w:rPr>
                <w:rFonts w:ascii="宋体" w:hAnsi="宋体" w:cs="宋体" w:eastAsia="宋体" w:hint="default"/>
                <w:sz w:val="18"/>
                <w:szCs w:val="18"/>
              </w:rPr>
            </w:pPr>
            <w:r>
              <w:rPr>
                <w:rFonts w:ascii="宋体" w:hAnsi="宋体" w:cs="宋体" w:eastAsia="宋体" w:hint="default"/>
                <w:spacing w:val="-2"/>
                <w:sz w:val="18"/>
                <w:szCs w:val="18"/>
              </w:rPr>
              <w:t>副总裁、董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事会秘书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宜</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316</w:t>
            </w: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316</w:t>
            </w:r>
          </w:p>
        </w:tc>
      </w:tr>
      <w:tr>
        <w:trPr>
          <w:trHeight w:val="3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225"/>
              <w:jc w:val="right"/>
              <w:rPr>
                <w:rFonts w:ascii="Times New Roman" w:hAnsi="Times New Roman" w:cs="Times New Roman" w:eastAsia="Times New Roman" w:hint="default"/>
                <w:sz w:val="18"/>
                <w:szCs w:val="18"/>
              </w:rPr>
            </w:pPr>
            <w:r>
              <w:rPr>
                <w:rFonts w:ascii="Times New Roman"/>
                <w:spacing w:val="-2"/>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5,503,294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49,690,126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55,193,420</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before="26"/>
        <w:ind w:right="0"/>
        <w:jc w:val="left"/>
      </w:pPr>
      <w:r>
        <w:rPr/>
        <w:t>二、任职情况</w:t>
      </w:r>
    </w:p>
    <w:p>
      <w:pPr>
        <w:spacing w:line="240" w:lineRule="auto" w:before="3"/>
        <w:rPr>
          <w:rFonts w:ascii="宋体" w:hAnsi="宋体" w:cs="宋体" w:eastAsia="宋体" w:hint="default"/>
          <w:sz w:val="27"/>
          <w:szCs w:val="27"/>
        </w:rPr>
      </w:pPr>
    </w:p>
    <w:p>
      <w:pPr>
        <w:spacing w:line="278" w:lineRule="auto" w:before="0"/>
        <w:ind w:left="152" w:right="4944" w:firstLine="0"/>
        <w:jc w:val="left"/>
        <w:rPr>
          <w:rFonts w:ascii="Microsoft JhengHei" w:hAnsi="Microsoft JhengHei" w:cs="Microsoft JhengHei" w:eastAsia="Microsoft JhengHei" w:hint="default"/>
          <w:sz w:val="18"/>
          <w:szCs w:val="18"/>
        </w:rPr>
      </w:pPr>
      <w:r>
        <w:rPr>
          <w:rFonts w:ascii="宋体" w:hAnsi="宋体" w:cs="宋体" w:eastAsia="宋体" w:hint="default"/>
          <w:spacing w:val="-3"/>
          <w:sz w:val="18"/>
          <w:szCs w:val="18"/>
        </w:rPr>
        <w:t>公司现任董事、监事、高级管理人员最近</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年的主要工作经历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Microsoft JhengHei" w:hAnsi="Microsoft JhengHei" w:cs="Microsoft JhengHei" w:eastAsia="Microsoft JhengHei" w:hint="default"/>
          <w:b/>
          <w:bCs/>
          <w:sz w:val="18"/>
          <w:szCs w:val="18"/>
        </w:rPr>
        <w:t>1、董事的主要工作经历</w:t>
      </w:r>
      <w:r>
        <w:rPr>
          <w:rFonts w:ascii="Microsoft JhengHei" w:hAnsi="Microsoft JhengHei" w:cs="Microsoft JhengHei" w:eastAsia="Microsoft JhengHei" w:hint="default"/>
          <w:sz w:val="18"/>
          <w:szCs w:val="18"/>
        </w:rPr>
      </w:r>
    </w:p>
    <w:p>
      <w:pPr>
        <w:pStyle w:val="BodyText"/>
        <w:spacing w:line="274" w:lineRule="exact"/>
        <w:ind w:right="0"/>
        <w:jc w:val="left"/>
      </w:pPr>
      <w:r>
        <w:rPr>
          <w:rFonts w:ascii="Microsoft JhengHei" w:hAnsi="Microsoft JhengHei" w:cs="Microsoft JhengHei" w:eastAsia="Microsoft JhengHei" w:hint="default"/>
          <w:b/>
          <w:bCs/>
          <w:spacing w:val="-4"/>
        </w:rPr>
        <w:t>陈亚妹女士：</w:t>
      </w:r>
      <w:r>
        <w:rPr>
          <w:rFonts w:ascii="Times New Roman" w:hAnsi="Times New Roman" w:cs="Times New Roman" w:eastAsia="Times New Roman" w:hint="default"/>
          <w:spacing w:val="-4"/>
        </w:rPr>
        <w:t>1975</w:t>
      </w:r>
      <w:r>
        <w:rPr>
          <w:spacing w:val="-4"/>
        </w:rPr>
        <w:t>年出生，中国国籍，无境外永久居留权，大专学历。陈亚妹女士</w:t>
      </w:r>
      <w:r>
        <w:rPr>
          <w:rFonts w:ascii="Times New Roman" w:hAnsi="Times New Roman" w:cs="Times New Roman" w:eastAsia="Times New Roman" w:hint="default"/>
          <w:spacing w:val="-4"/>
        </w:rPr>
        <w:t>1998</w:t>
      </w:r>
      <w:r>
        <w:rPr>
          <w:spacing w:val="-4"/>
        </w:rPr>
        <w:t>年与乔昕先生一起创办本公司前身深</w:t>
      </w:r>
    </w:p>
    <w:p>
      <w:pPr>
        <w:pStyle w:val="BodyText"/>
        <w:spacing w:line="316" w:lineRule="auto" w:before="56"/>
        <w:ind w:right="0"/>
        <w:jc w:val="left"/>
      </w:pPr>
      <w:r>
        <w:rPr>
          <w:spacing w:val="-4"/>
        </w:rPr>
        <w:t>圳市实益达实业有限公司，现任本公司董事长、无锡实益达电子董事、香港实益达执行董事、天道酬勤执行董事、冠德成监</w:t>
      </w:r>
      <w:r>
        <w:rPr>
          <w:spacing w:val="40"/>
        </w:rPr>
        <w:t> </w:t>
      </w:r>
      <w:r>
        <w:rPr>
          <w:spacing w:val="40"/>
        </w:rPr>
      </w:r>
      <w:r>
        <w:rPr>
          <w:spacing w:val="-3"/>
        </w:rPr>
        <w:t>事、凯扬商贸执行董事、前海实益达董事、九派凯阳有限合伙人。</w:t>
      </w:r>
    </w:p>
    <w:p>
      <w:pPr>
        <w:pStyle w:val="BodyText"/>
        <w:spacing w:line="275" w:lineRule="exact"/>
        <w:ind w:right="0"/>
        <w:jc w:val="left"/>
      </w:pPr>
      <w:r>
        <w:rPr>
          <w:rFonts w:ascii="Microsoft JhengHei" w:hAnsi="Microsoft JhengHei" w:cs="Microsoft JhengHei" w:eastAsia="Microsoft JhengHei" w:hint="default"/>
          <w:b/>
          <w:bCs/>
        </w:rPr>
        <w:t>乔昕先生：   </w:t>
      </w:r>
      <w:r>
        <w:rPr>
          <w:rFonts w:ascii="Microsoft JhengHei" w:hAnsi="Microsoft JhengHei" w:cs="Microsoft JhengHei" w:eastAsia="Microsoft JhengHei" w:hint="default"/>
          <w:b/>
          <w:bCs/>
          <w:spacing w:val="43"/>
        </w:rPr>
        <w:t> </w:t>
      </w:r>
      <w:r>
        <w:rPr>
          <w:rFonts w:ascii="Times New Roman" w:hAnsi="Times New Roman" w:cs="Times New Roman" w:eastAsia="Times New Roman" w:hint="default"/>
          <w:spacing w:val="-3"/>
        </w:rPr>
        <w:t>1963</w:t>
      </w:r>
      <w:r>
        <w:rPr>
          <w:spacing w:val="-3"/>
        </w:rPr>
        <w:t>年出生，中国国籍，无境外永久居留权，硕士学历。乔昕先生大学毕业后曾先后在无锡机床研究所、日本</w:t>
      </w:r>
    </w:p>
    <w:p>
      <w:pPr>
        <w:pStyle w:val="BodyText"/>
        <w:spacing w:line="312" w:lineRule="exact" w:before="16"/>
        <w:ind w:right="0" w:hanging="1"/>
        <w:jc w:val="left"/>
      </w:pPr>
      <w:r>
        <w:rPr>
          <w:spacing w:val="-4"/>
        </w:rPr>
        <w:t>北陆电气工业株式会社深圳办事处工作，</w:t>
      </w:r>
      <w:r>
        <w:rPr>
          <w:rFonts w:ascii="Times New Roman" w:hAnsi="Times New Roman" w:cs="Times New Roman" w:eastAsia="Times New Roman" w:hint="default"/>
          <w:spacing w:val="-4"/>
        </w:rPr>
        <w:t>1998</w:t>
      </w:r>
      <w:r>
        <w:rPr>
          <w:spacing w:val="-4"/>
        </w:rPr>
        <w:t>年创办本公司前身深圳市实益达实业有限公司，现任本公司董事兼总裁、无锡</w:t>
      </w:r>
      <w:r>
        <w:rPr>
          <w:spacing w:val="51"/>
        </w:rPr>
        <w:t> </w:t>
      </w:r>
      <w:r>
        <w:rPr>
          <w:spacing w:val="51"/>
        </w:rPr>
      </w:r>
      <w:r>
        <w:rPr>
          <w:spacing w:val="-4"/>
        </w:rPr>
        <w:t>实益达电子董事长、汇大光电董事长、电明科技董事、冠德成执行董事、无锡实益达照明总经理、前海实益达董事长、百华</w:t>
      </w:r>
      <w:r>
        <w:rPr>
          <w:spacing w:val="39"/>
        </w:rPr>
        <w:t> </w:t>
      </w:r>
      <w:r>
        <w:rPr>
          <w:spacing w:val="39"/>
        </w:rPr>
      </w:r>
      <w:r>
        <w:rPr>
          <w:spacing w:val="-3"/>
        </w:rPr>
        <w:t>科技执行董事、九派凯阳有限合伙人。</w:t>
      </w:r>
      <w:r>
        <w:rPr>
          <w:spacing w:val="-40"/>
        </w:rPr>
        <w:t> </w:t>
      </w:r>
      <w:r>
        <w:rPr>
          <w:spacing w:val="-40"/>
        </w:rPr>
      </w:r>
      <w:r>
        <w:rPr>
          <w:rFonts w:ascii="Microsoft JhengHei" w:hAnsi="Microsoft JhengHei" w:cs="Microsoft JhengHei" w:eastAsia="Microsoft JhengHei" w:hint="default"/>
          <w:b/>
          <w:bCs/>
          <w:spacing w:val="-3"/>
        </w:rPr>
        <w:t>刘爱民先生：</w:t>
      </w:r>
      <w:r>
        <w:rPr>
          <w:spacing w:val="-3"/>
        </w:rPr>
        <w:t>男，</w:t>
      </w:r>
      <w:r>
        <w:rPr>
          <w:rFonts w:ascii="Times New Roman" w:hAnsi="Times New Roman" w:cs="Times New Roman" w:eastAsia="Times New Roman" w:hint="default"/>
          <w:spacing w:val="-3"/>
        </w:rPr>
        <w:t>1976</w:t>
      </w:r>
      <w:r>
        <w:rPr>
          <w:spacing w:val="-3"/>
        </w:rPr>
        <w:t>年出生，中国国籍，无境外永久居留权，本科学历，中级会计师。曾任职</w:t>
      </w:r>
      <w:r>
        <w:rPr>
          <w:rFonts w:ascii="Times New Roman" w:hAnsi="Times New Roman" w:cs="Times New Roman" w:eastAsia="Times New Roman" w:hint="default"/>
          <w:spacing w:val="-3"/>
        </w:rPr>
        <w:t>TCL</w:t>
      </w:r>
      <w:r>
        <w:rPr>
          <w:spacing w:val="-3"/>
        </w:rPr>
        <w:t>集团子公司财务总监、</w:t>
      </w:r>
    </w:p>
    <w:p>
      <w:pPr>
        <w:spacing w:after="0" w:line="312" w:lineRule="exact"/>
        <w:jc w:val="left"/>
        <w:sectPr>
          <w:pgSz w:w="11910" w:h="16840"/>
          <w:pgMar w:header="741" w:footer="979" w:top="1060" w:bottom="1160" w:left="980" w:right="960"/>
        </w:sectPr>
      </w:pPr>
    </w:p>
    <w:p>
      <w:pPr>
        <w:spacing w:line="240" w:lineRule="auto" w:before="1"/>
        <w:rPr>
          <w:rFonts w:ascii="宋体" w:hAnsi="宋体" w:cs="宋体" w:eastAsia="宋体" w:hint="default"/>
          <w:sz w:val="26"/>
          <w:szCs w:val="26"/>
        </w:rPr>
      </w:pPr>
    </w:p>
    <w:p>
      <w:pPr>
        <w:pStyle w:val="BodyText"/>
        <w:spacing w:line="312" w:lineRule="exact" w:before="7"/>
        <w:ind w:right="0"/>
        <w:jc w:val="left"/>
      </w:pPr>
      <w:r>
        <w:rPr>
          <w:spacing w:val="-3"/>
        </w:rPr>
        <w:t>三九集团子公司财务经理，</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月加入公司，现任公司董事、副总裁、财务总监，兼任前海实益达董事和总经理、深圳</w:t>
      </w:r>
      <w:r>
        <w:rPr>
          <w:spacing w:val="75"/>
        </w:rPr>
        <w:t> </w:t>
      </w:r>
      <w:r>
        <w:rPr>
          <w:spacing w:val="75"/>
        </w:rPr>
      </w:r>
      <w:r>
        <w:rPr>
          <w:spacing w:val="-3"/>
        </w:rPr>
        <w:t>前海知了投资管理有限公司执行董事、新余久益投资管理合伙企业（有限合伙）总裁、九派凯阳有限合伙人。</w:t>
      </w:r>
      <w:r>
        <w:rPr>
          <w:spacing w:val="49"/>
        </w:rPr>
        <w:t> </w:t>
      </w:r>
      <w:r>
        <w:rPr>
          <w:spacing w:val="49"/>
        </w:rPr>
      </w:r>
      <w:r>
        <w:rPr>
          <w:rFonts w:ascii="Microsoft JhengHei" w:hAnsi="Microsoft JhengHei" w:cs="Microsoft JhengHei" w:eastAsia="Microsoft JhengHei" w:hint="default"/>
          <w:b/>
          <w:bCs/>
          <w:spacing w:val="-3"/>
        </w:rPr>
        <w:t>洪兵先生：</w:t>
      </w:r>
      <w:r>
        <w:rPr>
          <w:rFonts w:ascii="Times New Roman" w:hAnsi="Times New Roman" w:cs="Times New Roman" w:eastAsia="Times New Roman" w:hint="default"/>
          <w:spacing w:val="-3"/>
        </w:rPr>
        <w:t>1969</w:t>
      </w:r>
      <w:r>
        <w:rPr>
          <w:spacing w:val="-3"/>
        </w:rPr>
        <w:t>年出生，中国国籍，无境外永久居留权，硕士学历。现任无锡立德时代科技有限公司总经理。</w:t>
      </w:r>
      <w:r>
        <w:rPr>
          <w:spacing w:val="60"/>
        </w:rPr>
        <w:t> </w:t>
      </w:r>
      <w:r>
        <w:rPr>
          <w:spacing w:val="60"/>
        </w:rPr>
      </w:r>
      <w:r>
        <w:rPr>
          <w:rFonts w:ascii="Microsoft JhengHei" w:hAnsi="Microsoft JhengHei" w:cs="Microsoft JhengHei" w:eastAsia="Microsoft JhengHei" w:hint="default"/>
          <w:b/>
          <w:bCs/>
          <w:spacing w:val="-6"/>
        </w:rPr>
        <w:t>胡宜女士：</w:t>
      </w:r>
      <w:r>
        <w:rPr>
          <w:spacing w:val="-6"/>
        </w:rPr>
        <w:t>女，</w:t>
      </w:r>
      <w:r>
        <w:rPr>
          <w:rFonts w:ascii="Times New Roman" w:hAnsi="Times New Roman" w:cs="Times New Roman" w:eastAsia="Times New Roman" w:hint="default"/>
          <w:spacing w:val="-6"/>
        </w:rPr>
        <w:t>1970</w:t>
      </w:r>
      <w:r>
        <w:rPr>
          <w:spacing w:val="-6"/>
        </w:rPr>
        <w:t>年出生，中国国籍，无境外永久居留权，中山大学法学士、北京大学经济学硕士、深圳市注册执业律师。</w:t>
      </w:r>
      <w:r>
        <w:rPr>
          <w:spacing w:val="-3"/>
        </w:rPr>
        <w:t> </w:t>
      </w:r>
      <w:r>
        <w:rPr>
          <w:spacing w:val="-3"/>
        </w:rPr>
        <w:t>现任北京市中伦律师事务所派驻深圳办公室合伙人、本公司独立董事。</w:t>
      </w:r>
      <w:r>
        <w:rPr>
          <w:spacing w:val="2"/>
        </w:rPr>
        <w:t> </w:t>
      </w:r>
      <w:r>
        <w:rPr>
          <w:spacing w:val="2"/>
        </w:rPr>
      </w:r>
      <w:r>
        <w:rPr>
          <w:rFonts w:ascii="Microsoft JhengHei" w:hAnsi="Microsoft JhengHei" w:cs="Microsoft JhengHei" w:eastAsia="Microsoft JhengHei" w:hint="default"/>
          <w:b/>
          <w:bCs/>
          <w:spacing w:val="-4"/>
        </w:rPr>
        <w:t>唐忠诚先生：</w:t>
      </w:r>
      <w:r>
        <w:rPr>
          <w:spacing w:val="-4"/>
        </w:rPr>
        <w:t>男，</w:t>
      </w:r>
      <w:r>
        <w:rPr>
          <w:rFonts w:ascii="Times New Roman" w:hAnsi="Times New Roman" w:cs="Times New Roman" w:eastAsia="Times New Roman" w:hint="default"/>
          <w:spacing w:val="-4"/>
        </w:rPr>
        <w:t>1963</w:t>
      </w:r>
      <w:r>
        <w:rPr>
          <w:spacing w:val="-4"/>
        </w:rPr>
        <w:t>年出生，中国国籍，无境外永久居留权，南京财经大学经济学学士、南开大学经济学硕士、拥有加拿</w:t>
      </w:r>
      <w:r>
        <w:rPr>
          <w:spacing w:val="48"/>
        </w:rPr>
        <w:t> </w:t>
      </w:r>
      <w:r>
        <w:rPr>
          <w:spacing w:val="48"/>
        </w:rPr>
      </w:r>
      <w:r>
        <w:rPr>
          <w:spacing w:val="-4"/>
        </w:rPr>
        <w:t>大约克大学</w:t>
      </w:r>
      <w:r>
        <w:rPr>
          <w:rFonts w:ascii="Times New Roman" w:hAnsi="Times New Roman" w:cs="Times New Roman" w:eastAsia="Times New Roman" w:hint="default"/>
          <w:spacing w:val="-4"/>
        </w:rPr>
        <w:t>MBA</w:t>
      </w:r>
      <w:r>
        <w:rPr>
          <w:spacing w:val="-4"/>
        </w:rPr>
        <w:t>项目合格证书、高级会计师。现任上海君富投资管理有限公司副董事长、辽宁北镇五峰米业有限公司董事、</w:t>
      </w:r>
      <w:r>
        <w:rPr/>
        <w:t> </w:t>
      </w:r>
      <w:r>
        <w:rPr/>
      </w:r>
      <w:r>
        <w:rPr>
          <w:spacing w:val="-4"/>
        </w:rPr>
        <w:t>深圳文科园林股份有限公司董事、东莞雄林新材有限公司董事、深圳同创伟业创业投资公司合伙人、宁夏银利电气有限公司</w:t>
      </w:r>
      <w:r>
        <w:rPr>
          <w:spacing w:val="43"/>
        </w:rPr>
        <w:t> </w:t>
      </w:r>
      <w:r>
        <w:rPr>
          <w:spacing w:val="43"/>
        </w:rPr>
      </w:r>
      <w:r>
        <w:rPr>
          <w:spacing w:val="-3"/>
        </w:rPr>
        <w:t>董事、河南金苑种业有限公司董事和本公司独立董事。</w:t>
      </w:r>
      <w:r>
        <w:rPr>
          <w:spacing w:val="-16"/>
        </w:rPr>
        <w:t> </w:t>
      </w:r>
      <w:r>
        <w:rPr>
          <w:spacing w:val="-16"/>
        </w:rPr>
      </w:r>
      <w:r>
        <w:rPr>
          <w:rFonts w:ascii="Microsoft JhengHei" w:hAnsi="Microsoft JhengHei" w:cs="Microsoft JhengHei" w:eastAsia="Microsoft JhengHei" w:hint="default"/>
          <w:b/>
          <w:bCs/>
          <w:spacing w:val="-3"/>
        </w:rPr>
        <w:t>陶向南先生：</w:t>
      </w:r>
      <w:r>
        <w:rPr>
          <w:spacing w:val="-3"/>
        </w:rPr>
        <w:t>男，</w:t>
      </w:r>
      <w:r>
        <w:rPr>
          <w:rFonts w:ascii="Times New Roman" w:hAnsi="Times New Roman" w:cs="Times New Roman" w:eastAsia="Times New Roman" w:hint="default"/>
          <w:spacing w:val="-3"/>
        </w:rPr>
        <w:t>1966</w:t>
      </w:r>
      <w:r>
        <w:rPr>
          <w:spacing w:val="-3"/>
        </w:rPr>
        <w:t>年出生，中国国籍，无境外永久居留权，南京大学商学院管理学博士。现任南京大学商学院副教授、</w:t>
      </w:r>
      <w:r>
        <w:rPr>
          <w:spacing w:val="77"/>
        </w:rPr>
        <w:t> </w:t>
      </w:r>
      <w:r>
        <w:rPr>
          <w:spacing w:val="77"/>
        </w:rPr>
      </w:r>
      <w:r>
        <w:rPr>
          <w:spacing w:val="-3"/>
        </w:rPr>
        <w:t>澳门科技大学兼职副教授、本公司独立董事。</w:t>
      </w:r>
    </w:p>
    <w:p>
      <w:pPr>
        <w:spacing w:line="240" w:lineRule="auto" w:before="6"/>
        <w:rPr>
          <w:rFonts w:ascii="宋体" w:hAnsi="宋体" w:cs="宋体" w:eastAsia="宋体" w:hint="default"/>
          <w:sz w:val="22"/>
          <w:szCs w:val="22"/>
        </w:rPr>
      </w:pPr>
    </w:p>
    <w:p>
      <w:pPr>
        <w:pStyle w:val="Heading6"/>
        <w:spacing w:line="313" w:lineRule="exact"/>
        <w:ind w:left="153" w:right="0"/>
        <w:jc w:val="left"/>
        <w:rPr>
          <w:b w:val="0"/>
          <w:bCs w:val="0"/>
        </w:rPr>
      </w:pPr>
      <w:r>
        <w:rPr/>
        <w:t>2、监事的主要工作经历</w:t>
      </w:r>
      <w:r>
        <w:rPr>
          <w:b w:val="0"/>
          <w:bCs w:val="0"/>
        </w:rPr>
      </w:r>
    </w:p>
    <w:p>
      <w:pPr>
        <w:pStyle w:val="BodyText"/>
        <w:spacing w:line="292" w:lineRule="auto"/>
        <w:ind w:left="153" w:right="215"/>
        <w:jc w:val="both"/>
      </w:pPr>
      <w:r>
        <w:rPr>
          <w:rFonts w:ascii="Microsoft JhengHei" w:hAnsi="Microsoft JhengHei" w:cs="Microsoft JhengHei" w:eastAsia="Microsoft JhengHei" w:hint="default"/>
          <w:b/>
          <w:bCs/>
        </w:rPr>
        <w:t>陈晓燕女士：</w:t>
      </w:r>
      <w:r>
        <w:rPr/>
        <w:t>女，</w:t>
      </w:r>
      <w:r>
        <w:rPr>
          <w:rFonts w:ascii="Times New Roman" w:hAnsi="Times New Roman" w:cs="Times New Roman" w:eastAsia="Times New Roman" w:hint="default"/>
        </w:rPr>
        <w:t>1983 </w:t>
      </w:r>
      <w:r>
        <w:rPr>
          <w:spacing w:val="-3"/>
        </w:rPr>
        <w:t>年出生，中国国籍，无境外永久居留权，中专学历。</w:t>
      </w:r>
      <w:r>
        <w:rPr>
          <w:rFonts w:ascii="Times New Roman" w:hAnsi="Times New Roman" w:cs="Times New Roman" w:eastAsia="Times New Roman" w:hint="default"/>
          <w:spacing w:val="-3"/>
        </w:rPr>
        <w:t>2003</w:t>
      </w:r>
      <w:r>
        <w:rPr>
          <w:spacing w:val="-3"/>
        </w:rPr>
        <w:t>年至今任职于深圳市实益达科技股份有限</w:t>
      </w:r>
      <w:r>
        <w:rPr>
          <w:spacing w:val="-61"/>
        </w:rPr>
        <w:t> </w:t>
      </w:r>
      <w:r>
        <w:rPr>
          <w:spacing w:val="-61"/>
        </w:rPr>
      </w:r>
      <w:r>
        <w:rPr>
          <w:spacing w:val="-3"/>
        </w:rPr>
        <w:t>公司人力资源部，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日起至今任本公司非职工代表监事，</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16</w:t>
      </w:r>
      <w:r>
        <w:rPr>
          <w:spacing w:val="-3"/>
        </w:rPr>
        <w:t>日起至今任深圳市汇大光电科技有限公司监</w:t>
      </w:r>
      <w:r>
        <w:rPr/>
        <w:t> </w:t>
      </w:r>
      <w:r>
        <w:rPr/>
        <w:t>事。</w:t>
      </w:r>
    </w:p>
    <w:p>
      <w:pPr>
        <w:pStyle w:val="BodyText"/>
        <w:spacing w:line="293" w:lineRule="exact"/>
        <w:ind w:left="153" w:right="0"/>
        <w:jc w:val="left"/>
      </w:pPr>
      <w:r>
        <w:rPr>
          <w:rFonts w:ascii="Microsoft JhengHei" w:hAnsi="Microsoft JhengHei" w:cs="Microsoft JhengHei" w:eastAsia="Microsoft JhengHei" w:hint="default"/>
          <w:b/>
          <w:bCs/>
        </w:rPr>
        <w:t>王丽女士：</w:t>
      </w:r>
      <w:r>
        <w:rPr/>
        <w:t>女，</w:t>
      </w:r>
      <w:r>
        <w:rPr>
          <w:rFonts w:ascii="Times New Roman" w:hAnsi="Times New Roman" w:cs="Times New Roman" w:eastAsia="Times New Roman" w:hint="default"/>
        </w:rPr>
        <w:t>1982   </w:t>
      </w:r>
      <w:r>
        <w:rPr>
          <w:rFonts w:ascii="Times New Roman" w:hAnsi="Times New Roman" w:cs="Times New Roman" w:eastAsia="Times New Roman" w:hint="default"/>
          <w:spacing w:val="31"/>
        </w:rPr>
        <w:t> </w:t>
      </w:r>
      <w:r>
        <w:rPr>
          <w:spacing w:val="-3"/>
        </w:rPr>
        <w:t>年出生，中国国籍，无境外永久居留权，本科学历。</w:t>
      </w:r>
      <w:r>
        <w:rPr>
          <w:rFonts w:ascii="Times New Roman" w:hAnsi="Times New Roman" w:cs="Times New Roman" w:eastAsia="Times New Roman" w:hint="default"/>
          <w:spacing w:val="-3"/>
        </w:rPr>
        <w:t>2006</w:t>
      </w:r>
      <w:r>
        <w:rPr>
          <w:spacing w:val="-3"/>
        </w:rPr>
        <w:t>年至今任职于深圳市实益达科技股份有限公</w:t>
      </w:r>
    </w:p>
    <w:p>
      <w:pPr>
        <w:pStyle w:val="BodyText"/>
        <w:spacing w:line="264" w:lineRule="auto" w:before="56"/>
        <w:ind w:left="153" w:right="0"/>
        <w:jc w:val="left"/>
      </w:pPr>
      <w:r>
        <w:rPr>
          <w:spacing w:val="-3"/>
        </w:rPr>
        <w:t>司行政部，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日起至今任本公司职工代表监事。</w:t>
      </w:r>
      <w:r>
        <w:rPr>
          <w:spacing w:val="-7"/>
        </w:rPr>
        <w:t> </w:t>
      </w:r>
      <w:r>
        <w:rPr>
          <w:spacing w:val="-7"/>
        </w:rPr>
      </w:r>
      <w:r>
        <w:rPr>
          <w:rFonts w:ascii="Microsoft JhengHei" w:hAnsi="Microsoft JhengHei" w:cs="Microsoft JhengHei" w:eastAsia="Microsoft JhengHei" w:hint="default"/>
          <w:b/>
          <w:bCs/>
          <w:spacing w:val="-3"/>
        </w:rPr>
        <w:t>张维先生：</w:t>
      </w:r>
      <w:r>
        <w:rPr>
          <w:spacing w:val="-3"/>
        </w:rPr>
        <w:t>男，</w:t>
      </w:r>
      <w:r>
        <w:rPr>
          <w:rFonts w:ascii="Times New Roman" w:hAnsi="Times New Roman" w:cs="Times New Roman" w:eastAsia="Times New Roman" w:hint="default"/>
          <w:spacing w:val="-3"/>
        </w:rPr>
        <w:t>1982</w:t>
      </w:r>
      <w:r>
        <w:rPr>
          <w:spacing w:val="-3"/>
        </w:rPr>
        <w:t>年出生，中国国籍，无境外永久居留权，本科学历。</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7</w:t>
      </w:r>
      <w:r>
        <w:rPr>
          <w:spacing w:val="-3"/>
        </w:rPr>
        <w:t>月至今任职于深圳市实益达科技股份有限</w:t>
      </w:r>
      <w:r>
        <w:rPr>
          <w:spacing w:val="-1"/>
        </w:rPr>
        <w:t> </w:t>
      </w:r>
      <w:r>
        <w:rPr>
          <w:spacing w:val="-1"/>
        </w:rPr>
      </w:r>
      <w:r>
        <w:rPr>
          <w:spacing w:val="-3"/>
        </w:rPr>
        <w:t>公司</w:t>
      </w:r>
      <w:r>
        <w:rPr>
          <w:rFonts w:ascii="Times New Roman" w:hAnsi="Times New Roman" w:cs="Times New Roman" w:eastAsia="Times New Roman" w:hint="default"/>
          <w:spacing w:val="-3"/>
        </w:rPr>
        <w:t>EMS</w:t>
      </w:r>
      <w:r>
        <w:rPr>
          <w:spacing w:val="-3"/>
        </w:rPr>
        <w:t>事业部项目管理中心。</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日起至今任本公司非职工代表监事。</w:t>
      </w:r>
    </w:p>
    <w:p>
      <w:pPr>
        <w:spacing w:line="240" w:lineRule="auto" w:before="10"/>
        <w:rPr>
          <w:rFonts w:ascii="宋体" w:hAnsi="宋体" w:cs="宋体" w:eastAsia="宋体" w:hint="default"/>
          <w:sz w:val="22"/>
          <w:szCs w:val="22"/>
        </w:rPr>
      </w:pPr>
    </w:p>
    <w:p>
      <w:pPr>
        <w:spacing w:line="292" w:lineRule="auto" w:before="0"/>
        <w:ind w:left="153" w:right="3048"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3、高级管理人员的主要工作经历</w:t>
      </w:r>
      <w:r>
        <w:rPr>
          <w:rFonts w:ascii="Microsoft JhengHei" w:hAnsi="Microsoft JhengHei" w:cs="Microsoft JhengHei" w:eastAsia="Microsoft JhengHei" w:hint="default"/>
          <w:b/>
          <w:bCs/>
          <w:w w:val="101"/>
          <w:sz w:val="18"/>
          <w:szCs w:val="18"/>
        </w:rPr>
        <w:t> </w:t>
      </w:r>
      <w:r>
        <w:rPr>
          <w:rFonts w:ascii="宋体" w:hAnsi="宋体" w:cs="宋体" w:eastAsia="宋体" w:hint="default"/>
          <w:spacing w:val="-3"/>
          <w:sz w:val="18"/>
          <w:szCs w:val="18"/>
        </w:rPr>
        <w:t>乔昕简历参见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本节、（二）、</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、董事的主要工作经历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10"/>
          <w:sz w:val="18"/>
          <w:szCs w:val="18"/>
        </w:rPr>
        <w:t> </w:t>
      </w:r>
      <w:r>
        <w:rPr>
          <w:rFonts w:ascii="宋体" w:hAnsi="宋体" w:cs="宋体" w:eastAsia="宋体" w:hint="default"/>
          <w:spacing w:val="-3"/>
          <w:sz w:val="18"/>
          <w:szCs w:val="18"/>
        </w:rPr>
        <w:t>刘爱民简历参见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本节、（二）、</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、董事的主要工作经历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BodyText"/>
        <w:spacing w:line="275" w:lineRule="exact"/>
        <w:ind w:left="153" w:right="0" w:hanging="1"/>
        <w:jc w:val="left"/>
      </w:pPr>
      <w:r>
        <w:rPr>
          <w:rFonts w:ascii="Microsoft JhengHei" w:hAnsi="Microsoft JhengHei" w:cs="Microsoft JhengHei" w:eastAsia="Microsoft JhengHei" w:hint="default"/>
          <w:b/>
          <w:bCs/>
          <w:spacing w:val="-6"/>
        </w:rPr>
        <w:t>朱蕾女士：</w:t>
      </w:r>
      <w:r>
        <w:rPr>
          <w:spacing w:val="-6"/>
        </w:rPr>
        <w:t>女，</w:t>
      </w:r>
      <w:r>
        <w:rPr>
          <w:rFonts w:ascii="Times New Roman" w:hAnsi="Times New Roman" w:cs="Times New Roman" w:eastAsia="Times New Roman" w:hint="default"/>
          <w:spacing w:val="-6"/>
        </w:rPr>
        <w:t>1984</w:t>
      </w:r>
      <w:r>
        <w:rPr>
          <w:spacing w:val="-6"/>
        </w:rPr>
        <w:t>年出生，中国国籍，无境外永久居留权，硕士研究生学历。曾任职于</w:t>
      </w:r>
      <w:r>
        <w:rPr>
          <w:rFonts w:ascii="Times New Roman" w:hAnsi="Times New Roman" w:cs="Times New Roman" w:eastAsia="Times New Roman" w:hint="default"/>
          <w:spacing w:val="-6"/>
        </w:rPr>
        <w:t>DTZ</w:t>
      </w:r>
      <w:r>
        <w:rPr>
          <w:spacing w:val="-6"/>
        </w:rPr>
        <w:t>戴德梁行深圳公司工业物流部、</w:t>
      </w:r>
    </w:p>
    <w:p>
      <w:pPr>
        <w:pStyle w:val="BodyText"/>
        <w:spacing w:line="300" w:lineRule="auto" w:before="56"/>
        <w:ind w:left="153" w:right="0" w:hanging="1"/>
        <w:jc w:val="left"/>
      </w:pPr>
      <w:r>
        <w:rPr>
          <w:spacing w:val="-4"/>
        </w:rPr>
        <w:t>浙江星星瑞金科技股份有限公司董事会办公室，</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6</w:t>
      </w:r>
      <w:r>
        <w:rPr>
          <w:spacing w:val="-4"/>
        </w:rPr>
        <w:t>月加入公司，现任公司副总裁、董事会秘书，兼任前海实益达董事、</w:t>
      </w:r>
      <w:r>
        <w:rPr>
          <w:spacing w:val="49"/>
        </w:rPr>
        <w:t> </w:t>
      </w:r>
      <w:r>
        <w:rPr>
          <w:spacing w:val="49"/>
        </w:rPr>
      </w:r>
      <w:r>
        <w:rPr/>
        <w:t>九派凯阳有限合伙人。</w:t>
      </w:r>
    </w:p>
    <w:p>
      <w:pPr>
        <w:spacing w:line="240" w:lineRule="auto" w:before="0"/>
        <w:rPr>
          <w:rFonts w:ascii="宋体" w:hAnsi="宋体" w:cs="宋体" w:eastAsia="宋体" w:hint="default"/>
          <w:sz w:val="18"/>
          <w:szCs w:val="18"/>
        </w:rPr>
      </w:pPr>
    </w:p>
    <w:p>
      <w:pPr>
        <w:pStyle w:val="BodyText"/>
        <w:spacing w:line="240" w:lineRule="auto" w:before="151"/>
        <w:ind w:left="153" w:right="0"/>
        <w:jc w:val="left"/>
      </w:pPr>
      <w:r>
        <w:rPr>
          <w:spacing w:val="-3"/>
        </w:rPr>
        <w:t>在股东单位任职情况</w:t>
      </w:r>
    </w:p>
    <w:p>
      <w:pPr>
        <w:pStyle w:val="BodyText"/>
        <w:spacing w:line="240" w:lineRule="auto" w:before="119"/>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493"/>
        <w:gridCol w:w="1037"/>
        <w:gridCol w:w="158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6" w:right="69"/>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22" w:right="60" w:hanging="361"/>
              <w:jc w:val="left"/>
              <w:rPr>
                <w:rFonts w:ascii="宋体" w:hAnsi="宋体" w:cs="宋体" w:eastAsia="宋体" w:hint="default"/>
                <w:sz w:val="18"/>
                <w:szCs w:val="18"/>
              </w:rPr>
            </w:pPr>
            <w:r>
              <w:rPr>
                <w:rFonts w:ascii="宋体" w:hAnsi="宋体" w:cs="宋体" w:eastAsia="宋体" w:hint="default"/>
                <w:spacing w:val="-2"/>
                <w:sz w:val="18"/>
                <w:szCs w:val="18"/>
              </w:rPr>
              <w:t>任期终止日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40"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新余天道酬勤投资发展有限公司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在其他单位任职情况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493"/>
        <w:gridCol w:w="1027"/>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6" w:right="69"/>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22" w:right="50" w:hanging="361"/>
              <w:jc w:val="left"/>
              <w:rPr>
                <w:rFonts w:ascii="宋体" w:hAnsi="宋体" w:cs="宋体" w:eastAsia="宋体" w:hint="default"/>
                <w:sz w:val="18"/>
                <w:szCs w:val="18"/>
              </w:rPr>
            </w:pPr>
            <w:r>
              <w:rPr>
                <w:rFonts w:ascii="宋体" w:hAnsi="宋体" w:cs="宋体" w:eastAsia="宋体" w:hint="default"/>
                <w:spacing w:val="-2"/>
                <w:sz w:val="18"/>
                <w:szCs w:val="18"/>
              </w:rPr>
              <w:t>任期终止日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40"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11"/>
        <w:rPr>
          <w:rFonts w:ascii="宋体" w:hAnsi="宋体" w:cs="宋体" w:eastAsia="宋体" w:hint="default"/>
          <w:sz w:val="28"/>
          <w:szCs w:val="28"/>
        </w:rPr>
      </w:pPr>
      <w:r>
        <w:rPr/>
        <w:pict>
          <v:group style="position:absolute;margin-left:276.480011pt;margin-top:590.640015pt;width:52.6pt;height:19.45pt;mso-position-horizontal-relative:page;mso-position-vertical-relative:page;z-index:-821320" coordorigin="5530,11813" coordsize="1052,389">
            <v:group style="position:absolute;left:6562;top:11813;width:20;height:389" coordorigin="6562,11813" coordsize="20,389">
              <v:shape style="position:absolute;left:6562;top:11813;width:20;height:389" coordorigin="6562,11813" coordsize="20,389" path="m6562,12202l6581,12202,6581,11813,6562,11813,6562,12202xe" filled="true" fillcolor="#ffffff" stroked="false">
                <v:path arrowok="t"/>
                <v:fill type="solid"/>
              </v:shape>
            </v:group>
            <v:group style="position:absolute;left:5530;top:11813;width:24;height:389" coordorigin="5530,11813" coordsize="24,389">
              <v:shape style="position:absolute;left:5530;top:11813;width:24;height:389" coordorigin="5530,11813" coordsize="24,389" path="m5530,12202l5554,12202,5554,11813,5530,11813,5530,12202xe" filled="true" fillcolor="#ffffff" stroked="false">
                <v:path arrowok="t"/>
                <v:fill type="solid"/>
              </v:shape>
            </v:group>
            <v:group style="position:absolute;left:5554;top:11813;width:1008;height:389" coordorigin="5554,11813" coordsize="1008,389">
              <v:shape style="position:absolute;left:5554;top:11813;width:1008;height:389" coordorigin="5554,11813" coordsize="1008,389" path="m5554,12202l6562,12202,6562,11813,5554,11813,5554,1220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493"/>
        <w:gridCol w:w="1027"/>
        <w:gridCol w:w="1594"/>
      </w:tblGrid>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凯扬商贸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九派凯阳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电明科技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百华科技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06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无锡实益达照明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九派凯阳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北京市中伦律师事务所深圳分所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无锡立德时代科技有限公司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辽宁北镇五峰米业有限公司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深圳文科园林股份有限公司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深圳市同创伟业创业投资公司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东莞雄林新材有限公司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上海君富投资管理有限公司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东莞市中小企业促进会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宁夏银利电气有限公司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河南金苑种业有限公司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澳门科技大学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南京大学商学院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总</w:t>
            </w:r>
            <w:r>
              <w:rPr>
                <w:rFonts w:ascii="宋体" w:hAnsi="宋体" w:cs="宋体" w:eastAsia="宋体" w:hint="default"/>
                <w:spacing w:val="-5"/>
                <w:w w:val="101"/>
                <w:sz w:val="18"/>
                <w:szCs w:val="18"/>
              </w:rPr>
              <w:t>经</w:t>
            </w:r>
            <w:r>
              <w:rPr>
                <w:rFonts w:ascii="宋体" w:hAnsi="宋体" w:cs="宋体" w:eastAsia="宋体" w:hint="default"/>
                <w:w w:val="101"/>
                <w:sz w:val="18"/>
                <w:szCs w:val="18"/>
              </w:rPr>
              <w:t>理</w:t>
            </w:r>
            <w:r>
              <w:rPr>
                <w:rFonts w:ascii="宋体" w:hAnsi="宋体" w:cs="宋体" w:eastAsia="宋体" w:hint="default"/>
                <w:spacing w:val="-77"/>
                <w:w w:val="101"/>
                <w:sz w:val="18"/>
                <w:szCs w:val="18"/>
              </w:rPr>
              <w:t>、</w:t>
            </w:r>
            <w:r>
              <w:rPr>
                <w:rFonts w:ascii="宋体" w:hAnsi="宋体" w:cs="宋体" w:eastAsia="宋体" w:hint="default"/>
                <w:w w:val="101"/>
                <w:sz w:val="18"/>
                <w:szCs w:val="18"/>
              </w:rPr>
              <w:t>董事</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深圳前海知了投资管理有限公司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2"/>
              <w:jc w:val="left"/>
              <w:rPr>
                <w:rFonts w:ascii="宋体" w:hAnsi="宋体" w:cs="宋体" w:eastAsia="宋体" w:hint="default"/>
                <w:sz w:val="18"/>
                <w:szCs w:val="18"/>
              </w:rPr>
            </w:pPr>
            <w:r>
              <w:rPr>
                <w:rFonts w:ascii="宋体" w:hAnsi="宋体" w:cs="宋体" w:eastAsia="宋体" w:hint="default"/>
                <w:spacing w:val="-14"/>
                <w:sz w:val="18"/>
                <w:szCs w:val="18"/>
              </w:rPr>
              <w:t>执行董事、总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九派凯阳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4"/>
              <w:jc w:val="left"/>
              <w:rPr>
                <w:rFonts w:ascii="宋体" w:hAnsi="宋体" w:cs="宋体" w:eastAsia="宋体" w:hint="default"/>
                <w:sz w:val="18"/>
                <w:szCs w:val="18"/>
              </w:rPr>
            </w:pPr>
            <w:r>
              <w:rPr>
                <w:rFonts w:ascii="宋体" w:hAnsi="宋体" w:cs="宋体" w:eastAsia="宋体" w:hint="default"/>
                <w:spacing w:val="-6"/>
                <w:sz w:val="18"/>
                <w:szCs w:val="18"/>
              </w:rPr>
              <w:t>新余久益投资管理合伙企业（有限合伙）</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汇大光电</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06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前海实益达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九派凯阳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三、董事、监事、高级管理人员报酬情况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董事、监事、高级管理人员报酬的决策程序、确定依据</w:t>
      </w:r>
    </w:p>
    <w:p>
      <w:pPr>
        <w:spacing w:after="0" w:line="240" w:lineRule="auto"/>
        <w:jc w:val="lef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94"/>
        <w:gridCol w:w="7570"/>
      </w:tblGrid>
      <w:tr>
        <w:trPr>
          <w:trHeight w:val="739" w:hRule="exact"/>
        </w:trPr>
        <w:tc>
          <w:tcPr>
            <w:tcW w:w="1994"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24" w:lineRule="auto" w:before="63"/>
              <w:ind w:left="2" w:right="-5"/>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员报酬的决策程序</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63"/>
              <w:ind w:left="9" w:right="-5"/>
              <w:jc w:val="left"/>
              <w:rPr>
                <w:rFonts w:ascii="宋体" w:hAnsi="宋体" w:cs="宋体" w:eastAsia="宋体" w:hint="default"/>
                <w:sz w:val="18"/>
                <w:szCs w:val="18"/>
              </w:rPr>
            </w:pPr>
            <w:r>
              <w:rPr>
                <w:rFonts w:ascii="宋体" w:hAnsi="宋体" w:cs="宋体" w:eastAsia="宋体" w:hint="default"/>
                <w:spacing w:val="-3"/>
                <w:sz w:val="18"/>
                <w:szCs w:val="18"/>
              </w:rPr>
              <w:t>董事会和监事会成员的报酬和支付方法由股东大会确定，高级管理人员的报酬和支付方法由总经</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理提议并报董事会确定。</w:t>
            </w:r>
          </w:p>
        </w:tc>
      </w:tr>
      <w:tr>
        <w:trPr>
          <w:trHeight w:val="739" w:hRule="exact"/>
        </w:trPr>
        <w:tc>
          <w:tcPr>
            <w:tcW w:w="1994"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6" w:lineRule="auto" w:before="63"/>
              <w:ind w:left="2" w:right="-5"/>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员报酬确定依据</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5"/>
              <w:jc w:val="left"/>
              <w:rPr>
                <w:rFonts w:ascii="宋体" w:hAnsi="宋体" w:cs="宋体" w:eastAsia="宋体" w:hint="default"/>
                <w:sz w:val="18"/>
                <w:szCs w:val="18"/>
              </w:rPr>
            </w:pPr>
            <w:r>
              <w:rPr>
                <w:rFonts w:ascii="宋体" w:hAnsi="宋体" w:cs="宋体" w:eastAsia="宋体" w:hint="default"/>
                <w:spacing w:val="-3"/>
                <w:sz w:val="18"/>
                <w:szCs w:val="18"/>
              </w:rPr>
              <w:t>按照《公司章程》的规定，根据岗位的主要范围、职责、重要性以及其他相关企业相关岗位的薪</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酬水平确定董事、监事和高级管理人员的报酬。</w:t>
            </w:r>
          </w:p>
        </w:tc>
      </w:tr>
      <w:tr>
        <w:trPr>
          <w:trHeight w:val="739" w:hRule="exact"/>
        </w:trPr>
        <w:tc>
          <w:tcPr>
            <w:tcW w:w="1994"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316" w:lineRule="auto" w:before="63"/>
              <w:ind w:left="2" w:right="-5"/>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员报酬的实际支付情况</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pacing w:val="-3"/>
                <w:sz w:val="18"/>
                <w:szCs w:val="18"/>
              </w:rPr>
              <w:t>根据公司相关规定，如期支付董事、监事和高级管理人员的报酬。</w:t>
            </w:r>
          </w:p>
        </w:tc>
      </w:tr>
    </w:tbl>
    <w:p>
      <w:pPr>
        <w:spacing w:line="240" w:lineRule="auto" w:before="5"/>
        <w:rPr>
          <w:rFonts w:ascii="宋体" w:hAnsi="宋体" w:cs="宋体" w:eastAsia="宋体" w:hint="default"/>
          <w:sz w:val="24"/>
          <w:szCs w:val="24"/>
        </w:rPr>
      </w:pPr>
    </w:p>
    <w:p>
      <w:pPr>
        <w:pStyle w:val="BodyText"/>
        <w:spacing w:line="240" w:lineRule="auto" w:before="46"/>
        <w:ind w:right="0"/>
        <w:jc w:val="left"/>
      </w:pPr>
      <w:r>
        <w:rPr>
          <w:spacing w:val="-3"/>
        </w:rPr>
        <w:t>公司报告期内董事、监事和高级管理人员报酬情况</w:t>
      </w:r>
    </w:p>
    <w:p>
      <w:pPr>
        <w:pStyle w:val="BodyText"/>
        <w:spacing w:line="240" w:lineRule="auto" w:before="119"/>
        <w:ind w:left="0" w:right="145"/>
        <w:jc w:val="right"/>
      </w:pPr>
      <w:r>
        <w:rPr/>
        <w:pict>
          <v:group style="position:absolute;margin-left:176.639999pt;margin-top:99.025093pt;width:59.3pt;height:35.3pt;mso-position-horizontal-relative:page;mso-position-vertical-relative:paragraph;z-index:-821296" coordorigin="3533,1981" coordsize="1186,706">
            <v:group style="position:absolute;left:3533;top:1981;width:1186;height:706" coordorigin="3533,1981" coordsize="1186,706">
              <v:shape style="position:absolute;left:3533;top:1981;width:1186;height:706" coordorigin="3533,1981" coordsize="1186,706" path="m3533,2686l4718,2686,4718,1981,3533,1981,3533,2686xe" filled="true" fillcolor="#ffffff" stroked="false">
                <v:path arrowok="t"/>
                <v:fill type="solid"/>
              </v:shape>
            </v:group>
            <v:group style="position:absolute;left:3552;top:2139;width:1143;height:389" coordorigin="3552,2139" coordsize="1143,389">
              <v:shape style="position:absolute;left:3552;top:2139;width:1143;height:389" coordorigin="3552,2139" coordsize="1143,389" path="m3552,2528l4694,2528,4694,2139,3552,2139,3552,2528xe" filled="true" fillcolor="#ffffff" stroked="false">
                <v:path arrowok="t"/>
                <v:fill type="solid"/>
              </v:shape>
            </v:group>
            <w10:wrap type="none"/>
          </v:group>
        </w:pict>
      </w: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52" w:right="45"/>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应付报酬总额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52" w:right="46"/>
              <w:jc w:val="left"/>
              <w:rPr>
                <w:rFonts w:ascii="宋体" w:hAnsi="宋体" w:cs="宋体" w:eastAsia="宋体" w:hint="default"/>
                <w:sz w:val="18"/>
                <w:szCs w:val="18"/>
              </w:rPr>
            </w:pPr>
            <w:r>
              <w:rPr>
                <w:rFonts w:ascii="宋体" w:hAnsi="宋体" w:cs="宋体" w:eastAsia="宋体" w:hint="default"/>
                <w:spacing w:val="-2"/>
                <w:sz w:val="18"/>
                <w:szCs w:val="18"/>
              </w:rPr>
              <w:t>从股东单位获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5" w:right="46" w:hanging="183"/>
              <w:jc w:val="left"/>
              <w:rPr>
                <w:rFonts w:ascii="宋体" w:hAnsi="宋体" w:cs="宋体" w:eastAsia="宋体" w:hint="default"/>
                <w:sz w:val="18"/>
                <w:szCs w:val="18"/>
              </w:rPr>
            </w:pPr>
            <w:r>
              <w:rPr>
                <w:rFonts w:ascii="宋体" w:hAnsi="宋体" w:cs="宋体" w:eastAsia="宋体" w:hint="default"/>
                <w:spacing w:val="-2"/>
                <w:sz w:val="18"/>
                <w:szCs w:val="18"/>
              </w:rPr>
              <w:t>报告期末实际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获得报酬</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16.54</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乔 </w:t>
            </w:r>
            <w:r>
              <w:rPr>
                <w:rFonts w:ascii="宋体" w:hAnsi="宋体" w:cs="宋体" w:eastAsia="宋体" w:hint="default"/>
                <w:spacing w:val="1"/>
                <w:sz w:val="18"/>
                <w:szCs w:val="18"/>
              </w:rPr>
              <w:t> </w:t>
            </w:r>
            <w:r>
              <w:rPr>
                <w:rFonts w:ascii="宋体" w:hAnsi="宋体" w:cs="宋体" w:eastAsia="宋体" w:hint="default"/>
                <w:sz w:val="18"/>
                <w:szCs w:val="18"/>
              </w:rPr>
              <w:t>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16.54</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03"/>
              <w:jc w:val="left"/>
              <w:rPr>
                <w:rFonts w:ascii="宋体" w:hAnsi="宋体" w:cs="宋体" w:eastAsia="宋体" w:hint="default"/>
                <w:sz w:val="18"/>
                <w:szCs w:val="18"/>
              </w:rPr>
            </w:pPr>
            <w:r>
              <w:rPr>
                <w:rFonts w:ascii="宋体" w:hAnsi="宋体" w:cs="宋体" w:eastAsia="宋体" w:hint="default"/>
                <w:spacing w:val="-7"/>
                <w:sz w:val="18"/>
                <w:szCs w:val="18"/>
              </w:rPr>
              <w:t>董事、副总裁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财务总监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26.31</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5"/>
                <w:sz w:val="18"/>
                <w:szCs w:val="18"/>
              </w:rPr>
              <w:t> </w:t>
            </w:r>
            <w:r>
              <w:rPr>
                <w:rFonts w:ascii="宋体" w:hAnsi="宋体" w:cs="宋体" w:eastAsia="宋体" w:hint="default"/>
                <w:spacing w:val="-12"/>
                <w:sz w:val="18"/>
                <w:szCs w:val="18"/>
              </w:rPr>
              <w:t>、董事</w:t>
            </w:r>
            <w:r>
              <w:rPr>
                <w:rFonts w:ascii="宋体" w:hAnsi="宋体" w:cs="宋体" w:eastAsia="宋体" w:hint="default"/>
                <w:w w:val="101"/>
                <w:sz w:val="18"/>
                <w:szCs w:val="18"/>
              </w:rPr>
              <w:t> </w:t>
            </w:r>
            <w:r>
              <w:rPr>
                <w:rFonts w:ascii="宋体" w:hAnsi="宋体" w:cs="宋体" w:eastAsia="宋体" w:hint="default"/>
                <w:sz w:val="18"/>
                <w:szCs w:val="18"/>
              </w:rPr>
              <w:t>会秘书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22.12</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监事陈亚妹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11.6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6.64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6.64</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16.74</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3.28</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15.96</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4"/>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160.45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160.45</w:t>
            </w:r>
          </w:p>
        </w:tc>
      </w:tr>
    </w:tbl>
    <w:p>
      <w:pPr>
        <w:pStyle w:val="BodyText"/>
        <w:spacing w:line="240" w:lineRule="auto" w:before="54"/>
        <w:ind w:right="0"/>
        <w:jc w:val="left"/>
      </w:pPr>
      <w:r>
        <w:rPr>
          <w:spacing w:val="-3"/>
        </w:rPr>
        <w:t>公司董事、监事、高级管理人员报告期内被授予的股权激励情况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60"/>
        <w:gridCol w:w="1027"/>
        <w:gridCol w:w="883"/>
        <w:gridCol w:w="960"/>
        <w:gridCol w:w="955"/>
        <w:gridCol w:w="955"/>
        <w:gridCol w:w="960"/>
        <w:gridCol w:w="955"/>
        <w:gridCol w:w="955"/>
        <w:gridCol w:w="960"/>
      </w:tblGrid>
      <w:tr>
        <w:trPr>
          <w:trHeight w:val="1339"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69"/>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可行权股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115" w:right="22" w:hanging="92"/>
              <w:jc w:val="left"/>
              <w:rPr>
                <w:rFonts w:ascii="宋体" w:hAnsi="宋体" w:cs="宋体" w:eastAsia="宋体" w:hint="default"/>
                <w:sz w:val="18"/>
                <w:szCs w:val="18"/>
              </w:rPr>
            </w:pPr>
            <w:r>
              <w:rPr>
                <w:rFonts w:ascii="宋体" w:hAnsi="宋体" w:cs="宋体" w:eastAsia="宋体" w:hint="default"/>
                <w:spacing w:val="-2"/>
                <w:sz w:val="18"/>
                <w:szCs w:val="18"/>
              </w:rPr>
              <w:t>报告期内已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3"/>
              <w:ind w:left="23" w:right="14" w:hanging="3"/>
              <w:jc w:val="center"/>
              <w:rPr>
                <w:rFonts w:ascii="宋体" w:hAnsi="宋体" w:cs="宋体" w:eastAsia="宋体" w:hint="default"/>
                <w:sz w:val="18"/>
                <w:szCs w:val="18"/>
              </w:rPr>
            </w:pPr>
            <w:r>
              <w:rPr>
                <w:rFonts w:ascii="宋体" w:hAnsi="宋体" w:cs="宋体" w:eastAsia="宋体" w:hint="default"/>
                <w:spacing w:val="-2"/>
                <w:sz w:val="18"/>
                <w:szCs w:val="18"/>
              </w:rPr>
              <w:t>报告期内已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行权股数行</w:t>
            </w:r>
            <w:r>
              <w:rPr>
                <w:rFonts w:ascii="宋体" w:hAnsi="宋体" w:cs="宋体" w:eastAsia="宋体" w:hint="default"/>
                <w:w w:val="101"/>
                <w:sz w:val="18"/>
                <w:szCs w:val="18"/>
              </w:rPr>
              <w:t> </w:t>
            </w:r>
            <w:r>
              <w:rPr>
                <w:rFonts w:ascii="宋体" w:hAnsi="宋体" w:cs="宋体" w:eastAsia="宋体" w:hint="default"/>
                <w:spacing w:val="-10"/>
                <w:sz w:val="18"/>
                <w:szCs w:val="18"/>
              </w:rPr>
              <w:t>权价格（元</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3" w:right="-34"/>
              <w:jc w:val="left"/>
              <w:rPr>
                <w:rFonts w:ascii="宋体" w:hAnsi="宋体" w:cs="宋体" w:eastAsia="宋体" w:hint="default"/>
                <w:sz w:val="18"/>
                <w:szCs w:val="18"/>
              </w:rPr>
            </w:pPr>
            <w:r>
              <w:rPr>
                <w:rFonts w:ascii="宋体" w:hAnsi="宋体" w:cs="宋体" w:eastAsia="宋体" w:hint="default"/>
                <w:sz w:val="18"/>
                <w:szCs w:val="18"/>
              </w:rPr>
              <w:t>报告期末市</w:t>
            </w:r>
            <w:r>
              <w:rPr>
                <w:rFonts w:ascii="宋体" w:hAnsi="宋体" w:cs="宋体" w:eastAsia="宋体" w:hint="default"/>
                <w:w w:val="101"/>
                <w:sz w:val="18"/>
                <w:szCs w:val="18"/>
              </w:rPr>
              <w:t> </w:t>
            </w:r>
            <w:r>
              <w:rPr>
                <w:rFonts w:ascii="宋体" w:hAnsi="宋体" w:cs="宋体" w:eastAsia="宋体" w:hint="default"/>
                <w:spacing w:val="-2"/>
                <w:sz w:val="18"/>
                <w:szCs w:val="18"/>
              </w:rPr>
              <w:t>价（元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2"/>
                <w:sz w:val="18"/>
                <w:szCs w:val="18"/>
              </w:rPr>
              <w:t>期初持有限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制性股票数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量</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报告期新授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予限制性股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票数量</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限制性股票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的授予价格</w:t>
            </w:r>
          </w:p>
          <w:p>
            <w:pPr>
              <w:pStyle w:val="TableParagraph"/>
              <w:spacing w:line="240" w:lineRule="auto" w:before="27"/>
              <w:ind w:left="9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pacing w:val="-2"/>
                <w:sz w:val="18"/>
                <w:szCs w:val="18"/>
              </w:rPr>
              <w:t>期末持有限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制性股票数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董事、副总</w:t>
            </w:r>
          </w:p>
        </w:tc>
        <w:tc>
          <w:tcPr>
            <w:tcW w:w="883" w:type="dxa"/>
            <w:tcBorders>
              <w:top w:val="single" w:sz="4" w:space="0" w:color="000000"/>
              <w:left w:val="single" w:sz="4" w:space="0" w:color="000000"/>
              <w:bottom w:val="nil" w:sz="6" w:space="0" w:color="auto"/>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裁、财务总</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500,000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z w:val="18"/>
              </w:rPr>
              <w:t>2.00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监</w:t>
            </w:r>
            <w:r>
              <w:rPr>
                <w:rFonts w:ascii="宋体" w:hAnsi="宋体" w:cs="宋体" w:eastAsia="宋体" w:hint="default"/>
                <w:sz w:val="18"/>
                <w:szCs w:val="18"/>
              </w:rPr>
            </w:r>
          </w:p>
        </w:tc>
        <w:tc>
          <w:tcPr>
            <w:tcW w:w="883" w:type="dxa"/>
            <w:tcBorders>
              <w:top w:val="nil" w:sz="6" w:space="0" w:color="auto"/>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3"/>
                <w:sz w:val="18"/>
                <w:szCs w:val="18"/>
              </w:rPr>
              <w:t> </w:t>
            </w:r>
            <w:r>
              <w:rPr>
                <w:rFonts w:ascii="宋体" w:hAnsi="宋体" w:cs="宋体" w:eastAsia="宋体" w:hint="default"/>
                <w:spacing w:val="-10"/>
                <w:sz w:val="18"/>
                <w:szCs w:val="18"/>
              </w:rPr>
              <w:t>、董</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1027"/>
        <w:gridCol w:w="883"/>
        <w:gridCol w:w="960"/>
        <w:gridCol w:w="955"/>
        <w:gridCol w:w="955"/>
        <w:gridCol w:w="960"/>
        <w:gridCol w:w="955"/>
        <w:gridCol w:w="955"/>
        <w:gridCol w:w="960"/>
      </w:tblGrid>
      <w:tr>
        <w:trPr>
          <w:trHeight w:val="360"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88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sz w:val="18"/>
              </w:rPr>
              <w:t>800,000</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sz w:val="18"/>
              </w:rPr>
              <w:t>800,000</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四、公司董事、监事、高级管理人员变动情况</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541"/>
        <w:gridCol w:w="4037"/>
      </w:tblGrid>
      <w:tr>
        <w:trPr>
          <w:trHeight w:val="398"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新一届董事会选举产生</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新一届董事会选举产生</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五、报告期核心技术团队或关键技术人员变动情况（非董事、监事、高级管理人员）</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报告期内核心技术人员或关键技术人员未发生变动。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六、公司员工情况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spacing w:val="-3"/>
        </w:rPr>
        <w:t>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日，公司在职员工总数为</w:t>
      </w:r>
      <w:r>
        <w:rPr>
          <w:rFonts w:ascii="Times New Roman" w:hAnsi="Times New Roman" w:cs="Times New Roman" w:eastAsia="Times New Roman" w:hint="default"/>
          <w:spacing w:val="-3"/>
        </w:rPr>
        <w:t>946</w:t>
      </w:r>
      <w:r>
        <w:rPr>
          <w:spacing w:val="-3"/>
        </w:rPr>
        <w:t>人（含控股子公司），员工的专业构成、教育程度情况如下：</w:t>
      </w:r>
    </w:p>
    <w:p>
      <w:pPr>
        <w:pStyle w:val="BodyText"/>
        <w:spacing w:line="240" w:lineRule="auto" w:before="63"/>
        <w:ind w:left="153" w:right="0"/>
        <w:jc w:val="left"/>
      </w:pPr>
      <w:r>
        <w:rPr/>
        <w:t>（一）按专业结构划分</w:t>
      </w:r>
    </w:p>
    <w:p>
      <w:pPr>
        <w:spacing w:line="240" w:lineRule="auto" w:before="5"/>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2050"/>
        <w:gridCol w:w="2486"/>
        <w:gridCol w:w="3384"/>
      </w:tblGrid>
      <w:tr>
        <w:trPr>
          <w:trHeight w:val="341"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专业类别</w:t>
            </w:r>
            <w:r>
              <w:rPr>
                <w:rFonts w:ascii="Microsoft JhengHei" w:hAnsi="Microsoft JhengHei" w:cs="Microsoft JhengHei" w:eastAsia="Microsoft JhengHei" w:hint="default"/>
                <w:sz w:val="18"/>
                <w:szCs w:val="18"/>
              </w:rPr>
            </w:r>
          </w:p>
        </w:tc>
        <w:tc>
          <w:tcPr>
            <w:tcW w:w="2486"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人数（人）</w:t>
            </w:r>
            <w:r>
              <w:rPr>
                <w:rFonts w:ascii="Microsoft JhengHei" w:hAnsi="Microsoft JhengHei" w:cs="Microsoft JhengHei" w:eastAsia="Microsoft JhengHei" w:hint="default"/>
                <w:sz w:val="18"/>
                <w:szCs w:val="18"/>
              </w:rPr>
            </w:r>
          </w:p>
        </w:tc>
        <w:tc>
          <w:tcPr>
            <w:tcW w:w="338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71"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27"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688</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73%</w:t>
            </w:r>
          </w:p>
        </w:tc>
      </w:tr>
      <w:tr>
        <w:trPr>
          <w:trHeight w:val="427"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147</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16%</w:t>
            </w:r>
          </w:p>
        </w:tc>
      </w:tr>
      <w:tr>
        <w:trPr>
          <w:trHeight w:val="427"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34</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w:t>
            </w:r>
          </w:p>
        </w:tc>
      </w:tr>
      <w:tr>
        <w:trPr>
          <w:trHeight w:val="427"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w:t>
            </w:r>
          </w:p>
        </w:tc>
      </w:tr>
      <w:tr>
        <w:trPr>
          <w:trHeight w:val="427"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48</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427" w:hRule="exact"/>
        </w:trPr>
        <w:tc>
          <w:tcPr>
            <w:tcW w:w="20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946</w:t>
            </w:r>
          </w:p>
        </w:tc>
        <w:tc>
          <w:tcPr>
            <w:tcW w:w="3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5467" w:lineRule="exact"/>
        <w:ind w:left="224"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550664" cy="347167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550664" cy="3471672"/>
                    </a:xfrm>
                    <a:prstGeom prst="rect">
                      <a:avLst/>
                    </a:prstGeom>
                  </pic:spPr>
                </pic:pic>
              </a:graphicData>
            </a:graphic>
          </wp:inline>
        </w:drawing>
      </w:r>
      <w:r>
        <w:rPr>
          <w:rFonts w:ascii="宋体" w:hAnsi="宋体" w:cs="宋体" w:eastAsia="宋体" w:hint="default"/>
          <w:position w:val="-108"/>
          <w:sz w:val="20"/>
          <w:szCs w:val="20"/>
        </w:rPr>
      </w:r>
    </w:p>
    <w:p>
      <w:pPr>
        <w:pStyle w:val="BodyText"/>
        <w:spacing w:line="240" w:lineRule="auto" w:before="87"/>
        <w:ind w:right="0"/>
        <w:jc w:val="left"/>
      </w:pPr>
      <w:r>
        <w:rPr/>
        <w:t>（二）按教育程度划分</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798"/>
        <w:gridCol w:w="2501"/>
        <w:gridCol w:w="2621"/>
      </w:tblGrid>
      <w:tr>
        <w:trPr>
          <w:trHeight w:val="341" w:hRule="exact"/>
        </w:trPr>
        <w:tc>
          <w:tcPr>
            <w:tcW w:w="279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教育类别</w:t>
            </w:r>
            <w:r>
              <w:rPr>
                <w:rFonts w:ascii="Microsoft JhengHei" w:hAnsi="Microsoft JhengHei" w:cs="Microsoft JhengHei" w:eastAsia="Microsoft JhengHei" w:hint="default"/>
                <w:sz w:val="18"/>
                <w:szCs w:val="18"/>
              </w:rPr>
            </w:r>
          </w:p>
        </w:tc>
        <w:tc>
          <w:tcPr>
            <w:tcW w:w="25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6" w:lineRule="exact"/>
              <w:ind w:left="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人数（人）</w:t>
            </w:r>
            <w:r>
              <w:rPr>
                <w:rFonts w:ascii="Microsoft JhengHei" w:hAnsi="Microsoft JhengHei" w:cs="Microsoft JhengHei" w:eastAsia="Microsoft JhengHei" w:hint="default"/>
                <w:sz w:val="18"/>
                <w:szCs w:val="18"/>
              </w:rPr>
            </w:r>
          </w:p>
        </w:tc>
        <w:tc>
          <w:tcPr>
            <w:tcW w:w="262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w:t>
            </w:r>
          </w:p>
        </w:tc>
      </w:tr>
      <w:tr>
        <w:trPr>
          <w:trHeight w:val="4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129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14%</w:t>
            </w:r>
          </w:p>
        </w:tc>
      </w:tr>
      <w:tr>
        <w:trPr>
          <w:trHeight w:val="4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730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77%</w:t>
            </w:r>
          </w:p>
        </w:tc>
      </w:tr>
      <w:tr>
        <w:trPr>
          <w:trHeight w:val="4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946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7"/>
        <w:rPr>
          <w:rFonts w:ascii="宋体" w:hAnsi="宋体" w:cs="宋体" w:eastAsia="宋体" w:hint="default"/>
          <w:sz w:val="9"/>
          <w:szCs w:val="9"/>
        </w:rPr>
      </w:pPr>
    </w:p>
    <w:p>
      <w:pPr>
        <w:spacing w:line="5054" w:lineRule="exact"/>
        <w:ind w:left="152"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742688" cy="320954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742688" cy="3209544"/>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11"/>
        <w:rPr>
          <w:rFonts w:ascii="宋体" w:hAnsi="宋体" w:cs="宋体" w:eastAsia="宋体" w:hint="default"/>
          <w:sz w:val="6"/>
          <w:szCs w:val="6"/>
        </w:rPr>
      </w:pPr>
    </w:p>
    <w:p>
      <w:pPr>
        <w:pStyle w:val="BodyText"/>
        <w:spacing w:line="316" w:lineRule="auto" w:before="46"/>
        <w:ind w:left="512" w:right="0" w:hanging="360"/>
        <w:jc w:val="left"/>
      </w:pPr>
      <w:r>
        <w:rPr>
          <w:spacing w:val="-3"/>
        </w:rPr>
        <w:t>（三）员工薪酬政策</w:t>
      </w:r>
      <w:r>
        <w:rPr>
          <w:spacing w:val="-62"/>
        </w:rPr>
        <w:t> </w:t>
      </w:r>
      <w:r>
        <w:rPr>
          <w:spacing w:val="-62"/>
        </w:rPr>
      </w:r>
      <w:r>
        <w:rPr>
          <w:spacing w:val="-3"/>
        </w:rPr>
        <w:t>公司始终秉持</w:t>
      </w:r>
      <w:r>
        <w:rPr>
          <w:rFonts w:ascii="Times New Roman" w:hAnsi="Times New Roman" w:cs="Times New Roman" w:eastAsia="Times New Roman" w:hint="default"/>
          <w:spacing w:val="-3"/>
        </w:rPr>
        <w:t>“</w:t>
      </w:r>
      <w:r>
        <w:rPr>
          <w:spacing w:val="-3"/>
        </w:rPr>
        <w:t>以人为本</w:t>
      </w:r>
      <w:r>
        <w:rPr>
          <w:rFonts w:ascii="Times New Roman" w:hAnsi="Times New Roman" w:cs="Times New Roman" w:eastAsia="Times New Roman" w:hint="default"/>
          <w:spacing w:val="-3"/>
        </w:rPr>
        <w:t>”</w:t>
      </w:r>
      <w:r>
        <w:rPr>
          <w:spacing w:val="-3"/>
        </w:rPr>
        <w:t>的理念，依法向员工提供稳定而具有竞争力的薪酬体系，报告期内公司进一步完善了</w:t>
      </w:r>
      <w:r>
        <w:rPr>
          <w:rFonts w:ascii="Times New Roman" w:hAnsi="Times New Roman" w:cs="Times New Roman" w:eastAsia="Times New Roman" w:hint="default"/>
          <w:spacing w:val="-3"/>
        </w:rPr>
        <w:t>KPI</w:t>
      </w:r>
      <w:r>
        <w:rPr>
          <w:spacing w:val="-3"/>
        </w:rPr>
        <w:t>绩效</w:t>
      </w:r>
    </w:p>
    <w:p>
      <w:pPr>
        <w:spacing w:after="0" w:line="316" w:lineRule="auto"/>
        <w:jc w:val="left"/>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考核及薪酬激励机制，通过绩效责任书的形式确立员工的工作目标，并通过季度及年度考评程序实施相应的激励，将员工的</w:t>
      </w:r>
      <w:r>
        <w:rPr>
          <w:spacing w:val="43"/>
        </w:rPr>
        <w:t> </w:t>
      </w:r>
      <w:r>
        <w:rPr>
          <w:spacing w:val="43"/>
        </w:rPr>
      </w:r>
      <w:r>
        <w:rPr>
          <w:spacing w:val="-3"/>
        </w:rPr>
        <w:t>个人利益与公司利益、个人目标与公司目标有机结合，极大的调动了员工的积极性和主动性。</w:t>
      </w:r>
    </w:p>
    <w:p>
      <w:pPr>
        <w:pStyle w:val="BodyText"/>
        <w:spacing w:line="316" w:lineRule="auto" w:before="19"/>
        <w:ind w:left="512" w:right="0" w:hanging="361"/>
        <w:jc w:val="left"/>
      </w:pPr>
      <w:r>
        <w:rPr>
          <w:spacing w:val="-3"/>
        </w:rPr>
        <w:t>（四）培训计划</w:t>
      </w:r>
      <w:r>
        <w:rPr>
          <w:spacing w:val="-68"/>
        </w:rPr>
        <w:t> </w:t>
      </w:r>
      <w:r>
        <w:rPr>
          <w:spacing w:val="-68"/>
        </w:rPr>
      </w:r>
      <w:r>
        <w:rPr>
          <w:spacing w:val="-5"/>
        </w:rPr>
        <w:t>为贯彻公司“以文化治企”的管理理念，满足员工个人职业发展的需求，公司建立了系统的人才培训体系，针对员工入</w:t>
      </w:r>
    </w:p>
    <w:p>
      <w:pPr>
        <w:pStyle w:val="BodyText"/>
        <w:spacing w:line="316" w:lineRule="auto" w:before="19"/>
        <w:ind w:right="0"/>
        <w:jc w:val="left"/>
      </w:pPr>
      <w:r>
        <w:rPr>
          <w:spacing w:val="-4"/>
        </w:rPr>
        <w:t>职、在职、晋升和提升等不同成长阶段的需求，采取内部培训和送外培训、主动培训和被动培训、现场培训和远程培训等多</w:t>
      </w:r>
      <w:r>
        <w:rPr>
          <w:spacing w:val="40"/>
        </w:rPr>
        <w:t> </w:t>
      </w:r>
      <w:r>
        <w:rPr>
          <w:spacing w:val="40"/>
        </w:rPr>
      </w:r>
      <w:r>
        <w:rPr>
          <w:spacing w:val="-3"/>
        </w:rPr>
        <w:t>渠道、多资源相结合的方式，全方位提高员工的业务能力和管理水平，实现企业和员工的双赢。</w:t>
      </w:r>
    </w:p>
    <w:p>
      <w:pPr>
        <w:pStyle w:val="BodyText"/>
        <w:spacing w:line="240" w:lineRule="auto" w:before="19"/>
        <w:ind w:right="0"/>
        <w:jc w:val="left"/>
      </w:pPr>
      <w:r>
        <w:rPr>
          <w:spacing w:val="-3"/>
        </w:rPr>
        <w:t>（五）截至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日，本公司没有需要承担费用的离退休职工。</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1"/>
        <w:spacing w:line="240" w:lineRule="auto"/>
        <w:ind w:right="3623"/>
        <w:jc w:val="center"/>
      </w:pPr>
      <w:bookmarkStart w:name="_TOC_250003" w:id="9"/>
      <w:r>
        <w:rPr/>
        <w:t>第九节</w:t>
      </w:r>
      <w:r>
        <w:rPr>
          <w:spacing w:val="9"/>
        </w:rPr>
        <w:t> </w:t>
      </w:r>
      <w:bookmarkEnd w:id="9"/>
      <w:r>
        <w:rPr/>
        <w:t>公司治理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0"/>
        <w:jc w:val="both"/>
        <w:rPr>
          <w:b w:val="0"/>
          <w:bCs w:val="0"/>
        </w:rPr>
      </w:pPr>
      <w:r>
        <w:rPr/>
        <w:t>一、公司治理的基本状况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6" w:lineRule="auto"/>
        <w:ind w:right="185" w:firstLine="292"/>
        <w:jc w:val="both"/>
      </w:pPr>
      <w:r>
        <w:rPr>
          <w:spacing w:val="-3"/>
        </w:rPr>
        <w:t>公司严格按照相关法律法规及规范性文件的要求，不断提高公司规范运作水平，完善法人治理结构，建立健全公司内部</w:t>
      </w:r>
      <w:r>
        <w:rPr>
          <w:w w:val="101"/>
        </w:rPr>
        <w:t> </w:t>
      </w:r>
      <w:r>
        <w:rPr>
          <w:spacing w:val="-4"/>
        </w:rPr>
        <w:t>控制管理体系。截至报告期末，公司整体运作规范，独立性强，信息披露规范，公司治理基本符合证监会发布的有关上市公</w:t>
      </w:r>
      <w:r>
        <w:rPr>
          <w:spacing w:val="40"/>
        </w:rPr>
        <w:t> </w:t>
      </w:r>
      <w:r>
        <w:rPr>
          <w:spacing w:val="40"/>
        </w:rPr>
      </w:r>
      <w:r>
        <w:rPr>
          <w:spacing w:val="-4"/>
        </w:rPr>
        <w:t>司治理规范性文件的要求。公司将按照有关法律、行政法规的要求，进一步规范公司运作，不断提高公司的治理水平，努力</w:t>
      </w:r>
      <w:r>
        <w:rPr>
          <w:spacing w:val="40"/>
        </w:rPr>
        <w:t> </w:t>
      </w:r>
      <w:r>
        <w:rPr>
          <w:spacing w:val="40"/>
        </w:rPr>
      </w:r>
      <w:r>
        <w:rPr>
          <w:spacing w:val="-3"/>
        </w:rPr>
        <w:t>实现利润最大化，维护股东和公司利益。</w:t>
      </w:r>
    </w:p>
    <w:p>
      <w:pPr>
        <w:pStyle w:val="BodyText"/>
        <w:spacing w:line="300" w:lineRule="auto" w:before="19"/>
        <w:ind w:left="445" w:right="173"/>
        <w:jc w:val="left"/>
      </w:pPr>
      <w:r>
        <w:rPr>
          <w:rFonts w:ascii="Times New Roman" w:hAnsi="Times New Roman" w:cs="Times New Roman" w:eastAsia="Times New Roman" w:hint="default"/>
          <w:spacing w:val="-3"/>
        </w:rPr>
        <w:t>1</w:t>
      </w:r>
      <w:r>
        <w:rPr>
          <w:spacing w:val="-3"/>
        </w:rPr>
        <w:t>、关于三会运作</w:t>
      </w:r>
      <w:r>
        <w:rPr>
          <w:spacing w:val="-68"/>
        </w:rPr>
        <w:t> </w:t>
      </w:r>
      <w:r>
        <w:rPr>
          <w:spacing w:val="-68"/>
        </w:rPr>
      </w:r>
      <w:r>
        <w:rPr>
          <w:spacing w:val="-3"/>
        </w:rPr>
        <w:t>报告期内，公司股东大会、董事会和监事会均严格按照相关法律、法规的规定规范运作，三会与其他内部机构也都保持</w:t>
      </w:r>
    </w:p>
    <w:p>
      <w:pPr>
        <w:pStyle w:val="BodyText"/>
        <w:spacing w:line="307" w:lineRule="auto" w:before="31"/>
        <w:ind w:left="153" w:right="185" w:hanging="1"/>
        <w:jc w:val="both"/>
      </w:pPr>
      <w:r>
        <w:rPr>
          <w:spacing w:val="-3"/>
        </w:rPr>
        <w:t>了独立运作，各位董事、监事均能认真履行自己的职责，勤勉尽责。报告期内，公司共召开了</w:t>
      </w:r>
      <w:r>
        <w:rPr>
          <w:rFonts w:ascii="Times New Roman" w:hAnsi="Times New Roman" w:cs="Times New Roman" w:eastAsia="Times New Roman" w:hint="default"/>
          <w:spacing w:val="-3"/>
        </w:rPr>
        <w:t>5</w:t>
      </w:r>
      <w:r>
        <w:rPr>
          <w:spacing w:val="-3"/>
        </w:rPr>
        <w:t>次股东大会、</w:t>
      </w:r>
      <w:r>
        <w:rPr>
          <w:rFonts w:ascii="Times New Roman" w:hAnsi="Times New Roman" w:cs="Times New Roman" w:eastAsia="Times New Roman" w:hint="default"/>
          <w:spacing w:val="-3"/>
        </w:rPr>
        <w:t>14</w:t>
      </w:r>
      <w:r>
        <w:rPr>
          <w:spacing w:val="-3"/>
        </w:rPr>
        <w:t>次董事会和</w:t>
      </w:r>
      <w:r>
        <w:rPr>
          <w:spacing w:val="73"/>
        </w:rPr>
        <w:t> </w:t>
      </w:r>
      <w:r>
        <w:rPr>
          <w:spacing w:val="73"/>
        </w:rPr>
      </w:r>
      <w:r>
        <w:rPr>
          <w:rFonts w:ascii="Times New Roman" w:hAnsi="Times New Roman" w:cs="Times New Roman" w:eastAsia="Times New Roman" w:hint="default"/>
          <w:spacing w:val="-4"/>
        </w:rPr>
        <w:t>10</w:t>
      </w:r>
      <w:r>
        <w:rPr>
          <w:spacing w:val="-4"/>
        </w:rPr>
        <w:t>次监事会，会议召集、召开及表决程序均符合法律法规的规定，各位董事、监事都能积极参加会议，行使法律法规赋予的</w:t>
      </w:r>
      <w:r>
        <w:rPr>
          <w:spacing w:val="43"/>
        </w:rPr>
        <w:t> </w:t>
      </w:r>
      <w:r>
        <w:rPr>
          <w:spacing w:val="43"/>
        </w:rPr>
      </w:r>
      <w:r>
        <w:rPr>
          <w:spacing w:val="-4"/>
        </w:rPr>
        <w:t>权利，履行法律法规赋予的职责和义务，各位高级管理人员也严格按照相关法律法规以及《公司章程》的规定列席了相关会</w:t>
      </w:r>
      <w:r>
        <w:rPr>
          <w:spacing w:val="40"/>
        </w:rPr>
        <w:t> </w:t>
      </w:r>
      <w:r>
        <w:rPr>
          <w:spacing w:val="40"/>
        </w:rPr>
      </w:r>
      <w:r>
        <w:rPr>
          <w:spacing w:val="-3"/>
        </w:rPr>
        <w:t>议，就公司面临的实际困难及未来发展与股东和董事开展多层次、深入的沟通交流，并回答质询。</w:t>
      </w:r>
    </w:p>
    <w:p>
      <w:pPr>
        <w:pStyle w:val="BodyText"/>
        <w:spacing w:line="300" w:lineRule="auto" w:before="26"/>
        <w:ind w:left="445" w:right="173"/>
        <w:jc w:val="left"/>
      </w:pPr>
      <w:r>
        <w:rPr>
          <w:rFonts w:ascii="Times New Roman" w:hAnsi="Times New Roman" w:cs="Times New Roman" w:eastAsia="Times New Roman" w:hint="default"/>
          <w:spacing w:val="-3"/>
        </w:rPr>
        <w:t>2</w:t>
      </w:r>
      <w:r>
        <w:rPr>
          <w:spacing w:val="-3"/>
        </w:rPr>
        <w:t>、关于控股股东与上市公司</w:t>
      </w:r>
      <w:r>
        <w:rPr>
          <w:spacing w:val="-51"/>
        </w:rPr>
        <w:t> </w:t>
      </w:r>
      <w:r>
        <w:rPr>
          <w:spacing w:val="-51"/>
        </w:rPr>
      </w:r>
      <w:r>
        <w:rPr>
          <w:spacing w:val="-3"/>
        </w:rPr>
        <w:t>公司在业务、人员、资产和财务等方面均保持了独立性，与控股股东各自独立运作、独立核算并独立承担责任和风险：</w:t>
      </w:r>
    </w:p>
    <w:p>
      <w:pPr>
        <w:pStyle w:val="BodyText"/>
        <w:spacing w:line="316" w:lineRule="auto" w:before="31"/>
        <w:ind w:left="153" w:right="185"/>
        <w:jc w:val="both"/>
      </w:pPr>
      <w:r>
        <w:rPr>
          <w:spacing w:val="-4"/>
        </w:rPr>
        <w:t>控股股东均能严格规范自己的行为，没有发生超越股东大会直接或间接干预公司的决策和经营活动的行为，公司不存在为控</w:t>
      </w:r>
      <w:r>
        <w:rPr>
          <w:spacing w:val="42"/>
        </w:rPr>
        <w:t> </w:t>
      </w:r>
      <w:r>
        <w:rPr>
          <w:spacing w:val="42"/>
        </w:rPr>
      </w:r>
      <w:r>
        <w:rPr>
          <w:spacing w:val="-4"/>
        </w:rPr>
        <w:t>股股东、实际控制人及其关联人提供资金等财务资助的行为，也不存在控股股东及实际控制人占用公司资金或非经营性资金</w:t>
      </w:r>
      <w:r>
        <w:rPr>
          <w:spacing w:val="38"/>
        </w:rPr>
        <w:t> </w:t>
      </w:r>
      <w:r>
        <w:rPr>
          <w:spacing w:val="38"/>
        </w:rPr>
      </w:r>
      <w:r>
        <w:rPr>
          <w:spacing w:val="-4"/>
        </w:rPr>
        <w:t>往来的情况，公司日常经营性关联交易定价公允，公司严格按照相关法律法规的规定进行了披露，控股股东和实际控制人也</w:t>
      </w:r>
      <w:r>
        <w:rPr>
          <w:spacing w:val="43"/>
        </w:rPr>
        <w:t> </w:t>
      </w:r>
      <w:r>
        <w:rPr>
          <w:spacing w:val="43"/>
        </w:rPr>
      </w:r>
      <w:r>
        <w:rPr>
          <w:spacing w:val="-3"/>
        </w:rPr>
        <w:t>不存在同业竞争及其他违反法律法规损害公司利益的行为。</w:t>
      </w:r>
    </w:p>
    <w:p>
      <w:pPr>
        <w:pStyle w:val="BodyText"/>
        <w:spacing w:line="300" w:lineRule="auto" w:before="19"/>
        <w:ind w:left="445" w:right="173"/>
        <w:jc w:val="left"/>
      </w:pPr>
      <w:r>
        <w:rPr>
          <w:rFonts w:ascii="Times New Roman" w:hAnsi="Times New Roman" w:cs="Times New Roman" w:eastAsia="Times New Roman" w:hint="default"/>
          <w:spacing w:val="-3"/>
        </w:rPr>
        <w:t>3</w:t>
      </w:r>
      <w:r>
        <w:rPr>
          <w:spacing w:val="-3"/>
        </w:rPr>
        <w:t>、关于公司治理</w:t>
      </w:r>
      <w:r>
        <w:rPr>
          <w:spacing w:val="-68"/>
        </w:rPr>
        <w:t> </w:t>
      </w:r>
      <w:r>
        <w:rPr>
          <w:spacing w:val="-68"/>
        </w:rPr>
      </w:r>
      <w:r>
        <w:rPr>
          <w:spacing w:val="-3"/>
        </w:rPr>
        <w:t>报告期内，公司结合实际情况，并根据法律法规的调整、变化，先后修订了《股东大会议事规则》、《公司章程</w:t>
      </w:r>
      <w:r>
        <w:rPr>
          <w:rFonts w:ascii="Times New Roman" w:hAnsi="Times New Roman" w:cs="Times New Roman" w:eastAsia="Times New Roman" w:hint="default"/>
          <w:spacing w:val="-3"/>
        </w:rPr>
        <w:t>&gt;</w:t>
      </w:r>
      <w:r>
        <w:rPr>
          <w:spacing w:val="-3"/>
        </w:rPr>
        <w:t>》，</w:t>
      </w:r>
    </w:p>
    <w:p>
      <w:pPr>
        <w:pStyle w:val="BodyText"/>
        <w:spacing w:line="240" w:lineRule="auto" w:before="13"/>
        <w:ind w:right="0"/>
        <w:jc w:val="both"/>
      </w:pPr>
      <w:r>
        <w:rPr>
          <w:spacing w:val="-3"/>
        </w:rPr>
        <w:t>并新制定了《子公司管理制度》。</w:t>
      </w:r>
    </w:p>
    <w:p>
      <w:pPr>
        <w:pStyle w:val="BodyText"/>
        <w:spacing w:line="300" w:lineRule="auto" w:before="76"/>
        <w:ind w:left="445" w:right="173"/>
        <w:jc w:val="left"/>
      </w:pPr>
      <w:r>
        <w:rPr>
          <w:rFonts w:ascii="Times New Roman" w:hAnsi="Times New Roman" w:cs="Times New Roman" w:eastAsia="Times New Roman" w:hint="default"/>
          <w:spacing w:val="-3"/>
        </w:rPr>
        <w:t>4</w:t>
      </w:r>
      <w:r>
        <w:rPr>
          <w:spacing w:val="-3"/>
        </w:rPr>
        <w:t>、关于绩效评价与激励约束机制</w:t>
      </w:r>
      <w:r>
        <w:rPr>
          <w:spacing w:val="-46"/>
        </w:rPr>
        <w:t> </w:t>
      </w:r>
      <w:r>
        <w:rPr>
          <w:spacing w:val="-46"/>
        </w:rPr>
      </w:r>
      <w:r>
        <w:rPr>
          <w:spacing w:val="-3"/>
        </w:rPr>
        <w:t>公司董事、监事、高级管理人员的任免程序公开、透明，符合法律、法规及《公司章程》的有关规定，公司已初步建立</w:t>
      </w:r>
    </w:p>
    <w:p>
      <w:pPr>
        <w:pStyle w:val="BodyText"/>
        <w:spacing w:line="240" w:lineRule="auto" w:before="31"/>
        <w:ind w:right="0"/>
        <w:jc w:val="both"/>
      </w:pPr>
      <w:r>
        <w:rPr>
          <w:spacing w:val="-3"/>
        </w:rPr>
        <w:t>了公正透明的董事、监事、高级管理人员绩效评价标准和激励约束机制。</w:t>
      </w:r>
    </w:p>
    <w:p>
      <w:pPr>
        <w:pStyle w:val="BodyText"/>
        <w:spacing w:line="300" w:lineRule="auto" w:before="76"/>
        <w:ind w:left="445" w:right="173"/>
        <w:jc w:val="left"/>
      </w:pPr>
      <w:r>
        <w:rPr>
          <w:rFonts w:ascii="Times New Roman" w:hAnsi="Times New Roman" w:cs="Times New Roman" w:eastAsia="Times New Roman" w:hint="default"/>
          <w:spacing w:val="-3"/>
        </w:rPr>
        <w:t>5</w:t>
      </w:r>
      <w:r>
        <w:rPr>
          <w:spacing w:val="-3"/>
        </w:rPr>
        <w:t>、关于信息披露与透明度</w:t>
      </w:r>
      <w:r>
        <w:rPr>
          <w:spacing w:val="-57"/>
        </w:rPr>
        <w:t> </w:t>
      </w:r>
      <w:r>
        <w:rPr>
          <w:spacing w:val="-57"/>
        </w:rPr>
      </w:r>
      <w:r>
        <w:rPr>
          <w:spacing w:val="-3"/>
        </w:rPr>
        <w:t>公司制定并严格执行了《信息披露制度》、《投资者关系管理制度》、《内幕信息知情人登记和报备制度》，同时指定</w:t>
      </w:r>
    </w:p>
    <w:p>
      <w:pPr>
        <w:pStyle w:val="BodyText"/>
        <w:spacing w:line="316" w:lineRule="auto" w:before="31"/>
        <w:ind w:right="99"/>
        <w:jc w:val="both"/>
      </w:pPr>
      <w:r>
        <w:rPr>
          <w:spacing w:val="-6"/>
        </w:rPr>
        <w:t>董事会秘书全面负责公司投资者关系管理和信息披露工作，接待股东及相关人员来访和咨询。公司依照有关规定真实、准确、</w:t>
      </w:r>
      <w:r>
        <w:rPr>
          <w:spacing w:val="63"/>
        </w:rPr>
        <w:t> </w:t>
      </w:r>
      <w:r>
        <w:rPr>
          <w:spacing w:val="63"/>
        </w:rPr>
      </w:r>
      <w:r>
        <w:rPr>
          <w:spacing w:val="-3"/>
        </w:rPr>
        <w:t>完整、及时地披露有关信息，确保公司所有投资者公平的享有知情权。</w:t>
      </w:r>
    </w:p>
    <w:p>
      <w:pPr>
        <w:pStyle w:val="BodyText"/>
        <w:spacing w:line="300" w:lineRule="auto" w:before="19"/>
        <w:ind w:left="445" w:right="173"/>
        <w:jc w:val="left"/>
      </w:pPr>
      <w:r>
        <w:rPr>
          <w:rFonts w:ascii="Times New Roman" w:hAnsi="Times New Roman" w:cs="Times New Roman" w:eastAsia="Times New Roman" w:hint="default"/>
          <w:spacing w:val="-3"/>
        </w:rPr>
        <w:t>6</w:t>
      </w:r>
      <w:r>
        <w:rPr>
          <w:spacing w:val="-3"/>
        </w:rPr>
        <w:t>、培训和学习</w:t>
      </w:r>
      <w:r>
        <w:rPr>
          <w:spacing w:val="-69"/>
        </w:rPr>
        <w:t> </w:t>
      </w:r>
      <w:r>
        <w:rPr>
          <w:spacing w:val="-69"/>
        </w:rPr>
      </w:r>
      <w:r>
        <w:rPr>
          <w:spacing w:val="-3"/>
        </w:rPr>
        <w:t>报告期内，公司积极参加深圳证监局组织召开的深圳上市公司内幕交易防控工作会议、深圳上市公司</w:t>
      </w:r>
      <w:r>
        <w:rPr>
          <w:rFonts w:ascii="Times New Roman" w:hAnsi="Times New Roman" w:cs="Times New Roman" w:eastAsia="Times New Roman" w:hint="default"/>
          <w:spacing w:val="-3"/>
        </w:rPr>
        <w:t>2014</w:t>
      </w:r>
      <w:r>
        <w:rPr>
          <w:spacing w:val="-3"/>
        </w:rPr>
        <w:t>年监管工作暨</w:t>
      </w:r>
    </w:p>
    <w:p>
      <w:pPr>
        <w:pStyle w:val="BodyText"/>
        <w:spacing w:line="300" w:lineRule="auto" w:before="13"/>
        <w:ind w:right="109"/>
        <w:jc w:val="both"/>
      </w:pPr>
      <w:r>
        <w:rPr>
          <w:spacing w:val="-4"/>
        </w:rPr>
        <w:t>经验交流会议、</w:t>
      </w:r>
      <w:r>
        <w:rPr>
          <w:rFonts w:ascii="Times New Roman" w:hAnsi="Times New Roman" w:cs="Times New Roman" w:eastAsia="Times New Roman" w:hint="default"/>
          <w:spacing w:val="-4"/>
        </w:rPr>
        <w:t>―</w:t>
      </w:r>
      <w:r>
        <w:rPr>
          <w:spacing w:val="-4"/>
        </w:rPr>
        <w:t>深圳上市公司投资者关系互动平台启动暨网上集体接待日的活动等专项会议，公司积极参加深圳证券交易</w:t>
      </w:r>
      <w:r>
        <w:rPr>
          <w:spacing w:val="43"/>
        </w:rPr>
        <w:t> </w:t>
      </w:r>
      <w:r>
        <w:rPr>
          <w:spacing w:val="43"/>
        </w:rPr>
      </w:r>
      <w:r>
        <w:rPr>
          <w:spacing w:val="-3"/>
        </w:rPr>
        <w:t>所组织的各类培训活动，并开展了对董监高及其他关键人员的《内幕信息泄露及内幕交易防控专题培训》及其他系列培训。</w:t>
      </w:r>
    </w:p>
    <w:p>
      <w:pPr>
        <w:spacing w:line="240" w:lineRule="auto" w:before="0"/>
        <w:rPr>
          <w:rFonts w:ascii="宋体" w:hAnsi="宋体" w:cs="宋体" w:eastAsia="宋体" w:hint="default"/>
          <w:sz w:val="18"/>
          <w:szCs w:val="18"/>
        </w:rPr>
      </w:pPr>
    </w:p>
    <w:p>
      <w:pPr>
        <w:pStyle w:val="BodyText"/>
        <w:spacing w:line="240" w:lineRule="auto" w:before="151"/>
        <w:ind w:right="0"/>
        <w:jc w:val="both"/>
      </w:pPr>
      <w:r>
        <w:rPr>
          <w:spacing w:val="-3"/>
        </w:rPr>
        <w:t>公司治理与《公司法》和中国证监会相关规定的要求是否存在差异</w:t>
      </w:r>
    </w:p>
    <w:p>
      <w:pPr>
        <w:pStyle w:val="BodyText"/>
        <w:spacing w:line="338" w:lineRule="auto" w:before="119"/>
        <w:ind w:right="393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公司治理与《公司法》和中国证监会相关规定的要求不存在差异。</w:t>
      </w:r>
    </w:p>
    <w:p>
      <w:pPr>
        <w:spacing w:line="240" w:lineRule="auto" w:before="0"/>
        <w:rPr>
          <w:rFonts w:ascii="宋体" w:hAnsi="宋体" w:cs="宋体" w:eastAsia="宋体" w:hint="default"/>
          <w:sz w:val="18"/>
          <w:szCs w:val="18"/>
        </w:rPr>
      </w:pPr>
    </w:p>
    <w:p>
      <w:pPr>
        <w:pStyle w:val="BodyText"/>
        <w:spacing w:line="240" w:lineRule="auto" w:before="160"/>
        <w:ind w:right="0"/>
        <w:jc w:val="both"/>
      </w:pPr>
      <w:r>
        <w:rPr>
          <w:spacing w:val="-3"/>
        </w:rPr>
        <w:t>公司治理专项活动开展情况以及内幕信息知情人登记管理制度的制定、实施情况</w:t>
      </w:r>
    </w:p>
    <w:p>
      <w:pPr>
        <w:pStyle w:val="BodyText"/>
        <w:spacing w:line="240" w:lineRule="auto" w:before="110"/>
        <w:ind w:left="445" w:right="173"/>
        <w:jc w:val="left"/>
      </w:pPr>
      <w:r>
        <w:rPr>
          <w:rFonts w:ascii="Times New Roman" w:hAnsi="Times New Roman" w:cs="Times New Roman" w:eastAsia="Times New Roman" w:hint="default"/>
          <w:spacing w:val="-3"/>
        </w:rPr>
        <w:t>1</w:t>
      </w:r>
      <w:r>
        <w:rPr>
          <w:spacing w:val="-3"/>
        </w:rPr>
        <w:t>、依据实际情况，公司认真核查了《内控自查表》涉及各项目的运行情况，总体来看，公司内控运行基本良好，无违</w:t>
      </w:r>
    </w:p>
    <w:p>
      <w:pPr>
        <w:spacing w:after="0" w:line="240" w:lineRule="auto"/>
        <w:jc w:val="left"/>
        <w:sectPr>
          <w:pgSz w:w="11910" w:h="16840"/>
          <w:pgMar w:header="741" w:footer="979" w:top="1060" w:bottom="1160" w:left="980" w:right="94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规情况存在。</w:t>
      </w:r>
    </w:p>
    <w:p>
      <w:pPr>
        <w:pStyle w:val="BodyText"/>
        <w:spacing w:line="240" w:lineRule="auto" w:before="110"/>
        <w:ind w:left="445" w:right="0"/>
        <w:jc w:val="left"/>
      </w:pPr>
      <w:r>
        <w:rPr>
          <w:rFonts w:ascii="Times New Roman" w:hAnsi="Times New Roman" w:cs="Times New Roman" w:eastAsia="Times New Roman" w:hint="default"/>
          <w:spacing w:val="-3"/>
        </w:rPr>
        <w:t>2</w:t>
      </w:r>
      <w:r>
        <w:rPr>
          <w:spacing w:val="-3"/>
        </w:rPr>
        <w:t>、为规范公司内幕信息管理，加强内幕信息保密工作，维护信息披露公平原则，公司于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月建立并开始实施</w:t>
      </w:r>
    </w:p>
    <w:p>
      <w:pPr>
        <w:pStyle w:val="BodyText"/>
        <w:spacing w:line="319" w:lineRule="auto" w:before="63"/>
        <w:ind w:left="153" w:right="0"/>
        <w:jc w:val="left"/>
      </w:pPr>
      <w:r>
        <w:rPr>
          <w:spacing w:val="-8"/>
          <w:w w:val="101"/>
        </w:rPr>
        <w:t>《内幕信息知情人登记和报备制度》，报告期内，公司严格执行《内幕信息知情人登记和报备制度》，认真做好内幕信息知情</w:t>
      </w:r>
      <w:r>
        <w:rPr>
          <w:spacing w:val="-47"/>
          <w:w w:val="101"/>
        </w:rPr>
        <w:t> </w:t>
      </w:r>
      <w:r>
        <w:rPr>
          <w:spacing w:val="-47"/>
          <w:w w:val="101"/>
        </w:rPr>
      </w:r>
      <w:r>
        <w:rPr>
          <w:spacing w:val="-6"/>
        </w:rPr>
        <w:t>人的登记、报备工作；组织公司董事、监事、高级管理人员以及财务等可接触内幕信息的相关人员学习相关法律法规和文件，</w:t>
      </w:r>
      <w:r>
        <w:rPr>
          <w:spacing w:val="68"/>
        </w:rPr>
        <w:t> </w:t>
      </w:r>
      <w:r>
        <w:rPr>
          <w:spacing w:val="68"/>
        </w:rPr>
      </w:r>
      <w:r>
        <w:rPr>
          <w:spacing w:val="-5"/>
          <w:w w:val="101"/>
        </w:rPr>
        <w:t>并有针对性的开展了《内幕信息泄露及内幕交易防控专题培训》，通过加强相关人员对内幕信息及内幕交易的认识，提高防</w:t>
      </w:r>
      <w:r>
        <w:rPr>
          <w:spacing w:val="-44"/>
          <w:w w:val="101"/>
        </w:rPr>
        <w:t> </w:t>
      </w:r>
      <w:r>
        <w:rPr>
          <w:spacing w:val="-44"/>
          <w:w w:val="101"/>
        </w:rPr>
      </w:r>
      <w:r>
        <w:rPr>
          <w:spacing w:val="-5"/>
        </w:rPr>
        <w:t>控和远离内幕交易的意思。报告期内，公司没有发现内幕信息知情人在影响公司股价的重大敏感信息披露前利用内幕信息买</w:t>
      </w:r>
      <w:r>
        <w:rPr>
          <w:spacing w:val="6"/>
        </w:rPr>
        <w:t> </w:t>
      </w:r>
      <w:r>
        <w:rPr>
          <w:spacing w:val="6"/>
        </w:rPr>
      </w:r>
      <w:r>
        <w:rPr>
          <w:spacing w:val="-3"/>
        </w:rPr>
        <w:t>卖公司股份的情况，也未有因此受到监管部门的查处和整改的情况。</w:t>
      </w:r>
    </w:p>
    <w:p>
      <w:pPr>
        <w:spacing w:line="240" w:lineRule="auto" w:before="10"/>
        <w:rPr>
          <w:rFonts w:ascii="宋体" w:hAnsi="宋体" w:cs="宋体" w:eastAsia="宋体" w:hint="default"/>
          <w:sz w:val="19"/>
          <w:szCs w:val="19"/>
        </w:rPr>
      </w:pPr>
    </w:p>
    <w:p>
      <w:pPr>
        <w:pStyle w:val="Heading3"/>
        <w:spacing w:line="240" w:lineRule="auto"/>
        <w:ind w:right="0"/>
        <w:jc w:val="left"/>
      </w:pPr>
      <w:r>
        <w:rPr/>
        <w:t>二、报告期内召开的年度股东大会和临时股东大会的有关情况</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994"/>
        <w:gridCol w:w="1133"/>
        <w:gridCol w:w="3686"/>
        <w:gridCol w:w="1416"/>
        <w:gridCol w:w="1416"/>
        <w:gridCol w:w="922"/>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4" w:hRule="exact"/>
        </w:trPr>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  </w:t>
            </w:r>
            <w:r>
              <w:rPr>
                <w:rFonts w:ascii="宋体" w:hAnsi="宋体" w:cs="宋体" w:eastAsia="宋体" w:hint="default"/>
                <w:spacing w:val="-5"/>
                <w:sz w:val="18"/>
                <w:szCs w:val="18"/>
              </w:rPr>
              <w:t>年度董事会工作报告；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年度监</w:t>
            </w: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事会工作报告；</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2013 </w:t>
            </w:r>
            <w:r>
              <w:rPr>
                <w:rFonts w:ascii="Times New Roman" w:hAnsi="Times New Roman" w:cs="Times New Roman" w:eastAsia="Times New Roman" w:hint="default"/>
                <w:spacing w:val="21"/>
                <w:sz w:val="18"/>
                <w:szCs w:val="18"/>
              </w:rPr>
              <w:t> </w:t>
            </w:r>
            <w:r>
              <w:rPr>
                <w:rFonts w:ascii="宋体" w:hAnsi="宋体" w:cs="宋体" w:eastAsia="宋体" w:hint="default"/>
                <w:spacing w:val="-6"/>
                <w:sz w:val="18"/>
                <w:szCs w:val="18"/>
              </w:rPr>
              <w:t>年度报告及其摘要；</w:t>
            </w:r>
            <w:r>
              <w:rPr>
                <w:rFonts w:ascii="Times New Roman" w:hAnsi="Times New Roman" w:cs="Times New Roman" w:eastAsia="Times New Roman" w:hint="default"/>
                <w:spacing w:val="-6"/>
                <w:sz w:val="18"/>
                <w:szCs w:val="18"/>
              </w:rPr>
              <w:t>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年度财务决算报告；</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配预案；</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年度募集资金存放及使用情</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6"/>
                <w:sz w:val="18"/>
                <w:szCs w:val="18"/>
              </w:rPr>
              <w:t>况的专项报告；</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、关于续聘会计师事务所及支</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6"/>
                <w:sz w:val="18"/>
                <w:szCs w:val="18"/>
              </w:rPr>
              <w:t>付会计师事务所报酬的议案；</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、关于公司董事</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及高级管理人员</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年度薪酬的议案</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关于</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东大会</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17"/>
              <w:jc w:val="left"/>
              <w:rPr>
                <w:rFonts w:ascii="宋体" w:hAnsi="宋体" w:cs="宋体" w:eastAsia="宋体" w:hint="default"/>
                <w:sz w:val="18"/>
                <w:szCs w:val="18"/>
              </w:rPr>
            </w:pPr>
            <w:r>
              <w:rPr>
                <w:rFonts w:ascii="宋体" w:hAnsi="宋体" w:cs="宋体" w:eastAsia="宋体" w:hint="default"/>
                <w:spacing w:val="-3"/>
                <w:sz w:val="18"/>
                <w:szCs w:val="18"/>
              </w:rPr>
              <w:t>公司董事陈亚妹、乔昕、陈熙亚</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年度薪</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酬</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关于公司财务总监刘爱民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酬</w:t>
            </w:r>
            <w:r>
              <w:rPr>
                <w:rFonts w:ascii="Times New Roman" w:hAnsi="Times New Roman" w:cs="Times New Roman" w:eastAsia="Times New Roman" w:hint="default"/>
                <w:sz w:val="18"/>
                <w:szCs w:val="18"/>
              </w:rPr>
              <w:t>,8.3 </w:t>
            </w:r>
            <w:r>
              <w:rPr>
                <w:rFonts w:ascii="宋体" w:hAnsi="宋体" w:cs="宋体" w:eastAsia="宋体" w:hint="default"/>
                <w:spacing w:val="-3"/>
                <w:sz w:val="18"/>
                <w:szCs w:val="18"/>
              </w:rPr>
              <w:t>关于公司副总经理、董事会秘书朱蕾</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年度薪酬，</w:t>
            </w:r>
            <w:r>
              <w:rPr>
                <w:rFonts w:ascii="Times New Roman" w:hAnsi="Times New Roman" w:cs="Times New Roman" w:eastAsia="Times New Roman" w:hint="default"/>
                <w:spacing w:val="-4"/>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关于公司独立董事</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度津贴；</w:t>
            </w:r>
            <w:r>
              <w:rPr>
                <w:rFonts w:ascii="Times New Roman" w:hAnsi="Times New Roman" w:cs="Times New Roman" w:eastAsia="Times New Roman" w:hint="default"/>
                <w:sz w:val="18"/>
                <w:szCs w:val="18"/>
              </w:rPr>
              <w:t>9</w:t>
            </w:r>
            <w:r>
              <w:rPr>
                <w:rFonts w:ascii="宋体" w:hAnsi="宋体" w:cs="宋体" w:eastAsia="宋体" w:hint="default"/>
                <w:sz w:val="18"/>
                <w:szCs w:val="18"/>
              </w:rPr>
              <w:t>、关于公司监事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年度薪酬的议</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319" w:lineRule="auto" w:before="6"/>
              <w:ind w:left="24" w:right="12"/>
              <w:jc w:val="left"/>
              <w:rPr>
                <w:rFonts w:ascii="宋体" w:hAnsi="宋体" w:cs="宋体" w:eastAsia="宋体" w:hint="default"/>
                <w:sz w:val="18"/>
                <w:szCs w:val="18"/>
              </w:rPr>
            </w:pPr>
            <w:r>
              <w:rPr>
                <w:rFonts w:ascii="宋体" w:hAnsi="宋体" w:cs="宋体" w:eastAsia="宋体" w:hint="default"/>
                <w:spacing w:val="-3"/>
                <w:sz w:val="18"/>
                <w:szCs w:val="18"/>
              </w:rPr>
              <w:t>本次会议以现场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记名投票的方式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进行了审议，全部</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议案经审议均获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得通过</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4" w:lineRule="auto"/>
              <w:ind w:left="28" w:right="12"/>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网，公告编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w:t>
            </w:r>
          </w:p>
          <w:p>
            <w:pPr>
              <w:pStyle w:val="TableParagraph"/>
              <w:spacing w:line="240" w:lineRule="auto" w:before="67"/>
              <w:ind w:left="28" w:right="0"/>
              <w:jc w:val="left"/>
              <w:rPr>
                <w:rFonts w:ascii="Times New Roman" w:hAnsi="Times New Roman" w:cs="Times New Roman" w:eastAsia="Times New Roman" w:hint="default"/>
                <w:sz w:val="18"/>
                <w:szCs w:val="18"/>
              </w:rPr>
            </w:pPr>
            <w:r>
              <w:rPr>
                <w:rFonts w:ascii="Times New Roman"/>
                <w:sz w:val="18"/>
              </w:rPr>
              <w:t>2014-048</w:t>
            </w: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关于监事王丽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年度薪酬</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关于</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监事陈晓燕</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年度薪酬</w:t>
            </w: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关于监事张维</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年度薪酬；</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、关于修订</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公司章程</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案；</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、关于公司董事会换届选举的议案；</w:t>
            </w:r>
            <w:r>
              <w:rPr>
                <w:rFonts w:ascii="Times New Roman" w:hAnsi="Times New Roman" w:cs="Times New Roman" w:eastAsia="Times New Roman" w:hint="default"/>
                <w:spacing w:val="-7"/>
                <w:sz w:val="18"/>
                <w:szCs w:val="18"/>
              </w:rPr>
              <w:t>11.1</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选举公司第四届董事会非独立董事，</w:t>
            </w:r>
            <w:r>
              <w:rPr>
                <w:rFonts w:ascii="Times New Roman" w:hAnsi="Times New Roman" w:cs="Times New Roman" w:eastAsia="Times New Roman" w:hint="default"/>
                <w:spacing w:val="-3"/>
                <w:sz w:val="18"/>
                <w:szCs w:val="18"/>
              </w:rPr>
              <w:t>11.2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选举</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公司第四届董事会独立董事；</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、关于监事会</w:t>
            </w:r>
          </w:p>
        </w:tc>
        <w:tc>
          <w:tcPr>
            <w:tcW w:w="1416"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换届选举的议案。</w:t>
            </w: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pict>
          <v:group style="position:absolute;margin-left:347.519989pt;margin-top:-313.525970pt;width:70.350pt;height:300.5pt;mso-position-horizontal-relative:page;mso-position-vertical-relative:paragraph;z-index:-821272" coordorigin="6950,-6271" coordsize="1407,6010">
            <v:group style="position:absolute;left:6950;top:-6271;width:1407;height:6010" coordorigin="6950,-6271" coordsize="1407,6010">
              <v:shape style="position:absolute;left:6950;top:-6271;width:1407;height:6010" coordorigin="6950,-6271" coordsize="1407,6010" path="m6950,-261l8357,-261,8357,-6271,6950,-6271,6950,-261xe" filled="true" fillcolor="#ffffff" stroked="false">
                <v:path arrowok="t"/>
                <v:fill type="solid"/>
              </v:shape>
            </v:group>
            <v:group style="position:absolute;left:6974;top:-4087;width:1364;height:356" coordorigin="6974,-4087" coordsize="1364,356">
              <v:shape style="position:absolute;left:6974;top:-4087;width:1364;height:356" coordorigin="6974,-4087" coordsize="1364,356" path="m6974,-3731l8338,-3731,8338,-4087,6974,-4087,6974,-3731xe" filled="true" fillcolor="#ffffff" stroked="false">
                <v:path arrowok="t"/>
                <v:fill type="solid"/>
              </v:shape>
            </v:group>
            <v:group style="position:absolute;left:6974;top:-3731;width:1364;height:312" coordorigin="6974,-3731" coordsize="1364,312">
              <v:shape style="position:absolute;left:6974;top:-3731;width:1364;height:312" coordorigin="6974,-3731" coordsize="1364,312" path="m6974,-3419l8338,-3419,8338,-3731,6974,-3731,6974,-3419xe" filled="true" fillcolor="#ffffff" stroked="false">
                <v:path arrowok="t"/>
                <v:fill type="solid"/>
              </v:shape>
            </v:group>
            <v:group style="position:absolute;left:6974;top:-3419;width:1364;height:312" coordorigin="6974,-3419" coordsize="1364,312">
              <v:shape style="position:absolute;left:6974;top:-3419;width:1364;height:312" coordorigin="6974,-3419" coordsize="1364,312" path="m6974,-3107l8338,-3107,8338,-3419,6974,-3419,6974,-3107xe" filled="true" fillcolor="#ffffff" stroked="false">
                <v:path arrowok="t"/>
                <v:fill type="solid"/>
              </v:shape>
            </v:group>
            <v:group style="position:absolute;left:6974;top:-3107;width:1364;height:312" coordorigin="6974,-3107" coordsize="1364,312">
              <v:shape style="position:absolute;left:6974;top:-3107;width:1364;height:312" coordorigin="6974,-3107" coordsize="1364,312" path="m6974,-2795l8338,-2795,8338,-3107,6974,-3107,6974,-2795xe" filled="true" fillcolor="#ffffff" stroked="false">
                <v:path arrowok="t"/>
                <v:fill type="solid"/>
              </v:shape>
            </v:group>
            <v:group style="position:absolute;left:6974;top:-2795;width:1364;height:351" coordorigin="6974,-2795" coordsize="1364,351">
              <v:shape style="position:absolute;left:6974;top:-2795;width:1364;height:351" coordorigin="6974,-2795" coordsize="1364,351" path="m6974,-2445l8338,-2445,8338,-2795,6974,-2795,6974,-2445xe" filled="true" fillcolor="#ffffff" stroked="false">
                <v:path arrowok="t"/>
                <v:fill type="solid"/>
              </v:shape>
            </v:group>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994"/>
        <w:gridCol w:w="994"/>
        <w:gridCol w:w="3398"/>
        <w:gridCol w:w="1560"/>
        <w:gridCol w:w="1133"/>
        <w:gridCol w:w="1488"/>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99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3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Times New Roman" w:hAnsi="Times New Roman" w:cs="Times New Roman" w:eastAsia="Times New Roman" w:hint="default"/>
                <w:spacing w:val="-2"/>
                <w:w w:val="101"/>
                <w:sz w:val="18"/>
                <w:szCs w:val="18"/>
              </w:rPr>
              <w:t>&lt;</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期</w:t>
            </w:r>
            <w:r>
              <w:rPr>
                <w:rFonts w:ascii="宋体" w:hAnsi="宋体" w:cs="宋体" w:eastAsia="宋体" w:hint="default"/>
                <w:spacing w:val="-5"/>
                <w:w w:val="101"/>
                <w:sz w:val="18"/>
                <w:szCs w:val="18"/>
              </w:rPr>
              <w:t>权</w:t>
            </w:r>
            <w:r>
              <w:rPr>
                <w:rFonts w:ascii="宋体" w:hAnsi="宋体" w:cs="宋体" w:eastAsia="宋体" w:hint="default"/>
                <w:w w:val="101"/>
                <w:sz w:val="18"/>
                <w:szCs w:val="18"/>
              </w:rPr>
              <w:t>与</w:t>
            </w:r>
            <w:r>
              <w:rPr>
                <w:rFonts w:ascii="宋体" w:hAnsi="宋体" w:cs="宋体" w:eastAsia="宋体" w:hint="default"/>
                <w:spacing w:val="-5"/>
                <w:w w:val="101"/>
                <w:sz w:val="18"/>
                <w:szCs w:val="18"/>
              </w:rPr>
              <w:t>限</w:t>
            </w:r>
            <w:r>
              <w:rPr>
                <w:rFonts w:ascii="宋体" w:hAnsi="宋体" w:cs="宋体" w:eastAsia="宋体" w:hint="default"/>
                <w:w w:val="101"/>
                <w:sz w:val="18"/>
                <w:szCs w:val="18"/>
              </w:rPr>
              <w:t>制</w:t>
            </w:r>
            <w:r>
              <w:rPr>
                <w:rFonts w:ascii="宋体" w:hAnsi="宋体" w:cs="宋体" w:eastAsia="宋体" w:hint="default"/>
                <w:spacing w:val="-5"/>
                <w:w w:val="101"/>
                <w:sz w:val="18"/>
                <w:szCs w:val="18"/>
              </w:rPr>
              <w:t>性股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激</w:t>
            </w:r>
            <w:r>
              <w:rPr>
                <w:rFonts w:ascii="宋体" w:hAnsi="宋体" w:cs="宋体" w:eastAsia="宋体" w:hint="default"/>
                <w:w w:val="101"/>
                <w:sz w:val="18"/>
                <w:szCs w:val="18"/>
              </w:rPr>
              <w:t>励计</w:t>
            </w:r>
            <w:r>
              <w:rPr>
                <w:rFonts w:ascii="宋体" w:hAnsi="宋体" w:cs="宋体" w:eastAsia="宋体" w:hint="default"/>
                <w:sz w:val="18"/>
                <w:szCs w:val="18"/>
              </w:rPr>
            </w:r>
          </w:p>
        </w:tc>
        <w:tc>
          <w:tcPr>
            <w:tcW w:w="1560"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99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3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7"/>
                <w:sz w:val="18"/>
                <w:szCs w:val="18"/>
              </w:rPr>
              <w:t>划（草案）</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及其摘要的议案；</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、关于公司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本次会议以现场记</w:t>
            </w:r>
          </w:p>
        </w:tc>
        <w:tc>
          <w:tcPr>
            <w:tcW w:w="1133"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933"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309" w:lineRule="auto" w:before="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一次临时股</w:t>
            </w:r>
            <w:r>
              <w:rPr>
                <w:rFonts w:ascii="宋体" w:hAnsi="宋体" w:cs="宋体" w:eastAsia="宋体" w:hint="default"/>
                <w:w w:val="101"/>
                <w:sz w:val="18"/>
                <w:szCs w:val="18"/>
              </w:rPr>
              <w:t> </w:t>
            </w:r>
            <w:r>
              <w:rPr>
                <w:rFonts w:ascii="宋体" w:hAnsi="宋体" w:cs="宋体" w:eastAsia="宋体" w:hint="default"/>
                <w:sz w:val="18"/>
                <w:szCs w:val="18"/>
              </w:rPr>
              <w:t>东大会</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98" w:type="dxa"/>
            <w:tcBorders>
              <w:top w:val="nil" w:sz="6" w:space="0" w:color="auto"/>
              <w:left w:val="single" w:sz="4" w:space="0" w:color="000000"/>
              <w:bottom w:val="nil" w:sz="6" w:space="0" w:color="auto"/>
              <w:right w:val="single" w:sz="4" w:space="0" w:color="000000"/>
            </w:tcBorders>
          </w:tcPr>
          <w:p>
            <w:pPr>
              <w:pStyle w:val="TableParagraph"/>
              <w:spacing w:line="300" w:lineRule="auto" w:before="16"/>
              <w:ind w:left="23" w:right="1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股票期权与限制性股票激励计划实施考核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sz w:val="18"/>
                <w:szCs w:val="18"/>
              </w:rPr>
              <w:t>管理办法</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的议案；</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、关于提请股东大会授</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权董事会办理公司股票期权与限制性股票</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pacing w:val="-2"/>
                <w:sz w:val="18"/>
                <w:szCs w:val="18"/>
              </w:rPr>
              <w:t>名投票与网络投票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相结合方式进行了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审议，全部议案经</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324" w:lineRule="auto" w:before="155"/>
              <w:ind w:left="24"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巨潮资讯网，公告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2014-029</w:t>
            </w:r>
          </w:p>
        </w:tc>
      </w:tr>
      <w:tr>
        <w:trPr>
          <w:trHeight w:val="324" w:hRule="exact"/>
        </w:trPr>
        <w:tc>
          <w:tcPr>
            <w:tcW w:w="99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3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pacing w:val="-3"/>
                <w:sz w:val="18"/>
                <w:szCs w:val="18"/>
              </w:rPr>
              <w:t>激励计划相关事宜的议案；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、关于计提资</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审议均获得通过</w:t>
            </w:r>
          </w:p>
        </w:tc>
        <w:tc>
          <w:tcPr>
            <w:tcW w:w="1133"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3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7"/>
                <w:sz w:val="18"/>
                <w:szCs w:val="18"/>
              </w:rPr>
              <w:t>产减值准备的议案；</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c>
          <w:tcPr>
            <w:tcW w:w="156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2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994"/>
        <w:gridCol w:w="994"/>
        <w:gridCol w:w="3398"/>
        <w:gridCol w:w="1560"/>
        <w:gridCol w:w="1133"/>
        <w:gridCol w:w="1488"/>
      </w:tblGrid>
      <w:tr>
        <w:trPr>
          <w:trHeight w:val="360"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申请银行综合授信额度的议案。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312" w:lineRule="auto"/>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二次临时股</w:t>
            </w:r>
            <w:r>
              <w:rPr>
                <w:rFonts w:ascii="宋体" w:hAnsi="宋体" w:cs="宋体" w:eastAsia="宋体" w:hint="default"/>
                <w:w w:val="101"/>
                <w:sz w:val="18"/>
                <w:szCs w:val="18"/>
              </w:rPr>
              <w:t> </w:t>
            </w:r>
            <w:r>
              <w:rPr>
                <w:rFonts w:ascii="宋体" w:hAnsi="宋体" w:cs="宋体" w:eastAsia="宋体" w:hint="default"/>
                <w:sz w:val="18"/>
                <w:szCs w:val="18"/>
              </w:rPr>
              <w:t>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00" w:lineRule="auto"/>
              <w:ind w:left="23" w:right="1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、关于与关联方在深圳市前海深港合作区</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7"/>
                <w:sz w:val="18"/>
                <w:szCs w:val="18"/>
              </w:rPr>
              <w:t>共同投资设立子公司的议案；</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、关于修订</w:t>
            </w:r>
            <w:r>
              <w:rPr>
                <w:rFonts w:ascii="Times New Roman" w:hAnsi="Times New Roman" w:cs="Times New Roman" w:eastAsia="Times New Roman" w:hint="default"/>
                <w:spacing w:val="-7"/>
                <w:sz w:val="18"/>
                <w:szCs w:val="18"/>
              </w:rPr>
              <w:t>&lt;</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公司章程</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的议案；</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、关于与关联方签署投</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资补充协议的议案。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本次会议以现场记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名投票与网络投票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相结合方式进行了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审议，全部议案经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审议均获得通过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316"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巨潮资讯网，公告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2014-063</w:t>
            </w:r>
          </w:p>
        </w:tc>
      </w:tr>
      <w:tr>
        <w:trPr>
          <w:trHeight w:val="359" w:hRule="exact"/>
        </w:trPr>
        <w:tc>
          <w:tcPr>
            <w:tcW w:w="99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39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本次会议以现场记</w:t>
            </w:r>
          </w:p>
        </w:tc>
        <w:tc>
          <w:tcPr>
            <w:tcW w:w="1133"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三次临时股</w:t>
            </w:r>
            <w:r>
              <w:rPr>
                <w:rFonts w:ascii="宋体" w:hAnsi="宋体" w:cs="宋体" w:eastAsia="宋体" w:hint="default"/>
                <w:w w:val="101"/>
                <w:sz w:val="18"/>
                <w:szCs w:val="18"/>
              </w:rPr>
              <w:t> </w:t>
            </w:r>
            <w:r>
              <w:rPr>
                <w:rFonts w:ascii="宋体" w:hAnsi="宋体" w:cs="宋体" w:eastAsia="宋体" w:hint="default"/>
                <w:sz w:val="18"/>
                <w:szCs w:val="18"/>
              </w:rPr>
              <w:t>东大会</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98" w:type="dxa"/>
            <w:tcBorders>
              <w:top w:val="nil" w:sz="6" w:space="0" w:color="auto"/>
              <w:left w:val="single" w:sz="4" w:space="0" w:color="000000"/>
              <w:bottom w:val="nil" w:sz="6" w:space="0" w:color="auto"/>
              <w:right w:val="single" w:sz="4" w:space="0" w:color="000000"/>
            </w:tcBorders>
          </w:tcPr>
          <w:p>
            <w:pPr>
              <w:pStyle w:val="TableParagraph"/>
              <w:spacing w:line="302" w:lineRule="auto" w:before="11"/>
              <w:ind w:left="23" w:right="2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、关于变更部分募集资金用途暨使用募集</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资金对外股权投资的议案；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、关于使用募</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集资金与关联方合资设立子公司的议案。</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79"/>
              <w:jc w:val="both"/>
              <w:rPr>
                <w:rFonts w:ascii="宋体" w:hAnsi="宋体" w:cs="宋体" w:eastAsia="宋体" w:hint="default"/>
                <w:sz w:val="18"/>
                <w:szCs w:val="18"/>
              </w:rPr>
            </w:pPr>
            <w:r>
              <w:rPr>
                <w:rFonts w:ascii="宋体" w:hAnsi="宋体" w:cs="宋体" w:eastAsia="宋体" w:hint="default"/>
                <w:spacing w:val="-2"/>
                <w:sz w:val="18"/>
                <w:szCs w:val="18"/>
              </w:rPr>
              <w:t>名投票与网络投票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相结合方式进行了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审议，全部议案经</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巨潮资讯网，公告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2014-064</w:t>
            </w:r>
          </w:p>
        </w:tc>
      </w:tr>
      <w:tr>
        <w:trPr>
          <w:trHeight w:val="351" w:hRule="exact"/>
        </w:trPr>
        <w:tc>
          <w:tcPr>
            <w:tcW w:w="99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39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审议均获得通过</w:t>
            </w:r>
          </w:p>
        </w:tc>
        <w:tc>
          <w:tcPr>
            <w:tcW w:w="1133"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309" w:lineRule="auto"/>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四次临时股</w:t>
            </w:r>
            <w:r>
              <w:rPr>
                <w:rFonts w:ascii="宋体" w:hAnsi="宋体" w:cs="宋体" w:eastAsia="宋体" w:hint="default"/>
                <w:w w:val="101"/>
                <w:sz w:val="18"/>
                <w:szCs w:val="18"/>
              </w:rPr>
              <w:t> </w:t>
            </w:r>
            <w:r>
              <w:rPr>
                <w:rFonts w:ascii="宋体" w:hAnsi="宋体" w:cs="宋体" w:eastAsia="宋体" w:hint="default"/>
                <w:sz w:val="18"/>
                <w:szCs w:val="18"/>
              </w:rPr>
              <w:t>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、关于增加经营范围的议案；</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、关于修改</w:t>
            </w:r>
          </w:p>
          <w:p>
            <w:pPr>
              <w:pStyle w:val="TableParagraph"/>
              <w:spacing w:line="302" w:lineRule="auto" w:before="63"/>
              <w:ind w:left="23"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公司章程</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的议案；</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、关于修改</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股东大</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7"/>
                <w:sz w:val="18"/>
                <w:szCs w:val="18"/>
              </w:rPr>
              <w:t>会议事规则</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的议案；</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、关于参与投资设立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并购基金暨关联交易的议案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本次会议以现场记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名投票与网络投票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相结合方式进行了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审议，全部议案经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审议均获得通过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24"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巨潮资讯网，公告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2014-103</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3"/>
        <w:spacing w:line="240" w:lineRule="auto"/>
        <w:ind w:right="0"/>
        <w:jc w:val="left"/>
      </w:pPr>
      <w:r>
        <w:rPr/>
        <w:t>三、报告期内独立董事履行职责的情况</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2"/>
        <w:gridCol w:w="1325"/>
        <w:gridCol w:w="1325"/>
        <w:gridCol w:w="1325"/>
        <w:gridCol w:w="1325"/>
        <w:gridCol w:w="1325"/>
        <w:gridCol w:w="1320"/>
      </w:tblGrid>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独立董事出席董事会情况</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06" w:right="22" w:hanging="178"/>
              <w:jc w:val="left"/>
              <w:rPr>
                <w:rFonts w:ascii="宋体" w:hAnsi="宋体" w:cs="宋体" w:eastAsia="宋体" w:hint="default"/>
                <w:sz w:val="18"/>
                <w:szCs w:val="18"/>
              </w:rPr>
            </w:pPr>
            <w:r>
              <w:rPr>
                <w:rFonts w:ascii="宋体" w:hAnsi="宋体" w:cs="宋体" w:eastAsia="宋体" w:hint="default"/>
                <w:spacing w:val="-3"/>
                <w:sz w:val="18"/>
                <w:szCs w:val="18"/>
              </w:rPr>
              <w:t>本报告期应参加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75" w:right="21" w:hanging="447"/>
              <w:jc w:val="left"/>
              <w:rPr>
                <w:rFonts w:ascii="宋体" w:hAnsi="宋体" w:cs="宋体" w:eastAsia="宋体" w:hint="default"/>
                <w:sz w:val="18"/>
                <w:szCs w:val="18"/>
              </w:rPr>
            </w:pPr>
            <w:r>
              <w:rPr>
                <w:rFonts w:ascii="宋体" w:hAnsi="宋体" w:cs="宋体" w:eastAsia="宋体" w:hint="default"/>
                <w:spacing w:val="-3"/>
                <w:sz w:val="18"/>
                <w:szCs w:val="18"/>
              </w:rPr>
              <w:t>以通讯方式参加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5" w:right="17" w:hanging="87"/>
              <w:jc w:val="left"/>
              <w:rPr>
                <w:rFonts w:ascii="宋体" w:hAnsi="宋体" w:cs="宋体" w:eastAsia="宋体" w:hint="default"/>
                <w:sz w:val="18"/>
                <w:szCs w:val="18"/>
              </w:rPr>
            </w:pPr>
            <w:r>
              <w:rPr>
                <w:rFonts w:ascii="宋体" w:hAnsi="宋体" w:cs="宋体" w:eastAsia="宋体" w:hint="default"/>
                <w:spacing w:val="-3"/>
                <w:sz w:val="18"/>
                <w:szCs w:val="18"/>
              </w:rPr>
              <w:t>是否连续两次未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亲自参加会议</w:t>
            </w:r>
          </w:p>
        </w:tc>
      </w:tr>
      <w:tr>
        <w:trPr>
          <w:trHeight w:val="3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pStyle w:val="BodyText"/>
        <w:spacing w:line="240" w:lineRule="auto" w:before="54"/>
        <w:ind w:right="0"/>
        <w:jc w:val="left"/>
      </w:pPr>
      <w:r>
        <w:rPr>
          <w:spacing w:val="-3"/>
        </w:rPr>
        <w:t>连续两次未亲自出席董事会的说明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独立董事对公司有关事项是否提出异议</w:t>
      </w:r>
    </w:p>
    <w:p>
      <w:pPr>
        <w:pStyle w:val="BodyText"/>
        <w:spacing w:line="338" w:lineRule="auto" w:before="115"/>
        <w:ind w:right="530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after="0" w:line="338"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独立董事对公司有关建议是否被采纳</w:t>
      </w:r>
    </w:p>
    <w:p>
      <w:pPr>
        <w:pStyle w:val="BodyText"/>
        <w:spacing w:line="338" w:lineRule="auto" w:before="115"/>
        <w:ind w:left="153" w:right="5407" w:hanging="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6" w:lineRule="auto" w:before="41"/>
        <w:ind w:left="153" w:right="205" w:firstLine="292"/>
        <w:jc w:val="both"/>
      </w:pPr>
      <w:r>
        <w:rPr>
          <w:spacing w:val="-3"/>
        </w:rPr>
        <w:t>公司独立董事根据《公司法》、《证券法》、《公司章程》和《独立董事工作细则》等法律法规和制度的规定，关注公</w:t>
      </w:r>
      <w:r>
        <w:rPr>
          <w:w w:val="101"/>
        </w:rPr>
        <w:t> </w:t>
      </w:r>
      <w:r>
        <w:rPr>
          <w:spacing w:val="-4"/>
        </w:rPr>
        <w:t>司运作的规范性，独立履行职责，勤勉尽责，对公司的制度完善和日常经营决策等方面提出了很多宝贵的专业性建议，对报</w:t>
      </w:r>
      <w:r>
        <w:rPr>
          <w:spacing w:val="42"/>
        </w:rPr>
        <w:t> </w:t>
      </w:r>
      <w:r>
        <w:rPr>
          <w:spacing w:val="42"/>
        </w:rPr>
      </w:r>
      <w:r>
        <w:rPr>
          <w:spacing w:val="-4"/>
        </w:rPr>
        <w:t>告期内公司发生的延长使用部分闲置募集资金购买银行理财产品、员工期权与限制性股票股权激励、计提资产减值准备、对</w:t>
      </w:r>
      <w:r>
        <w:rPr>
          <w:spacing w:val="38"/>
        </w:rPr>
        <w:t> </w:t>
      </w:r>
      <w:r>
        <w:rPr>
          <w:spacing w:val="38"/>
        </w:rPr>
      </w:r>
      <w:r>
        <w:rPr>
          <w:spacing w:val="-4"/>
        </w:rPr>
        <w:t>子公司的增资、募集资金的使用、参与投资设立并购基金等重大事项需要独立董事发表意见的事项出具了独立、公正的独立</w:t>
      </w:r>
      <w:r>
        <w:rPr>
          <w:spacing w:val="43"/>
        </w:rPr>
        <w:t> </w:t>
      </w:r>
      <w:r>
        <w:rPr>
          <w:spacing w:val="43"/>
        </w:rPr>
      </w:r>
      <w:r>
        <w:rPr>
          <w:spacing w:val="-3"/>
        </w:rPr>
        <w:t>董事意见，为完善公司监督机制，维护公司和全体股东的合法权益发挥了应有的作用。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300" w:lineRule="auto"/>
        <w:ind w:left="421" w:right="0" w:firstLine="23"/>
        <w:jc w:val="left"/>
      </w:pPr>
      <w:r>
        <w:rPr>
          <w:rFonts w:ascii="Times New Roman" w:hAnsi="Times New Roman" w:cs="Times New Roman" w:eastAsia="Times New Roman" w:hint="default"/>
          <w:spacing w:val="-3"/>
        </w:rPr>
        <w:t>1</w:t>
      </w:r>
      <w:r>
        <w:rPr>
          <w:spacing w:val="-3"/>
        </w:rPr>
        <w:t>、董事会审计委员会的履职情况</w:t>
      </w:r>
      <w:r>
        <w:rPr>
          <w:spacing w:val="-69"/>
        </w:rPr>
        <w:t> </w:t>
      </w:r>
      <w:r>
        <w:rPr>
          <w:spacing w:val="-69"/>
        </w:rPr>
      </w:r>
      <w:r>
        <w:rPr>
          <w:spacing w:val="-3"/>
        </w:rPr>
        <w:t>报告期内公司董事会审计委员会每季度召开例行会议，审议审计部提交的工作计划和报告，对公司内部审计工作情况进</w:t>
      </w:r>
    </w:p>
    <w:p>
      <w:pPr>
        <w:pStyle w:val="BodyText"/>
        <w:spacing w:line="304" w:lineRule="auto" w:before="31"/>
        <w:ind w:right="0"/>
        <w:jc w:val="left"/>
      </w:pPr>
      <w:r>
        <w:rPr>
          <w:spacing w:val="-4"/>
        </w:rPr>
        <w:t>行检查并提出指导意见；按照年报审计工作相关规程规定，做好</w:t>
      </w:r>
      <w:r>
        <w:rPr>
          <w:rFonts w:ascii="Times New Roman" w:hAnsi="Times New Roman" w:cs="Times New Roman" w:eastAsia="Times New Roman" w:hint="default"/>
          <w:spacing w:val="-4"/>
        </w:rPr>
        <w:t>2013</w:t>
      </w:r>
      <w:r>
        <w:rPr>
          <w:spacing w:val="-4"/>
        </w:rPr>
        <w:t>年度报告审计的相关工作，与审计机构进行及时沟通与</w:t>
      </w:r>
      <w:r>
        <w:rPr>
          <w:spacing w:val="51"/>
        </w:rPr>
        <w:t> </w:t>
      </w:r>
      <w:r>
        <w:rPr>
          <w:spacing w:val="51"/>
        </w:rPr>
      </w:r>
      <w:r>
        <w:rPr>
          <w:spacing w:val="-6"/>
        </w:rPr>
        <w:t>交流，对财务报表出具审核意见，对审计机构的审计工作进行总结评价，充分发挥审计委员会的专业职能和监督作用；同时，</w:t>
      </w:r>
      <w:r>
        <w:rPr>
          <w:spacing w:val="63"/>
        </w:rPr>
        <w:t> </w:t>
      </w:r>
      <w:r>
        <w:rPr>
          <w:spacing w:val="63"/>
        </w:rPr>
      </w:r>
      <w:r>
        <w:rPr>
          <w:spacing w:val="-3"/>
        </w:rPr>
        <w:t>在公司使用募集资金补充流动资金，以及将</w:t>
      </w:r>
      <w:r>
        <w:rPr>
          <w:rFonts w:ascii="Times New Roman" w:hAnsi="Times New Roman" w:cs="Times New Roman" w:eastAsia="Times New Roman" w:hint="default"/>
          <w:spacing w:val="-3"/>
        </w:rPr>
        <w:t>“</w:t>
      </w:r>
      <w:r>
        <w:rPr>
          <w:spacing w:val="-3"/>
        </w:rPr>
        <w:t>无锡</w:t>
      </w:r>
      <w:r>
        <w:rPr>
          <w:rFonts w:ascii="Times New Roman" w:hAnsi="Times New Roman" w:cs="Times New Roman" w:eastAsia="Times New Roman" w:hint="default"/>
          <w:spacing w:val="-3"/>
        </w:rPr>
        <w:t>LED</w:t>
      </w:r>
      <w:r>
        <w:rPr>
          <w:spacing w:val="-3"/>
        </w:rPr>
        <w:t>室内商业照明生产建设项目</w:t>
      </w:r>
      <w:r>
        <w:rPr>
          <w:rFonts w:ascii="Times New Roman" w:hAnsi="Times New Roman" w:cs="Times New Roman" w:eastAsia="Times New Roman" w:hint="default"/>
          <w:spacing w:val="-3"/>
        </w:rPr>
        <w:t>”</w:t>
      </w:r>
      <w:r>
        <w:rPr>
          <w:spacing w:val="-3"/>
        </w:rPr>
        <w:t>的募集资金用途变更为</w:t>
      </w:r>
      <w:r>
        <w:rPr>
          <w:rFonts w:ascii="Times New Roman" w:hAnsi="Times New Roman" w:cs="Times New Roman" w:eastAsia="Times New Roman" w:hint="default"/>
          <w:spacing w:val="-3"/>
        </w:rPr>
        <w:t>“</w:t>
      </w:r>
      <w:r>
        <w:rPr>
          <w:spacing w:val="-3"/>
        </w:rPr>
        <w:t>围绕</w:t>
      </w:r>
      <w:r>
        <w:rPr>
          <w:rFonts w:ascii="Times New Roman" w:hAnsi="Times New Roman" w:cs="Times New Roman" w:eastAsia="Times New Roman" w:hint="default"/>
          <w:spacing w:val="-3"/>
        </w:rPr>
        <w:t>LED</w:t>
      </w:r>
      <w:r>
        <w:rPr>
          <w:spacing w:val="-3"/>
        </w:rPr>
        <w:t>照明主</w:t>
      </w:r>
      <w:r>
        <w:rPr>
          <w:spacing w:val="71"/>
        </w:rPr>
        <w:t> </w:t>
      </w:r>
      <w:r>
        <w:rPr>
          <w:spacing w:val="71"/>
        </w:rPr>
      </w:r>
      <w:r>
        <w:rPr>
          <w:spacing w:val="-3"/>
        </w:rPr>
        <w:t>业开展产业并购及投资</w:t>
      </w:r>
      <w:r>
        <w:rPr>
          <w:rFonts w:ascii="Times New Roman" w:hAnsi="Times New Roman" w:cs="Times New Roman" w:eastAsia="Times New Roman" w:hint="default"/>
          <w:spacing w:val="-3"/>
        </w:rPr>
        <w:t>”</w:t>
      </w:r>
      <w:r>
        <w:rPr>
          <w:spacing w:val="-3"/>
        </w:rPr>
        <w:t>等事项过程中，全面监督相关项目的可行性以及募集资金项目的资金使用效率。报告期内，审计委</w:t>
      </w:r>
      <w:r>
        <w:rPr>
          <w:spacing w:val="65"/>
        </w:rPr>
        <w:t> </w:t>
      </w:r>
      <w:r>
        <w:rPr>
          <w:spacing w:val="65"/>
        </w:rPr>
      </w:r>
      <w:r>
        <w:rPr>
          <w:spacing w:val="-3"/>
        </w:rPr>
        <w:t>员会切实履行了各项职责，对公司控制风险、完善内部监管机制起着有效的监督作用。</w:t>
      </w:r>
    </w:p>
    <w:p>
      <w:pPr>
        <w:pStyle w:val="BodyText"/>
        <w:spacing w:line="300" w:lineRule="auto" w:before="28"/>
        <w:ind w:left="421" w:right="0" w:firstLine="23"/>
        <w:jc w:val="left"/>
      </w:pPr>
      <w:r>
        <w:rPr>
          <w:rFonts w:ascii="Times New Roman" w:hAnsi="Times New Roman" w:cs="Times New Roman" w:eastAsia="Times New Roman" w:hint="default"/>
          <w:spacing w:val="-3"/>
        </w:rPr>
        <w:t>2</w:t>
      </w:r>
      <w:r>
        <w:rPr>
          <w:spacing w:val="-3"/>
        </w:rPr>
        <w:t>、薪酬委员会的履职情况</w:t>
      </w:r>
      <w:r>
        <w:rPr>
          <w:spacing w:val="-80"/>
        </w:rPr>
        <w:t> </w:t>
      </w:r>
      <w:r>
        <w:rPr>
          <w:spacing w:val="-80"/>
        </w:rPr>
      </w:r>
      <w:r>
        <w:rPr>
          <w:spacing w:val="-3"/>
        </w:rPr>
        <w:t>报告期内，董事会薪酬委员会按照《公司章程》、《薪酬委员会工作细则》等相关规定行使职能，报告期内薪酬委员会</w:t>
      </w:r>
    </w:p>
    <w:p>
      <w:pPr>
        <w:pStyle w:val="BodyText"/>
        <w:spacing w:line="312" w:lineRule="auto" w:before="31"/>
        <w:ind w:right="205" w:hanging="1"/>
        <w:jc w:val="both"/>
      </w:pPr>
      <w:r>
        <w:rPr>
          <w:spacing w:val="-3"/>
        </w:rPr>
        <w:t>共召开</w:t>
      </w:r>
      <w:r>
        <w:rPr>
          <w:rFonts w:ascii="Times New Roman" w:hAnsi="Times New Roman" w:cs="Times New Roman" w:eastAsia="Times New Roman" w:hint="default"/>
          <w:spacing w:val="-3"/>
        </w:rPr>
        <w:t>2</w:t>
      </w:r>
      <w:r>
        <w:rPr>
          <w:spacing w:val="-3"/>
        </w:rPr>
        <w:t>次会议，对公司非独立董事、高级管理人员</w:t>
      </w:r>
      <w:r>
        <w:rPr>
          <w:rFonts w:ascii="Times New Roman" w:hAnsi="Times New Roman" w:cs="Times New Roman" w:eastAsia="Times New Roman" w:hint="default"/>
          <w:spacing w:val="-3"/>
        </w:rPr>
        <w:t>2013</w:t>
      </w:r>
      <w:r>
        <w:rPr>
          <w:spacing w:val="-3"/>
        </w:rPr>
        <w:t>年度的工作履职情况进行评定，并对公司董事、高级管理人员</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4"/>
        </w:rPr>
        <w:t>年度薪酬发放出具了审核意见；对公司股票期权与限制性股票激励计划及相应的《股票期权与限制性股票激励计划实施考核</w:t>
      </w:r>
      <w:r>
        <w:rPr>
          <w:spacing w:val="41"/>
        </w:rPr>
        <w:t> </w:t>
      </w:r>
      <w:r>
        <w:rPr>
          <w:spacing w:val="41"/>
        </w:rPr>
      </w:r>
      <w:r>
        <w:rPr>
          <w:spacing w:val="-4"/>
        </w:rPr>
        <w:t>管理办法》进行了审慎审核并提出了专项意见。报告期内，薪酬委员会切实履行了各项职责，对公司董事、高管薪酬政策执</w:t>
      </w:r>
      <w:r>
        <w:rPr>
          <w:spacing w:val="39"/>
        </w:rPr>
        <w:t> </w:t>
      </w:r>
      <w:r>
        <w:rPr>
          <w:spacing w:val="39"/>
        </w:rPr>
      </w:r>
      <w:r>
        <w:rPr>
          <w:spacing w:val="-3"/>
        </w:rPr>
        <w:t>行情况及股权激励计划等事项进行了有效监督。</w:t>
      </w:r>
    </w:p>
    <w:p>
      <w:pPr>
        <w:pStyle w:val="BodyText"/>
        <w:spacing w:line="300" w:lineRule="auto" w:before="22"/>
        <w:ind w:left="421" w:right="0" w:firstLine="24"/>
        <w:jc w:val="left"/>
      </w:pPr>
      <w:r>
        <w:rPr>
          <w:rFonts w:ascii="Times New Roman" w:hAnsi="Times New Roman" w:cs="Times New Roman" w:eastAsia="Times New Roman" w:hint="default"/>
          <w:spacing w:val="-3"/>
        </w:rPr>
        <w:t>3</w:t>
      </w:r>
      <w:r>
        <w:rPr>
          <w:spacing w:val="-3"/>
        </w:rPr>
        <w:t>、提名委员会履职情况</w:t>
      </w:r>
      <w:r>
        <w:rPr>
          <w:spacing w:val="-81"/>
        </w:rPr>
        <w:t> </w:t>
      </w:r>
      <w:r>
        <w:rPr>
          <w:spacing w:val="-81"/>
        </w:rPr>
      </w:r>
      <w:r>
        <w:rPr>
          <w:spacing w:val="-3"/>
        </w:rPr>
        <w:t>报告期内，董事会提名委员会按照《公司章程》、《提名委员会工作细则》等相关规定行使职能，报告期内提名委员会</w:t>
      </w:r>
    </w:p>
    <w:p>
      <w:pPr>
        <w:pStyle w:val="BodyText"/>
        <w:spacing w:line="312" w:lineRule="auto" w:before="31"/>
        <w:ind w:right="0"/>
        <w:jc w:val="left"/>
      </w:pPr>
      <w:r>
        <w:rPr>
          <w:spacing w:val="-4"/>
        </w:rPr>
        <w:t>共召开</w:t>
      </w:r>
      <w:r>
        <w:rPr>
          <w:rFonts w:ascii="Times New Roman" w:hAnsi="Times New Roman" w:cs="Times New Roman" w:eastAsia="Times New Roman" w:hint="default"/>
          <w:spacing w:val="-4"/>
        </w:rPr>
        <w:t>3</w:t>
      </w:r>
      <w:r>
        <w:rPr>
          <w:spacing w:val="-4"/>
        </w:rPr>
        <w:t>次会议，对公司股东推荐的第四届董事会董事候选人的任职资格进行了充分考察，顺利完成了董事会换届选举工作；</w:t>
      </w:r>
      <w:r>
        <w:rPr>
          <w:spacing w:val="48"/>
        </w:rPr>
        <w:t> </w:t>
      </w:r>
      <w:r>
        <w:rPr>
          <w:spacing w:val="48"/>
        </w:rPr>
      </w:r>
      <w:r>
        <w:rPr>
          <w:spacing w:val="-4"/>
        </w:rPr>
        <w:t>对公司第四届董事会拟聘任的总经理、副总经理、财务负责人等新一届高级管理人员的履职经历和任职资格和经验进行了认</w:t>
      </w:r>
      <w:r>
        <w:rPr>
          <w:spacing w:val="39"/>
        </w:rPr>
        <w:t> </w:t>
      </w:r>
      <w:r>
        <w:rPr>
          <w:spacing w:val="39"/>
        </w:rPr>
      </w:r>
      <w:r>
        <w:rPr>
          <w:spacing w:val="-6"/>
        </w:rPr>
        <w:t>真审核并出具了专项意见。报告期内，提名委员会切实履行了各项职责，确保了公司董事、高级管理人员等产生的程序公正、</w:t>
      </w:r>
      <w:r>
        <w:rPr>
          <w:spacing w:val="64"/>
        </w:rPr>
        <w:t> </w:t>
      </w:r>
      <w:r>
        <w:rPr>
          <w:spacing w:val="64"/>
        </w:rPr>
      </w:r>
      <w:r>
        <w:rPr>
          <w:spacing w:val="-3"/>
        </w:rPr>
        <w:t>合法，聘用的高级管理人员具备拟任职务所要求的经验。</w:t>
      </w:r>
    </w:p>
    <w:p>
      <w:pPr>
        <w:pStyle w:val="BodyText"/>
        <w:spacing w:line="300" w:lineRule="auto" w:before="22"/>
        <w:ind w:left="421" w:right="0" w:firstLine="24"/>
        <w:jc w:val="left"/>
      </w:pPr>
      <w:r>
        <w:rPr>
          <w:rFonts w:ascii="Times New Roman" w:hAnsi="Times New Roman" w:cs="Times New Roman" w:eastAsia="Times New Roman" w:hint="default"/>
          <w:spacing w:val="-3"/>
        </w:rPr>
        <w:t>4</w:t>
      </w:r>
      <w:r>
        <w:rPr>
          <w:spacing w:val="-3"/>
        </w:rPr>
        <w:t>、战略委员会履职情况</w:t>
      </w:r>
      <w:r>
        <w:rPr>
          <w:spacing w:val="-81"/>
        </w:rPr>
        <w:t> </w:t>
      </w:r>
      <w:r>
        <w:rPr>
          <w:spacing w:val="-81"/>
        </w:rPr>
      </w:r>
      <w:r>
        <w:rPr>
          <w:spacing w:val="-3"/>
        </w:rPr>
        <w:t>报告期内，董事会战略委员会按照《公司章程》、《战略委员会工作细则》等相关规定行使职能，报告期内战略委员会</w:t>
      </w:r>
    </w:p>
    <w:p>
      <w:pPr>
        <w:pStyle w:val="BodyText"/>
        <w:spacing w:line="307" w:lineRule="auto" w:before="31"/>
        <w:ind w:right="0"/>
        <w:jc w:val="left"/>
      </w:pPr>
      <w:r>
        <w:rPr>
          <w:spacing w:val="-3"/>
        </w:rPr>
        <w:t>共召开</w:t>
      </w:r>
      <w:r>
        <w:rPr>
          <w:rFonts w:ascii="Times New Roman" w:hAnsi="Times New Roman" w:cs="Times New Roman" w:eastAsia="Times New Roman" w:hint="default"/>
          <w:spacing w:val="-3"/>
        </w:rPr>
        <w:t>4</w:t>
      </w:r>
      <w:r>
        <w:rPr>
          <w:spacing w:val="-3"/>
        </w:rPr>
        <w:t>次会议，对公司</w:t>
      </w:r>
      <w:r>
        <w:rPr>
          <w:rFonts w:ascii="Times New Roman" w:hAnsi="Times New Roman" w:cs="Times New Roman" w:eastAsia="Times New Roman" w:hint="default"/>
          <w:spacing w:val="-3"/>
        </w:rPr>
        <w:t>2013</w:t>
      </w:r>
      <w:r>
        <w:rPr>
          <w:spacing w:val="-3"/>
        </w:rPr>
        <w:t>年度经营战略进行了认真的总结，并对公司未来发展战略提出了意见和建议；根据公司战略发</w:t>
      </w:r>
      <w:r>
        <w:rPr>
          <w:spacing w:val="76"/>
        </w:rPr>
        <w:t> </w:t>
      </w:r>
      <w:r>
        <w:rPr>
          <w:spacing w:val="76"/>
        </w:rPr>
      </w:r>
      <w:r>
        <w:rPr>
          <w:spacing w:val="-4"/>
        </w:rPr>
        <w:t>展以及实际情况的需要，经过充分的研究、论证后，提议对公司现有的组织架构进行调整、完善，使得公司的组织架构更为</w:t>
      </w:r>
      <w:r>
        <w:rPr>
          <w:spacing w:val="40"/>
        </w:rPr>
        <w:t> </w:t>
      </w:r>
      <w:r>
        <w:rPr>
          <w:spacing w:val="40"/>
        </w:rPr>
      </w:r>
      <w:r>
        <w:rPr>
          <w:spacing w:val="-3"/>
        </w:rPr>
        <w:t>清晰、完整；对公司拟将</w:t>
      </w:r>
      <w:r>
        <w:rPr>
          <w:rFonts w:ascii="Times New Roman" w:hAnsi="Times New Roman" w:cs="Times New Roman" w:eastAsia="Times New Roman" w:hint="default"/>
          <w:spacing w:val="-3"/>
        </w:rPr>
        <w:t>“</w:t>
      </w:r>
      <w:r>
        <w:rPr>
          <w:spacing w:val="-3"/>
        </w:rPr>
        <w:t>无锡</w:t>
      </w:r>
      <w:r>
        <w:rPr>
          <w:rFonts w:ascii="Times New Roman" w:hAnsi="Times New Roman" w:cs="Times New Roman" w:eastAsia="Times New Roman" w:hint="default"/>
          <w:spacing w:val="-3"/>
        </w:rPr>
        <w:t>LED</w:t>
      </w:r>
      <w:r>
        <w:rPr>
          <w:spacing w:val="-3"/>
        </w:rPr>
        <w:t>室内商业照明生产建设项目</w:t>
      </w:r>
      <w:r>
        <w:rPr>
          <w:rFonts w:ascii="Times New Roman" w:hAnsi="Times New Roman" w:cs="Times New Roman" w:eastAsia="Times New Roman" w:hint="default"/>
          <w:spacing w:val="-3"/>
        </w:rPr>
        <w:t>”</w:t>
      </w:r>
      <w:r>
        <w:rPr>
          <w:spacing w:val="-3"/>
        </w:rPr>
        <w:t>的募集资金用途变更为</w:t>
      </w:r>
      <w:r>
        <w:rPr>
          <w:rFonts w:ascii="Times New Roman" w:hAnsi="Times New Roman" w:cs="Times New Roman" w:eastAsia="Times New Roman" w:hint="default"/>
          <w:spacing w:val="-3"/>
        </w:rPr>
        <w:t>“</w:t>
      </w:r>
      <w:r>
        <w:rPr>
          <w:spacing w:val="-3"/>
        </w:rPr>
        <w:t>围绕</w:t>
      </w:r>
      <w:r>
        <w:rPr>
          <w:rFonts w:ascii="Times New Roman" w:hAnsi="Times New Roman" w:cs="Times New Roman" w:eastAsia="Times New Roman" w:hint="default"/>
          <w:spacing w:val="-3"/>
        </w:rPr>
        <w:t>LED</w:t>
      </w:r>
      <w:r>
        <w:rPr>
          <w:spacing w:val="-3"/>
        </w:rPr>
        <w:t>照明主业开展产业并购及</w:t>
      </w:r>
      <w:r>
        <w:rPr>
          <w:spacing w:val="71"/>
        </w:rPr>
        <w:t> </w:t>
      </w:r>
      <w:r>
        <w:rPr>
          <w:spacing w:val="71"/>
        </w:rPr>
      </w:r>
      <w:r>
        <w:rPr>
          <w:spacing w:val="-3"/>
        </w:rPr>
        <w:t>投资</w:t>
      </w:r>
      <w:r>
        <w:rPr>
          <w:rFonts w:ascii="Times New Roman" w:hAnsi="Times New Roman" w:cs="Times New Roman" w:eastAsia="Times New Roman" w:hint="default"/>
          <w:spacing w:val="-3"/>
        </w:rPr>
        <w:t>”</w:t>
      </w:r>
      <w:r>
        <w:rPr>
          <w:spacing w:val="-3"/>
        </w:rPr>
        <w:t>等事项进行了深入讨论和前期论证，并听取了高级管理人员及相关人员的意见；根据公司的发展规划，对公司拟将未</w:t>
      </w:r>
      <w:r>
        <w:rPr>
          <w:spacing w:val="65"/>
        </w:rPr>
        <w:t> </w:t>
      </w:r>
      <w:r>
        <w:rPr>
          <w:spacing w:val="65"/>
        </w:rPr>
      </w:r>
      <w:r>
        <w:rPr>
          <w:spacing w:val="-4"/>
        </w:rPr>
        <w:t>来发展战略将调整为</w:t>
      </w:r>
      <w:r>
        <w:rPr>
          <w:rFonts w:ascii="Times New Roman" w:hAnsi="Times New Roman" w:cs="Times New Roman" w:eastAsia="Times New Roman" w:hint="default"/>
          <w:spacing w:val="-4"/>
        </w:rPr>
        <w:t>“</w:t>
      </w:r>
      <w:r>
        <w:rPr>
          <w:spacing w:val="-4"/>
        </w:rPr>
        <w:t>以资本为纽带、以实益达产业平台为基础，利用互联网思维贯穿上下游进而构建</w:t>
      </w:r>
      <w:r>
        <w:rPr>
          <w:rFonts w:ascii="Times New Roman" w:hAnsi="Times New Roman" w:cs="Times New Roman" w:eastAsia="Times New Roman" w:hint="default"/>
          <w:spacing w:val="-4"/>
        </w:rPr>
        <w:t>LED</w:t>
      </w:r>
      <w:r>
        <w:rPr>
          <w:spacing w:val="-4"/>
        </w:rPr>
        <w:t>照明产业生态圈</w:t>
      </w:r>
      <w:r>
        <w:rPr>
          <w:rFonts w:ascii="Times New Roman" w:hAnsi="Times New Roman" w:cs="Times New Roman" w:eastAsia="Times New Roman" w:hint="default"/>
          <w:spacing w:val="-4"/>
        </w:rPr>
        <w:t>” </w:t>
      </w:r>
      <w:r>
        <w:rPr>
          <w:spacing w:val="-4"/>
        </w:rPr>
        <w:t>事项进行了前期论证，并就互联网思维对产业的影响进了谨慎研究和充分论证并提出了专业建议。报告期内，战略委员会切</w:t>
      </w:r>
      <w:r>
        <w:rPr>
          <w:spacing w:val="43"/>
        </w:rPr>
        <w:t> </w:t>
      </w:r>
      <w:r>
        <w:rPr>
          <w:spacing w:val="43"/>
        </w:rPr>
      </w:r>
      <w:r>
        <w:rPr>
          <w:spacing w:val="-3"/>
        </w:rPr>
        <w:t>实履行了各项职责，为公司的战略规划提出了专业的参谋意见。</w:t>
      </w:r>
    </w:p>
    <w:p>
      <w:pPr>
        <w:spacing w:after="0" w:line="307" w:lineRule="auto"/>
        <w:jc w:val="left"/>
        <w:sectPr>
          <w:pgSz w:w="11910" w:h="16840"/>
          <w:pgMar w:header="741" w:footer="979" w:top="1060" w:bottom="1160" w:left="980" w:right="920"/>
        </w:sectPr>
      </w:pPr>
    </w:p>
    <w:p>
      <w:pPr>
        <w:spacing w:line="240" w:lineRule="auto" w:before="10"/>
        <w:rPr>
          <w:rFonts w:ascii="宋体" w:hAnsi="宋体" w:cs="宋体" w:eastAsia="宋体" w:hint="default"/>
          <w:sz w:val="23"/>
          <w:szCs w:val="23"/>
        </w:rPr>
      </w:pPr>
    </w:p>
    <w:p>
      <w:pPr>
        <w:pStyle w:val="Heading2"/>
        <w:spacing w:line="367" w:lineRule="exact"/>
        <w:ind w:right="173"/>
        <w:jc w:val="left"/>
        <w:rPr>
          <w:b w:val="0"/>
          <w:bCs w:val="0"/>
        </w:rPr>
      </w:pPr>
      <w:r>
        <w:rPr/>
        <w:t>五、监事会工作情况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173"/>
        <w:jc w:val="left"/>
      </w:pPr>
      <w:r>
        <w:rPr>
          <w:spacing w:val="-3"/>
        </w:rPr>
        <w:t>监事会在报告期内的监督活动中发现公司是否存在风险</w:t>
      </w:r>
    </w:p>
    <w:p>
      <w:pPr>
        <w:pStyle w:val="BodyText"/>
        <w:spacing w:line="338" w:lineRule="auto" w:before="115"/>
        <w:ind w:right="605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监事会对报告期内的监督事项无异议。</w:t>
      </w:r>
    </w:p>
    <w:p>
      <w:pPr>
        <w:spacing w:line="240" w:lineRule="auto" w:before="11"/>
        <w:rPr>
          <w:rFonts w:ascii="宋体" w:hAnsi="宋体" w:cs="宋体" w:eastAsia="宋体" w:hint="default"/>
          <w:sz w:val="12"/>
          <w:szCs w:val="12"/>
        </w:rPr>
      </w:pPr>
    </w:p>
    <w:p>
      <w:pPr>
        <w:pStyle w:val="Heading2"/>
        <w:spacing w:line="240" w:lineRule="auto"/>
        <w:ind w:right="173"/>
        <w:jc w:val="left"/>
        <w:rPr>
          <w:b w:val="0"/>
          <w:bCs w:val="0"/>
        </w:rPr>
      </w:pPr>
      <w:r>
        <w:rPr/>
        <w:t>六、公司相对于控股股东在业务、人员、资产、机构、财务等方面的独立完整情况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24" w:lineRule="auto"/>
        <w:ind w:right="173"/>
        <w:jc w:val="left"/>
      </w:pPr>
      <w:r>
        <w:rPr>
          <w:spacing w:val="-5"/>
        </w:rPr>
        <w:t>公司根据《公司法》、《企业会计准则》、《企业内部控制基本规范》、《关于印发企业内部控制规范体系实施中相关问题</w:t>
      </w:r>
      <w:r>
        <w:rPr>
          <w:spacing w:val="4"/>
        </w:rPr>
        <w:t> </w:t>
      </w:r>
      <w:r>
        <w:rPr>
          <w:spacing w:val="4"/>
        </w:rPr>
      </w:r>
      <w:r>
        <w:rPr>
          <w:spacing w:val="-3"/>
        </w:rPr>
        <w:t>解释第</w:t>
      </w:r>
      <w:r>
        <w:rPr>
          <w:rFonts w:ascii="Times New Roman" w:hAnsi="Times New Roman" w:cs="Times New Roman" w:eastAsia="Times New Roman" w:hint="default"/>
          <w:spacing w:val="-3"/>
        </w:rPr>
        <w:t>1</w:t>
      </w:r>
      <w:r>
        <w:rPr>
          <w:spacing w:val="-3"/>
        </w:rPr>
        <w:t>号的通知》及其它监管部门的相关规范性文件的要求，积极开展内部控制体系建设工作：</w:t>
      </w:r>
    </w:p>
    <w:p>
      <w:pPr>
        <w:pStyle w:val="BodyText"/>
        <w:spacing w:line="312" w:lineRule="auto" w:before="26"/>
        <w:ind w:left="153" w:right="173" w:firstLine="292"/>
        <w:jc w:val="left"/>
      </w:pPr>
      <w:r>
        <w:rPr>
          <w:rFonts w:ascii="Times New Roman" w:hAnsi="Times New Roman" w:cs="Times New Roman" w:eastAsia="Times New Roman" w:hint="default"/>
          <w:spacing w:val="-3"/>
        </w:rPr>
        <w:t>1</w:t>
      </w:r>
      <w:r>
        <w:rPr>
          <w:spacing w:val="-3"/>
        </w:rPr>
        <w:t>、公司已根据自身实际情况和经营目标制定了一系列内部控制管理制度，并根据公司内控体系的运行情况，不断健全、</w:t>
      </w:r>
      <w:r>
        <w:rPr>
          <w:w w:val="101"/>
        </w:rPr>
        <w:t> </w:t>
      </w:r>
      <w:r>
        <w:rPr>
          <w:spacing w:val="-4"/>
        </w:rPr>
        <w:t>完善内控管理制度。报告期内公司先后修订了《股东大会议事规则》和《公司章程》，并新制定了《子公司管理制度》。目</w:t>
      </w:r>
      <w:r>
        <w:rPr>
          <w:spacing w:val="40"/>
        </w:rPr>
        <w:t> </w:t>
      </w:r>
      <w:r>
        <w:rPr>
          <w:spacing w:val="40"/>
        </w:rPr>
      </w:r>
      <w:r>
        <w:rPr>
          <w:spacing w:val="-3"/>
        </w:rPr>
        <w:t>前公司已建立起一套相对完整且符合公司实际情况的内部控制制度，并得到基本有效地执行。</w:t>
      </w:r>
    </w:p>
    <w:p>
      <w:pPr>
        <w:pStyle w:val="BodyText"/>
        <w:spacing w:line="312" w:lineRule="auto" w:before="56"/>
        <w:ind w:left="153" w:right="173" w:firstLine="292"/>
        <w:jc w:val="left"/>
      </w:pPr>
      <w:r>
        <w:rPr>
          <w:rFonts w:ascii="Times New Roman" w:hAnsi="Times New Roman" w:cs="Times New Roman" w:eastAsia="Times New Roman" w:hint="default"/>
          <w:spacing w:val="-3"/>
        </w:rPr>
        <w:t>2</w:t>
      </w:r>
      <w:r>
        <w:rPr>
          <w:spacing w:val="-3"/>
        </w:rPr>
        <w:t>、针对内部控制的合理性及有效性，公司建立了以董事会审计委员会为核心的三级内部检查、监督机制，通过日常监</w:t>
      </w:r>
      <w:r>
        <w:rPr>
          <w:w w:val="101"/>
        </w:rPr>
        <w:t> </w:t>
      </w:r>
      <w:r>
        <w:rPr>
          <w:spacing w:val="-4"/>
        </w:rPr>
        <w:t>督和专项监督，一旦发现内部控制隐患，即时组织整改，从而确保内部控制目标的实现。报告期间，公司未发现需要整改的</w:t>
      </w:r>
      <w:r>
        <w:rPr>
          <w:spacing w:val="40"/>
        </w:rPr>
        <w:t> </w:t>
      </w:r>
      <w:r>
        <w:rPr>
          <w:spacing w:val="40"/>
        </w:rPr>
      </w:r>
      <w:r>
        <w:rPr>
          <w:spacing w:val="-3"/>
        </w:rPr>
        <w:t>重大内部控制缺陷，相关的内部控制设计合理，运行有效。</w:t>
      </w:r>
    </w:p>
    <w:p>
      <w:pPr>
        <w:spacing w:line="240" w:lineRule="auto" w:before="4"/>
        <w:rPr>
          <w:rFonts w:ascii="宋体" w:hAnsi="宋体" w:cs="宋体" w:eastAsia="宋体" w:hint="default"/>
          <w:sz w:val="14"/>
          <w:szCs w:val="14"/>
        </w:rPr>
      </w:pPr>
    </w:p>
    <w:p>
      <w:pPr>
        <w:pStyle w:val="Heading2"/>
        <w:spacing w:line="240" w:lineRule="auto"/>
        <w:ind w:right="173"/>
        <w:jc w:val="left"/>
        <w:rPr>
          <w:b w:val="0"/>
          <w:bCs w:val="0"/>
        </w:rPr>
      </w:pPr>
      <w:r>
        <w:rPr/>
        <w:t>七、同业竞争情况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7"/>
          <w:szCs w:val="17"/>
        </w:rPr>
      </w:pPr>
    </w:p>
    <w:p>
      <w:pPr>
        <w:pStyle w:val="Heading2"/>
        <w:spacing w:line="240" w:lineRule="auto"/>
        <w:ind w:right="173"/>
        <w:jc w:val="left"/>
        <w:rPr>
          <w:b w:val="0"/>
          <w:bCs w:val="0"/>
        </w:rPr>
      </w:pPr>
      <w:r>
        <w:rPr/>
        <w:t>八、高级管理人员的考评及激励情况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9" w:lineRule="auto"/>
        <w:ind w:right="181" w:firstLine="292"/>
        <w:jc w:val="both"/>
      </w:pPr>
      <w:r>
        <w:rPr>
          <w:spacing w:val="-3"/>
        </w:rPr>
        <w:t>公司建立了完善的高级管理人员绩效考评体系和薪酬制度，通过科学合理的业绩考核与评价体系，强化责任目标约束，</w:t>
      </w:r>
      <w:r>
        <w:rPr>
          <w:w w:val="101"/>
        </w:rPr>
        <w:t> </w:t>
      </w:r>
      <w:r>
        <w:rPr>
          <w:spacing w:val="-4"/>
        </w:rPr>
        <w:t>确保高级管理人员的工作绩效与其收入直接挂钩，充分发挥和调动公司高级管理人员的工作积极性和创造性，提高公司整体</w:t>
      </w:r>
      <w:r>
        <w:rPr>
          <w:spacing w:val="43"/>
        </w:rPr>
        <w:t> </w:t>
      </w:r>
      <w:r>
        <w:rPr>
          <w:spacing w:val="43"/>
        </w:rPr>
      </w:r>
      <w:r>
        <w:rPr>
          <w:spacing w:val="-4"/>
        </w:rPr>
        <w:t>管理水平。报告期内，公司董事会薪酬委员会负责对高级管理人员的工作能力、履职情况、责任目标完成情况等进行年终考</w:t>
      </w:r>
      <w:r>
        <w:rPr>
          <w:spacing w:val="42"/>
        </w:rPr>
        <w:t> </w:t>
      </w:r>
      <w:r>
        <w:rPr>
          <w:spacing w:val="42"/>
        </w:rPr>
      </w:r>
      <w:r>
        <w:rPr>
          <w:spacing w:val="-3"/>
        </w:rPr>
        <w:t>评，制定具体的薪酬方案后上报公司董事会审议批准执行。</w:t>
      </w:r>
    </w:p>
    <w:p>
      <w:pPr>
        <w:spacing w:after="0" w:line="319" w:lineRule="auto"/>
        <w:jc w:val="both"/>
        <w:sectPr>
          <w:pgSz w:w="11910" w:h="16840"/>
          <w:pgMar w:header="741"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1"/>
        <w:spacing w:line="240" w:lineRule="auto"/>
        <w:ind w:right="3643"/>
        <w:jc w:val="center"/>
      </w:pPr>
      <w:bookmarkStart w:name="_TOC_250002" w:id="10"/>
      <w:r>
        <w:rPr/>
        <w:t>第十节</w:t>
      </w:r>
      <w:r>
        <w:rPr>
          <w:spacing w:val="9"/>
        </w:rPr>
        <w:t> </w:t>
      </w:r>
      <w:bookmarkEnd w:id="10"/>
      <w:r>
        <w:rPr/>
        <w:t>内部控制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0"/>
        <w:jc w:val="both"/>
        <w:rPr>
          <w:b w:val="0"/>
          <w:bCs w:val="0"/>
        </w:rPr>
      </w:pPr>
      <w:r>
        <w:rPr/>
        <w:t>一、内部控制建设情况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16" w:lineRule="auto"/>
        <w:ind w:right="114" w:firstLine="417"/>
        <w:jc w:val="both"/>
      </w:pPr>
      <w:r>
        <w:rPr>
          <w:spacing w:val="-3"/>
        </w:rPr>
        <w:t>公司根据《公司法》、《企业会计准则》、《企业内部控制基本规范》、《关于印发企业内部控制规范体系实施中相</w:t>
      </w:r>
      <w:r>
        <w:rPr>
          <w:w w:val="101"/>
        </w:rPr>
        <w:t> </w:t>
      </w:r>
      <w:r>
        <w:rPr>
          <w:spacing w:val="-4"/>
        </w:rPr>
        <w:t>关问题解释第1号的通知》及其它监管部门的相关规范性文件的要求，积极开展内部控制体系建设工作：1、公司已根据自身</w:t>
      </w:r>
      <w:r>
        <w:rPr>
          <w:spacing w:val="42"/>
        </w:rPr>
        <w:t> </w:t>
      </w:r>
      <w:r>
        <w:rPr>
          <w:spacing w:val="42"/>
        </w:rPr>
      </w:r>
      <w:r>
        <w:rPr>
          <w:spacing w:val="-4"/>
        </w:rPr>
        <w:t>实际情况和经营目标制定了一系列内部控制管理制度，并根据公司内控体系的运行情况，不断健全、完善内控管理制度。报</w:t>
      </w:r>
      <w:r>
        <w:rPr>
          <w:spacing w:val="43"/>
        </w:rPr>
        <w:t> </w:t>
      </w:r>
      <w:r>
        <w:rPr>
          <w:spacing w:val="43"/>
        </w:rPr>
      </w:r>
      <w:r>
        <w:rPr>
          <w:spacing w:val="-6"/>
        </w:rPr>
        <w:t>告期内公司先后修订了《独立董事工作细则》、《募集资金管理办法》和《公司章程》，并新制定了《委托理财管理制度》、</w:t>
      </w:r>
    </w:p>
    <w:p>
      <w:pPr>
        <w:pStyle w:val="BodyText"/>
        <w:spacing w:line="316" w:lineRule="auto" w:before="19"/>
        <w:ind w:right="205"/>
        <w:jc w:val="both"/>
      </w:pPr>
      <w:r>
        <w:rPr>
          <w:spacing w:val="-5"/>
        </w:rPr>
        <w:t>《定期报告编制及披露管理制度》、《对外提供财务资助管理制度》、《突发事件处理制度》和《子公司管理制度》。目前</w:t>
      </w:r>
      <w:r>
        <w:rPr>
          <w:spacing w:val="5"/>
        </w:rPr>
        <w:t> </w:t>
      </w:r>
      <w:r>
        <w:rPr>
          <w:spacing w:val="5"/>
        </w:rPr>
      </w:r>
      <w:r>
        <w:rPr>
          <w:spacing w:val="-3"/>
        </w:rPr>
        <w:t>公司已建立起一套相对完整且符合公司实际情况的内部控制制度，并得到基本有效地执行。2、针对内部控制的合理性及有</w:t>
      </w:r>
      <w:r>
        <w:rPr>
          <w:spacing w:val="70"/>
        </w:rPr>
        <w:t> </w:t>
      </w:r>
      <w:r>
        <w:rPr>
          <w:spacing w:val="70"/>
        </w:rPr>
      </w:r>
      <w:r>
        <w:rPr>
          <w:spacing w:val="-4"/>
        </w:rPr>
        <w:t>效性，公司建立了以董事会审计委员会为核心的三级内部检查、监督机制，通过日常监督和专项监督，一旦发现内部控制隐</w:t>
      </w:r>
      <w:r>
        <w:rPr>
          <w:spacing w:val="40"/>
        </w:rPr>
        <w:t> </w:t>
      </w:r>
      <w:r>
        <w:rPr>
          <w:spacing w:val="40"/>
        </w:rPr>
      </w:r>
      <w:r>
        <w:rPr>
          <w:spacing w:val="-4"/>
        </w:rPr>
        <w:t>患，即时组织整改，从而确保内部控制目标的实现。报告期间，公司未发现需要整改的重大内部控制缺陷，相关的内部控制</w:t>
      </w:r>
      <w:r>
        <w:rPr>
          <w:spacing w:val="40"/>
        </w:rPr>
        <w:t> </w:t>
      </w:r>
      <w:r>
        <w:rPr>
          <w:spacing w:val="40"/>
        </w:rPr>
      </w:r>
      <w:r>
        <w:rPr/>
        <w:t>设计合理，运行有效。</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309" w:lineRule="auto"/>
        <w:ind w:right="0" w:firstLine="379"/>
        <w:jc w:val="left"/>
      </w:pPr>
      <w:r>
        <w:rPr>
          <w:spacing w:val="-3"/>
        </w:rPr>
        <w:t>公司董事会及全体董事承诺内部控制自我评价报告不存在任何虚假、误导性陈述或重大遗漏，并保证所披露信息的真</w:t>
      </w:r>
      <w:r>
        <w:rPr>
          <w:w w:val="101"/>
        </w:rPr>
        <w:t> </w:t>
      </w:r>
      <w:r>
        <w:rPr>
          <w:spacing w:val="-4"/>
        </w:rPr>
        <w:t>实、准确与完整；建立健全并有效实施内部控制是公司董事会的职责；监事会对董事会建立与实施内部控制进行监督；管理</w:t>
      </w:r>
      <w:r>
        <w:rPr>
          <w:spacing w:val="43"/>
        </w:rPr>
        <w:t> </w:t>
      </w:r>
      <w:r>
        <w:rPr>
          <w:spacing w:val="43"/>
        </w:rPr>
      </w:r>
      <w:r>
        <w:rPr>
          <w:spacing w:val="-6"/>
          <w:w w:val="101"/>
        </w:rPr>
        <w:t>层负责组织领导公司内部控制的日常运行。但由于内部控制存在固有局限性，故公司仅能对实现以下内控目标提供合理保证：</w:t>
      </w:r>
      <w:r>
        <w:rPr>
          <w:spacing w:val="-71"/>
          <w:w w:val="101"/>
        </w:rPr>
        <w:t> </w:t>
      </w:r>
      <w:r>
        <w:rPr>
          <w:spacing w:val="-71"/>
          <w:w w:val="101"/>
        </w:rPr>
      </w:r>
      <w:r>
        <w:rPr>
          <w:rFonts w:ascii="Times New Roman" w:hAnsi="Times New Roman" w:cs="Times New Roman" w:eastAsia="Times New Roman" w:hint="default"/>
          <w:spacing w:val="-4"/>
        </w:rPr>
        <w:t>1</w:t>
      </w:r>
      <w:r>
        <w:rPr>
          <w:spacing w:val="-4"/>
        </w:rPr>
        <w:t>、确保国家法律法规得到遵循、公司内部控制得到贯彻执行；</w:t>
      </w:r>
      <w:r>
        <w:rPr>
          <w:rFonts w:ascii="Times New Roman" w:hAnsi="Times New Roman" w:cs="Times New Roman" w:eastAsia="Times New Roman" w:hint="default"/>
          <w:spacing w:val="-4"/>
        </w:rPr>
        <w:t>2</w:t>
      </w:r>
      <w:r>
        <w:rPr>
          <w:spacing w:val="-4"/>
        </w:rPr>
        <w:t>、建立和完善符合现代管理要求的治理结构，形成科学的决</w:t>
      </w:r>
      <w:r>
        <w:rPr>
          <w:spacing w:val="44"/>
        </w:rPr>
        <w:t> </w:t>
      </w:r>
      <w:r>
        <w:rPr>
          <w:spacing w:val="44"/>
        </w:rPr>
      </w:r>
      <w:r>
        <w:rPr>
          <w:spacing w:val="-4"/>
        </w:rPr>
        <w:t>策机制、执行机制和监督机制，保证公司经营管理目标的实现，保证公司各项经营活动的正常有序运行，提高公司经营效率</w:t>
      </w:r>
      <w:r>
        <w:rPr>
          <w:spacing w:val="42"/>
        </w:rPr>
        <w:t> </w:t>
      </w:r>
      <w:r>
        <w:rPr>
          <w:spacing w:val="42"/>
        </w:rPr>
      </w:r>
      <w:r>
        <w:rPr>
          <w:spacing w:val="-3"/>
        </w:rPr>
        <w:t>和效果；</w:t>
      </w:r>
      <w:r>
        <w:rPr>
          <w:rFonts w:ascii="Times New Roman" w:hAnsi="Times New Roman" w:cs="Times New Roman" w:eastAsia="Times New Roman" w:hint="default"/>
          <w:spacing w:val="-3"/>
        </w:rPr>
        <w:t>3</w:t>
      </w:r>
      <w:r>
        <w:rPr>
          <w:spacing w:val="-3"/>
        </w:rPr>
        <w:t>、建立良好的公司内部控制环境，强调和保证财务会计报告及管理信息的真实可靠，防止并及时发现和纠正错误</w:t>
      </w:r>
      <w:r>
        <w:rPr>
          <w:spacing w:val="70"/>
        </w:rPr>
        <w:t> </w:t>
      </w:r>
      <w:r>
        <w:rPr>
          <w:spacing w:val="70"/>
        </w:rPr>
      </w:r>
      <w:r>
        <w:rPr>
          <w:spacing w:val="-4"/>
        </w:rPr>
        <w:t>及舞弊行为，保护公司资产的安全、完整；</w:t>
      </w:r>
      <w:r>
        <w:rPr>
          <w:rFonts w:ascii="Times New Roman" w:hAnsi="Times New Roman" w:cs="Times New Roman" w:eastAsia="Times New Roman" w:hint="default"/>
          <w:spacing w:val="-4"/>
        </w:rPr>
        <w:t>4</w:t>
      </w:r>
      <w:r>
        <w:rPr>
          <w:spacing w:val="-4"/>
        </w:rPr>
        <w:t>、规范公司会计行为，保证会计资料真实、完整，提高会计信息质量；</w:t>
      </w:r>
      <w:r>
        <w:rPr>
          <w:rFonts w:ascii="Times New Roman" w:hAnsi="Times New Roman" w:cs="Times New Roman" w:eastAsia="Times New Roman" w:hint="default"/>
          <w:spacing w:val="-4"/>
        </w:rPr>
        <w:t>5</w:t>
      </w:r>
      <w:r>
        <w:rPr>
          <w:spacing w:val="-4"/>
        </w:rPr>
        <w:t>、建立</w:t>
      </w:r>
      <w:r>
        <w:rPr>
          <w:spacing w:val="39"/>
        </w:rPr>
        <w:t> </w:t>
      </w:r>
      <w:r>
        <w:rPr>
          <w:spacing w:val="39"/>
        </w:rPr>
      </w:r>
      <w:r>
        <w:rPr>
          <w:spacing w:val="-3"/>
        </w:rPr>
        <w:t>合理的信息传达及报告制度，确保公司信息披露的及时性、真实性和完整性；</w:t>
      </w:r>
      <w:r>
        <w:rPr>
          <w:rFonts w:ascii="Times New Roman" w:hAnsi="Times New Roman" w:cs="Times New Roman" w:eastAsia="Times New Roman" w:hint="default"/>
          <w:spacing w:val="-3"/>
        </w:rPr>
        <w:t>6</w:t>
      </w:r>
      <w:r>
        <w:rPr>
          <w:spacing w:val="-3"/>
        </w:rPr>
        <w:t>、确保国家有关法律法规和公司有关制度的</w:t>
      </w:r>
      <w:r>
        <w:rPr>
          <w:spacing w:val="70"/>
        </w:rPr>
        <w:t> </w:t>
      </w:r>
      <w:r>
        <w:rPr>
          <w:spacing w:val="70"/>
        </w:rPr>
      </w:r>
      <w:r>
        <w:rPr/>
        <w:t>贯彻执行。</w:t>
      </w:r>
    </w:p>
    <w:p>
      <w:pPr>
        <w:spacing w:line="240" w:lineRule="auto" w:before="11"/>
        <w:rPr>
          <w:rFonts w:ascii="宋体" w:hAnsi="宋体" w:cs="宋体" w:eastAsia="宋体" w:hint="default"/>
          <w:sz w:val="14"/>
          <w:szCs w:val="14"/>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321" w:lineRule="auto"/>
        <w:ind w:right="0" w:firstLine="292"/>
        <w:jc w:val="left"/>
      </w:pPr>
      <w:r>
        <w:rPr>
          <w:spacing w:val="-3"/>
        </w:rPr>
        <w:t>根据《公司法》、《企业会计准则》、《企业内部控制基本规范》、《企业内部控制应用指引》、《企业内部控制评价</w:t>
      </w:r>
      <w:r>
        <w:rPr>
          <w:w w:val="101"/>
        </w:rPr>
        <w:t> </w:t>
      </w:r>
      <w:r>
        <w:rPr>
          <w:spacing w:val="-6"/>
        </w:rPr>
        <w:t>指引》及其它监管部门的相关规范性文件的要求，公司建立了与财务报告相关的内部控制制度，明确了会计核算、报告编制、</w:t>
      </w:r>
      <w:r>
        <w:rPr>
          <w:spacing w:val="63"/>
        </w:rPr>
        <w:t> </w:t>
      </w:r>
      <w:r>
        <w:rPr>
          <w:spacing w:val="63"/>
        </w:rPr>
      </w:r>
      <w:r>
        <w:rPr>
          <w:spacing w:val="-3"/>
        </w:rPr>
        <w:t>复核、审批及年报差错的责任追究等事项，确保财务报告内部控制的有效运行。</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t>四、内部控制评价报告</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4"/>
        <w:gridCol w:w="6902"/>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169"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内部控制评价报告中报告期内发现的内部控制重大缺陷的具体情况</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8"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9"/>
              <w:jc w:val="center"/>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9"/>
              <w:jc w:val="center"/>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《深圳市实益达科技股份有限公司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年度内部控制自我评价报告》</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15"/>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五、内部控制审计报告或鉴证报告</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307" w:lineRule="auto"/>
        <w:ind w:right="150" w:firstLine="436"/>
        <w:jc w:val="both"/>
      </w:pPr>
      <w:r>
        <w:rPr>
          <w:spacing w:val="-4"/>
        </w:rPr>
        <w:t>为进一步提高年报信息披露的质量和透明度，增强年报信息披露的真实性、准确性、完整性和及时性，公司于</w:t>
      </w:r>
      <w:r>
        <w:rPr>
          <w:rFonts w:ascii="Times New Roman" w:hAnsi="Times New Roman" w:cs="Times New Roman" w:eastAsia="Times New Roman" w:hint="default"/>
          <w:spacing w:val="-4"/>
        </w:rPr>
        <w:t>2010   </w:t>
      </w:r>
      <w:r>
        <w:rPr>
          <w:rFonts w:ascii="Times New Roman" w:hAnsi="Times New Roman" w:cs="Times New Roman" w:eastAsia="Times New Roman" w:hint="default"/>
          <w:spacing w:val="22"/>
        </w:rPr>
        <w:t> </w:t>
      </w:r>
      <w:r>
        <w:rPr/>
        <w:t>年</w:t>
      </w:r>
      <w:r>
        <w:rPr>
          <w:w w:val="101"/>
        </w:rPr>
        <w:t> </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26 </w:t>
      </w:r>
      <w:r>
        <w:rPr>
          <w:spacing w:val="-3"/>
        </w:rPr>
        <w:t>日第二届董事会第十三次会议审议通过了《年报信息披露重大差错责任追究制度》，加大对年报信息披露责任人的</w:t>
      </w:r>
      <w:r>
        <w:rPr>
          <w:spacing w:val="-71"/>
        </w:rPr>
        <w:t> </w:t>
      </w:r>
      <w:r>
        <w:rPr>
          <w:spacing w:val="-71"/>
        </w:rPr>
      </w:r>
      <w:r>
        <w:rPr/>
        <w:t>问责力度。 </w:t>
      </w:r>
      <w:r>
        <w:rPr>
          <w:spacing w:val="-3"/>
        </w:rPr>
        <w:t>报告期内，公司未出现年度财务报告存在重大会计差错、其他年报信息披露存在重大错误或重大遗漏、业绩预</w:t>
      </w:r>
      <w:r>
        <w:rPr>
          <w:spacing w:val="-57"/>
        </w:rPr>
        <w:t> </w:t>
      </w:r>
      <w:r>
        <w:rPr>
          <w:spacing w:val="-57"/>
        </w:rPr>
      </w:r>
      <w:r>
        <w:rPr>
          <w:spacing w:val="-3"/>
        </w:rPr>
        <w:t>告或业绩快报存在重大差异等年报信息披露重大差错情形。</w:t>
      </w:r>
    </w:p>
    <w:p>
      <w:pPr>
        <w:spacing w:after="0" w:line="307"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1"/>
        <w:spacing w:line="240" w:lineRule="auto"/>
        <w:ind w:right="3628"/>
        <w:jc w:val="center"/>
      </w:pPr>
      <w:bookmarkStart w:name="_TOC_250001" w:id="11"/>
      <w:r>
        <w:rPr/>
        <w:t>第十一节</w:t>
      </w:r>
      <w:r>
        <w:rPr>
          <w:spacing w:val="10"/>
        </w:rPr>
        <w:t> </w:t>
      </w:r>
      <w:bookmarkEnd w:id="11"/>
      <w:r>
        <w:rPr/>
        <w:t>财务报告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367" w:lineRule="exact"/>
        <w:ind w:right="173"/>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标准无保留审计意见</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[2015]004129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杨熹、徐书华</w:t>
            </w:r>
          </w:p>
        </w:tc>
      </w:tr>
    </w:tbl>
    <w:p>
      <w:pPr>
        <w:pStyle w:val="BodyText"/>
        <w:spacing w:line="240" w:lineRule="auto" w:before="53"/>
        <w:ind w:left="3586" w:right="3623"/>
        <w:jc w:val="center"/>
      </w:pPr>
      <w:r>
        <w:rPr/>
        <w:t>审计报告正文</w:t>
      </w:r>
    </w:p>
    <w:p>
      <w:pPr>
        <w:pStyle w:val="BodyText"/>
        <w:spacing w:line="240" w:lineRule="auto" w:before="110"/>
        <w:ind w:right="173"/>
        <w:jc w:val="left"/>
      </w:pPr>
      <w:r>
        <w:rPr>
          <w:spacing w:val="-3"/>
        </w:rPr>
        <w:t>深圳市实益达科技股份有限公司全体股东：</w:t>
      </w:r>
    </w:p>
    <w:p>
      <w:pPr>
        <w:pStyle w:val="BodyText"/>
        <w:spacing w:line="304" w:lineRule="auto" w:before="76"/>
        <w:ind w:left="153" w:right="173" w:hanging="1"/>
        <w:jc w:val="left"/>
      </w:pPr>
      <w:r>
        <w:rPr>
          <w:spacing w:val="-3"/>
        </w:rPr>
        <w:t>我们审计了后附的深圳市实益达科技股份有限公司</w:t>
      </w:r>
      <w:r>
        <w:rPr>
          <w:rFonts w:ascii="Times New Roman" w:hAnsi="Times New Roman" w:cs="Times New Roman" w:eastAsia="Times New Roman" w:hint="default"/>
          <w:spacing w:val="-3"/>
        </w:rPr>
        <w:t>(</w:t>
      </w:r>
      <w:r>
        <w:rPr>
          <w:spacing w:val="-3"/>
        </w:rPr>
        <w:t>以下简称实益达公司</w:t>
      </w:r>
      <w:r>
        <w:rPr>
          <w:rFonts w:ascii="Times New Roman" w:hAnsi="Times New Roman" w:cs="Times New Roman" w:eastAsia="Times New Roman" w:hint="default"/>
          <w:spacing w:val="-3"/>
        </w:rPr>
        <w:t>)</w:t>
      </w:r>
      <w:r>
        <w:rPr>
          <w:spacing w:val="-3"/>
        </w:rPr>
        <w:t>财务报表，包括</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日的合并及母公司资</w:t>
      </w:r>
      <w:r>
        <w:rPr>
          <w:spacing w:val="57"/>
        </w:rPr>
        <w:t> </w:t>
      </w:r>
      <w:r>
        <w:rPr>
          <w:spacing w:val="57"/>
        </w:rPr>
      </w:r>
      <w:r>
        <w:rPr>
          <w:spacing w:val="-6"/>
        </w:rPr>
        <w:t>产负债表，</w:t>
      </w:r>
      <w:r>
        <w:rPr>
          <w:rFonts w:ascii="Times New Roman" w:hAnsi="Times New Roman" w:cs="Times New Roman" w:eastAsia="Times New Roman" w:hint="default"/>
          <w:spacing w:val="-6"/>
        </w:rPr>
        <w:t>2014</w:t>
      </w:r>
      <w:r>
        <w:rPr>
          <w:spacing w:val="-6"/>
        </w:rPr>
        <w:t>年度的合并及母公司利润表、合并及母公司现金流量表、合并及母公司股东权益变动表，以及财务报表附注。</w:t>
      </w:r>
      <w:r>
        <w:rPr>
          <w:spacing w:val="75"/>
        </w:rPr>
        <w:t> </w:t>
      </w:r>
      <w:r>
        <w:rPr>
          <w:spacing w:val="75"/>
        </w:rPr>
      </w:r>
      <w:r>
        <w:rPr>
          <w:spacing w:val="-3"/>
        </w:rPr>
        <w:t>一、管理层对财务报表的责任</w:t>
      </w:r>
      <w:r>
        <w:rPr>
          <w:spacing w:val="-51"/>
        </w:rPr>
        <w:t> </w:t>
      </w:r>
      <w:r>
        <w:rPr>
          <w:spacing w:val="-51"/>
        </w:rPr>
      </w:r>
      <w:r>
        <w:rPr>
          <w:spacing w:val="-3"/>
        </w:rPr>
        <w:t>编制和公允列报财务报表是实益达公司管理层的责任，这种责任包括：（</w:t>
      </w:r>
      <w:r>
        <w:rPr>
          <w:rFonts w:ascii="Times New Roman" w:hAnsi="Times New Roman" w:cs="Times New Roman" w:eastAsia="Times New Roman" w:hint="default"/>
          <w:spacing w:val="-3"/>
        </w:rPr>
        <w:t>1</w:t>
      </w:r>
      <w:r>
        <w:rPr>
          <w:spacing w:val="-3"/>
        </w:rPr>
        <w:t>）按照企业会计准则的规定编制财务报表，并使</w:t>
      </w:r>
      <w:r>
        <w:rPr>
          <w:spacing w:val="69"/>
        </w:rPr>
        <w:t> </w:t>
      </w:r>
      <w:r>
        <w:rPr>
          <w:spacing w:val="69"/>
        </w:rPr>
      </w:r>
      <w:r>
        <w:rPr>
          <w:spacing w:val="-3"/>
        </w:rPr>
        <w:t>其实现公允反映；（</w:t>
      </w:r>
      <w:r>
        <w:rPr>
          <w:rFonts w:ascii="Times New Roman" w:hAnsi="Times New Roman" w:cs="Times New Roman" w:eastAsia="Times New Roman" w:hint="default"/>
          <w:spacing w:val="-3"/>
        </w:rPr>
        <w:t>2</w:t>
      </w:r>
      <w:r>
        <w:rPr>
          <w:spacing w:val="-3"/>
        </w:rPr>
        <w:t>）设计、执行和维护必要的内部控制，以使财务报表不存在由于舞弊或错误导致的重大错报。</w:t>
      </w:r>
      <w:r>
        <w:rPr>
          <w:spacing w:val="63"/>
        </w:rPr>
        <w:t> </w:t>
      </w:r>
      <w:r>
        <w:rPr>
          <w:spacing w:val="63"/>
        </w:rPr>
      </w:r>
      <w:r>
        <w:rPr/>
        <w:t>二、注册会计师的责任</w:t>
      </w:r>
    </w:p>
    <w:p>
      <w:pPr>
        <w:pStyle w:val="BodyText"/>
        <w:spacing w:line="316" w:lineRule="auto" w:before="28"/>
        <w:ind w:left="153" w:right="190" w:firstLine="292"/>
        <w:jc w:val="both"/>
      </w:pPr>
      <w:r>
        <w:rPr>
          <w:spacing w:val="-3"/>
        </w:rPr>
        <w:t>我们的责任是在执行审计工作的基础上对财务报表发表审计意见。我们按照中国注册会计师审计准则的规定执行了审计</w:t>
      </w:r>
      <w:r>
        <w:rPr>
          <w:w w:val="101"/>
        </w:rPr>
        <w:t> </w:t>
      </w:r>
      <w:r>
        <w:rPr>
          <w:spacing w:val="-4"/>
        </w:rPr>
        <w:t>工作。中国注册会计师审计准则要求我们遵守职业道德守则，计划和执行审计工作以对财务报表是否不存在重大错报获取合</w:t>
      </w:r>
      <w:r>
        <w:rPr>
          <w:spacing w:val="39"/>
        </w:rPr>
        <w:t> </w:t>
      </w:r>
      <w:r>
        <w:rPr>
          <w:spacing w:val="39"/>
        </w:rPr>
      </w:r>
      <w:r>
        <w:rPr/>
        <w:t>理保证。</w:t>
      </w:r>
    </w:p>
    <w:p>
      <w:pPr>
        <w:pStyle w:val="BodyText"/>
        <w:spacing w:line="316" w:lineRule="auto" w:before="19"/>
        <w:ind w:left="153" w:right="180" w:firstLine="292"/>
        <w:jc w:val="both"/>
      </w:pPr>
      <w:r>
        <w:rPr>
          <w:spacing w:val="-3"/>
        </w:rPr>
        <w:t>审计工作涉及实施审计程序，以获取有关财务报表金额和披露的审计证据。选择的审计程序取决于注册会计师的判断，</w:t>
      </w:r>
      <w:r>
        <w:rPr>
          <w:w w:val="101"/>
        </w:rPr>
        <w:t> </w:t>
      </w:r>
      <w:r>
        <w:rPr>
          <w:spacing w:val="-4"/>
        </w:rPr>
        <w:t>包括对由于舞弊或错误导致的财务报表重大错报风险的评估。在进行风险评估时，注册会计师考虑与财务报表编制和公允列</w:t>
      </w:r>
      <w:r>
        <w:rPr>
          <w:spacing w:val="44"/>
        </w:rPr>
        <w:t> </w:t>
      </w:r>
      <w:r>
        <w:rPr>
          <w:spacing w:val="44"/>
        </w:rPr>
      </w:r>
      <w:r>
        <w:rPr>
          <w:spacing w:val="-4"/>
        </w:rPr>
        <w:t>报相关的内部控制，以设计恰当的审计程序，但目的并非对内部控制的有效性发表意见。审计工作还包括评价管理层选用会</w:t>
      </w:r>
      <w:r>
        <w:rPr>
          <w:spacing w:val="43"/>
        </w:rPr>
        <w:t> </w:t>
      </w:r>
      <w:r>
        <w:rPr>
          <w:spacing w:val="43"/>
        </w:rPr>
      </w:r>
      <w:r>
        <w:rPr>
          <w:spacing w:val="-3"/>
        </w:rPr>
        <w:t>计政策的恰当性和作出会计估计的合理性，以及评价财务报表的总体列报。</w:t>
      </w:r>
    </w:p>
    <w:p>
      <w:pPr>
        <w:pStyle w:val="BodyText"/>
        <w:spacing w:line="316" w:lineRule="auto" w:before="19"/>
        <w:ind w:left="153" w:right="2284" w:firstLine="292"/>
        <w:jc w:val="left"/>
      </w:pPr>
      <w:r>
        <w:rPr>
          <w:spacing w:val="-3"/>
        </w:rPr>
        <w:t>我们相信，我们获取的审计证据是充分、适当的，为发表审计意见提供了基础。</w:t>
      </w:r>
      <w:r>
        <w:rPr>
          <w:w w:val="101"/>
        </w:rPr>
        <w:t> </w:t>
      </w:r>
      <w:r>
        <w:rPr/>
        <w:t>三、审计意见</w:t>
      </w:r>
    </w:p>
    <w:p>
      <w:pPr>
        <w:pStyle w:val="BodyText"/>
        <w:spacing w:line="300" w:lineRule="auto" w:before="19"/>
        <w:ind w:left="153" w:right="190" w:firstLine="292"/>
        <w:jc w:val="both"/>
      </w:pPr>
      <w:r>
        <w:rPr>
          <w:spacing w:val="-3"/>
        </w:rPr>
        <w:t>我们认为，实益达公司的财务报表在所有重大方面按照企业会计准则的规定编制，公允反映了实益达公司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w w:val="101"/>
        </w:rPr>
        <w:t> </w:t>
      </w:r>
      <w:r>
        <w:rPr>
          <w:spacing w:val="-3"/>
        </w:rPr>
        <w:t>日的合并及母公司财务状况以及</w:t>
      </w:r>
      <w:r>
        <w:rPr>
          <w:rFonts w:ascii="Times New Roman" w:hAnsi="Times New Roman" w:cs="Times New Roman" w:eastAsia="Times New Roman" w:hint="default"/>
          <w:spacing w:val="-3"/>
        </w:rPr>
        <w:t>2014</w:t>
      </w:r>
      <w:r>
        <w:rPr>
          <w:spacing w:val="-3"/>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Heading3"/>
        <w:spacing w:line="240" w:lineRule="auto"/>
        <w:ind w:right="173"/>
        <w:jc w:val="left"/>
      </w:pPr>
      <w:r>
        <w:rPr/>
        <w:t>二、财务报表</w:t>
      </w:r>
    </w:p>
    <w:p>
      <w:pPr>
        <w:spacing w:line="240" w:lineRule="auto" w:before="8"/>
        <w:rPr>
          <w:rFonts w:ascii="宋体" w:hAnsi="宋体" w:cs="宋体" w:eastAsia="宋体" w:hint="default"/>
          <w:sz w:val="27"/>
          <w:szCs w:val="27"/>
        </w:rPr>
      </w:pPr>
    </w:p>
    <w:p>
      <w:pPr>
        <w:pStyle w:val="BodyText"/>
        <w:spacing w:line="240" w:lineRule="auto"/>
        <w:ind w:right="173"/>
        <w:jc w:val="left"/>
      </w:pPr>
      <w:r>
        <w:rPr>
          <w:spacing w:val="-3"/>
        </w:rPr>
        <w:t>财务附注中报表的单位为：人民币元</w:t>
      </w:r>
    </w:p>
    <w:p>
      <w:pPr>
        <w:spacing w:line="240" w:lineRule="auto" w:before="2"/>
        <w:rPr>
          <w:rFonts w:ascii="宋体" w:hAnsi="宋体" w:cs="宋体" w:eastAsia="宋体" w:hint="default"/>
          <w:sz w:val="21"/>
          <w:szCs w:val="21"/>
        </w:rPr>
      </w:pPr>
    </w:p>
    <w:p>
      <w:pPr>
        <w:pStyle w:val="Heading4"/>
        <w:spacing w:line="240" w:lineRule="auto"/>
        <w:ind w:right="17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40"/>
        </w:sectPr>
      </w:pPr>
    </w:p>
    <w:p>
      <w:pPr>
        <w:pStyle w:val="BodyText"/>
        <w:spacing w:line="240" w:lineRule="auto" w:before="46"/>
        <w:ind w:right="0"/>
        <w:jc w:val="left"/>
      </w:pPr>
      <w:r>
        <w:rPr>
          <w:spacing w:val="-3"/>
        </w:rPr>
        <w:t>编制单位：深圳市实益达科技股份有限公司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3" w:equalWidth="0">
            <w:col w:w="3576" w:space="499"/>
            <w:col w:w="1642" w:space="3202"/>
            <w:col w:w="1071"/>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170,321,490.34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271,150,821.88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2,971,717.62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2,527,394.57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141,588,680.47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106,839,355.62</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683,118.30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1,220,916.21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333,651.19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4,477,358.17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11,195,703.68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1,601,449.48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27,329,970.57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52,900,035.49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2,437,785.63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107,971,602.44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356,862,117.80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548,688,933.86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650,163.67</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65,744,674.72</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123,643,362.87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167,186,297.00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885,940.05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33,381,001.09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101,583,951.38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104,227,259.00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1,544,357.02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3,270,086.20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307,052,449.71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321,064,643.29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663,914,567.51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869,753,577.15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6,119,000.00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202,489,191.98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3,380,991.17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104,438,379.44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121,456,917.93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2,784,760.55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3,737,732.23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8,335,210.53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7,480,892.89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14,282,755.03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15,088,059.69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38,107.79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879,780.19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14,877,412.31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10,591,830.63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151,375,625.65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365,105,396.71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2,521,886.17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9,499,916.59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658,333.37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758,333.33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3,180,219.54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10,258,249.92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154,555,845.19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375,363,646.63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460,910,600.00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458,410,600.00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107,960,672.49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105,601,888.26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-436,590.65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-291,451.81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15,188,942.04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-80,951,133.47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-95,227,399.15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500,172,490.41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483,682,579.34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9,186,231.91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10,707,351.18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509,358,722.32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494,389,930.52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663,914,567.51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869,753,577.15</w:t>
            </w:r>
          </w:p>
        </w:tc>
      </w:tr>
    </w:tbl>
    <w:p>
      <w:pPr>
        <w:spacing w:line="240" w:lineRule="auto" w:before="2"/>
        <w:rPr>
          <w:rFonts w:ascii="Times New Roman" w:hAnsi="Times New Roman" w:cs="Times New Roman" w:eastAsia="Times New Roman" w:hint="default"/>
          <w:sz w:val="23"/>
          <w:szCs w:val="23"/>
        </w:rPr>
      </w:pPr>
    </w:p>
    <w:p>
      <w:pPr>
        <w:pStyle w:val="BodyText"/>
        <w:tabs>
          <w:tab w:pos="3575" w:val="left" w:leader="none"/>
          <w:tab w:pos="7712" w:val="left" w:leader="none"/>
        </w:tabs>
        <w:spacing w:line="240" w:lineRule="auto" w:before="46"/>
        <w:ind w:right="0"/>
        <w:jc w:val="left"/>
      </w:pPr>
      <w:r>
        <w:rPr>
          <w:spacing w:val="-3"/>
        </w:rPr>
        <w:t>法定代表人：陈亚妹</w:t>
        <w:tab/>
        <w:t>主管会计工作负责人：刘爱民</w:t>
        <w:tab/>
        <w:t>会计机构负责人：袁素华</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26,593,484.32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129,935,893.07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1,637,039.22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777,394.57</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85,642,282.41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27,171,975.17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112,043.42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345,621.92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265,267.63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4,477,358.17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57,621,963.79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7,859,612.59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12,499,017.50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19,508,176.41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1,982,011.19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106,399,019.89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186,353,109.48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296,475,051.79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295,766,622.77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264,219,340.55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65,744,674.72</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73,781,145.81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112,717,796.23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32,634,861.04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51,529,650.88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53,084,093.52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666,996.90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826,290.01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490,489,091.08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466,482,381.35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676,842,200.56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762,957,433.14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6,119,000.00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132,798,253.51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3,380,991.17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64,226,200.32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35,125,340.64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952,280.54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2,616,479.12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3,978,940.78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3,458,433.75</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732,907.02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1,721,451.25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38,107.79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828,864.13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63,786,462.53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61,180,402.81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140,333,898.98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241,110,216.38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2,521,886.17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9,499,916.59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658,333.37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758,333.33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3,180,219.54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10,258,249.92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143,514,118.52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251,368,466.30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460,910,600.00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458,410,600.00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107,699,452.51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105,340,668.28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15,188,942.04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-47,970,912.51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-67,351,243.48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533,328,082.04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511,588,966.84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676,842,200.56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762,957,433.14</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546,517,722.00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618,647,930.91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546,517,722.00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618,647,930.91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541,261,178.98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805,009,638.96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470,677,199.15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603,373,478.09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3,348,444.42</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2,692,786.58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259.919983pt;width:160.1pt;height:19.7pt;mso-position-horizontal-relative:page;mso-position-vertical-relative:page;z-index:-821248" coordorigin="4219,5198" coordsize="3202,394">
            <v:group style="position:absolute;left:7397;top:5198;width:24;height:394" coordorigin="7397,5198" coordsize="24,394">
              <v:shape style="position:absolute;left:7397;top:5198;width:24;height:394" coordorigin="7397,5198" coordsize="24,394" path="m7397,5592l7421,5592,7421,5198,7397,5198,7397,5592xe" filled="true" fillcolor="#ffffff" stroked="false">
                <v:path arrowok="t"/>
                <v:fill type="solid"/>
              </v:shape>
            </v:group>
            <v:group style="position:absolute;left:4219;top:5198;width:24;height:394" coordorigin="4219,5198" coordsize="24,394">
              <v:shape style="position:absolute;left:4219;top:5198;width:24;height:394" coordorigin="4219,5198" coordsize="24,394" path="m4219,5592l4243,5592,4243,5198,4219,5198,4219,5592xe" filled="true" fillcolor="#ffffff" stroked="false">
                <v:path arrowok="t"/>
                <v:fill type="solid"/>
              </v:shape>
            </v:group>
            <v:group style="position:absolute;left:4243;top:5198;width:3154;height:394" coordorigin="4243,5198" coordsize="3154,394">
              <v:shape style="position:absolute;left:4243;top:5198;width:3154;height:394" coordorigin="4243,5198" coordsize="3154,394" path="m4243,5592l7397,5592,7397,5198,4243,5198,4243,5592xe" filled="true" fillcolor="#ffffff" stroked="false">
                <v:path arrowok="t"/>
                <v:fill type="solid"/>
              </v:shape>
            </v:group>
            <w10:wrap type="none"/>
          </v:group>
        </w:pict>
      </w:r>
      <w:r>
        <w:rPr/>
        <w:pict>
          <v:group style="position:absolute;margin-left:210.960007pt;margin-top:380.639984pt;width:160.1pt;height:19.45pt;mso-position-horizontal-relative:page;mso-position-vertical-relative:page;z-index:-821224" coordorigin="4219,7613" coordsize="3202,389">
            <v:group style="position:absolute;left:7397;top:7613;width:24;height:389" coordorigin="7397,7613" coordsize="24,389">
              <v:shape style="position:absolute;left:7397;top:7613;width:24;height:389" coordorigin="7397,7613" coordsize="24,389" path="m7397,8002l7421,8002,7421,7613,7397,7613,7397,8002xe" filled="true" fillcolor="#ffffff" stroked="false">
                <v:path arrowok="t"/>
                <v:fill type="solid"/>
              </v:shape>
            </v:group>
            <v:group style="position:absolute;left:4219;top:7613;width:24;height:389" coordorigin="4219,7613" coordsize="24,389">
              <v:shape style="position:absolute;left:4219;top:7613;width:24;height:389" coordorigin="4219,7613" coordsize="24,389" path="m4219,8002l4243,8002,4243,7613,4219,7613,4219,8002xe" filled="true" fillcolor="#ffffff" stroked="false">
                <v:path arrowok="t"/>
                <v:fill type="solid"/>
              </v:shape>
            </v:group>
            <v:group style="position:absolute;left:4243;top:7613;width:3154;height:389" coordorigin="4243,7613" coordsize="3154,389">
              <v:shape style="position:absolute;left:4243;top:7613;width:3154;height:389" coordorigin="4243,7613" coordsize="3154,389" path="m4243,8002l7397,8002,7397,7613,4243,7613,4243,8002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18,011,822.27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25,073,157.07</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42,469,629.84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63,680,422.44</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-6,160,745.00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3,140,110.41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12,914,828.30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107,049,684.37</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1,153,495.43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4,317,499.57</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8"/>
              <w:ind w:left="23"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-149,836.33</w:t>
            </w: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24"/>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6,410,038.45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-182,044,208.48</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6,917,676.19</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1,807,345.12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61"/>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488,288.18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4,886,288.97</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488,288.18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75,083.94</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tabs>
                <w:tab w:pos="2140" w:val="left" w:leader="none"/>
              </w:tabs>
              <w:spacing w:line="240" w:lineRule="auto" w:before="54"/>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12,839,426.46</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-185,123,152.33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84,280.05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5,640,537.97</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12,755,146.41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-190,763,690.30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14,276,265.68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-187,575,136.11</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-1,521,119.27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-3,188,554.19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-145,138.84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846,287.01</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-145,138.84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846,287.01</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7" w:firstLine="345"/>
              <w:jc w:val="left"/>
              <w:rPr>
                <w:rFonts w:ascii="宋体" w:hAnsi="宋体" w:cs="宋体" w:eastAsia="宋体" w:hint="default"/>
                <w:sz w:val="18"/>
                <w:szCs w:val="18"/>
              </w:rPr>
            </w:pPr>
            <w:r>
              <w:rPr>
                <w:rFonts w:ascii="宋体" w:hAnsi="宋体" w:cs="宋体" w:eastAsia="宋体" w:hint="default"/>
                <w:spacing w:val="-4"/>
                <w:sz w:val="18"/>
                <w:szCs w:val="18"/>
              </w:rPr>
              <w:t>（一）以后不能重分类进损益的其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重新计量设定受益计划净</w:t>
            </w:r>
            <w:r>
              <w:rPr>
                <w:rFonts w:ascii="宋体" w:hAnsi="宋体" w:cs="宋体" w:eastAsia="宋体" w:hint="default"/>
                <w:w w:val="101"/>
                <w:sz w:val="18"/>
                <w:szCs w:val="18"/>
              </w:rPr>
              <w:t> </w:t>
            </w:r>
            <w:r>
              <w:rPr>
                <w:rFonts w:ascii="宋体" w:hAnsi="宋体" w:cs="宋体" w:eastAsia="宋体" w:hint="default"/>
                <w:spacing w:val="-3"/>
                <w:sz w:val="18"/>
                <w:szCs w:val="18"/>
              </w:rPr>
              <w:t>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8"/>
              <w:ind w:left="23"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w:t>
            </w:r>
            <w:r>
              <w:rPr>
                <w:rFonts w:ascii="宋体" w:hAnsi="宋体" w:cs="宋体" w:eastAsia="宋体" w:hint="default"/>
                <w:w w:val="101"/>
                <w:sz w:val="18"/>
                <w:szCs w:val="18"/>
              </w:rPr>
              <w:t> </w:t>
            </w:r>
            <w:r>
              <w:rPr>
                <w:rFonts w:ascii="宋体" w:hAnsi="宋体" w:cs="宋体" w:eastAsia="宋体" w:hint="default"/>
                <w:spacing w:val="-3"/>
                <w:sz w:val="18"/>
                <w:szCs w:val="18"/>
              </w:rPr>
              <w:t>能重分类进损益的其他综合收益中享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4"/>
              <w:ind w:left="23" w:right="17" w:firstLine="345"/>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-145,138.84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846,287.01</w:t>
            </w: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4"/>
              <w:ind w:left="23"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权益法下在被投资单位以</w:t>
            </w:r>
            <w:r>
              <w:rPr>
                <w:rFonts w:ascii="宋体" w:hAnsi="宋体" w:cs="宋体" w:eastAsia="宋体" w:hint="default"/>
                <w:w w:val="101"/>
                <w:sz w:val="18"/>
                <w:szCs w:val="18"/>
              </w:rPr>
              <w:t> </w:t>
            </w:r>
            <w:r>
              <w:rPr>
                <w:rFonts w:ascii="宋体" w:hAnsi="宋体" w:cs="宋体" w:eastAsia="宋体" w:hint="default"/>
                <w:spacing w:val="-3"/>
                <w:sz w:val="18"/>
                <w:szCs w:val="18"/>
              </w:rPr>
              <w:t>后将重分类进损益的其他综合收益中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可供出售金融资产公允价</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36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现金流量套期损益的有效</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0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-145,138.84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846,287.00</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4"/>
              <w:ind w:left="23"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12,610,007.57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-189,917,403.29</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61"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14,131,126.84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-186,728,849.10</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-1,521,119.27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-3,188,554.19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0.0311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-0.4325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0.0310</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-0.4325</w:t>
            </w:r>
          </w:p>
        </w:tc>
      </w:tr>
    </w:tbl>
    <w:p>
      <w:pPr>
        <w:pStyle w:val="BodyText"/>
        <w:tabs>
          <w:tab w:pos="3575" w:val="left" w:leader="none"/>
          <w:tab w:pos="7712" w:val="left" w:leader="none"/>
        </w:tabs>
        <w:spacing w:line="588" w:lineRule="auto" w:before="53"/>
        <w:ind w:right="246"/>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5"/>
        </w:rPr>
        <w:t> </w:t>
      </w:r>
      <w:r>
        <w:rPr>
          <w:spacing w:val="-3"/>
        </w:rPr>
        <w:t>法定代表人：陈亚妹</w:t>
        <w:tab/>
        <w:t>主管会计工作负责人：刘爱民</w:t>
        <w:tab/>
        <w:t>会计机构负责人：袁素华</w:t>
      </w:r>
    </w:p>
    <w:p>
      <w:pPr>
        <w:pStyle w:val="Heading4"/>
        <w:spacing w:line="240" w:lineRule="auto" w:before="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306,739,300.01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280,046,615.19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264,088,315.96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277,929,900.99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743"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1,256,052.42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1,139,885.36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4,010,861.29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9,939,659.01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21,147,437.61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32,567,523.91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-8,480.81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-172,552.26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4,027,356.66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87,226,255.20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1,303,331.76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67,096,853.76</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13,521,088.64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-61,487,203.26</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6,331,238.34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1,286,198.83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471,996.01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4,837,670.62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471,996.01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26,465.59</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7"/>
                <w:sz w:val="18"/>
                <w:szCs w:val="18"/>
              </w:rPr>
              <w:t> </w:t>
            </w:r>
            <w:r>
              <w:rPr>
                <w:rFonts w:ascii="宋体" w:hAnsi="宋体" w:cs="宋体" w:eastAsia="宋体" w:hint="default"/>
                <w:sz w:val="18"/>
                <w:szCs w:val="18"/>
              </w:rPr>
              <w:t>列）</w:t>
            </w:r>
          </w:p>
        </w:tc>
        <w:tc>
          <w:tcPr>
            <w:tcW w:w="3302"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19,380,330.97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-65,038,675.05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2,951,224.28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19,380,330.97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-67,989,899.33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8"/>
              <w:ind w:left="23"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4"/>
              <w:ind w:left="23" w:right="46"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享有的份额</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3"/>
              <w:ind w:left="23" w:right="46"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中享有的份额</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8"/>
              <w:ind w:left="23"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4"/>
              <w:ind w:left="23"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8"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8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19,380,330.97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-67,989,899.33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6"/>
        <w:jc w:val="right"/>
      </w:pPr>
      <w:r>
        <w:rPr>
          <w:spacing w:val="-2"/>
        </w:rPr>
        <w:t>单位：元</w:t>
      </w:r>
    </w:p>
    <w:p>
      <w:pPr>
        <w:spacing w:after="0" w:line="240" w:lineRule="auto"/>
        <w:jc w:val="right"/>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17" w:right="0"/>
              <w:jc w:val="left"/>
              <w:rPr>
                <w:rFonts w:ascii="宋体" w:hAnsi="宋体" w:cs="宋体" w:eastAsia="宋体" w:hint="default"/>
                <w:sz w:val="18"/>
                <w:szCs w:val="18"/>
              </w:rPr>
            </w:pPr>
            <w:r>
              <w:rPr>
                <w:rFonts w:ascii="宋体" w:hAnsi="宋体" w:cs="宋体" w:eastAsia="宋体" w:hint="default"/>
                <w:spacing w:val="-3"/>
                <w:sz w:val="18"/>
                <w:szCs w:val="18"/>
              </w:rPr>
              <w:t>上期金额发生额</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509,972,945.15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603,150,902.64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入当期损益的金融资产净增加额</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7,614,725.28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22,533,655.38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15,089,207.62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7,936,120.66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532,676,878.05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633,620,678.68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406,030,694.18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508,779,982.34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64,170,932.88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87,241,540.68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31,695,382.72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27,194,711.63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26,482,825.24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35,540,565.31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528,379,835.02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658,756,799.96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4,297,043.03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-25,136,121.28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4,190,487.50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1,439,783.10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21,500.00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104,008,000.00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108,216,087.50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2,461,283.10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9,219,831.21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34,538,846.26</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20,019,831.21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138,546,846.26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88,196,256.29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-136,085,563.16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5,663,400.00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141,630,000.00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6,119,000.00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303,423,345.29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98,281,950.00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121,052,274.34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110,064,350.00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566,105,619.63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202,489,191.98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182,654,223.31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2,491,055.29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9,926,508.37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326,967.60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149,811,308.79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205,307,214.87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342,392,040.47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-95,242,864.87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223,713,579.16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202,184.01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-1,505,594.96</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-2,547,381.54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60,986,299.76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171,863,871.88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110,877,572.12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169,316,490.34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171,863,871.88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9"/>
        <w:rPr>
          <w:rFonts w:ascii="Times New Roman" w:hAnsi="Times New Roman" w:cs="Times New Roman" w:eastAsia="Times New Roman" w:hint="default"/>
          <w:sz w:val="28"/>
          <w:szCs w:val="28"/>
        </w:rPr>
      </w:pPr>
    </w:p>
    <w:p>
      <w:pPr>
        <w:pStyle w:val="Heading4"/>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228,925,330.70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220,284,641.51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2,263,344.10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5,153,308.84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7,336,280.31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7,211,916.74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238,524,955.11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232,649,867.09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179,359,486.02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196,379,773.84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18,240,543.59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35,918,610.70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21,005,515.35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6,618,586.72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68,258,569.50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8,166,598.12</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286,864,114.46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247,083,569.38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-48,339,159.35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-14,433,702.29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4,190,487.50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64,394,093.09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104,008,000.00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108,216,087.50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65,404,593.09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4"/>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7,697,174.04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33,522,196.26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31,547,282.22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100,397,977.90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39,244,456.26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237,928,174.16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68,971,631.24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-172,523,581.07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5,663,400.00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141,630,000.00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6,119,000.00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222,210,214.39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98,281,950.00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121,052,274.34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110,064,350.00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484,892,488.73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132,798,253.51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177,317,990.00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2,302,498.72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8,114,057.67</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326,967.60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149,811,308.79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135,427,719.83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335,243,356.46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-25,363,369.83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149,649,132.27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-329,560.81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-389,845.08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-5,060,458.75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-37,697,996.17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30,648,943.07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68,346,939.24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25,588,484.32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30,648,943.07</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t>本期金额</w:t>
      </w:r>
    </w:p>
    <w:p>
      <w:pPr>
        <w:pStyle w:val="BodyText"/>
        <w:spacing w:line="240" w:lineRule="auto" w:before="119"/>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830"/>
        <w:gridCol w:w="422"/>
        <w:gridCol w:w="370"/>
        <w:gridCol w:w="533"/>
        <w:gridCol w:w="662"/>
        <w:gridCol w:w="662"/>
        <w:gridCol w:w="667"/>
        <w:gridCol w:w="667"/>
        <w:gridCol w:w="662"/>
        <w:gridCol w:w="662"/>
        <w:gridCol w:w="667"/>
        <w:gridCol w:w="662"/>
        <w:gridCol w:w="662"/>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80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9"/>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62" w:right="46"/>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398" w:hRule="exact"/>
        </w:trPr>
        <w:tc>
          <w:tcPr>
            <w:tcW w:w="1440" w:type="dxa"/>
            <w:vMerge/>
            <w:tcBorders>
              <w:left w:val="single" w:sz="4" w:space="0" w:color="000000"/>
              <w:right w:val="single" w:sz="4" w:space="0" w:color="000000"/>
            </w:tcBorders>
            <w:shd w:val="clear" w:color="auto" w:fill="D3D3D3"/>
          </w:tcPr>
          <w:p>
            <w:pPr/>
          </w:p>
        </w:tc>
        <w:tc>
          <w:tcPr>
            <w:tcW w:w="8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8" w:right="50"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9" w:right="5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r>
      <w:tr>
        <w:trPr>
          <w:trHeight w:val="1027"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830" w:type="dxa"/>
            <w:vMerge/>
            <w:tcBorders>
              <w:left w:val="single" w:sz="4" w:space="0" w:color="000000"/>
              <w:bottom w:val="single" w:sz="4" w:space="0" w:color="000000"/>
              <w:right w:val="single" w:sz="4" w:space="0" w:color="000000"/>
            </w:tcBorders>
            <w:shd w:val="clear" w:color="auto" w:fill="D3D3D3"/>
          </w:tcPr>
          <w:p>
            <w:pPr/>
          </w:p>
        </w:tc>
        <w:tc>
          <w:tcPr>
            <w:tcW w:w="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9" w:right="17"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91" w:right="84"/>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458,410,6</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105,601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,888.26</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-291,45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1.81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942.04</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-95,227,</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399.15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10,707,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351.18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494,389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,930.52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42"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458,410,6</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105,601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,888.26</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-291,45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1.81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942.04</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-95,227,</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399.15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10,707,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351.18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494,389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,930.52</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7"/>
              <w:ind w:right="17"/>
              <w:jc w:val="right"/>
              <w:rPr>
                <w:rFonts w:ascii="宋体" w:hAnsi="宋体" w:cs="宋体" w:eastAsia="宋体" w:hint="default"/>
                <w:sz w:val="18"/>
                <w:szCs w:val="18"/>
              </w:rPr>
            </w:pPr>
            <w:r>
              <w:rPr>
                <w:rFonts w:ascii="宋体" w:hAnsi="宋体" w:cs="宋体" w:eastAsia="宋体" w:hint="default"/>
                <w:spacing w:val="-10"/>
                <w:sz w:val="18"/>
                <w:szCs w:val="18"/>
              </w:rPr>
              <w:t>三、本期增减变动</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2,500,000.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6" w:right="0"/>
              <w:jc w:val="left"/>
              <w:rPr>
                <w:rFonts w:ascii="Times New Roman" w:hAnsi="Times New Roman" w:cs="Times New Roman" w:eastAsia="Times New Roman" w:hint="default"/>
                <w:sz w:val="18"/>
                <w:szCs w:val="18"/>
              </w:rPr>
            </w:pPr>
            <w:r>
              <w:rPr>
                <w:rFonts w:ascii="Times New Roman"/>
                <w:sz w:val="18"/>
              </w:rPr>
              <w:t>2,358,7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5" w:right="0"/>
              <w:jc w:val="left"/>
              <w:rPr>
                <w:rFonts w:ascii="Times New Roman" w:hAnsi="Times New Roman" w:cs="Times New Roman" w:eastAsia="Times New Roman" w:hint="default"/>
                <w:sz w:val="18"/>
                <w:szCs w:val="18"/>
              </w:rPr>
            </w:pPr>
            <w:r>
              <w:rPr>
                <w:rFonts w:ascii="Times New Roman"/>
                <w:sz w:val="18"/>
              </w:rPr>
              <w:t>2,500,0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0"/>
              <w:jc w:val="left"/>
              <w:rPr>
                <w:rFonts w:ascii="Times New Roman" w:hAnsi="Times New Roman" w:cs="Times New Roman" w:eastAsia="Times New Roman" w:hint="default"/>
                <w:sz w:val="18"/>
                <w:szCs w:val="18"/>
              </w:rPr>
            </w:pPr>
            <w:r>
              <w:rPr>
                <w:rFonts w:ascii="Times New Roman"/>
                <w:sz w:val="18"/>
              </w:rPr>
              <w:t>-145,13</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6" w:right="0"/>
              <w:jc w:val="left"/>
              <w:rPr>
                <w:rFonts w:ascii="Times New Roman" w:hAnsi="Times New Roman" w:cs="Times New Roman" w:eastAsia="Times New Roman" w:hint="default"/>
                <w:sz w:val="18"/>
                <w:szCs w:val="18"/>
              </w:rPr>
            </w:pPr>
            <w:r>
              <w:rPr>
                <w:rFonts w:ascii="Times New Roman"/>
                <w:sz w:val="18"/>
              </w:rPr>
              <w:t>14,276,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 w:right="0"/>
              <w:jc w:val="left"/>
              <w:rPr>
                <w:rFonts w:ascii="Times New Roman" w:hAnsi="Times New Roman" w:cs="Times New Roman" w:eastAsia="Times New Roman" w:hint="default"/>
                <w:sz w:val="18"/>
                <w:szCs w:val="18"/>
              </w:rPr>
            </w:pPr>
            <w:r>
              <w:rPr>
                <w:rFonts w:ascii="Times New Roman"/>
                <w:sz w:val="18"/>
              </w:rPr>
              <w:t>-1,521,1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5" w:right="0"/>
              <w:jc w:val="left"/>
              <w:rPr>
                <w:rFonts w:ascii="Times New Roman" w:hAnsi="Times New Roman" w:cs="Times New Roman" w:eastAsia="Times New Roman" w:hint="default"/>
                <w:sz w:val="18"/>
                <w:szCs w:val="18"/>
              </w:rPr>
            </w:pPr>
            <w:r>
              <w:rPr>
                <w:rFonts w:ascii="Times New Roman"/>
                <w:sz w:val="18"/>
              </w:rPr>
              <w:t>14,968,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0"/>
        <w:gridCol w:w="830"/>
        <w:gridCol w:w="422"/>
        <w:gridCol w:w="370"/>
        <w:gridCol w:w="533"/>
        <w:gridCol w:w="662"/>
        <w:gridCol w:w="662"/>
        <w:gridCol w:w="667"/>
        <w:gridCol w:w="667"/>
        <w:gridCol w:w="662"/>
        <w:gridCol w:w="662"/>
        <w:gridCol w:w="667"/>
        <w:gridCol w:w="662"/>
        <w:gridCol w:w="662"/>
      </w:tblGrid>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10"/>
              <w:ind w:left="23" w:right="17"/>
              <w:jc w:val="left"/>
              <w:rPr>
                <w:rFonts w:ascii="宋体" w:hAnsi="宋体" w:cs="宋体" w:eastAsia="宋体" w:hint="default"/>
                <w:sz w:val="18"/>
                <w:szCs w:val="18"/>
              </w:rPr>
            </w:pP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84.23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6" w:right="0"/>
              <w:jc w:val="left"/>
              <w:rPr>
                <w:rFonts w:ascii="Times New Roman" w:hAnsi="Times New Roman" w:cs="Times New Roman" w:eastAsia="Times New Roman" w:hint="default"/>
                <w:sz w:val="18"/>
                <w:szCs w:val="18"/>
              </w:rPr>
            </w:pPr>
            <w:r>
              <w:rPr>
                <w:rFonts w:ascii="Times New Roman"/>
                <w:sz w:val="18"/>
              </w:rPr>
              <w:t>8.84</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 w:right="0"/>
              <w:jc w:val="left"/>
              <w:rPr>
                <w:rFonts w:ascii="Times New Roman" w:hAnsi="Times New Roman" w:cs="Times New Roman" w:eastAsia="Times New Roman" w:hint="default"/>
                <w:sz w:val="18"/>
                <w:szCs w:val="18"/>
              </w:rPr>
            </w:pPr>
            <w:r>
              <w:rPr>
                <w:rFonts w:ascii="Times New Roman"/>
                <w:sz w:val="18"/>
              </w:rPr>
              <w:t>265.68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19.27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 w:right="0"/>
              <w:jc w:val="left"/>
              <w:rPr>
                <w:rFonts w:ascii="Times New Roman" w:hAnsi="Times New Roman" w:cs="Times New Roman" w:eastAsia="Times New Roman" w:hint="default"/>
                <w:sz w:val="18"/>
                <w:szCs w:val="18"/>
              </w:rPr>
            </w:pPr>
            <w:r>
              <w:rPr>
                <w:rFonts w:ascii="Times New Roman"/>
                <w:sz w:val="18"/>
              </w:rPr>
              <w:t>791.80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-145,13</w:t>
            </w:r>
          </w:p>
          <w:p>
            <w:pPr>
              <w:pStyle w:val="TableParagraph"/>
              <w:spacing w:line="240" w:lineRule="auto" w:before="110"/>
              <w:ind w:left="316" w:right="0"/>
              <w:jc w:val="left"/>
              <w:rPr>
                <w:rFonts w:ascii="Times New Roman" w:hAnsi="Times New Roman" w:cs="Times New Roman" w:eastAsia="Times New Roman" w:hint="default"/>
                <w:sz w:val="18"/>
                <w:szCs w:val="18"/>
              </w:rPr>
            </w:pPr>
            <w:r>
              <w:rPr>
                <w:rFonts w:ascii="Times New Roman"/>
                <w:sz w:val="18"/>
              </w:rPr>
              <w:t>8.84</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14,276,</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265.68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z w:val="18"/>
              </w:rPr>
              <w:t>-1,521,1</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19.27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12,610,</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007.57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3"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2,500,000.</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2,358,7</w:t>
            </w:r>
          </w:p>
          <w:p>
            <w:pPr>
              <w:pStyle w:val="TableParagraph"/>
              <w:spacing w:line="240" w:lineRule="auto" w:before="109"/>
              <w:ind w:left="216" w:right="0"/>
              <w:jc w:val="center"/>
              <w:rPr>
                <w:rFonts w:ascii="Times New Roman" w:hAnsi="Times New Roman" w:cs="Times New Roman" w:eastAsia="Times New Roman" w:hint="default"/>
                <w:sz w:val="18"/>
                <w:szCs w:val="18"/>
              </w:rPr>
            </w:pPr>
            <w:r>
              <w:rPr>
                <w:rFonts w:ascii="Times New Roman"/>
                <w:sz w:val="18"/>
              </w:rPr>
              <w:t>84.23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9"/>
              <w:ind w:left="215"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2,358,7</w:t>
            </w:r>
          </w:p>
          <w:p>
            <w:pPr>
              <w:pStyle w:val="TableParagraph"/>
              <w:spacing w:line="240" w:lineRule="auto" w:before="109"/>
              <w:ind w:left="215" w:right="0"/>
              <w:jc w:val="center"/>
              <w:rPr>
                <w:rFonts w:ascii="Times New Roman" w:hAnsi="Times New Roman" w:cs="Times New Roman" w:eastAsia="Times New Roman" w:hint="default"/>
                <w:sz w:val="18"/>
                <w:szCs w:val="18"/>
              </w:rPr>
            </w:pPr>
            <w:r>
              <w:rPr>
                <w:rFonts w:ascii="Times New Roman"/>
                <w:sz w:val="18"/>
              </w:rPr>
              <w:t>84.23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2,628,8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65.02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2,628,8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65.02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-270,08</w:t>
            </w:r>
          </w:p>
          <w:p>
            <w:pPr>
              <w:pStyle w:val="TableParagraph"/>
              <w:spacing w:line="240" w:lineRule="auto" w:before="110"/>
              <w:ind w:left="316" w:right="0"/>
              <w:jc w:val="left"/>
              <w:rPr>
                <w:rFonts w:ascii="Times New Roman" w:hAnsi="Times New Roman" w:cs="Times New Roman" w:eastAsia="Times New Roman" w:hint="default"/>
                <w:sz w:val="18"/>
                <w:szCs w:val="18"/>
              </w:rPr>
            </w:pPr>
            <w:r>
              <w:rPr>
                <w:rFonts w:ascii="Times New Roman"/>
                <w:sz w:val="18"/>
              </w:rPr>
              <w:t>0.79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-270,08</w:t>
            </w:r>
          </w:p>
          <w:p>
            <w:pPr>
              <w:pStyle w:val="TableParagraph"/>
              <w:spacing w:line="240" w:lineRule="auto" w:before="110"/>
              <w:ind w:left="316" w:right="0"/>
              <w:jc w:val="lef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460,910,6</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107,960</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,672.49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-436,59</w:t>
            </w:r>
          </w:p>
          <w:p>
            <w:pPr>
              <w:pStyle w:val="TableParagraph"/>
              <w:spacing w:line="240" w:lineRule="auto" w:before="110"/>
              <w:ind w:left="316" w:right="0"/>
              <w:jc w:val="left"/>
              <w:rPr>
                <w:rFonts w:ascii="Times New Roman" w:hAnsi="Times New Roman" w:cs="Times New Roman" w:eastAsia="Times New Roman" w:hint="default"/>
                <w:sz w:val="18"/>
                <w:szCs w:val="18"/>
              </w:rPr>
            </w:pPr>
            <w:r>
              <w:rPr>
                <w:rFonts w:ascii="Times New Roman"/>
                <w:sz w:val="18"/>
              </w:rPr>
              <w:t>0.65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15,188,</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942.04</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-80,951,</w:t>
            </w:r>
          </w:p>
          <w:p>
            <w:pPr>
              <w:pStyle w:val="TableParagraph"/>
              <w:spacing w:line="240" w:lineRule="auto" w:before="110"/>
              <w:ind w:left="120" w:right="0"/>
              <w:jc w:val="center"/>
              <w:rPr>
                <w:rFonts w:ascii="Times New Roman" w:hAnsi="Times New Roman" w:cs="Times New Roman" w:eastAsia="Times New Roman" w:hint="default"/>
                <w:sz w:val="18"/>
                <w:szCs w:val="18"/>
              </w:rPr>
            </w:pPr>
            <w:r>
              <w:rPr>
                <w:rFonts w:ascii="Times New Roman"/>
                <w:sz w:val="18"/>
              </w:rPr>
              <w:t>133.47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9,186,2</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31.91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509,358</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,722.32</w:t>
            </w:r>
          </w:p>
        </w:tc>
      </w:tr>
    </w:tbl>
    <w:p>
      <w:pPr>
        <w:pStyle w:val="BodyText"/>
        <w:spacing w:line="240" w:lineRule="auto" w:before="53"/>
        <w:ind w:right="0"/>
        <w:jc w:val="left"/>
      </w:pPr>
      <w:r>
        <w:rPr/>
        <w:t>上期金额</w:t>
      </w:r>
    </w:p>
    <w:p>
      <w:pPr>
        <w:spacing w:after="0" w:line="240" w:lineRule="auto"/>
        <w:jc w:val="left"/>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35"/>
        <w:gridCol w:w="835"/>
        <w:gridCol w:w="422"/>
        <w:gridCol w:w="370"/>
        <w:gridCol w:w="341"/>
        <w:gridCol w:w="854"/>
        <w:gridCol w:w="706"/>
        <w:gridCol w:w="624"/>
        <w:gridCol w:w="509"/>
        <w:gridCol w:w="821"/>
        <w:gridCol w:w="456"/>
        <w:gridCol w:w="883"/>
        <w:gridCol w:w="653"/>
        <w:gridCol w:w="662"/>
      </w:tblGrid>
      <w:tr>
        <w:trPr>
          <w:trHeight w:val="403" w:hRule="exact"/>
        </w:trPr>
        <w:tc>
          <w:tcPr>
            <w:tcW w:w="14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5"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9"/>
              <w:ind w:left="57" w:right="50"/>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715" w:hRule="exact"/>
        </w:trPr>
        <w:tc>
          <w:tcPr>
            <w:tcW w:w="1435" w:type="dxa"/>
            <w:vMerge/>
            <w:tcBorders>
              <w:left w:val="single" w:sz="4" w:space="0" w:color="000000"/>
              <w:right w:val="single" w:sz="4" w:space="0" w:color="000000"/>
            </w:tcBorders>
            <w:shd w:val="clear" w:color="auto" w:fill="D3D3D3"/>
          </w:tcPr>
          <w:p>
            <w:pPr/>
          </w:p>
        </w:tc>
        <w:tc>
          <w:tcPr>
            <w:tcW w:w="8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75" w:right="103" w:hanging="360"/>
              <w:jc w:val="left"/>
              <w:rPr>
                <w:rFonts w:ascii="宋体" w:hAnsi="宋体" w:cs="宋体" w:eastAsia="宋体" w:hint="default"/>
                <w:sz w:val="18"/>
                <w:szCs w:val="18"/>
              </w:rPr>
            </w:pPr>
            <w:r>
              <w:rPr>
                <w:rFonts w:ascii="宋体" w:hAnsi="宋体" w:cs="宋体" w:eastAsia="宋体" w:hint="default"/>
                <w:spacing w:val="-2"/>
                <w:sz w:val="18"/>
                <w:szCs w:val="18"/>
              </w:rPr>
              <w:t>其他权益工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具</w:t>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59" w:right="17" w:hanging="236"/>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6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5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71" w:right="60"/>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43" w:right="36"/>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350" w:right="7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653"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r>
      <w:tr>
        <w:trPr>
          <w:trHeight w:val="1022" w:hRule="exact"/>
        </w:trPr>
        <w:tc>
          <w:tcPr>
            <w:tcW w:w="1435" w:type="dxa"/>
            <w:vMerge/>
            <w:tcBorders>
              <w:left w:val="single" w:sz="4" w:space="0" w:color="000000"/>
              <w:bottom w:val="single" w:sz="4" w:space="0" w:color="000000"/>
              <w:right w:val="single" w:sz="4" w:space="0" w:color="000000"/>
            </w:tcBorders>
            <w:shd w:val="clear" w:color="auto" w:fill="D3D3D3"/>
          </w:tcPr>
          <w:p>
            <w:pPr/>
          </w:p>
        </w:tc>
        <w:tc>
          <w:tcPr>
            <w:tcW w:w="835" w:type="dxa"/>
            <w:vMerge/>
            <w:tcBorders>
              <w:left w:val="single" w:sz="4" w:space="0" w:color="000000"/>
              <w:bottom w:val="single" w:sz="4" w:space="0" w:color="000000"/>
              <w:right w:val="single" w:sz="4" w:space="0" w:color="000000"/>
            </w:tcBorders>
            <w:shd w:val="clear" w:color="auto" w:fill="D3D3D3"/>
          </w:tcPr>
          <w:p>
            <w:pPr/>
          </w:p>
        </w:tc>
        <w:tc>
          <w:tcPr>
            <w:tcW w:w="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9" w:right="17"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91" w:right="84"/>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854" w:type="dxa"/>
            <w:vMerge/>
            <w:tcBorders>
              <w:left w:val="single" w:sz="4" w:space="0" w:color="000000"/>
              <w:bottom w:val="single" w:sz="4" w:space="0" w:color="000000"/>
              <w:right w:val="single" w:sz="4" w:space="0" w:color="000000"/>
            </w:tcBorders>
            <w:shd w:val="clear" w:color="auto" w:fill="D3D3D3"/>
          </w:tcPr>
          <w:p>
            <w:pPr/>
          </w:p>
        </w:tc>
        <w:tc>
          <w:tcPr>
            <w:tcW w:w="706" w:type="dxa"/>
            <w:vMerge/>
            <w:tcBorders>
              <w:left w:val="single" w:sz="4" w:space="0" w:color="000000"/>
              <w:bottom w:val="single" w:sz="4" w:space="0" w:color="000000"/>
              <w:right w:val="single" w:sz="4" w:space="0" w:color="000000"/>
            </w:tcBorders>
            <w:shd w:val="clear" w:color="auto" w:fill="D3D3D3"/>
          </w:tcPr>
          <w:p>
            <w:pPr/>
          </w:p>
        </w:tc>
        <w:tc>
          <w:tcPr>
            <w:tcW w:w="624" w:type="dxa"/>
            <w:vMerge/>
            <w:tcBorders>
              <w:left w:val="single" w:sz="4" w:space="0" w:color="000000"/>
              <w:bottom w:val="single" w:sz="4" w:space="0" w:color="000000"/>
              <w:right w:val="single" w:sz="4" w:space="0" w:color="000000"/>
            </w:tcBorders>
            <w:shd w:val="clear" w:color="auto" w:fill="D3D3D3"/>
          </w:tcPr>
          <w:p>
            <w:pPr/>
          </w:p>
        </w:tc>
        <w:tc>
          <w:tcPr>
            <w:tcW w:w="509"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45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312,156,0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112,194,4</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19.98</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-1,137,</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738.82</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2.04</w:t>
            </w: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98,590,856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13,895,</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905.37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550,888</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,385.53</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2"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37"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312,156,0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112,194,4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19.98</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-1,137,</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738.82</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2.04</w:t>
            </w: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98,590,856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13,895,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905.37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550,888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,385.53</w:t>
            </w: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3"/>
              <w:ind w:left="23" w:right="12"/>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146,254,6</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-6,592,531</w:t>
            </w: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.72</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846,28</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sz w:val="18"/>
              </w:rPr>
              <w:t>7.01</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-193,818,2</w:t>
            </w:r>
          </w:p>
          <w:p>
            <w:pPr>
              <w:pStyle w:val="TableParagraph"/>
              <w:spacing w:line="240" w:lineRule="auto" w:before="110"/>
              <w:ind w:left="456" w:right="0"/>
              <w:jc w:val="left"/>
              <w:rPr>
                <w:rFonts w:ascii="Times New Roman" w:hAnsi="Times New Roman" w:cs="Times New Roman" w:eastAsia="Times New Roman" w:hint="default"/>
                <w:sz w:val="18"/>
                <w:szCs w:val="18"/>
              </w:rPr>
            </w:pPr>
            <w:r>
              <w:rPr>
                <w:rFonts w:ascii="Times New Roman"/>
                <w:sz w:val="18"/>
              </w:rPr>
              <w:t>56.11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-3,188,</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554.19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-56,498,</w:t>
            </w:r>
          </w:p>
          <w:p>
            <w:pPr>
              <w:pStyle w:val="TableParagraph"/>
              <w:spacing w:line="240" w:lineRule="auto" w:before="110"/>
              <w:ind w:left="115" w:right="0"/>
              <w:jc w:val="center"/>
              <w:rPr>
                <w:rFonts w:ascii="Times New Roman" w:hAnsi="Times New Roman" w:cs="Times New Roman" w:eastAsia="Times New Roman" w:hint="default"/>
                <w:sz w:val="18"/>
                <w:szCs w:val="18"/>
              </w:rPr>
            </w:pPr>
            <w:r>
              <w:rPr>
                <w:rFonts w:ascii="Times New Roman"/>
                <w:sz w:val="18"/>
              </w:rPr>
              <w:t>455.01</w:t>
            </w: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846,28</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7.01</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-187,575,1</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36.11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-3,188,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554.19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-189,91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7,403.2</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37,000,00</w:t>
            </w:r>
          </w:p>
          <w:p>
            <w:pPr>
              <w:pStyle w:val="TableParagraph"/>
              <w:spacing w:line="240" w:lineRule="auto" w:before="110"/>
              <w:ind w:left="480" w:right="0"/>
              <w:jc w:val="left"/>
              <w:rPr>
                <w:rFonts w:ascii="Times New Roman" w:hAnsi="Times New Roman" w:cs="Times New Roman" w:eastAsia="Times New Roman" w:hint="default"/>
                <w:sz w:val="18"/>
                <w:szCs w:val="18"/>
              </w:rPr>
            </w:pPr>
            <w:r>
              <w:rPr>
                <w:rFonts w:ascii="Times New Roman"/>
                <w:sz w:val="18"/>
              </w:rPr>
              <w:t>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102,662,0</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68.28</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139,662</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,068.28</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37,000,00</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102,662,0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68.28</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139,662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,068.28</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-6,243,120.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35"/>
        <w:gridCol w:w="835"/>
        <w:gridCol w:w="422"/>
        <w:gridCol w:w="370"/>
        <w:gridCol w:w="341"/>
        <w:gridCol w:w="854"/>
        <w:gridCol w:w="706"/>
        <w:gridCol w:w="624"/>
        <w:gridCol w:w="509"/>
        <w:gridCol w:w="821"/>
        <w:gridCol w:w="456"/>
        <w:gridCol w:w="883"/>
        <w:gridCol w:w="653"/>
        <w:gridCol w:w="662"/>
      </w:tblGrid>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-6,243,120.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3"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109,254,6</w:t>
            </w:r>
          </w:p>
          <w:p>
            <w:pPr>
              <w:pStyle w:val="TableParagraph"/>
              <w:spacing w:line="240" w:lineRule="auto" w:before="109"/>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-109,254,6</w:t>
            </w:r>
          </w:p>
          <w:p>
            <w:pPr>
              <w:pStyle w:val="TableParagraph"/>
              <w:spacing w:line="240" w:lineRule="auto" w:before="109"/>
              <w:ind w:left="417" w:right="0"/>
              <w:jc w:val="left"/>
              <w:rPr>
                <w:rFonts w:ascii="Times New Roman" w:hAnsi="Times New Roman" w:cs="Times New Roman" w:eastAsia="Times New Roman" w:hint="default"/>
                <w:sz w:val="18"/>
                <w:szCs w:val="18"/>
              </w:rPr>
            </w:pPr>
            <w:r>
              <w:rPr>
                <w:rFonts w:ascii="Times New Roman"/>
                <w:sz w:val="18"/>
              </w:rPr>
              <w:t>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109,254,6</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-109,254,6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8"/>
              <w:ind w:left="23"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5"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458,410,6</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105,601,8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88.26</w:t>
            </w:r>
          </w:p>
        </w:tc>
        <w:tc>
          <w:tcPr>
            <w:tcW w:w="70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-291,45</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1.81</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2.04</w:t>
            </w:r>
          </w:p>
        </w:tc>
        <w:tc>
          <w:tcPr>
            <w:tcW w:w="45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-95,227,39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10,707,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351.18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494,389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,930.52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right="0"/>
        <w:jc w:val="left"/>
      </w:pPr>
      <w:r>
        <w:rPr/>
        <w:t>本期金额</w:t>
      </w:r>
    </w:p>
    <w:p>
      <w:pPr>
        <w:pStyle w:val="BodyText"/>
        <w:spacing w:line="240" w:lineRule="auto" w:before="115"/>
        <w:ind w:left="0" w:right="146"/>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398"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1"/>
              <w:ind w:left="307" w:right="26"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1"/>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1"/>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1"/>
              <w:ind w:left="115" w:right="21"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458,410,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105,340,6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-67,351,</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243.48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511,588,9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66.84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458,410,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105,340,6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-67,351,</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243.48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511,588,9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66.84</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pacing w:val="-10"/>
                <w:sz w:val="18"/>
                <w:szCs w:val="18"/>
              </w:rPr>
              <w:t>三、本期增减变动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2,500,00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2,358,784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2,500,000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Times New Roman" w:hAnsi="Times New Roman" w:cs="Times New Roman" w:eastAsia="Times New Roman" w:hint="default"/>
                <w:sz w:val="18"/>
                <w:szCs w:val="18"/>
              </w:rPr>
            </w:pPr>
            <w:r>
              <w:rPr>
                <w:rFonts w:ascii="Times New Roman"/>
                <w:sz w:val="18"/>
              </w:rPr>
              <w:t>19,380,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21,739,11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10"/>
              <w:ind w:left="23" w:right="17"/>
              <w:jc w:val="left"/>
              <w:rPr>
                <w:rFonts w:ascii="宋体" w:hAnsi="宋体" w:cs="宋体" w:eastAsia="宋体" w:hint="default"/>
                <w:sz w:val="18"/>
                <w:szCs w:val="18"/>
              </w:rPr>
            </w:pP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Times New Roman" w:hAnsi="Times New Roman" w:cs="Times New Roman" w:eastAsia="Times New Roman" w:hint="default"/>
                <w:sz w:val="18"/>
                <w:szCs w:val="18"/>
              </w:rPr>
            </w:pPr>
            <w:r>
              <w:rPr>
                <w:rFonts w:ascii="Times New Roman"/>
                <w:sz w:val="18"/>
              </w:rPr>
              <w:t>330.97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1" w:right="0"/>
              <w:jc w:val="left"/>
              <w:rPr>
                <w:rFonts w:ascii="Times New Roman" w:hAnsi="Times New Roman" w:cs="Times New Roman" w:eastAsia="Times New Roman" w:hint="default"/>
                <w:sz w:val="18"/>
                <w:szCs w:val="18"/>
              </w:rPr>
            </w:pPr>
            <w:r>
              <w:rPr>
                <w:rFonts w:ascii="Times New Roman"/>
                <w:sz w:val="18"/>
              </w:rPr>
              <w:t>5.20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19,380,</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330.97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19,380,33</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0.97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3"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9"/>
              <w:ind w:left="34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2,358,784</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2,358,784</w:t>
            </w:r>
          </w:p>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z w:val="18"/>
              </w:rPr>
              <w:t>.23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2,628,865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2,628,865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-270,080.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-270,080.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79</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460,910,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107,699,4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-47,970,</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912.51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533,328,0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82.04</w:t>
            </w:r>
          </w:p>
        </w:tc>
      </w:tr>
    </w:tbl>
    <w:p>
      <w:pPr>
        <w:pStyle w:val="BodyText"/>
        <w:spacing w:line="240" w:lineRule="auto" w:before="53"/>
        <w:ind w:right="0"/>
        <w:jc w:val="left"/>
      </w:pPr>
      <w:r>
        <w:rPr/>
        <w:t>上期金额</w:t>
      </w:r>
    </w:p>
    <w:p>
      <w:pPr>
        <w:pStyle w:val="BodyText"/>
        <w:spacing w:line="240" w:lineRule="auto" w:before="119"/>
        <w:ind w:left="0" w:right="146"/>
        <w:jc w:val="right"/>
      </w:pPr>
      <w:r>
        <w:rPr>
          <w:spacing w:val="-2"/>
        </w:rPr>
        <w:t>单位：元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421;top:19;width:20;height:389" coordorigin="1421,19" coordsize="20,389">
              <v:shape style="position:absolute;left:1421;top:19;width:20;height:389" coordorigin="1421,19" coordsize="20,389" path="m1421,408l1440,408,1440,19,1421,19,1421,408xe" filled="true" fillcolor="#d3d3d3" stroked="false">
                <v:path arrowok="t"/>
                <v:fill type="solid"/>
              </v:shape>
            </v:group>
            <v:group style="position:absolute;left:10;top:19;width:24;height:389" coordorigin="10,19" coordsize="24,389">
              <v:shape style="position:absolute;left:10;top:19;width:24;height:389" coordorigin="10,19" coordsize="24,389" path="m10,408l34,408,34,19,10,19,10,408xe" filled="true" fillcolor="#d3d3d3" stroked="false">
                <v:path arrowok="t"/>
                <v:fill type="solid"/>
              </v:shape>
            </v:group>
            <v:group style="position:absolute;left:34;top:19;width:1388;height:389" coordorigin="34,19" coordsize="1388,389">
              <v:shape style="position:absolute;left:34;top:19;width:1388;height:389" coordorigin="34,19" coordsize="1388,389" path="m34,408l1421,408,1421,19,34,19,34,408xe" filled="true" fillcolor="#d3d3d3" stroked="false">
                <v:path arrowok="t"/>
                <v:fill type="solid"/>
              </v:shape>
            </v:group>
            <v:group style="position:absolute;left:1454;top:19;width:20;height:389" coordorigin="1454,19" coordsize="20,389">
              <v:shape style="position:absolute;left:1454;top:19;width:20;height:389" coordorigin="1454,19" coordsize="20,389" path="m1454,408l1474,408,1474,19,1454,19,1454,408xe" filled="true" fillcolor="#d3d3d3" stroked="false">
                <v:path arrowok="t"/>
                <v:fill type="solid"/>
              </v:shape>
            </v:group>
            <v:group style="position:absolute;left:9547;top:19;width:24;height:389" coordorigin="9547,19" coordsize="24,389">
              <v:shape style="position:absolute;left:9547;top:19;width:24;height:389" coordorigin="9547,19" coordsize="24,389" path="m9547,408l9571,408,9571,19,9547,19,9547,408xe" filled="true" fillcolor="#d3d3d3" stroked="false">
                <v:path arrowok="t"/>
                <v:fill type="solid"/>
              </v:shape>
            </v:group>
            <v:group style="position:absolute;left:1474;top:19;width:8074;height:389" coordorigin="1474,19" coordsize="8074,389">
              <v:shape style="position:absolute;left:1474;top:19;width:8074;height:389" coordorigin="1474,19" coordsize="8074,389" path="m1474,408l9547,408,9547,19,1474,19,1474,408xe" filled="true" fillcolor="#d3d3d3" stroked="false">
                <v:path arrowok="t"/>
                <v:fill type="solid"/>
              </v:shape>
            </v:group>
            <v:group style="position:absolute;left:10;top:10;width:1431;height:2" coordorigin="10,10" coordsize="1431,2">
              <v:shape style="position:absolute;left:10;top:10;width:1431;height:2" coordorigin="10,10" coordsize="1431,0" path="m10,10l1440,10e" filled="false" stroked="true" strokeweight=".48pt" strokecolor="#000000">
                <v:path arrowok="t"/>
              </v:shape>
            </v:group>
            <v:group style="position:absolute;left:1450;top:10;width:8122;height:2" coordorigin="1450,10" coordsize="8122,2">
              <v:shape style="position:absolute;left:1450;top:10;width:8122;height:2" coordorigin="1450,10" coordsize="8122,0" path="m145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1431;height:2" coordorigin="10,413" coordsize="1431,2">
              <v:shape style="position:absolute;left:10;top:413;width:1431;height:2" coordorigin="10,413" coordsize="1431,0" path="m10,413l1440,413e" filled="false" stroked="true" strokeweight=".48pt" strokecolor="#000000">
                <v:path arrowok="t"/>
              </v:shape>
            </v:group>
            <v:group style="position:absolute;left:1445;top:5;width:2;height:413" coordorigin="1445,5" coordsize="2,413">
              <v:shape style="position:absolute;left:1445;top:5;width:2;height:413" coordorigin="1445,5" coordsize="0,413" path="m1445,5l1445,418e" filled="false" stroked="true" strokeweight=".48pt" strokecolor="#000000">
                <v:path arrowok="t"/>
              </v:shape>
            </v:group>
            <v:group style="position:absolute;left:1450;top:413;width:8122;height:2" coordorigin="1450,413" coordsize="8122,2">
              <v:shape style="position:absolute;left:1450;top:413;width:8122;height:2" coordorigin="1450,413" coordsize="8122,0" path="m145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5;top:12;width:1440;height:401" type="#_x0000_t202" filled="false" stroked="false">
                <v:textbox inset="0,0,0,0">
                  <w:txbxContent>
                    <w:p>
                      <w:pPr>
                        <w:spacing w:before="61"/>
                        <w:ind w:left="9"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28;top:12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97"/>
              <w:ind w:left="307" w:right="26"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97"/>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97"/>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324" w:lineRule="auto" w:before="97"/>
              <w:ind w:left="115" w:right="21"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398"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312,156,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pacing w:val="-3"/>
                <w:sz w:val="18"/>
              </w:rPr>
              <w:t>111,933,2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6,881,7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75.85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446,159,9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17.89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312,156,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 w:right="0"/>
              <w:jc w:val="left"/>
              <w:rPr>
                <w:rFonts w:ascii="Times New Roman" w:hAnsi="Times New Roman" w:cs="Times New Roman" w:eastAsia="Times New Roman" w:hint="default"/>
                <w:sz w:val="18"/>
                <w:szCs w:val="18"/>
              </w:rPr>
            </w:pPr>
            <w:r>
              <w:rPr>
                <w:rFonts w:ascii="Times New Roman"/>
                <w:spacing w:val="-3"/>
                <w:sz w:val="18"/>
              </w:rPr>
              <w:t>111,933,2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 w:right="0"/>
              <w:jc w:val="center"/>
              <w:rPr>
                <w:rFonts w:ascii="Times New Roman" w:hAnsi="Times New Roman" w:cs="Times New Roman" w:eastAsia="Times New Roman" w:hint="default"/>
                <w:sz w:val="18"/>
                <w:szCs w:val="18"/>
              </w:rPr>
            </w:pPr>
            <w:r>
              <w:rPr>
                <w:rFonts w:ascii="Times New Roman"/>
                <w:sz w:val="18"/>
              </w:rPr>
              <w:t>6,881,7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75.85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446,159,9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17.89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146,254,</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-6,592,53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-74,233,</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019.33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65,429,04</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8.95</w:t>
            </w:r>
          </w:p>
        </w:tc>
      </w:tr>
      <w:tr>
        <w:trPr>
          <w:trHeight w:val="364"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10"/>
                <w:sz w:val="18"/>
                <w:szCs w:val="18"/>
              </w:rPr>
              <w:t>（一）综合收益总</w:t>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-67,989,</w:t>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-67,989,8</w:t>
            </w: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899.33</w:t>
            </w: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99.33</w:t>
            </w:r>
          </w:p>
        </w:tc>
      </w:tr>
      <w:tr>
        <w:trPr>
          <w:trHeight w:val="364"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10"/>
                <w:sz w:val="18"/>
                <w:szCs w:val="18"/>
              </w:rPr>
              <w:t>（二）所有者投入</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37,000,0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102,662,0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139,662,0</w:t>
            </w:r>
          </w:p>
        </w:tc>
      </w:tr>
      <w:tr>
        <w:trPr>
          <w:trHeight w:val="346"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235" w:right="0"/>
              <w:jc w:val="center"/>
              <w:rPr>
                <w:rFonts w:ascii="Times New Roman" w:hAnsi="Times New Roman" w:cs="Times New Roman" w:eastAsia="Times New Roman" w:hint="default"/>
                <w:sz w:val="18"/>
                <w:szCs w:val="18"/>
              </w:rPr>
            </w:pPr>
            <w:r>
              <w:rPr>
                <w:rFonts w:ascii="Times New Roman"/>
                <w:sz w:val="18"/>
              </w:rPr>
              <w:t>00.00</w:t>
            </w: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68.28</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68.28</w:t>
            </w:r>
          </w:p>
        </w:tc>
      </w:tr>
      <w:tr>
        <w:trPr>
          <w:trHeight w:val="369"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37,000,0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102,662,0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139,662,0</w:t>
            </w:r>
          </w:p>
        </w:tc>
      </w:tr>
      <w:tr>
        <w:trPr>
          <w:trHeight w:val="346"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235" w:right="0"/>
              <w:jc w:val="center"/>
              <w:rPr>
                <w:rFonts w:ascii="Times New Roman" w:hAnsi="Times New Roman" w:cs="Times New Roman" w:eastAsia="Times New Roman" w:hint="default"/>
                <w:sz w:val="18"/>
                <w:szCs w:val="18"/>
              </w:rPr>
            </w:pPr>
            <w:r>
              <w:rPr>
                <w:rFonts w:ascii="Times New Roman"/>
                <w:sz w:val="18"/>
              </w:rPr>
              <w:t>00.00</w:t>
            </w: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68.28</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68.28</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所有者权益的金</w:t>
            </w:r>
          </w:p>
        </w:tc>
        <w:tc>
          <w:tcPr>
            <w:tcW w:w="691"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358"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-6,243,1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-6,243,12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-6,243,1</w:t>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-6,243,12</w:t>
            </w: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10"/>
                <w:sz w:val="18"/>
                <w:szCs w:val="18"/>
              </w:rPr>
              <w:t>（四）所有者权益</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109,254,</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-109,254,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r>
      <w:tr>
        <w:trPr>
          <w:trHeight w:val="346"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600.00</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367"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109,254,</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-109,254,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r>
      <w:tr>
        <w:trPr>
          <w:trHeight w:val="349"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资本（或股本）</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z w:val="18"/>
              </w:rPr>
              <w:t>600.00</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458,410,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 w:right="0"/>
              <w:jc w:val="left"/>
              <w:rPr>
                <w:rFonts w:ascii="Times New Roman" w:hAnsi="Times New Roman" w:cs="Times New Roman" w:eastAsia="Times New Roman" w:hint="default"/>
                <w:sz w:val="18"/>
                <w:szCs w:val="18"/>
              </w:rPr>
            </w:pPr>
            <w:r>
              <w:rPr>
                <w:rFonts w:ascii="Times New Roman"/>
                <w:sz w:val="18"/>
              </w:rPr>
              <w:t>105,340,6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 w:right="0"/>
              <w:jc w:val="left"/>
              <w:rPr>
                <w:rFonts w:ascii="Times New Roman" w:hAnsi="Times New Roman" w:cs="Times New Roman" w:eastAsia="Times New Roman" w:hint="default"/>
                <w:sz w:val="18"/>
                <w:szCs w:val="18"/>
              </w:rPr>
            </w:pPr>
            <w:r>
              <w:rPr>
                <w:rFonts w:ascii="Times New Roman"/>
                <w:sz w:val="18"/>
              </w:rPr>
              <w:t>15,188,94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center"/>
              <w:rPr>
                <w:rFonts w:ascii="Times New Roman" w:hAnsi="Times New Roman" w:cs="Times New Roman" w:eastAsia="Times New Roman" w:hint="default"/>
                <w:sz w:val="18"/>
                <w:szCs w:val="18"/>
              </w:rPr>
            </w:pPr>
            <w:r>
              <w:rPr>
                <w:rFonts w:ascii="Times New Roman"/>
                <w:sz w:val="18"/>
              </w:rPr>
              <w:t>-67,351,</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243.48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 w:right="0"/>
              <w:jc w:val="left"/>
              <w:rPr>
                <w:rFonts w:ascii="Times New Roman" w:hAnsi="Times New Roman" w:cs="Times New Roman" w:eastAsia="Times New Roman" w:hint="default"/>
                <w:sz w:val="18"/>
                <w:szCs w:val="18"/>
              </w:rPr>
            </w:pPr>
            <w:r>
              <w:rPr>
                <w:rFonts w:ascii="Times New Roman"/>
                <w:sz w:val="18"/>
              </w:rPr>
              <w:t>511,588,9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66.84</w:t>
            </w:r>
          </w:p>
        </w:tc>
      </w:tr>
    </w:tbl>
    <w:p>
      <w:pPr>
        <w:spacing w:line="240" w:lineRule="auto" w:before="1"/>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三、公司基本情况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spacing w:val="-3"/>
        </w:rPr>
        <w:t>公司注册地、组织形式和总部地址</w:t>
      </w:r>
    </w:p>
    <w:p>
      <w:pPr>
        <w:pStyle w:val="BodyText"/>
        <w:spacing w:line="300" w:lineRule="auto" w:before="63"/>
        <w:ind w:right="0" w:firstLine="360"/>
        <w:jc w:val="left"/>
      </w:pPr>
      <w:r>
        <w:rPr>
          <w:spacing w:val="-3"/>
        </w:rPr>
        <w:t>深圳市实益达科技股份有限公司（以下简称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w:t>
      </w:r>
      <w:r>
        <w:rPr>
          <w:spacing w:val="39"/>
        </w:rPr>
        <w:t> </w:t>
      </w:r>
      <w:r>
        <w:rPr>
          <w:spacing w:val="-3"/>
        </w:rPr>
        <w:t>前身系深圳市实益达实业有限公司</w:t>
      </w:r>
      <w:r>
        <w:rPr>
          <w:rFonts w:ascii="Times New Roman" w:hAnsi="Times New Roman" w:cs="Times New Roman" w:eastAsia="Times New Roman" w:hint="default"/>
          <w:spacing w:val="-3"/>
        </w:rPr>
        <w:t>(</w:t>
      </w:r>
      <w:r>
        <w:rPr>
          <w:spacing w:val="-3"/>
        </w:rPr>
        <w:t>以下简称原有限公</w:t>
      </w:r>
      <w:r>
        <w:rPr>
          <w:w w:val="101"/>
        </w:rPr>
        <w:t> </w:t>
      </w:r>
      <w:r>
        <w:rPr>
          <w:spacing w:val="-3"/>
        </w:rPr>
        <w:t>司</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日在深圳市工商管理局注册成立，成立时的注册资本为人民币</w:t>
      </w:r>
      <w:r>
        <w:rPr>
          <w:rFonts w:ascii="Times New Roman" w:hAnsi="Times New Roman" w:cs="Times New Roman" w:eastAsia="Times New Roman" w:hint="default"/>
          <w:spacing w:val="-3"/>
        </w:rPr>
        <w:t>100.00</w:t>
      </w:r>
      <w:r>
        <w:rPr>
          <w:spacing w:val="-3"/>
        </w:rPr>
        <w:t>万元；</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w:t>
      </w:r>
      <w:r>
        <w:rPr>
          <w:spacing w:val="-3"/>
        </w:rPr>
        <w:t>日，原有限公司</w:t>
      </w:r>
      <w:r>
        <w:rPr>
          <w:spacing w:val="7"/>
        </w:rPr>
        <w:t> </w:t>
      </w:r>
      <w:r>
        <w:rPr>
          <w:spacing w:val="7"/>
        </w:rPr>
      </w:r>
      <w:r>
        <w:rPr>
          <w:spacing w:val="-2"/>
        </w:rPr>
        <w:t>注册资本变更为人民币</w:t>
      </w:r>
      <w:r>
        <w:rPr>
          <w:rFonts w:ascii="Times New Roman" w:hAnsi="Times New Roman" w:cs="Times New Roman" w:eastAsia="Times New Roman" w:hint="default"/>
          <w:spacing w:val="-2"/>
        </w:rPr>
        <w:t>500.00</w:t>
      </w:r>
      <w:r>
        <w:rPr>
          <w:spacing w:val="-2"/>
        </w:rPr>
        <w:t>万元；</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日，原有限公司注册资本变更为人民币</w:t>
      </w:r>
      <w:r>
        <w:rPr>
          <w:rFonts w:ascii="Times New Roman" w:hAnsi="Times New Roman" w:cs="Times New Roman" w:eastAsia="Times New Roman" w:hint="default"/>
          <w:spacing w:val="-2"/>
        </w:rPr>
        <w:t>1,000.00</w:t>
      </w:r>
      <w:r>
        <w:rPr>
          <w:spacing w:val="-2"/>
        </w:rPr>
        <w:t>万元。</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日，经</w:t>
      </w:r>
      <w:r>
        <w:rPr>
          <w:spacing w:val="42"/>
        </w:rPr>
        <w:t> </w:t>
      </w:r>
      <w:r>
        <w:rPr>
          <w:spacing w:val="42"/>
        </w:rPr>
      </w:r>
      <w:r>
        <w:rPr>
          <w:spacing w:val="-3"/>
        </w:rPr>
        <w:t>深圳市人民政府深府股</w:t>
      </w:r>
      <w:r>
        <w:rPr>
          <w:rFonts w:ascii="Times New Roman" w:hAnsi="Times New Roman" w:cs="Times New Roman" w:eastAsia="Times New Roman" w:hint="default"/>
          <w:spacing w:val="-3"/>
        </w:rPr>
        <w:t>[2005]13</w:t>
      </w:r>
      <w:r>
        <w:rPr>
          <w:spacing w:val="-3"/>
        </w:rPr>
        <w:t>号文件批准，以原有限公司净资产折股，深圳市实益达实业有限公司整体变更为深圳市实益</w:t>
      </w:r>
      <w:r>
        <w:rPr>
          <w:spacing w:val="58"/>
        </w:rPr>
        <w:t> </w:t>
      </w:r>
      <w:r>
        <w:rPr>
          <w:spacing w:val="58"/>
        </w:rPr>
      </w:r>
      <w:r>
        <w:rPr>
          <w:spacing w:val="-4"/>
        </w:rPr>
        <w:t>达科技股份有限公司，</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15</w:t>
      </w:r>
      <w:r>
        <w:rPr>
          <w:spacing w:val="-4"/>
        </w:rPr>
        <w:t>日，经</w:t>
      </w:r>
      <w:r>
        <w:rPr>
          <w:rFonts w:ascii="Times New Roman" w:hAnsi="Times New Roman" w:cs="Times New Roman" w:eastAsia="Times New Roman" w:hint="default"/>
          <w:spacing w:val="-4"/>
        </w:rPr>
        <w:t>2006</w:t>
      </w:r>
      <w:r>
        <w:rPr>
          <w:spacing w:val="-4"/>
        </w:rPr>
        <w:t>年第二次临时股东大会决议，本公司以经审计的截至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30</w:t>
      </w:r>
      <w:r>
        <w:rPr>
          <w:spacing w:val="-4"/>
        </w:rPr>
        <w:t>日止的未分</w:t>
      </w:r>
      <w:r>
        <w:rPr>
          <w:spacing w:val="79"/>
        </w:rPr>
        <w:t> </w:t>
      </w:r>
      <w:r>
        <w:rPr>
          <w:spacing w:val="79"/>
        </w:rPr>
      </w:r>
      <w:r>
        <w:rPr/>
        <w:t>配利润</w:t>
      </w:r>
      <w:r>
        <w:rPr>
          <w:rFonts w:ascii="Times New Roman" w:hAnsi="Times New Roman" w:cs="Times New Roman" w:eastAsia="Times New Roman" w:hint="default"/>
        </w:rPr>
        <w:t>35,208,975.00</w:t>
      </w:r>
      <w:r>
        <w:rPr/>
        <w:t>元实施每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5.4342</w:t>
      </w:r>
      <w:r>
        <w:rPr/>
        <w:t>股红股的利润分配方案，共送红股</w:t>
      </w:r>
      <w:r>
        <w:rPr>
          <w:rFonts w:ascii="Times New Roman" w:hAnsi="Times New Roman" w:cs="Times New Roman" w:eastAsia="Times New Roman" w:hint="default"/>
        </w:rPr>
        <w:t>35,208,975</w:t>
      </w:r>
      <w:r>
        <w:rPr/>
        <w:t>股，注册资本变更为人民币</w:t>
      </w:r>
      <w:r>
        <w:rPr>
          <w:w w:val="101"/>
        </w:rPr>
        <w:t> </w:t>
      </w:r>
      <w:r>
        <w:rPr>
          <w:rFonts w:ascii="Times New Roman" w:hAnsi="Times New Roman" w:cs="Times New Roman" w:eastAsia="Times New Roman" w:hint="default"/>
          <w:spacing w:val="-4"/>
        </w:rPr>
        <w:t>10,000.00</w:t>
      </w:r>
      <w:r>
        <w:rPr>
          <w:spacing w:val="-4"/>
        </w:rPr>
        <w:t>万元。</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13</w:t>
      </w:r>
      <w:r>
        <w:rPr>
          <w:spacing w:val="-4"/>
        </w:rPr>
        <w:t>日在深圳证券交易所上市，注册资本变更为人民币</w:t>
      </w:r>
      <w:r>
        <w:rPr>
          <w:rFonts w:ascii="Times New Roman" w:hAnsi="Times New Roman" w:cs="Times New Roman" w:eastAsia="Times New Roman" w:hint="default"/>
          <w:spacing w:val="-4"/>
        </w:rPr>
        <w:t>13,340.00</w:t>
      </w:r>
      <w:r>
        <w:rPr>
          <w:spacing w:val="-4"/>
        </w:rPr>
        <w:t>万元。根据本公司</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18</w:t>
      </w:r>
      <w:r>
        <w:rPr>
          <w:spacing w:val="-4"/>
        </w:rPr>
        <w:t>日召</w:t>
      </w:r>
      <w:r>
        <w:rPr>
          <w:spacing w:val="22"/>
        </w:rPr>
        <w:t> </w:t>
      </w:r>
      <w:r>
        <w:rPr>
          <w:spacing w:val="-4"/>
        </w:rPr>
        <w:t>开的</w:t>
      </w:r>
      <w:r>
        <w:rPr>
          <w:rFonts w:ascii="Times New Roman" w:hAnsi="Times New Roman" w:cs="Times New Roman" w:eastAsia="Times New Roman" w:hint="default"/>
          <w:spacing w:val="-4"/>
        </w:rPr>
        <w:t>2007</w:t>
      </w:r>
      <w:r>
        <w:rPr>
          <w:spacing w:val="-4"/>
        </w:rPr>
        <w:t>年度股东大会决议，以</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13,340</w:t>
      </w:r>
      <w:r>
        <w:rPr>
          <w:spacing w:val="-4"/>
        </w:rPr>
        <w:t>万股为基数，按每</w:t>
      </w:r>
      <w:r>
        <w:rPr>
          <w:rFonts w:ascii="Times New Roman" w:hAnsi="Times New Roman" w:cs="Times New Roman" w:eastAsia="Times New Roman" w:hint="default"/>
          <w:spacing w:val="-4"/>
        </w:rPr>
        <w:t>10</w:t>
      </w:r>
      <w:r>
        <w:rPr>
          <w:spacing w:val="-4"/>
        </w:rPr>
        <w:t>股由资本公积金转增</w:t>
      </w:r>
      <w:r>
        <w:rPr>
          <w:rFonts w:ascii="Times New Roman" w:hAnsi="Times New Roman" w:cs="Times New Roman" w:eastAsia="Times New Roman" w:hint="default"/>
          <w:spacing w:val="-4"/>
        </w:rPr>
        <w:t>5</w:t>
      </w:r>
      <w:r>
        <w:rPr>
          <w:spacing w:val="-4"/>
        </w:rPr>
        <w:t>股，共计转增</w:t>
      </w:r>
      <w:r>
        <w:rPr>
          <w:rFonts w:ascii="Times New Roman" w:hAnsi="Times New Roman" w:cs="Times New Roman" w:eastAsia="Times New Roman" w:hint="default"/>
          <w:spacing w:val="-4"/>
        </w:rPr>
        <w:t>6,670.00</w:t>
      </w:r>
      <w:r>
        <w:rPr>
          <w:spacing w:val="-4"/>
        </w:rPr>
        <w:t>万股，</w:t>
      </w:r>
      <w:r>
        <w:rPr>
          <w:spacing w:val="57"/>
        </w:rPr>
        <w:t> </w:t>
      </w:r>
      <w:r>
        <w:rPr>
          <w:spacing w:val="57"/>
        </w:rPr>
      </w:r>
      <w:r>
        <w:rPr>
          <w:spacing w:val="-4"/>
        </w:rPr>
        <w:t>并于</w:t>
      </w:r>
      <w:r>
        <w:rPr>
          <w:rFonts w:ascii="Times New Roman" w:hAnsi="Times New Roman" w:cs="Times New Roman" w:eastAsia="Times New Roman" w:hint="default"/>
          <w:spacing w:val="-4"/>
        </w:rPr>
        <w:t>2008</w:t>
      </w:r>
      <w:r>
        <w:rPr>
          <w:spacing w:val="-4"/>
        </w:rPr>
        <w:t>年度实施。转增后，注册资本增至人民币</w:t>
      </w:r>
      <w:r>
        <w:rPr>
          <w:rFonts w:ascii="Times New Roman" w:hAnsi="Times New Roman" w:cs="Times New Roman" w:eastAsia="Times New Roman" w:hint="default"/>
          <w:spacing w:val="-4"/>
        </w:rPr>
        <w:t>20,010.00</w:t>
      </w:r>
      <w:r>
        <w:rPr>
          <w:spacing w:val="-4"/>
        </w:rPr>
        <w:t>万元。根据本公司</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15</w:t>
      </w:r>
      <w:r>
        <w:rPr>
          <w:spacing w:val="-4"/>
        </w:rPr>
        <w:t>日召开的</w:t>
      </w:r>
      <w:r>
        <w:rPr>
          <w:rFonts w:ascii="Times New Roman" w:hAnsi="Times New Roman" w:cs="Times New Roman" w:eastAsia="Times New Roman" w:hint="default"/>
          <w:spacing w:val="-4"/>
        </w:rPr>
        <w:t>2008</w:t>
      </w:r>
      <w:r>
        <w:rPr>
          <w:spacing w:val="-4"/>
        </w:rPr>
        <w:t>年度股东大会决议，</w:t>
      </w:r>
      <w:r>
        <w:rPr>
          <w:spacing w:val="7"/>
        </w:rPr>
        <w:t> </w:t>
      </w:r>
      <w:r>
        <w:rPr>
          <w:spacing w:val="7"/>
        </w:rPr>
      </w:r>
      <w:r>
        <w:rPr>
          <w:spacing w:val="-4"/>
        </w:rPr>
        <w:t>以</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20,010.00</w:t>
      </w:r>
      <w:r>
        <w:rPr>
          <w:spacing w:val="-4"/>
        </w:rPr>
        <w:t>万股为基数，按每</w:t>
      </w:r>
      <w:r>
        <w:rPr>
          <w:rFonts w:ascii="Times New Roman" w:hAnsi="Times New Roman" w:cs="Times New Roman" w:eastAsia="Times New Roman" w:hint="default"/>
          <w:spacing w:val="-4"/>
        </w:rPr>
        <w:t>10</w:t>
      </w:r>
      <w:r>
        <w:rPr>
          <w:spacing w:val="-4"/>
        </w:rPr>
        <w:t>股由资本公积金转增</w:t>
      </w:r>
      <w:r>
        <w:rPr>
          <w:rFonts w:ascii="Times New Roman" w:hAnsi="Times New Roman" w:cs="Times New Roman" w:eastAsia="Times New Roman" w:hint="default"/>
          <w:spacing w:val="-4"/>
        </w:rPr>
        <w:t>3</w:t>
      </w:r>
      <w:r>
        <w:rPr>
          <w:spacing w:val="-4"/>
        </w:rPr>
        <w:t>股，共计转增</w:t>
      </w:r>
      <w:r>
        <w:rPr>
          <w:rFonts w:ascii="Times New Roman" w:hAnsi="Times New Roman" w:cs="Times New Roman" w:eastAsia="Times New Roman" w:hint="default"/>
          <w:spacing w:val="-4"/>
        </w:rPr>
        <w:t>6,003.00</w:t>
      </w:r>
      <w:r>
        <w:rPr>
          <w:spacing w:val="-4"/>
        </w:rPr>
        <w:t>万股，并于</w:t>
      </w:r>
      <w:r>
        <w:rPr>
          <w:rFonts w:ascii="Times New Roman" w:hAnsi="Times New Roman" w:cs="Times New Roman" w:eastAsia="Times New Roman" w:hint="default"/>
          <w:spacing w:val="-4"/>
        </w:rPr>
        <w:t>2009</w:t>
      </w:r>
      <w:r>
        <w:rPr>
          <w:spacing w:val="-4"/>
        </w:rPr>
        <w:t>年度实施。转增</w:t>
      </w:r>
      <w:r>
        <w:rPr>
          <w:spacing w:val="21"/>
        </w:rPr>
        <w:t> </w:t>
      </w:r>
      <w:r>
        <w:rPr>
          <w:spacing w:val="21"/>
        </w:rPr>
      </w:r>
      <w:r>
        <w:rPr/>
        <w:t>后，注册资本增至人民币</w:t>
      </w:r>
      <w:r>
        <w:rPr>
          <w:rFonts w:ascii="Times New Roman" w:hAnsi="Times New Roman" w:cs="Times New Roman" w:eastAsia="Times New Roman" w:hint="default"/>
        </w:rPr>
        <w:t>26,013.00</w:t>
      </w:r>
      <w:r>
        <w:rPr/>
        <w:t>万元。</w:t>
      </w:r>
    </w:p>
    <w:p>
      <w:pPr>
        <w:pStyle w:val="BodyText"/>
        <w:spacing w:line="316" w:lineRule="auto" w:before="13"/>
        <w:ind w:left="154" w:right="0" w:firstLine="360"/>
        <w:jc w:val="left"/>
      </w:pPr>
      <w:r>
        <w:rPr>
          <w:spacing w:val="-3"/>
        </w:rPr>
        <w:t>根据本公司2011年3月31日召开的2010年度股东大会决议，公司增加注册资本人民币5,202.60万元，由资本公积转增股</w:t>
      </w:r>
      <w:r>
        <w:rPr>
          <w:w w:val="101"/>
        </w:rPr>
        <w:t> </w:t>
      </w:r>
      <w:r>
        <w:rPr>
          <w:spacing w:val="-6"/>
          <w:w w:val="101"/>
        </w:rPr>
        <w:t>本，转增完成日期为2011年04月13日，变更后的注册资本为人民币31,215.60万元。根据本公司2013年4月23日召开的公司2012</w:t>
      </w:r>
      <w:r>
        <w:rPr>
          <w:spacing w:val="-79"/>
          <w:w w:val="101"/>
        </w:rPr>
        <w:t> </w:t>
      </w:r>
      <w:r>
        <w:rPr>
          <w:spacing w:val="-79"/>
          <w:w w:val="101"/>
        </w:rPr>
      </w:r>
      <w:r>
        <w:rPr>
          <w:spacing w:val="-4"/>
        </w:rPr>
        <w:t>年度股东大会决议，以2012年12月31日31,215.60万股为基数，按每10股以资本公积金转增3.5股，共计转增10,925.46万股，</w:t>
      </w:r>
      <w:r>
        <w:rPr>
          <w:spacing w:val="22"/>
        </w:rPr>
        <w:t> </w:t>
      </w:r>
      <w:r>
        <w:rPr>
          <w:spacing w:val="22"/>
        </w:rPr>
      </w:r>
      <w:r>
        <w:rPr>
          <w:spacing w:val="-3"/>
        </w:rPr>
        <w:t>转增完成日期为2013年5月6日，变更后的注册资本为人民币42,141.06万元。2013年8月9日本公司完成非公开发行股票，新</w:t>
      </w:r>
      <w:r>
        <w:rPr>
          <w:spacing w:val="13"/>
        </w:rPr>
        <w:t> </w:t>
      </w:r>
      <w:r>
        <w:rPr>
          <w:spacing w:val="13"/>
        </w:rPr>
      </w:r>
      <w:r>
        <w:rPr/>
        <w:t>增股份3,700.00万股于2013年8月20日上市交易，公司注册资本变更为45,841.06万元。</w:t>
      </w:r>
    </w:p>
    <w:p>
      <w:pPr>
        <w:pStyle w:val="BodyText"/>
        <w:spacing w:line="316" w:lineRule="auto" w:before="19"/>
        <w:ind w:left="154" w:right="118" w:firstLine="360"/>
        <w:jc w:val="both"/>
      </w:pPr>
      <w:r>
        <w:rPr/>
        <w:t>根据本公司2014年2</w:t>
      </w:r>
      <w:r>
        <w:rPr>
          <w:spacing w:val="55"/>
        </w:rPr>
        <w:t> </w:t>
      </w:r>
      <w:r>
        <w:rPr>
          <w:spacing w:val="-3"/>
        </w:rPr>
        <w:t>月18日召开的第三届董事会第二十一次会议审议通过的《关于公司&lt;股票期权与限制性股票激励计</w:t>
      </w:r>
      <w:r>
        <w:rPr>
          <w:w w:val="101"/>
        </w:rPr>
        <w:t> </w:t>
      </w:r>
      <w:r>
        <w:rPr>
          <w:spacing w:val="-3"/>
        </w:rPr>
        <w:t>划（草案）&gt;及其摘要的议案》、《关于公司&lt;股票期权与限制性股票激励计划实施考核管理办法&gt;的议案》、《关ed于提请</w:t>
      </w:r>
      <w:r>
        <w:rPr>
          <w:spacing w:val="76"/>
        </w:rPr>
        <w:t> </w:t>
      </w:r>
      <w:r>
        <w:rPr>
          <w:spacing w:val="76"/>
        </w:rPr>
      </w:r>
      <w:r>
        <w:rPr>
          <w:spacing w:val="-3"/>
        </w:rPr>
        <w:t>股东大会授权董事会办理公司股票期权与限制性股票激励计划相关事宜的议案》；2014年2月18日召开的第三届监事会第十</w:t>
      </w:r>
      <w:r>
        <w:rPr>
          <w:spacing w:val="79"/>
        </w:rPr>
        <w:t> </w:t>
      </w:r>
      <w:r>
        <w:rPr>
          <w:spacing w:val="79"/>
        </w:rPr>
      </w:r>
      <w:r>
        <w:rPr>
          <w:spacing w:val="-3"/>
        </w:rPr>
        <w:t>六次会议审议通过的《关于公司&lt;股票期权与限制性股票激励计划（草案）&gt;及其摘要的议案》、《关于公司&lt;股票期权与限</w:t>
      </w:r>
      <w:r>
        <w:rPr>
          <w:spacing w:val="73"/>
        </w:rPr>
        <w:t> </w:t>
      </w:r>
      <w:r>
        <w:rPr>
          <w:spacing w:val="73"/>
        </w:rPr>
      </w:r>
      <w:r>
        <w:rPr>
          <w:spacing w:val="-3"/>
        </w:rPr>
        <w:t>制性股票激励计划实施考核管理办法&gt;的议案》、《关于公司&lt;股票期权与限制性股票激励对象名单&gt;的议案》；2014 </w:t>
      </w:r>
      <w:r>
        <w:rPr/>
        <w:t>年4月</w:t>
      </w:r>
      <w:r>
        <w:rPr>
          <w:spacing w:val="-14"/>
        </w:rPr>
        <w:t> </w:t>
      </w:r>
      <w:r>
        <w:rPr>
          <w:spacing w:val="-14"/>
        </w:rPr>
      </w:r>
      <w:r>
        <w:rPr>
          <w:spacing w:val="-6"/>
        </w:rPr>
        <w:t>23日召开的2014年第一次临时股东大会审议通过的《关于公司&lt;股票期权与限制性股票激励计划（草案）&gt;及其摘要的议案》、</w:t>
      </w:r>
    </w:p>
    <w:p>
      <w:pPr>
        <w:pStyle w:val="BodyText"/>
        <w:spacing w:line="316" w:lineRule="auto" w:before="19"/>
        <w:ind w:left="154" w:right="0"/>
        <w:jc w:val="left"/>
      </w:pPr>
      <w:r>
        <w:rPr>
          <w:spacing w:val="-4"/>
        </w:rPr>
        <w:t>《关于公司&lt;股票期权与限制性股票激励计划实施考核管理办法&gt;的议案》、《关于提请股东大会授权董事会办理公司股票期</w:t>
      </w:r>
      <w:r>
        <w:rPr>
          <w:spacing w:val="47"/>
        </w:rPr>
        <w:t> </w:t>
      </w:r>
      <w:r>
        <w:rPr>
          <w:spacing w:val="47"/>
        </w:rPr>
      </w:r>
      <w:r>
        <w:rPr>
          <w:spacing w:val="-3"/>
        </w:rPr>
        <w:t>权与限制性股票激励计划相关事宜的议案》；以及2014年6月18日第四届董事会第一次会议和第四届监事会第一次会议决议</w:t>
      </w:r>
      <w:r>
        <w:rPr>
          <w:spacing w:val="79"/>
        </w:rPr>
        <w:t> </w:t>
      </w:r>
      <w:r>
        <w:rPr>
          <w:spacing w:val="79"/>
        </w:rPr>
      </w:r>
      <w:r>
        <w:rPr>
          <w:spacing w:val="-4"/>
        </w:rPr>
        <w:t>通过的《关于公司股票期权与限制性股票激励计划授予调整的议案》。本公司向13名激励对象首次授予限制性股票共279.00</w:t>
      </w:r>
      <w:r>
        <w:rPr>
          <w:spacing w:val="59"/>
        </w:rPr>
        <w:t> </w:t>
      </w:r>
      <w:r>
        <w:rPr>
          <w:spacing w:val="59"/>
        </w:rPr>
      </w:r>
      <w:r>
        <w:rPr/>
        <w:t>万股，授予价格为 </w:t>
      </w:r>
      <w:r>
        <w:rPr>
          <w:spacing w:val="-3"/>
        </w:rPr>
        <w:t>2元/股。截至2014年6月20日止，本公司已收到股权激励对象共13人缴纳的股权激励增资款合计人民币</w:t>
      </w:r>
      <w:r>
        <w:rPr>
          <w:spacing w:val="-33"/>
        </w:rPr>
        <w:t> </w:t>
      </w:r>
      <w:r>
        <w:rPr>
          <w:spacing w:val="-33"/>
        </w:rPr>
      </w:r>
      <w:r>
        <w:rPr>
          <w:spacing w:val="-4"/>
        </w:rPr>
        <w:t>558.00万元（大写：人民币伍佰伍拾捌万元整），各股东以货币出资558.00万元。本公司增加股本人民币279.00万元，增加</w:t>
      </w:r>
      <w:r>
        <w:rPr>
          <w:spacing w:val="76"/>
        </w:rPr>
        <w:t> </w:t>
      </w:r>
      <w:r>
        <w:rPr>
          <w:spacing w:val="76"/>
        </w:rPr>
      </w:r>
      <w:r>
        <w:rPr/>
        <w:t>资本公积人民币279.00万元，变更后的股本为人民币46,120.06万元。</w:t>
      </w:r>
    </w:p>
    <w:p>
      <w:pPr>
        <w:pStyle w:val="BodyText"/>
        <w:spacing w:line="240" w:lineRule="auto" w:before="19"/>
        <w:ind w:left="514" w:right="0"/>
        <w:jc w:val="left"/>
      </w:pPr>
      <w:r>
        <w:rPr>
          <w:w w:val="101"/>
        </w:rPr>
        <w:t>根据</w:t>
      </w:r>
      <w:r>
        <w:rPr>
          <w:spacing w:val="-5"/>
          <w:w w:val="101"/>
        </w:rPr>
        <w:t>2</w:t>
      </w:r>
      <w:r>
        <w:rPr>
          <w:w w:val="101"/>
        </w:rPr>
        <w:t>01</w:t>
      </w:r>
      <w:r>
        <w:rPr>
          <w:spacing w:val="-5"/>
          <w:w w:val="101"/>
        </w:rPr>
        <w:t>4</w:t>
      </w:r>
      <w:r>
        <w:rPr>
          <w:w w:val="101"/>
        </w:rPr>
        <w:t>年8</w:t>
      </w:r>
      <w:r>
        <w:rPr>
          <w:spacing w:val="-5"/>
          <w:w w:val="101"/>
        </w:rPr>
        <w:t>月</w:t>
      </w:r>
      <w:r>
        <w:rPr>
          <w:w w:val="101"/>
        </w:rPr>
        <w:t>22</w:t>
      </w:r>
      <w:r>
        <w:rPr>
          <w:spacing w:val="-5"/>
          <w:w w:val="101"/>
        </w:rPr>
        <w:t>日</w:t>
      </w:r>
      <w:r>
        <w:rPr>
          <w:w w:val="101"/>
        </w:rPr>
        <w:t>第</w:t>
      </w:r>
      <w:r>
        <w:rPr>
          <w:spacing w:val="-5"/>
          <w:w w:val="101"/>
        </w:rPr>
        <w:t>四</w:t>
      </w:r>
      <w:r>
        <w:rPr>
          <w:w w:val="101"/>
        </w:rPr>
        <w:t>届</w:t>
      </w:r>
      <w:r>
        <w:rPr>
          <w:spacing w:val="-5"/>
          <w:w w:val="101"/>
        </w:rPr>
        <w:t>董</w:t>
      </w:r>
      <w:r>
        <w:rPr>
          <w:w w:val="101"/>
        </w:rPr>
        <w:t>事</w:t>
      </w:r>
      <w:r>
        <w:rPr>
          <w:spacing w:val="-5"/>
          <w:w w:val="101"/>
        </w:rPr>
        <w:t>会</w:t>
      </w:r>
      <w:r>
        <w:rPr>
          <w:w w:val="101"/>
        </w:rPr>
        <w:t>第</w:t>
      </w:r>
      <w:r>
        <w:rPr>
          <w:spacing w:val="-5"/>
          <w:w w:val="101"/>
        </w:rPr>
        <w:t>四</w:t>
      </w:r>
      <w:r>
        <w:rPr>
          <w:w w:val="101"/>
        </w:rPr>
        <w:t>次</w:t>
      </w:r>
      <w:r>
        <w:rPr>
          <w:spacing w:val="-5"/>
          <w:w w:val="101"/>
        </w:rPr>
        <w:t>会</w:t>
      </w:r>
      <w:r>
        <w:rPr>
          <w:w w:val="101"/>
        </w:rPr>
        <w:t>议</w:t>
      </w:r>
      <w:r>
        <w:rPr>
          <w:spacing w:val="-5"/>
          <w:w w:val="101"/>
        </w:rPr>
        <w:t>决</w:t>
      </w:r>
      <w:r>
        <w:rPr>
          <w:w w:val="101"/>
        </w:rPr>
        <w:t>议</w:t>
      </w:r>
      <w:r>
        <w:rPr>
          <w:spacing w:val="-87"/>
          <w:w w:val="101"/>
        </w:rPr>
        <w:t>、</w:t>
      </w:r>
      <w:r>
        <w:rPr>
          <w:w w:val="101"/>
        </w:rPr>
        <w:t>201</w:t>
      </w:r>
      <w:r>
        <w:rPr>
          <w:spacing w:val="-5"/>
          <w:w w:val="101"/>
        </w:rPr>
        <w:t>4</w:t>
      </w:r>
      <w:r>
        <w:rPr>
          <w:w w:val="101"/>
        </w:rPr>
        <w:t>年1</w:t>
      </w:r>
      <w:r>
        <w:rPr>
          <w:spacing w:val="-5"/>
          <w:w w:val="101"/>
        </w:rPr>
        <w:t>1月</w:t>
      </w:r>
      <w:r>
        <w:rPr>
          <w:w w:val="101"/>
        </w:rPr>
        <w:t>12</w:t>
      </w:r>
      <w:r>
        <w:rPr>
          <w:spacing w:val="-5"/>
          <w:w w:val="101"/>
        </w:rPr>
        <w:t>日</w:t>
      </w:r>
      <w:r>
        <w:rPr>
          <w:w w:val="101"/>
        </w:rPr>
        <w:t>第</w:t>
      </w:r>
      <w:r>
        <w:rPr>
          <w:spacing w:val="-5"/>
          <w:w w:val="101"/>
        </w:rPr>
        <w:t>四</w:t>
      </w:r>
      <w:r>
        <w:rPr>
          <w:w w:val="101"/>
        </w:rPr>
        <w:t>届</w:t>
      </w:r>
      <w:r>
        <w:rPr>
          <w:spacing w:val="-5"/>
          <w:w w:val="101"/>
        </w:rPr>
        <w:t>董</w:t>
      </w:r>
      <w:r>
        <w:rPr>
          <w:w w:val="101"/>
        </w:rPr>
        <w:t>事</w:t>
      </w:r>
      <w:r>
        <w:rPr>
          <w:spacing w:val="-5"/>
          <w:w w:val="101"/>
        </w:rPr>
        <w:t>会</w:t>
      </w:r>
      <w:r>
        <w:rPr>
          <w:w w:val="101"/>
        </w:rPr>
        <w:t>第</w:t>
      </w:r>
      <w:r>
        <w:rPr>
          <w:spacing w:val="-5"/>
          <w:w w:val="101"/>
        </w:rPr>
        <w:t>八</w:t>
      </w:r>
      <w:r>
        <w:rPr>
          <w:w w:val="101"/>
        </w:rPr>
        <w:t>次</w:t>
      </w:r>
      <w:r>
        <w:rPr>
          <w:spacing w:val="-5"/>
          <w:w w:val="101"/>
        </w:rPr>
        <w:t>会</w:t>
      </w:r>
      <w:r>
        <w:rPr>
          <w:w w:val="101"/>
        </w:rPr>
        <w:t>议</w:t>
      </w:r>
      <w:r>
        <w:rPr>
          <w:spacing w:val="-5"/>
          <w:w w:val="101"/>
        </w:rPr>
        <w:t>决</w:t>
      </w:r>
      <w:r>
        <w:rPr>
          <w:w w:val="101"/>
        </w:rPr>
        <w:t>议</w:t>
      </w:r>
      <w:r>
        <w:rPr>
          <w:spacing w:val="-5"/>
          <w:w w:val="101"/>
        </w:rPr>
        <w:t>和</w:t>
      </w:r>
      <w:r>
        <w:rPr>
          <w:w w:val="101"/>
        </w:rPr>
        <w:t>修</w:t>
      </w:r>
      <w:r>
        <w:rPr>
          <w:spacing w:val="-5"/>
          <w:w w:val="101"/>
        </w:rPr>
        <w:t>改</w:t>
      </w:r>
      <w:r>
        <w:rPr>
          <w:w w:val="101"/>
        </w:rPr>
        <w:t>后</w:t>
      </w:r>
      <w:r>
        <w:rPr>
          <w:spacing w:val="-5"/>
          <w:w w:val="101"/>
        </w:rPr>
        <w:t>章</w:t>
      </w:r>
      <w:r>
        <w:rPr>
          <w:w w:val="101"/>
        </w:rPr>
        <w:t>程</w:t>
      </w:r>
      <w:r>
        <w:rPr>
          <w:spacing w:val="-5"/>
          <w:w w:val="101"/>
        </w:rPr>
        <w:t>的</w:t>
      </w:r>
      <w:r>
        <w:rPr>
          <w:w w:val="101"/>
        </w:rPr>
        <w:t>规定，</w:t>
      </w:r>
      <w:r>
        <w:rPr/>
      </w:r>
    </w:p>
    <w:p>
      <w:pPr>
        <w:spacing w:after="0" w:line="24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6" w:lineRule="auto" w:before="46"/>
        <w:ind w:right="173"/>
        <w:jc w:val="left"/>
      </w:pPr>
      <w:r>
        <w:rPr>
          <w:spacing w:val="-3"/>
        </w:rPr>
        <w:t>本公司申请减少注册资本60.00万元，其中减少陈华明出资30.00万元，减少陈钢出资30.00万元，变更后的注册资本为</w:t>
      </w:r>
      <w:r>
        <w:rPr>
          <w:spacing w:val="-2"/>
        </w:rPr>
        <w:t> </w:t>
      </w:r>
      <w:r>
        <w:rPr>
          <w:spacing w:val="-2"/>
        </w:rPr>
      </w:r>
      <w:r>
        <w:rPr/>
        <w:t>46,060.06元。</w:t>
      </w:r>
    </w:p>
    <w:p>
      <w:pPr>
        <w:pStyle w:val="BodyText"/>
        <w:spacing w:line="316" w:lineRule="auto" w:before="19"/>
        <w:ind w:right="173" w:firstLine="360"/>
        <w:jc w:val="left"/>
      </w:pPr>
      <w:r>
        <w:rPr>
          <w:spacing w:val="-3"/>
        </w:rPr>
        <w:t>根据本公司2014年10月31日召开的第四届董事会第七次会议诀议，本公司向2名激励对象授予预留限制性股票共31.00</w:t>
      </w:r>
      <w:r>
        <w:rPr>
          <w:w w:val="101"/>
        </w:rPr>
        <w:t> </w:t>
      </w:r>
      <w:r>
        <w:rPr>
          <w:spacing w:val="-4"/>
        </w:rPr>
        <w:t>万股，授予价格为4.14元/股。截至2014年11月13日止，本公司已收到股权激励对象共2人缴纳的股权激励增资款合计人民币</w:t>
      </w:r>
      <w:r>
        <w:rPr>
          <w:spacing w:val="71"/>
        </w:rPr>
        <w:t> </w:t>
      </w:r>
      <w:r>
        <w:rPr>
          <w:spacing w:val="71"/>
        </w:rPr>
      </w:r>
      <w:r>
        <w:rPr>
          <w:spacing w:val="-3"/>
        </w:rPr>
        <w:t>128.34万元（大写：人民币壹佰贰拾捌万叁仟肆佰元整），各股东以货币出资128.34万元。本公司增加股本人民币31.00万</w:t>
      </w:r>
      <w:r>
        <w:rPr>
          <w:spacing w:val="7"/>
        </w:rPr>
        <w:t> </w:t>
      </w:r>
      <w:r>
        <w:rPr>
          <w:spacing w:val="7"/>
        </w:rPr>
      </w:r>
      <w:r>
        <w:rPr>
          <w:spacing w:val="-3"/>
        </w:rPr>
        <w:t>元，增加资本公积人民币97.34万元，变更后的股本为人民币46,091.06万元。</w:t>
      </w:r>
    </w:p>
    <w:p>
      <w:pPr>
        <w:pStyle w:val="BodyText"/>
        <w:spacing w:line="316" w:lineRule="auto" w:before="19"/>
        <w:ind w:left="512" w:right="173"/>
        <w:jc w:val="left"/>
      </w:pPr>
      <w:r>
        <w:rPr>
          <w:spacing w:val="-2"/>
        </w:rPr>
        <w:t>截止2014年12月31日，公司累计发行股本总数46,091.06万股，公司注册资本为46,091.06万元。</w:t>
      </w:r>
      <w:r>
        <w:rPr>
          <w:spacing w:val="20"/>
        </w:rPr>
        <w:t> </w:t>
      </w:r>
      <w:r>
        <w:rPr>
          <w:spacing w:val="20"/>
        </w:rPr>
      </w:r>
      <w:r>
        <w:rPr>
          <w:spacing w:val="-3"/>
        </w:rPr>
        <w:t>总部地址：深圳市龙岗区宝龙工业城宝龙六路实益达科技园，实际控制人为陈亚妹与乔昕。</w:t>
      </w:r>
    </w:p>
    <w:p>
      <w:pPr>
        <w:pStyle w:val="BodyText"/>
        <w:spacing w:line="316" w:lineRule="auto" w:before="19"/>
        <w:ind w:left="512" w:right="173"/>
        <w:jc w:val="left"/>
      </w:pPr>
      <w:r>
        <w:rPr/>
        <w:t>(二)</w:t>
      </w:r>
      <w:r>
        <w:rPr>
          <w:spacing w:val="25"/>
        </w:rPr>
        <w:t> </w:t>
      </w:r>
      <w:r>
        <w:rPr/>
        <w:t>经营范围</w:t>
      </w:r>
      <w:r>
        <w:rPr>
          <w:spacing w:val="-81"/>
        </w:rPr>
        <w:t> </w:t>
      </w:r>
      <w:r>
        <w:rPr>
          <w:spacing w:val="-81"/>
        </w:rPr>
      </w:r>
      <w:r>
        <w:rPr>
          <w:spacing w:val="-5"/>
        </w:rPr>
        <w:t>互联网网上贸易与服务（不含专营、专控、专卖商品及限制项目）；互联网投资；数据处理和数据存储服务，大数据分</w:t>
      </w:r>
    </w:p>
    <w:p>
      <w:pPr>
        <w:pStyle w:val="BodyText"/>
        <w:spacing w:line="316" w:lineRule="auto" w:before="19"/>
        <w:ind w:right="173"/>
        <w:jc w:val="left"/>
      </w:pPr>
      <w:r>
        <w:rPr>
          <w:spacing w:val="-3"/>
        </w:rPr>
        <w:t>析及商业应用；智能照明、智能家居管理系统；软件开发、信息系统集成服务、信息技术咨询服务；电子产品、通讯产品、</w:t>
      </w:r>
      <w:r>
        <w:rPr>
          <w:spacing w:val="66"/>
        </w:rPr>
        <w:t> </w:t>
      </w:r>
      <w:r>
        <w:rPr>
          <w:spacing w:val="66"/>
        </w:rPr>
      </w:r>
      <w:r>
        <w:rPr>
          <w:spacing w:val="-4"/>
        </w:rPr>
        <w:t>电器、照明灯具及其零部件的技术开发、销售；国内贸易（不含专营、专控、专卖商品及限制项目）；兴办实业（具体项目</w:t>
      </w:r>
      <w:r>
        <w:rPr>
          <w:spacing w:val="40"/>
        </w:rPr>
        <w:t> </w:t>
      </w:r>
      <w:r>
        <w:rPr>
          <w:spacing w:val="40"/>
        </w:rPr>
      </w:r>
      <w:r>
        <w:rPr>
          <w:spacing w:val="-4"/>
        </w:rPr>
        <w:t>另行申报）；经营进出口业务（法律、行政法规、国务院决定禁止的项目除外，限制的项目须取得许可后方可经营）。互联</w:t>
      </w:r>
      <w:r>
        <w:rPr>
          <w:spacing w:val="40"/>
        </w:rPr>
        <w:t> </w:t>
      </w:r>
      <w:r>
        <w:rPr>
          <w:spacing w:val="40"/>
        </w:rPr>
      </w:r>
      <w:r>
        <w:rPr>
          <w:spacing w:val="-3"/>
        </w:rPr>
        <w:t>网信息服务；电子产品、通讯产品、电器、照明灯具及其零部件的生产。</w:t>
      </w:r>
    </w:p>
    <w:p>
      <w:pPr>
        <w:pStyle w:val="BodyText"/>
        <w:spacing w:line="316" w:lineRule="auto" w:before="19"/>
        <w:ind w:left="512" w:right="173"/>
        <w:jc w:val="left"/>
      </w:pPr>
      <w:r>
        <w:rPr/>
        <w:t>(三) </w:t>
      </w:r>
      <w:r>
        <w:rPr>
          <w:spacing w:val="-3"/>
        </w:rPr>
        <w:t>公司业务性质和主要经营活动</w:t>
      </w:r>
      <w:r>
        <w:rPr>
          <w:spacing w:val="-20"/>
        </w:rPr>
        <w:t> </w:t>
      </w:r>
      <w:r>
        <w:rPr>
          <w:spacing w:val="-20"/>
        </w:rPr>
      </w:r>
      <w:r>
        <w:rPr>
          <w:spacing w:val="-3"/>
        </w:rPr>
        <w:t>目前主要产品包括LED照明光源及灯具、照明驱动电源、电子镇流器，以及应用于各种消费类电子产品贴装后的PCBA控</w:t>
      </w:r>
    </w:p>
    <w:p>
      <w:pPr>
        <w:pStyle w:val="BodyText"/>
        <w:spacing w:line="316" w:lineRule="auto" w:before="19"/>
        <w:ind w:left="512" w:right="997" w:hanging="361"/>
        <w:jc w:val="left"/>
      </w:pPr>
      <w:r>
        <w:rPr>
          <w:spacing w:val="-3"/>
        </w:rPr>
        <w:t>制板，同时兼营少量高端互联网机顶盒、多功能高清播放器、高清电视演示核心设备码流仪、微型投影仪等。</w:t>
      </w:r>
      <w:r>
        <w:rPr>
          <w:spacing w:val="49"/>
        </w:rPr>
        <w:t> </w:t>
      </w:r>
      <w:r>
        <w:rPr>
          <w:spacing w:val="49"/>
        </w:rPr>
      </w:r>
      <w:r>
        <w:rPr/>
        <w:t>(四)</w:t>
      </w:r>
      <w:r>
        <w:rPr>
          <w:spacing w:val="58"/>
        </w:rPr>
        <w:t> </w:t>
      </w:r>
      <w:r>
        <w:rPr>
          <w:spacing w:val="-3"/>
        </w:rPr>
        <w:t>财务报表的批准报出</w:t>
      </w:r>
    </w:p>
    <w:p>
      <w:pPr>
        <w:pStyle w:val="BodyText"/>
        <w:spacing w:line="240" w:lineRule="auto" w:before="19"/>
        <w:ind w:left="512" w:right="173"/>
        <w:jc w:val="left"/>
      </w:pPr>
      <w:r>
        <w:rPr>
          <w:spacing w:val="-3"/>
        </w:rPr>
        <w:t>本财务报表业经公司全体董事于2015年4月24日批准报出。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5"/>
        <w:spacing w:line="240" w:lineRule="auto"/>
        <w:ind w:left="575" w:right="173"/>
        <w:jc w:val="left"/>
      </w:pPr>
      <w:r>
        <w:rPr/>
        <w:t>本期纳入合并财务报表范围的主体共</w:t>
      </w:r>
      <w:r>
        <w:rPr>
          <w:rFonts w:ascii="Times New Roman" w:hAnsi="Times New Roman" w:cs="Times New Roman" w:eastAsia="Times New Roman" w:hint="default"/>
        </w:rPr>
        <w:t>7</w:t>
      </w:r>
      <w:r>
        <w:rPr/>
        <w:t>户，具体包括：</w:t>
      </w:r>
    </w:p>
    <w:p>
      <w:pPr>
        <w:spacing w:line="240" w:lineRule="auto" w:before="1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509"/>
        <w:gridCol w:w="1262"/>
        <w:gridCol w:w="725"/>
        <w:gridCol w:w="1517"/>
        <w:gridCol w:w="1517"/>
      </w:tblGrid>
      <w:tr>
        <w:trPr>
          <w:trHeight w:val="34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pacing w:val="-3"/>
                <w:sz w:val="18"/>
                <w:szCs w:val="18"/>
              </w:rPr>
              <w:t>持股比例（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1"/>
              <w:jc w:val="right"/>
              <w:rPr>
                <w:rFonts w:ascii="宋体" w:hAnsi="宋体" w:cs="宋体" w:eastAsia="宋体" w:hint="default"/>
                <w:sz w:val="18"/>
                <w:szCs w:val="18"/>
              </w:rPr>
            </w:pPr>
            <w:r>
              <w:rPr>
                <w:rFonts w:ascii="宋体" w:hAnsi="宋体" w:cs="宋体" w:eastAsia="宋体" w:hint="default"/>
                <w:spacing w:val="-2"/>
                <w:sz w:val="18"/>
                <w:szCs w:val="18"/>
              </w:rPr>
              <w:t>表决权比例（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r>
      <w:tr>
        <w:trPr>
          <w:trHeight w:val="34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43.86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63.86</w:t>
            </w:r>
          </w:p>
        </w:tc>
      </w:tr>
      <w:tr>
        <w:trPr>
          <w:trHeight w:val="34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实益达科技（香港）有限公司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深圳市实益达照明有限公司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凯扬商贸（香港）有限公司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无锡实益达照明科技有限公司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深圳市前海实益达投资发展有限公司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75.00</w:t>
            </w:r>
          </w:p>
        </w:tc>
      </w:tr>
    </w:tbl>
    <w:p>
      <w:pPr>
        <w:pStyle w:val="Heading5"/>
        <w:spacing w:line="260" w:lineRule="exact"/>
        <w:ind w:left="575" w:right="108"/>
        <w:jc w:val="left"/>
      </w:pPr>
      <w:r>
        <w:rPr/>
        <w:t>子公司的持股比例不同于表决权比例的原因、以及持有半数或以下表决权但仍控制被投资单位的依据</w:t>
      </w:r>
    </w:p>
    <w:p>
      <w:pPr>
        <w:pStyle w:val="Heading5"/>
        <w:spacing w:line="256" w:lineRule="auto" w:before="37"/>
        <w:ind w:left="575" w:right="173" w:hanging="423"/>
        <w:jc w:val="left"/>
      </w:pPr>
      <w:r>
        <w:rPr/>
        <w:t>说明详见</w:t>
      </w:r>
      <w:r>
        <w:rPr>
          <w:rFonts w:ascii="Times New Roman" w:hAnsi="Times New Roman" w:cs="Times New Roman" w:eastAsia="Times New Roman" w:hint="default"/>
        </w:rPr>
        <w:t>“</w:t>
      </w:r>
      <w:r>
        <w:rPr/>
        <w:t>附注九、在其他主体中的权益（一）在子公司中权益</w:t>
      </w:r>
      <w:r>
        <w:rPr>
          <w:rFonts w:ascii="Times New Roman" w:hAnsi="Times New Roman" w:cs="Times New Roman" w:eastAsia="Times New Roman" w:hint="default"/>
        </w:rPr>
        <w:t>”</w:t>
      </w:r>
      <w:r>
        <w:rPr/>
        <w:t>。</w:t>
      </w:r>
      <w:r>
        <w:rPr>
          <w:spacing w:val="-102"/>
        </w:rPr>
        <w:t> </w:t>
      </w:r>
      <w:r>
        <w:rPr>
          <w:spacing w:val="-2"/>
        </w:rPr>
        <w:t>本期纳入合并财务报表范围的主体较上期相比，增加</w:t>
      </w:r>
      <w:r>
        <w:rPr>
          <w:rFonts w:ascii="Times New Roman" w:hAnsi="Times New Roman" w:cs="Times New Roman" w:eastAsia="Times New Roman" w:hint="default"/>
          <w:spacing w:val="-2"/>
        </w:rPr>
        <w:t>2</w:t>
      </w:r>
      <w:r>
        <w:rPr>
          <w:spacing w:val="-2"/>
        </w:rPr>
        <w:t>户，其中：</w:t>
      </w:r>
    </w:p>
    <w:p>
      <w:pPr>
        <w:pStyle w:val="Heading5"/>
        <w:spacing w:line="240" w:lineRule="auto" w:before="5"/>
        <w:ind w:left="153" w:right="173"/>
        <w:jc w:val="left"/>
      </w:pPr>
      <w:r>
        <w:rPr/>
        <w:t>1.</w:t>
      </w:r>
      <w:r>
        <w:rPr>
          <w:spacing w:val="45"/>
        </w:rPr>
        <w:t> </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370"/>
        <w:gridCol w:w="5160"/>
      </w:tblGrid>
      <w:tr>
        <w:trPr>
          <w:trHeight w:val="34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无锡实益达照明科技有限公司</w:t>
            </w:r>
          </w:p>
        </w:tc>
        <w:tc>
          <w:tcPr>
            <w:tcW w:w="5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pacing w:val="-2"/>
                <w:sz w:val="18"/>
                <w:szCs w:val="18"/>
              </w:rPr>
              <w:t>投资设立</w:t>
            </w:r>
          </w:p>
        </w:tc>
      </w:tr>
      <w:tr>
        <w:trPr>
          <w:trHeight w:val="34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深圳市前海实益达投资发展有限公司</w:t>
            </w:r>
          </w:p>
        </w:tc>
        <w:tc>
          <w:tcPr>
            <w:tcW w:w="5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投资设立</w:t>
            </w:r>
          </w:p>
        </w:tc>
      </w:tr>
    </w:tbl>
    <w:p>
      <w:pPr>
        <w:spacing w:line="240" w:lineRule="auto" w:before="9"/>
        <w:rPr>
          <w:rFonts w:ascii="宋体" w:hAnsi="宋体" w:cs="宋体" w:eastAsia="宋体" w:hint="default"/>
          <w:sz w:val="17"/>
          <w:szCs w:val="17"/>
        </w:rPr>
      </w:pPr>
    </w:p>
    <w:p>
      <w:pPr>
        <w:pStyle w:val="Heading3"/>
        <w:spacing w:line="240" w:lineRule="auto" w:before="26"/>
        <w:ind w:right="173"/>
        <w:jc w:val="left"/>
      </w:pPr>
      <w:r>
        <w:rPr/>
        <w:t>四、财务报表的编制基础</w:t>
      </w:r>
    </w:p>
    <w:p>
      <w:pPr>
        <w:spacing w:line="240" w:lineRule="auto" w:before="10"/>
        <w:rPr>
          <w:rFonts w:ascii="宋体" w:hAnsi="宋体" w:cs="宋体" w:eastAsia="宋体" w:hint="default"/>
          <w:sz w:val="19"/>
          <w:szCs w:val="19"/>
        </w:rPr>
      </w:pPr>
    </w:p>
    <w:p>
      <w:pPr>
        <w:pStyle w:val="Heading4"/>
        <w:spacing w:line="240" w:lineRule="auto"/>
        <w:ind w:right="17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512" w:right="173"/>
        <w:jc w:val="left"/>
      </w:pPr>
      <w:r>
        <w:rPr>
          <w:spacing w:val="-4"/>
        </w:rPr>
        <w:t>本公司以持续经营为基础，根据实际发生的交易和事项，按照财政部颁布的《企业会计准则——基本准则》和具体企业</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45"/>
        <w:jc w:val="both"/>
      </w:pPr>
      <w:r>
        <w:rPr>
          <w:spacing w:val="-4"/>
        </w:rPr>
        <w:t>会计准则、企业会计准则应用指南、企业会计准则解释及其他相关规定(以下合称“企业会计准则”)进行确认和计量，在此</w:t>
      </w:r>
      <w:r>
        <w:rPr>
          <w:spacing w:val="44"/>
        </w:rPr>
        <w:t> </w:t>
      </w:r>
      <w:r>
        <w:rPr>
          <w:spacing w:val="44"/>
        </w:rPr>
      </w:r>
      <w:r>
        <w:rPr>
          <w:spacing w:val="-3"/>
        </w:rPr>
        <w:t>基础上，结合中国证券监督管理委员会《公开发行证券的公司信息披露编报规则第15号——财务报告的一般规定》(2014年</w:t>
      </w:r>
      <w:r>
        <w:rPr>
          <w:spacing w:val="79"/>
        </w:rPr>
        <w:t> </w:t>
      </w:r>
      <w:r>
        <w:rPr>
          <w:spacing w:val="79"/>
        </w:rPr>
      </w:r>
      <w:r>
        <w:rPr>
          <w:spacing w:val="-3"/>
        </w:rPr>
        <w:t>修订)的规定，编制财务报表。</w:t>
      </w:r>
    </w:p>
    <w:p>
      <w:pPr>
        <w:spacing w:line="240" w:lineRule="auto" w:before="6"/>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2" w:right="0"/>
        <w:jc w:val="left"/>
      </w:pPr>
      <w:r>
        <w:rPr>
          <w:spacing w:val="-3"/>
        </w:rPr>
        <w:t>本公司自报告期末起12个月不存在对本公司持续经营能力产生重大疑虑的事项或情况。</w:t>
      </w:r>
    </w:p>
    <w:p>
      <w:pPr>
        <w:spacing w:line="240" w:lineRule="auto" w:before="9"/>
        <w:rPr>
          <w:rFonts w:ascii="宋体" w:hAnsi="宋体" w:cs="宋体" w:eastAsia="宋体" w:hint="default"/>
          <w:sz w:val="24"/>
          <w:szCs w:val="24"/>
        </w:rPr>
      </w:pPr>
    </w:p>
    <w:p>
      <w:pPr>
        <w:pStyle w:val="Heading3"/>
        <w:spacing w:line="240" w:lineRule="auto"/>
        <w:ind w:right="0"/>
        <w:jc w:val="both"/>
      </w:pPr>
      <w:r>
        <w:rPr/>
        <w:t>五、重要会计政策及会计估计</w:t>
      </w:r>
    </w:p>
    <w:p>
      <w:pPr>
        <w:spacing w:line="240" w:lineRule="auto" w:before="0"/>
        <w:rPr>
          <w:rFonts w:ascii="宋体" w:hAnsi="宋体" w:cs="宋体" w:eastAsia="宋体" w:hint="default"/>
          <w:sz w:val="24"/>
          <w:szCs w:val="24"/>
        </w:rPr>
      </w:pPr>
    </w:p>
    <w:p>
      <w:pPr>
        <w:pStyle w:val="BodyText"/>
        <w:spacing w:line="240" w:lineRule="auto" w:before="46"/>
        <w:ind w:left="421" w:right="0"/>
        <w:jc w:val="left"/>
      </w:pPr>
      <w:r>
        <w:rPr>
          <w:spacing w:val="-3"/>
        </w:rPr>
        <w:t>具体会计政策和会计估计提示：</w:t>
      </w:r>
    </w:p>
    <w:p>
      <w:pPr>
        <w:pStyle w:val="BodyText"/>
        <w:spacing w:line="240" w:lineRule="auto" w:before="110"/>
        <w:ind w:right="0"/>
        <w:jc w:val="left"/>
      </w:pPr>
      <w:r>
        <w:rPr>
          <w:w w:val="101"/>
        </w:rPr>
        <w:t>无</w:t>
      </w:r>
      <w:r>
        <w:rPr/>
      </w:r>
    </w:p>
    <w:p>
      <w:pPr>
        <w:spacing w:line="240" w:lineRule="auto" w:before="3"/>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4"/>
        </w:rPr>
        <w:t>本公司所编制的财务报表符合企业会计准则的要求，真实、完整地反映了报告期公司的财务状况、经营成果、现金流量</w:t>
      </w:r>
      <w:r>
        <w:rPr>
          <w:w w:val="101"/>
        </w:rPr>
        <w:t> </w:t>
      </w:r>
      <w:r>
        <w:rPr/>
        <w:t>等有关信息。</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2" w:right="0"/>
        <w:jc w:val="left"/>
      </w:pPr>
      <w:r>
        <w:rPr/>
        <w:t>自公历1月1日至12月31日止为一个会计年度。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512" w:right="0"/>
        <w:jc w:val="left"/>
      </w:pPr>
      <w:r>
        <w:rPr>
          <w:spacing w:val="-3"/>
        </w:rPr>
        <w:t>12个月，并且作为资产和负债的流动性划分标准。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left="421" w:right="0"/>
        <w:jc w:val="left"/>
        <w:rPr>
          <w:sz w:val="21"/>
          <w:szCs w:val="21"/>
        </w:rPr>
      </w:pPr>
      <w:r>
        <w:rPr>
          <w:spacing w:val="-3"/>
        </w:rPr>
        <w:t>采用人民币为记账本位币</w:t>
      </w:r>
      <w:r>
        <w:rPr>
          <w:spacing w:val="-3"/>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268"/>
        <w:jc w:val="left"/>
      </w:pPr>
      <w:r>
        <w:rPr/>
        <w:t>（1）</w:t>
      </w:r>
      <w:r>
        <w:rPr>
          <w:spacing w:val="50"/>
        </w:rPr>
        <w:t> </w:t>
      </w:r>
      <w:r>
        <w:rPr>
          <w:spacing w:val="-3"/>
        </w:rPr>
        <w:t>分步实现企业合并过程中的各项交易的条款、条件以及经济影响符合以下一种或多种情况，将多次交易事项作为</w:t>
      </w:r>
      <w:r>
        <w:rPr>
          <w:w w:val="101"/>
        </w:rPr>
        <w:t> </w:t>
      </w:r>
      <w:r>
        <w:rPr>
          <w:spacing w:val="-3"/>
        </w:rPr>
        <w:t>一揽子交易进行会计处理：</w:t>
      </w:r>
    </w:p>
    <w:p>
      <w:pPr>
        <w:pStyle w:val="BodyText"/>
        <w:tabs>
          <w:tab w:pos="992" w:val="left" w:leader="none"/>
        </w:tabs>
        <w:spacing w:line="240" w:lineRule="auto" w:before="19"/>
        <w:ind w:left="512" w:right="0"/>
        <w:jc w:val="left"/>
      </w:pPr>
      <w:r>
        <w:rPr/>
        <w:t>1）</w:t>
        <w:tab/>
      </w:r>
      <w:r>
        <w:rPr>
          <w:spacing w:val="-3"/>
        </w:rPr>
        <w:t>这些交易是同时或者在考虑了彼此影响的情况下订立的；</w:t>
      </w:r>
    </w:p>
    <w:p>
      <w:pPr>
        <w:pStyle w:val="BodyText"/>
        <w:tabs>
          <w:tab w:pos="992" w:val="left" w:leader="none"/>
        </w:tabs>
        <w:spacing w:line="240" w:lineRule="auto" w:before="76"/>
        <w:ind w:left="512" w:right="0"/>
        <w:jc w:val="left"/>
      </w:pPr>
      <w:r>
        <w:rPr/>
        <w:t>2）</w:t>
        <w:tab/>
      </w:r>
      <w:r>
        <w:rPr>
          <w:spacing w:val="-3"/>
        </w:rPr>
        <w:t>这些交易整体才能达成一项完整的商业结果；</w:t>
      </w:r>
    </w:p>
    <w:p>
      <w:pPr>
        <w:pStyle w:val="BodyText"/>
        <w:tabs>
          <w:tab w:pos="992" w:val="left" w:leader="none"/>
        </w:tabs>
        <w:spacing w:line="240" w:lineRule="auto" w:before="76"/>
        <w:ind w:left="512" w:right="0"/>
        <w:jc w:val="left"/>
      </w:pPr>
      <w:r>
        <w:rPr/>
        <w:t>3）</w:t>
        <w:tab/>
      </w:r>
      <w:r>
        <w:rPr>
          <w:spacing w:val="-3"/>
        </w:rPr>
        <w:t>一项交易的发生取决于其他至少一项交易的发生；</w:t>
      </w:r>
    </w:p>
    <w:p>
      <w:pPr>
        <w:pStyle w:val="BodyText"/>
        <w:tabs>
          <w:tab w:pos="992" w:val="left" w:leader="none"/>
        </w:tabs>
        <w:spacing w:line="240" w:lineRule="auto" w:before="76"/>
        <w:ind w:left="512" w:right="0"/>
        <w:jc w:val="left"/>
      </w:pPr>
      <w:r>
        <w:rPr/>
        <w:t>4）</w:t>
        <w:tab/>
      </w:r>
      <w:r>
        <w:rPr>
          <w:spacing w:val="-3"/>
        </w:rPr>
        <w:t>一项交易单独看是不经济的，但是和其他交易一并考虑时是经济的。</w:t>
      </w:r>
    </w:p>
    <w:p>
      <w:pPr>
        <w:pStyle w:val="BodyText"/>
        <w:spacing w:line="316" w:lineRule="auto" w:before="76"/>
        <w:ind w:left="512" w:right="6409" w:hanging="92"/>
        <w:jc w:val="left"/>
      </w:pPr>
      <w:r>
        <w:rPr>
          <w:spacing w:val="-2"/>
        </w:rPr>
        <w:t>（2）同一控制下的企业合并</w:t>
      </w:r>
      <w:r>
        <w:rPr>
          <w:spacing w:val="-59"/>
        </w:rPr>
        <w:t> </w:t>
      </w:r>
      <w:r>
        <w:rPr>
          <w:spacing w:val="-59"/>
        </w:rPr>
      </w:r>
      <w:r>
        <w:rPr/>
        <w:t>1）个别财务报表</w:t>
      </w:r>
    </w:p>
    <w:p>
      <w:pPr>
        <w:spacing w:after="0" w:line="316" w:lineRule="auto"/>
        <w:jc w:val="left"/>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316" w:lineRule="auto" w:before="46"/>
        <w:ind w:right="0" w:firstLine="360"/>
        <w:jc w:val="left"/>
      </w:pPr>
      <w:r>
        <w:rPr>
          <w:spacing w:val="-4"/>
        </w:rPr>
        <w:t>公司以支付现金、转让非现金资产、承担债务方式或以发行权益性证券作为合并对价的，在合并日按照被合并方所有者</w:t>
      </w:r>
      <w:r>
        <w:rPr>
          <w:w w:val="101"/>
        </w:rPr>
        <w:t> </w:t>
      </w:r>
      <w:r>
        <w:rPr>
          <w:spacing w:val="-4"/>
          <w:w w:val="101"/>
        </w:rPr>
        <w:t>权益在最终控制方合并财务报表中的账面价值的份额作为长期股权投资的初始投资成本。长期股权投资初始投资成本与支付</w:t>
      </w:r>
      <w:r>
        <w:rPr>
          <w:w w:val="101"/>
        </w:rPr>
        <w:t> </w:t>
      </w:r>
      <w:r>
        <w:rPr>
          <w:spacing w:val="-6"/>
        </w:rPr>
        <w:t>合并对价之间的差额，调整资本公积；资本公积不足冲减的，调整留存收益。如果存在或有对价并需要确认预计负债或资产，</w:t>
      </w:r>
      <w:r>
        <w:rPr>
          <w:spacing w:val="67"/>
        </w:rPr>
        <w:t> </w:t>
      </w:r>
      <w:r>
        <w:rPr>
          <w:spacing w:val="67"/>
        </w:rPr>
      </w:r>
      <w:r>
        <w:rPr>
          <w:spacing w:val="-4"/>
        </w:rPr>
        <w:t>该预计负债或资产金额与后续或有对价结算金额的差额，调整资本公积（资本溢价或股本溢价），资本公积不足的，调整留</w:t>
      </w:r>
      <w:r>
        <w:rPr>
          <w:spacing w:val="40"/>
        </w:rPr>
        <w:t> </w:t>
      </w:r>
      <w:r>
        <w:rPr>
          <w:spacing w:val="40"/>
        </w:rPr>
      </w:r>
      <w:r>
        <w:rPr/>
        <w:t>存收益。</w:t>
      </w:r>
    </w:p>
    <w:p>
      <w:pPr>
        <w:pStyle w:val="BodyText"/>
        <w:spacing w:line="316" w:lineRule="auto" w:before="19"/>
        <w:ind w:right="119" w:firstLine="360"/>
        <w:jc w:val="both"/>
      </w:pPr>
      <w:r>
        <w:rPr>
          <w:spacing w:val="-4"/>
        </w:rPr>
        <w:t>对于通过多次交易最终实现企业合并的，属于一揽子交易的，将各项交易作为一项取得控制权的交易进行会计处理；不</w:t>
      </w:r>
      <w:r>
        <w:rPr>
          <w:w w:val="101"/>
        </w:rPr>
        <w:t> </w:t>
      </w:r>
      <w:r>
        <w:rPr>
          <w:spacing w:val="-4"/>
        </w:rPr>
        <w:t>属于一揽子交易的，在取得控制权日，长期股权投资初始投资成本，与达到合并前的长期股权投资账面价值加上合并日进一</w:t>
      </w:r>
      <w:r>
        <w:rPr>
          <w:spacing w:val="43"/>
        </w:rPr>
        <w:t> </w:t>
      </w:r>
      <w:r>
        <w:rPr>
          <w:spacing w:val="43"/>
        </w:rPr>
      </w:r>
      <w:r>
        <w:rPr>
          <w:spacing w:val="-4"/>
        </w:rPr>
        <w:t>步取得股份新支付对价的账面价值之和的差额，调整资本公积；资本公积不足冲减的，调整留存收益。对于合并日之前持有</w:t>
      </w:r>
      <w:r>
        <w:rPr>
          <w:spacing w:val="41"/>
        </w:rPr>
        <w:t> </w:t>
      </w:r>
      <w:r>
        <w:rPr>
          <w:spacing w:val="41"/>
        </w:rPr>
      </w:r>
      <w:r>
        <w:rPr>
          <w:spacing w:val="-4"/>
        </w:rPr>
        <w:t>的股权投资，因采用权益法核算或金融工具确认和计量准则核算而确认的其他综合收益，暂不进行会计处理，直至处置该项</w:t>
      </w:r>
      <w:r>
        <w:rPr>
          <w:spacing w:val="43"/>
        </w:rPr>
        <w:t> </w:t>
      </w:r>
      <w:r>
        <w:rPr>
          <w:spacing w:val="43"/>
        </w:rPr>
      </w:r>
      <w:r>
        <w:rPr>
          <w:spacing w:val="-4"/>
          <w:w w:val="101"/>
        </w:rPr>
        <w:t>投资时采用与被投资单位直接处置相关资产或负债相同的基础进行会计处理；因采用权益法核算而确认的被投资单位净资产</w:t>
      </w:r>
      <w:r>
        <w:rPr>
          <w:w w:val="101"/>
        </w:rPr>
        <w:t> </w:t>
      </w:r>
      <w:r>
        <w:rPr>
          <w:spacing w:val="-6"/>
        </w:rPr>
        <w:t>中除净损益、其他综合收益和利润分配以外的所有者权益其他变动，暂不进行会计处理，直至处置该项投资时转入当期损益。</w:t>
      </w:r>
    </w:p>
    <w:p>
      <w:pPr>
        <w:pStyle w:val="BodyText"/>
        <w:spacing w:line="316" w:lineRule="auto" w:before="19"/>
        <w:ind w:right="206" w:firstLine="360"/>
        <w:jc w:val="both"/>
      </w:pPr>
      <w:r>
        <w:rPr>
          <w:spacing w:val="-4"/>
        </w:rPr>
        <w:t>合并发生的各项直接相关费用，包括为进行合并而支付的审计费用、评估费用、法律服务费用等，于发生时计入当期损</w:t>
      </w:r>
      <w:r>
        <w:rPr>
          <w:w w:val="101"/>
        </w:rPr>
        <w:t> </w:t>
      </w:r>
      <w:r>
        <w:rPr>
          <w:spacing w:val="-4"/>
        </w:rPr>
        <w:t>益；与发行权益性工具作为合并对价直接相关的交易费用，冲减资本公积，资本公积不足冲减的，依次冲减盈余公积和未分</w:t>
      </w:r>
      <w:r>
        <w:rPr>
          <w:spacing w:val="42"/>
        </w:rPr>
        <w:t> </w:t>
      </w:r>
      <w:r>
        <w:rPr>
          <w:spacing w:val="42"/>
        </w:rPr>
      </w:r>
      <w:r>
        <w:rPr>
          <w:spacing w:val="-3"/>
        </w:rPr>
        <w:t>配利润；与发行债务性工具作为合并对价直接相关的交易费用，作为计入债务性工具的初始确认金额。</w:t>
      </w:r>
    </w:p>
    <w:p>
      <w:pPr>
        <w:pStyle w:val="BodyText"/>
        <w:spacing w:line="316" w:lineRule="auto" w:before="19"/>
        <w:ind w:right="210" w:firstLine="360"/>
        <w:jc w:val="both"/>
      </w:pPr>
      <w:r>
        <w:rPr>
          <w:spacing w:val="-5"/>
          <w:w w:val="101"/>
        </w:rPr>
        <w:t>被合并方存在合并财务报表，则以合并日被合并方合并财务报表中归属于母公司的所有者权益为基础确定长期股权投资</w:t>
      </w:r>
      <w:r>
        <w:rPr>
          <w:w w:val="101"/>
        </w:rPr>
        <w:t> </w:t>
      </w:r>
      <w:r>
        <w:rPr/>
        <w:t>的初始投资成本。</w:t>
      </w:r>
    </w:p>
    <w:p>
      <w:pPr>
        <w:pStyle w:val="BodyText"/>
        <w:spacing w:line="316" w:lineRule="auto" w:before="19"/>
        <w:ind w:left="512" w:right="0"/>
        <w:jc w:val="left"/>
      </w:pPr>
      <w:r>
        <w:rPr/>
        <w:t>2）合并财务报表</w:t>
      </w:r>
      <w:r>
        <w:rPr>
          <w:spacing w:val="-87"/>
        </w:rPr>
        <w:t> </w:t>
      </w:r>
      <w:r>
        <w:rPr>
          <w:spacing w:val="-87"/>
        </w:rPr>
      </w:r>
      <w:r>
        <w:rPr>
          <w:spacing w:val="-5"/>
          <w:w w:val="101"/>
        </w:rPr>
        <w:t>合并方在企业合并中取得的资产和负债，按照合并日在被合并方所有者权益在最终控制方合并财务报表中的账面价值计</w:t>
      </w:r>
      <w:r>
        <w:rPr>
          <w:spacing w:val="-5"/>
        </w:rPr>
      </w:r>
    </w:p>
    <w:p>
      <w:pPr>
        <w:pStyle w:val="BodyText"/>
        <w:spacing w:line="240" w:lineRule="auto" w:before="19"/>
        <w:ind w:right="0"/>
        <w:jc w:val="left"/>
      </w:pPr>
      <w:r>
        <w:rPr/>
        <w:t>量。</w:t>
      </w:r>
    </w:p>
    <w:p>
      <w:pPr>
        <w:pStyle w:val="BodyText"/>
        <w:spacing w:line="316" w:lineRule="auto" w:before="76"/>
        <w:ind w:right="206" w:firstLine="360"/>
        <w:jc w:val="both"/>
      </w:pPr>
      <w:r>
        <w:rPr>
          <w:spacing w:val="-4"/>
        </w:rPr>
        <w:t>对于通过多次交易最终实现企业合并的，属于一揽子交易的，将各项交易作为一项取得控制权的交易进行会计处理；不</w:t>
      </w:r>
      <w:r>
        <w:rPr>
          <w:w w:val="101"/>
        </w:rPr>
        <w:t> </w:t>
      </w:r>
      <w:r>
        <w:rPr>
          <w:spacing w:val="-4"/>
        </w:rPr>
        <w:t>属于一揽子交易的，合并方在达到合并之前持有的长期股权投资，在取得日与合并方与被合并方同处于同一方最终控制之日</w:t>
      </w:r>
      <w:r>
        <w:rPr>
          <w:spacing w:val="43"/>
        </w:rPr>
        <w:t> </w:t>
      </w:r>
      <w:r>
        <w:rPr>
          <w:spacing w:val="43"/>
        </w:rPr>
      </w:r>
      <w:r>
        <w:rPr>
          <w:spacing w:val="-4"/>
        </w:rPr>
        <w:t>孰晚日与合并日之间已确认有关损益、其他综合收益和其他所有者权益变动，分别冲减比较报表期间的期初留存收益或当期</w:t>
      </w:r>
      <w:r>
        <w:rPr>
          <w:spacing w:val="44"/>
        </w:rPr>
        <w:t> </w:t>
      </w:r>
      <w:r>
        <w:rPr>
          <w:spacing w:val="44"/>
        </w:rPr>
      </w:r>
      <w:r>
        <w:rPr/>
        <w:t>损益。</w:t>
      </w:r>
    </w:p>
    <w:p>
      <w:pPr>
        <w:pStyle w:val="BodyText"/>
        <w:spacing w:line="316" w:lineRule="auto" w:before="19"/>
        <w:ind w:right="206" w:firstLine="360"/>
        <w:jc w:val="both"/>
      </w:pPr>
      <w:r>
        <w:rPr>
          <w:spacing w:val="-4"/>
        </w:rPr>
        <w:t>被合并各方采用的会计政策与本公司不一致的，本公司在合并日按照本公司会计政策进行调整，在此基础上按照企业会</w:t>
      </w:r>
      <w:r>
        <w:rPr>
          <w:w w:val="101"/>
        </w:rPr>
        <w:t> </w:t>
      </w:r>
      <w:r>
        <w:rPr/>
        <w:t>计准则规定确认。</w:t>
      </w:r>
    </w:p>
    <w:p>
      <w:pPr>
        <w:pStyle w:val="BodyText"/>
        <w:spacing w:line="316" w:lineRule="auto" w:before="19"/>
        <w:ind w:left="512" w:right="0"/>
        <w:jc w:val="left"/>
      </w:pPr>
      <w:r>
        <w:rPr/>
        <w:t>（3）</w:t>
      </w:r>
      <w:r>
        <w:rPr>
          <w:spacing w:val="-66"/>
        </w:rPr>
        <w:t> </w:t>
      </w:r>
      <w:r>
        <w:rPr>
          <w:spacing w:val="-3"/>
        </w:rPr>
        <w:t>非同一控制下的企业合并</w:t>
      </w:r>
      <w:r>
        <w:rPr>
          <w:spacing w:val="-50"/>
        </w:rPr>
        <w:t> </w:t>
      </w:r>
      <w:r>
        <w:rPr>
          <w:spacing w:val="-50"/>
        </w:rPr>
      </w:r>
      <w:r>
        <w:rPr>
          <w:spacing w:val="-4"/>
        </w:rPr>
        <w:t>对于非同一控制下的企业合并，合并成本为本公司在购买日为取得对被购买方的控制权而付出的资产、发生或承担的负</w:t>
      </w:r>
    </w:p>
    <w:p>
      <w:pPr>
        <w:pStyle w:val="BodyText"/>
        <w:spacing w:line="316" w:lineRule="auto" w:before="19"/>
        <w:ind w:right="0"/>
        <w:jc w:val="left"/>
      </w:pPr>
      <w:r>
        <w:rPr>
          <w:spacing w:val="-4"/>
        </w:rPr>
        <w:t>债以及发行的权益性工具或债务性工具的公允价值。在合并合同中对可能影响合并成本的未来事项作出约定的，购买日如果</w:t>
      </w:r>
      <w:r>
        <w:rPr>
          <w:spacing w:val="43"/>
        </w:rPr>
        <w:t> </w:t>
      </w:r>
      <w:r>
        <w:rPr>
          <w:spacing w:val="43"/>
        </w:rPr>
      </w:r>
      <w:r>
        <w:rPr>
          <w:spacing w:val="-3"/>
        </w:rPr>
        <w:t>估计未来事项很可能发生并且对合并成本的影响金额能够可靠计量的，也计入合并成本。</w:t>
      </w:r>
    </w:p>
    <w:p>
      <w:pPr>
        <w:pStyle w:val="BodyText"/>
        <w:spacing w:line="316" w:lineRule="auto" w:before="19"/>
        <w:ind w:right="129" w:firstLine="360"/>
        <w:jc w:val="both"/>
      </w:pPr>
      <w:r>
        <w:rPr>
          <w:spacing w:val="-3"/>
        </w:rPr>
        <w:t>本公司为进行企业合并发生的审计、法律服务、评估咨询等中介费用以及其他相关管理费用，于发生时计入当期损益；</w:t>
      </w:r>
      <w:r>
        <w:rPr>
          <w:w w:val="101"/>
        </w:rPr>
        <w:t> </w:t>
      </w:r>
      <w:r>
        <w:rPr>
          <w:spacing w:val="-3"/>
        </w:rPr>
        <w:t>本公司作为合并对价发行的权益性工具或债务性工具的交易费用，计入权益性工具或债务性工具的初始确认金额。</w:t>
      </w:r>
    </w:p>
    <w:p>
      <w:pPr>
        <w:pStyle w:val="BodyText"/>
        <w:spacing w:line="316" w:lineRule="auto" w:before="19"/>
        <w:ind w:right="210" w:firstLine="360"/>
        <w:jc w:val="both"/>
      </w:pPr>
      <w:r>
        <w:rPr>
          <w:spacing w:val="-5"/>
        </w:rPr>
        <w:t>本公司对合并成本大于合并中取得的被购买方可辨认净资产公允价值份额的差额，确认为商誉。本公司对合并成本小于</w:t>
      </w:r>
      <w:r>
        <w:rPr>
          <w:w w:val="101"/>
        </w:rPr>
        <w:t> </w:t>
      </w:r>
      <w:r>
        <w:rPr>
          <w:spacing w:val="-4"/>
          <w:w w:val="101"/>
        </w:rPr>
        <w:t>合并中取得的被购买方可辨认净资产公允价值份额的，经复核后合并成本仍小于合并中取得的被购买方可辨认净资产公允价</w:t>
      </w:r>
      <w:r>
        <w:rPr>
          <w:w w:val="101"/>
        </w:rPr>
        <w:t> </w:t>
      </w:r>
      <w:r>
        <w:rPr>
          <w:spacing w:val="-3"/>
        </w:rPr>
        <w:t>值份额的差额，计入当期损益。</w:t>
      </w:r>
    </w:p>
    <w:p>
      <w:pPr>
        <w:pStyle w:val="BodyText"/>
        <w:spacing w:line="316" w:lineRule="auto" w:before="19"/>
        <w:ind w:right="206" w:firstLine="360"/>
        <w:jc w:val="both"/>
      </w:pPr>
      <w:r>
        <w:rPr>
          <w:spacing w:val="-4"/>
        </w:rPr>
        <w:t>通过多次交换交易分步实现的非同一控制下企业合并，属于一揽子交易的，将各项交易作为一项取得控制权的交易进行</w:t>
      </w:r>
      <w:r>
        <w:rPr>
          <w:w w:val="101"/>
        </w:rPr>
        <w:t> </w:t>
      </w:r>
      <w:r>
        <w:rPr>
          <w:spacing w:val="-3"/>
        </w:rPr>
        <w:t>会计处理；不属于一揽子交易的，区分个别财务报表和合并财务报表进行相关会计处理：</w:t>
      </w:r>
    </w:p>
    <w:p>
      <w:pPr>
        <w:pStyle w:val="BodyText"/>
        <w:spacing w:line="316" w:lineRule="auto" w:before="19"/>
        <w:ind w:right="206" w:firstLine="451"/>
        <w:jc w:val="both"/>
      </w:pPr>
      <w:r>
        <w:rPr>
          <w:spacing w:val="-4"/>
        </w:rPr>
        <w:t>1）在个别财务报表中，合并日之前持有的股权投资采用权益法核算的，以购买日之前所持被购买方的股权投资的账面</w:t>
      </w:r>
      <w:r>
        <w:rPr>
          <w:w w:val="101"/>
        </w:rPr>
        <w:t> </w:t>
      </w:r>
      <w:r>
        <w:rPr>
          <w:spacing w:val="-4"/>
        </w:rPr>
        <w:t>价值与购买日新增投资成本之和，作为该项投资的初始投资成本；购买日之前持有的股权投资因采用权益法核算而确认的其</w:t>
      </w:r>
      <w:r>
        <w:rPr>
          <w:spacing w:val="43"/>
        </w:rPr>
        <w:t> </w:t>
      </w:r>
      <w:r>
        <w:rPr>
          <w:spacing w:val="43"/>
        </w:rPr>
      </w:r>
      <w:r>
        <w:rPr>
          <w:spacing w:val="-3"/>
        </w:rPr>
        <w:t>他综合收益，在处置该项投资时采用与被投资单位直接处置相关资产或负债相同的基础进行会计处理。</w:t>
      </w:r>
    </w:p>
    <w:p>
      <w:pPr>
        <w:pStyle w:val="BodyText"/>
        <w:spacing w:line="316" w:lineRule="auto" w:before="19"/>
        <w:ind w:right="210" w:firstLine="360"/>
        <w:jc w:val="both"/>
      </w:pPr>
      <w:r>
        <w:rPr>
          <w:spacing w:val="-5"/>
          <w:w w:val="101"/>
        </w:rPr>
        <w:t>合并日之前持有的股权投资采用金融工具确认和计量准则核算的，以该股权投资在合并日的公允价值加上新增投资成本</w:t>
      </w:r>
      <w:r>
        <w:rPr>
          <w:w w:val="101"/>
        </w:rPr>
        <w:t> </w:t>
      </w:r>
      <w:r>
        <w:rPr>
          <w:spacing w:val="-4"/>
        </w:rPr>
        <w:t>之和，作为合并日的初始投资成本。原持有股权的公允价值与账面价值之间的差额以及原计入其他综合收益的累计公允价值</w:t>
      </w:r>
      <w:r>
        <w:rPr>
          <w:spacing w:val="39"/>
        </w:rPr>
        <w:t> </w:t>
      </w:r>
      <w:r>
        <w:rPr>
          <w:spacing w:val="39"/>
        </w:rPr>
      </w:r>
      <w:r>
        <w:rPr>
          <w:spacing w:val="-3"/>
        </w:rPr>
        <w:t>变动应全部转入合并日当期的投资收益。</w:t>
      </w:r>
    </w:p>
    <w:p>
      <w:pPr>
        <w:pStyle w:val="BodyText"/>
        <w:spacing w:line="316" w:lineRule="auto" w:before="19"/>
        <w:ind w:right="206" w:firstLine="451"/>
        <w:jc w:val="both"/>
      </w:pPr>
      <w:r>
        <w:rPr>
          <w:spacing w:val="-4"/>
        </w:rPr>
        <w:t>2）在合并财务报表中，对于购买日之前持有的被购买方的股权，按照该股权在购买日的公允价值进行重新计量，公允</w:t>
      </w:r>
      <w:r>
        <w:rPr>
          <w:w w:val="101"/>
        </w:rPr>
        <w:t> </w:t>
      </w:r>
      <w:r>
        <w:rPr>
          <w:spacing w:val="-4"/>
        </w:rPr>
        <w:t>价值与其账面价值的差额计入当期投资收益；购买日之前持有的被购买方的股权涉及权益法核算下的其他综合收益等的，与</w:t>
      </w:r>
    </w:p>
    <w:p>
      <w:pPr>
        <w:spacing w:after="0" w:line="316" w:lineRule="auto"/>
        <w:jc w:val="both"/>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240" w:lineRule="auto" w:before="46"/>
        <w:ind w:right="173"/>
        <w:jc w:val="left"/>
      </w:pPr>
      <w:r>
        <w:rPr>
          <w:spacing w:val="-3"/>
        </w:rPr>
        <w:t>其相关的其他综合收益等转为购买日所属当期投资收益。</w:t>
      </w:r>
    </w:p>
    <w:p>
      <w:pPr>
        <w:spacing w:line="240" w:lineRule="auto" w:before="12"/>
        <w:rPr>
          <w:rFonts w:ascii="宋体" w:hAnsi="宋体" w:cs="宋体" w:eastAsia="宋体" w:hint="default"/>
          <w:sz w:val="21"/>
          <w:szCs w:val="21"/>
        </w:rPr>
      </w:pPr>
    </w:p>
    <w:p>
      <w:pPr>
        <w:pStyle w:val="Heading4"/>
        <w:spacing w:line="240" w:lineRule="auto"/>
        <w:ind w:right="17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173"/>
        <w:jc w:val="left"/>
      </w:pPr>
      <w:r>
        <w:rPr>
          <w:spacing w:val="-3"/>
        </w:rPr>
        <w:t>本公司合并财务报表的合并范围以控制为基础确定，所有子公司均纳入合并财务报表。</w:t>
      </w:r>
      <w:r>
        <w:rPr>
          <w:spacing w:val="20"/>
        </w:rPr>
        <w:t> </w:t>
      </w:r>
      <w:r>
        <w:rPr>
          <w:spacing w:val="20"/>
        </w:rPr>
      </w:r>
      <w:r>
        <w:rPr>
          <w:spacing w:val="-4"/>
        </w:rPr>
        <w:t>所有纳入合并财务报表合并范围的子公司所采用的会计政策、会计期间与本公司一致，如子公司采用的会计政策、会计</w:t>
      </w:r>
    </w:p>
    <w:p>
      <w:pPr>
        <w:pStyle w:val="BodyText"/>
        <w:spacing w:line="316" w:lineRule="auto" w:before="19"/>
        <w:ind w:left="512" w:right="173" w:hanging="361"/>
        <w:jc w:val="left"/>
      </w:pPr>
      <w:r>
        <w:rPr>
          <w:spacing w:val="-3"/>
        </w:rPr>
        <w:t>期间与本公司不一致的，在编制合并财务报表时，按本公司的会计政策、会计期间进行必要的调整。</w:t>
      </w:r>
      <w:r>
        <w:rPr>
          <w:spacing w:val="37"/>
        </w:rPr>
        <w:t> </w:t>
      </w:r>
      <w:r>
        <w:rPr>
          <w:spacing w:val="37"/>
        </w:rPr>
      </w:r>
      <w:r>
        <w:rPr>
          <w:spacing w:val="-3"/>
        </w:rPr>
        <w:t>合并财务报表以本公司及子公司的财务报表为基础，根据其他有关资料，按照权益法调整对子公司的长期股权投资后，</w:t>
      </w:r>
    </w:p>
    <w:p>
      <w:pPr>
        <w:pStyle w:val="BodyText"/>
        <w:spacing w:line="316" w:lineRule="auto" w:before="19"/>
        <w:ind w:left="512" w:right="173" w:hanging="361"/>
        <w:jc w:val="left"/>
      </w:pPr>
      <w:r>
        <w:rPr>
          <w:spacing w:val="-3"/>
        </w:rPr>
        <w:t>由本公司编制。</w:t>
      </w:r>
      <w:r>
        <w:rPr>
          <w:spacing w:val="-68"/>
        </w:rPr>
        <w:t> </w:t>
      </w:r>
      <w:r>
        <w:rPr>
          <w:spacing w:val="-68"/>
        </w:rPr>
      </w:r>
      <w:r>
        <w:rPr>
          <w:spacing w:val="-4"/>
        </w:rPr>
        <w:t>合并财务报表时抵销本公司与各子公司、各子公司相互之间发生的内部交易对合并资产负债表、合并利润表、合并现金</w:t>
      </w:r>
    </w:p>
    <w:p>
      <w:pPr>
        <w:pStyle w:val="BodyText"/>
        <w:spacing w:line="316" w:lineRule="auto" w:before="19"/>
        <w:ind w:left="512" w:right="173" w:hanging="361"/>
        <w:jc w:val="left"/>
      </w:pPr>
      <w:r>
        <w:rPr>
          <w:spacing w:val="-3"/>
        </w:rPr>
        <w:t>流量表、合并所有者权益变动表的影响。</w:t>
      </w:r>
      <w:r>
        <w:rPr>
          <w:spacing w:val="-33"/>
        </w:rPr>
        <w:t> </w:t>
      </w:r>
      <w:r>
        <w:rPr>
          <w:spacing w:val="-33"/>
        </w:rPr>
      </w:r>
      <w:r>
        <w:rPr>
          <w:spacing w:val="-5"/>
          <w:w w:val="101"/>
        </w:rPr>
        <w:t>子公司少数股东分担的当期亏损超过了少数股东在该子公司期初所有者权益中所享有的份额的，其余额仍应当冲减少数</w:t>
      </w:r>
      <w:r>
        <w:rPr>
          <w:spacing w:val="-5"/>
        </w:rPr>
      </w:r>
    </w:p>
    <w:p>
      <w:pPr>
        <w:pStyle w:val="BodyText"/>
        <w:spacing w:line="240" w:lineRule="auto" w:before="19"/>
        <w:ind w:right="173"/>
        <w:jc w:val="left"/>
      </w:pPr>
      <w:r>
        <w:rPr/>
        <w:t>股东权益。</w:t>
      </w:r>
    </w:p>
    <w:p>
      <w:pPr>
        <w:pStyle w:val="BodyText"/>
        <w:spacing w:line="316" w:lineRule="auto" w:before="76"/>
        <w:ind w:right="173" w:firstLine="360"/>
        <w:jc w:val="left"/>
      </w:pPr>
      <w:r>
        <w:rPr>
          <w:spacing w:val="-4"/>
        </w:rPr>
        <w:t>在报告期内，若因同一控制下企业合并增加子公司的，则调整合并资产负债表的期初数；将子公司合并当期期初至报告</w:t>
      </w:r>
      <w:r>
        <w:rPr>
          <w:w w:val="101"/>
        </w:rPr>
        <w:t> </w:t>
      </w:r>
      <w:r>
        <w:rPr>
          <w:spacing w:val="-3"/>
        </w:rPr>
        <w:t>期末的收入、费用、利润纳入合并利润表；将子公司合并当期期初至报告期末的现金流量纳入合并现金流量表。</w:t>
      </w:r>
    </w:p>
    <w:p>
      <w:pPr>
        <w:pStyle w:val="BodyText"/>
        <w:spacing w:line="316" w:lineRule="auto" w:before="19"/>
        <w:ind w:right="173" w:firstLine="360"/>
        <w:jc w:val="left"/>
      </w:pPr>
      <w:r>
        <w:rPr>
          <w:spacing w:val="-4"/>
        </w:rPr>
        <w:t>在报告期内，若因非同一控制下企业合并增加子公司的，则不调整合并资产负债表期初数；将子公司自购买日至报告期</w:t>
      </w:r>
      <w:r>
        <w:rPr>
          <w:w w:val="101"/>
        </w:rPr>
        <w:t> </w:t>
      </w:r>
      <w:r>
        <w:rPr>
          <w:spacing w:val="-3"/>
        </w:rPr>
        <w:t>末的收入、费用、利润纳入合并利润表；该子公司自购买日至报告期末的现金流量纳入合并现金流量表。</w:t>
      </w:r>
    </w:p>
    <w:p>
      <w:pPr>
        <w:pStyle w:val="BodyText"/>
        <w:spacing w:line="316" w:lineRule="auto" w:before="19"/>
        <w:ind w:right="173" w:firstLine="360"/>
        <w:jc w:val="left"/>
      </w:pPr>
      <w:r>
        <w:rPr>
          <w:spacing w:val="-5"/>
        </w:rPr>
        <w:t>在报告期内，本公司处置子公司，则该子公司期初至处置日的收入、费用、利润纳入合并利润表；该子公司期初至处置</w:t>
      </w:r>
      <w:r>
        <w:rPr>
          <w:w w:val="101"/>
        </w:rPr>
        <w:t> </w:t>
      </w:r>
      <w:r>
        <w:rPr>
          <w:spacing w:val="-3"/>
        </w:rPr>
        <w:t>日的现金流量纳入合并现金流量表。</w:t>
      </w:r>
    </w:p>
    <w:p>
      <w:pPr>
        <w:pStyle w:val="BodyText"/>
        <w:spacing w:line="316" w:lineRule="auto" w:before="19"/>
        <w:ind w:right="186" w:firstLine="360"/>
        <w:jc w:val="both"/>
      </w:pPr>
      <w:r>
        <w:rPr>
          <w:spacing w:val="-5"/>
        </w:rPr>
        <w:t>企业因处置部分股权投资或其他原因丧失了对原有子公司控制权的，在合并财务报表中，对于剩余股权，应当按照其在</w:t>
      </w:r>
      <w:r>
        <w:rPr>
          <w:w w:val="101"/>
        </w:rPr>
        <w:t> </w:t>
      </w:r>
      <w:r>
        <w:rPr>
          <w:spacing w:val="-4"/>
        </w:rPr>
        <w:t>丧失控制权日的公允价值进行重新计量。处置股权取得的对价与剩余股权公允价值之和，减去按原持股比例计算应享有原有</w:t>
      </w:r>
      <w:r>
        <w:rPr>
          <w:spacing w:val="42"/>
        </w:rPr>
        <w:t> </w:t>
      </w:r>
      <w:r>
        <w:rPr>
          <w:spacing w:val="42"/>
        </w:rPr>
      </w:r>
      <w:r>
        <w:rPr>
          <w:spacing w:val="-4"/>
        </w:rPr>
        <w:t>子公司自购买日开始持续计算的净资产的份额之间的差额，计入丧失控制权当期的投资收益。与原有子公司股权投资相关的</w:t>
      </w:r>
      <w:r>
        <w:rPr>
          <w:spacing w:val="42"/>
        </w:rPr>
        <w:t> </w:t>
      </w:r>
      <w:r>
        <w:rPr>
          <w:spacing w:val="42"/>
        </w:rPr>
      </w:r>
      <w:r>
        <w:rPr>
          <w:spacing w:val="-3"/>
        </w:rPr>
        <w:t>其他综合收益，应当在丧失控制权时转为当期投资收益。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4"/>
        <w:spacing w:line="240" w:lineRule="auto"/>
        <w:ind w:right="17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left="512" w:right="173"/>
        <w:jc w:val="left"/>
      </w:pPr>
      <w:r>
        <w:rPr/>
        <w:t>（1）</w:t>
      </w:r>
      <w:r>
        <w:rPr>
          <w:spacing w:val="-66"/>
        </w:rPr>
        <w:t> </w:t>
      </w:r>
      <w:r>
        <w:rPr>
          <w:spacing w:val="-3"/>
        </w:rPr>
        <w:t>合营安排的分类</w:t>
      </w:r>
      <w:r>
        <w:rPr>
          <w:spacing w:val="-62"/>
        </w:rPr>
        <w:t> </w:t>
      </w:r>
      <w:r>
        <w:rPr>
          <w:spacing w:val="-62"/>
        </w:rPr>
      </w:r>
      <w:r>
        <w:rPr>
          <w:spacing w:val="-4"/>
        </w:rPr>
        <w:t>本公司根据合营安排的结构、法律形式以及合营安排中约定的条款、其他相关事实和情况等因素，将合营安排分为共同</w:t>
      </w:r>
    </w:p>
    <w:p>
      <w:pPr>
        <w:pStyle w:val="BodyText"/>
        <w:spacing w:line="316" w:lineRule="auto" w:before="19"/>
        <w:ind w:left="512" w:right="173" w:hanging="361"/>
        <w:jc w:val="left"/>
      </w:pPr>
      <w:r>
        <w:rPr/>
        <w:t>经营和合营企业。</w:t>
      </w:r>
      <w:r>
        <w:rPr>
          <w:spacing w:val="-86"/>
        </w:rPr>
        <w:t> </w:t>
      </w:r>
      <w:r>
        <w:rPr>
          <w:spacing w:val="-86"/>
        </w:rPr>
      </w:r>
      <w:r>
        <w:rPr>
          <w:spacing w:val="-4"/>
        </w:rPr>
        <w:t>未通过单独主体达成的合营安排，划分为共同经营；通过单独主体达成的合营安排，通常划分为合营企业；但有确凿证</w:t>
      </w:r>
    </w:p>
    <w:p>
      <w:pPr>
        <w:pStyle w:val="BodyText"/>
        <w:spacing w:line="240" w:lineRule="auto" w:before="19"/>
        <w:ind w:right="173"/>
        <w:jc w:val="left"/>
      </w:pPr>
      <w:r>
        <w:rPr>
          <w:spacing w:val="-3"/>
        </w:rPr>
        <w:t>据表明满足下列任一条件并且符合相关法律法规规定的合营安排划分为共同经营：</w:t>
      </w:r>
    </w:p>
    <w:p>
      <w:pPr>
        <w:pStyle w:val="BodyText"/>
        <w:spacing w:line="240" w:lineRule="auto" w:before="76"/>
        <w:ind w:left="603" w:right="173"/>
        <w:jc w:val="left"/>
      </w:pPr>
      <w:r>
        <w:rPr/>
        <w:t>1） </w:t>
      </w:r>
      <w:r>
        <w:rPr>
          <w:spacing w:val="54"/>
        </w:rPr>
        <w:t> </w:t>
      </w:r>
      <w:r>
        <w:rPr>
          <w:spacing w:val="-3"/>
        </w:rPr>
        <w:t>合营安排的法律形式表明，合营方对该安排中的相关资产和负债分别享有权利和承担义务。</w:t>
      </w:r>
    </w:p>
    <w:p>
      <w:pPr>
        <w:pStyle w:val="BodyText"/>
        <w:spacing w:line="240" w:lineRule="auto" w:before="76"/>
        <w:ind w:left="603" w:right="173"/>
        <w:jc w:val="left"/>
      </w:pPr>
      <w:r>
        <w:rPr/>
        <w:t>2） </w:t>
      </w:r>
      <w:r>
        <w:rPr>
          <w:spacing w:val="54"/>
        </w:rPr>
        <w:t> </w:t>
      </w:r>
      <w:r>
        <w:rPr>
          <w:spacing w:val="-3"/>
        </w:rPr>
        <w:t>合营安排的合同条款约定，合营方对该安排中的相关资产和负债分别享有权利和承担义务。</w:t>
      </w:r>
    </w:p>
    <w:p>
      <w:pPr>
        <w:pStyle w:val="BodyText"/>
        <w:spacing w:line="316" w:lineRule="auto" w:before="76"/>
        <w:ind w:right="173" w:firstLine="451"/>
        <w:jc w:val="left"/>
      </w:pPr>
      <w:r>
        <w:rPr/>
        <w:t>3）</w:t>
      </w:r>
      <w:r>
        <w:rPr>
          <w:spacing w:val="48"/>
        </w:rPr>
        <w:t> </w:t>
      </w:r>
      <w:r>
        <w:rPr>
          <w:spacing w:val="-3"/>
        </w:rPr>
        <w:t>其他相关事实和情况表明，合营方对该安排中的相关资产和负债分别享有权利和承担义务，如合营方享有与合营</w:t>
      </w:r>
      <w:r>
        <w:rPr>
          <w:w w:val="101"/>
        </w:rPr>
        <w:t> </w:t>
      </w:r>
      <w:r>
        <w:rPr>
          <w:spacing w:val="-3"/>
        </w:rPr>
        <w:t>安排相关的几乎所有产出，并且该安排中负债的清偿持续依赖于合营方的支持。</w:t>
      </w:r>
    </w:p>
    <w:p>
      <w:pPr>
        <w:pStyle w:val="BodyText"/>
        <w:spacing w:line="316" w:lineRule="auto" w:before="19"/>
        <w:ind w:left="512" w:right="726"/>
        <w:jc w:val="left"/>
      </w:pPr>
      <w:r>
        <w:rPr/>
        <w:t>（2）</w:t>
      </w:r>
      <w:r>
        <w:rPr>
          <w:spacing w:val="-66"/>
        </w:rPr>
        <w:t> </w:t>
      </w:r>
      <w:r>
        <w:rPr/>
        <w:t>共同经营会计处理方法</w:t>
      </w:r>
      <w:r>
        <w:rPr>
          <w:spacing w:val="-81"/>
        </w:rPr>
        <w:t> </w:t>
      </w:r>
      <w:r>
        <w:rPr>
          <w:spacing w:val="-81"/>
        </w:rPr>
      </w:r>
      <w:r>
        <w:rPr>
          <w:spacing w:val="-3"/>
        </w:rPr>
        <w:t>本公司确认共同经营中利益份额中与本公司相关的下列项目，并按照相关企业会计准则的规定进行会计处理：</w:t>
      </w:r>
      <w:r>
        <w:rPr>
          <w:spacing w:val="49"/>
        </w:rPr>
        <w:t> </w:t>
      </w:r>
      <w:r>
        <w:rPr>
          <w:spacing w:val="49"/>
        </w:rPr>
      </w:r>
      <w:r>
        <w:rPr/>
        <w:t>1） </w:t>
      </w:r>
      <w:r>
        <w:rPr>
          <w:spacing w:val="19"/>
        </w:rPr>
        <w:t> </w:t>
      </w:r>
      <w:r>
        <w:rPr>
          <w:spacing w:val="-3"/>
        </w:rPr>
        <w:t>确认单独所持有的资产，以及按其份额确认共同持有的资产；</w:t>
      </w:r>
    </w:p>
    <w:p>
      <w:pPr>
        <w:pStyle w:val="BodyText"/>
        <w:spacing w:line="240" w:lineRule="auto" w:before="19"/>
        <w:ind w:left="603" w:right="173"/>
        <w:jc w:val="left"/>
      </w:pPr>
      <w:r>
        <w:rPr/>
        <w:t>2） </w:t>
      </w:r>
      <w:r>
        <w:rPr>
          <w:spacing w:val="19"/>
        </w:rPr>
        <w:t> </w:t>
      </w:r>
      <w:r>
        <w:rPr>
          <w:spacing w:val="-3"/>
        </w:rPr>
        <w:t>确认单独所承担的负债，以及按其份额确认共同承担的负债；</w:t>
      </w:r>
    </w:p>
    <w:p>
      <w:pPr>
        <w:pStyle w:val="BodyText"/>
        <w:spacing w:line="240" w:lineRule="auto" w:before="76"/>
        <w:ind w:left="603" w:right="173"/>
        <w:jc w:val="left"/>
      </w:pPr>
      <w:r>
        <w:rPr/>
        <w:t>3） </w:t>
      </w:r>
      <w:r>
        <w:rPr>
          <w:spacing w:val="7"/>
        </w:rPr>
        <w:t> </w:t>
      </w:r>
      <w:r>
        <w:rPr>
          <w:spacing w:val="-3"/>
        </w:rPr>
        <w:t>确认出售其享有的共同经营产出份额所产生的收入；</w:t>
      </w:r>
    </w:p>
    <w:p>
      <w:pPr>
        <w:pStyle w:val="BodyText"/>
        <w:spacing w:line="240" w:lineRule="auto" w:before="76"/>
        <w:ind w:left="603" w:right="173"/>
        <w:jc w:val="left"/>
      </w:pPr>
      <w:r>
        <w:rPr/>
        <w:t>4） </w:t>
      </w:r>
      <w:r>
        <w:rPr>
          <w:spacing w:val="7"/>
        </w:rPr>
        <w:t> </w:t>
      </w:r>
      <w:r>
        <w:rPr>
          <w:spacing w:val="-3"/>
        </w:rPr>
        <w:t>按其份额确认共同经营因出售产出所产生的收入；</w:t>
      </w:r>
    </w:p>
    <w:p>
      <w:pPr>
        <w:pStyle w:val="BodyText"/>
        <w:spacing w:line="316" w:lineRule="auto" w:before="76"/>
        <w:ind w:left="512" w:right="173" w:firstLine="91"/>
        <w:jc w:val="left"/>
      </w:pPr>
      <w:r>
        <w:rPr/>
        <w:t>5）</w:t>
      </w:r>
      <w:r>
        <w:rPr>
          <w:spacing w:val="27"/>
        </w:rPr>
        <w:t> </w:t>
      </w:r>
      <w:r>
        <w:rPr>
          <w:spacing w:val="-3"/>
        </w:rPr>
        <w:t>确认单独所发生的费用，以及按其份额确认共同经营发生的费用。</w:t>
      </w:r>
      <w:r>
        <w:rPr>
          <w:w w:val="101"/>
        </w:rPr>
        <w:t> </w:t>
      </w:r>
      <w:r>
        <w:rPr>
          <w:spacing w:val="-4"/>
        </w:rPr>
        <w:t>本公司向共同经营投出或出售资产等（该资产构成业务的除外），在该资产等由共同经营出售给第三方之前，仅确认因</w:t>
      </w:r>
    </w:p>
    <w:p>
      <w:pPr>
        <w:pStyle w:val="BodyText"/>
        <w:spacing w:line="240" w:lineRule="auto" w:before="19"/>
        <w:ind w:right="173"/>
        <w:jc w:val="left"/>
      </w:pPr>
      <w:r>
        <w:rPr>
          <w:spacing w:val="-3"/>
        </w:rPr>
        <w:t>该交易产生的损益中归属于共同经营其他参与方的部分。投出或出售的资产发生符合《企业会计准则第8号——资产减值》</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left="512" w:right="173" w:hanging="361"/>
        <w:jc w:val="left"/>
      </w:pPr>
      <w:r>
        <w:rPr>
          <w:spacing w:val="-3"/>
        </w:rPr>
        <w:t>等规定的资产减值损失的，本公司全额确认该损失。</w:t>
      </w:r>
      <w:r>
        <w:rPr>
          <w:spacing w:val="-21"/>
        </w:rPr>
        <w:t> </w:t>
      </w:r>
      <w:r>
        <w:rPr>
          <w:spacing w:val="-21"/>
        </w:rPr>
      </w:r>
      <w:r>
        <w:rPr>
          <w:spacing w:val="-4"/>
        </w:rPr>
        <w:t>本公司自共同经营购买资产等（该资产构成业务的除外），在将该资产等出售给第三方之前，仅确认因该交易产生的损</w:t>
      </w:r>
    </w:p>
    <w:p>
      <w:pPr>
        <w:pStyle w:val="BodyText"/>
        <w:spacing w:line="316" w:lineRule="auto" w:before="19"/>
        <w:ind w:right="173"/>
        <w:jc w:val="left"/>
      </w:pPr>
      <w:r>
        <w:rPr>
          <w:spacing w:val="-3"/>
        </w:rPr>
        <w:t>益中归属于共同经营其他参与方的部分。购入的资产发生符合《企业会计准则第8号——资产减值》等规定的资产减值损失</w:t>
      </w:r>
      <w:r>
        <w:rPr>
          <w:spacing w:val="70"/>
        </w:rPr>
        <w:t> </w:t>
      </w:r>
      <w:r>
        <w:rPr>
          <w:spacing w:val="70"/>
        </w:rPr>
      </w:r>
      <w:r>
        <w:rPr>
          <w:spacing w:val="-3"/>
        </w:rPr>
        <w:t>的，本公司按承担的份额确认该部分损失。</w:t>
      </w:r>
    </w:p>
    <w:p>
      <w:pPr>
        <w:pStyle w:val="BodyText"/>
        <w:spacing w:line="316" w:lineRule="auto" w:before="19"/>
        <w:ind w:right="173" w:firstLine="360"/>
        <w:jc w:val="left"/>
      </w:pPr>
      <w:r>
        <w:rPr>
          <w:spacing w:val="-4"/>
        </w:rPr>
        <w:t>本公司对共同经营不享有共同控制，如果本公司享有该共同经营相关资产且承担该共同经营相关负债的，仍按上述原则</w:t>
      </w:r>
      <w:r>
        <w:rPr>
          <w:w w:val="101"/>
        </w:rPr>
        <w:t> </w:t>
      </w:r>
      <w:r>
        <w:rPr>
          <w:spacing w:val="-3"/>
        </w:rPr>
        <w:t>进行会计处理，否则，应当按照相关企业会计准则的规定进行会计处理。</w:t>
      </w:r>
    </w:p>
    <w:p>
      <w:pPr>
        <w:spacing w:line="240" w:lineRule="auto" w:before="6"/>
        <w:rPr>
          <w:rFonts w:ascii="宋体" w:hAnsi="宋体" w:cs="宋体" w:eastAsia="宋体" w:hint="default"/>
          <w:sz w:val="17"/>
          <w:szCs w:val="17"/>
        </w:rPr>
      </w:pPr>
    </w:p>
    <w:p>
      <w:pPr>
        <w:pStyle w:val="Heading4"/>
        <w:spacing w:line="240" w:lineRule="auto"/>
        <w:ind w:right="17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73" w:firstLine="360"/>
        <w:jc w:val="left"/>
      </w:pPr>
      <w:r>
        <w:rPr>
          <w:spacing w:val="-4"/>
        </w:rPr>
        <w:t>在编制现金流量表时，将本公司库存现金以及可以随时用于支付的存款确认为现金。将同时具备期限短（一般从购买日</w:t>
      </w:r>
      <w:r>
        <w:rPr>
          <w:w w:val="101"/>
        </w:rPr>
        <w:t> </w:t>
      </w:r>
      <w:r>
        <w:rPr>
          <w:spacing w:val="-3"/>
        </w:rPr>
        <w:t>起，三个月内到期）、流动性强、易于转换为已知现金、价值变动风险很小四个条件的投资，确定为现金等价物。</w:t>
      </w:r>
    </w:p>
    <w:p>
      <w:pPr>
        <w:spacing w:line="240" w:lineRule="auto" w:before="6"/>
        <w:rPr>
          <w:rFonts w:ascii="宋体" w:hAnsi="宋体" w:cs="宋体" w:eastAsia="宋体" w:hint="default"/>
          <w:sz w:val="17"/>
          <w:szCs w:val="17"/>
        </w:rPr>
      </w:pPr>
    </w:p>
    <w:p>
      <w:pPr>
        <w:pStyle w:val="Heading4"/>
        <w:spacing w:line="240" w:lineRule="auto"/>
        <w:ind w:right="17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16" w:lineRule="auto"/>
        <w:ind w:left="512" w:right="3932"/>
        <w:jc w:val="left"/>
      </w:pPr>
      <w:r>
        <w:rPr/>
        <w:t>（1）外币业务</w:t>
      </w:r>
      <w:r>
        <w:rPr>
          <w:spacing w:val="-85"/>
        </w:rPr>
        <w:t> </w:t>
      </w:r>
      <w:r>
        <w:rPr>
          <w:spacing w:val="-85"/>
        </w:rPr>
      </w:r>
      <w:r>
        <w:rPr>
          <w:spacing w:val="-3"/>
        </w:rPr>
        <w:t>外币业务采用交易发生日的即期汇率作为折算汇率折合成人民币记账。</w:t>
      </w:r>
    </w:p>
    <w:p>
      <w:pPr>
        <w:pStyle w:val="BodyText"/>
        <w:spacing w:line="316" w:lineRule="auto" w:before="19"/>
        <w:ind w:right="173" w:firstLine="360"/>
        <w:jc w:val="left"/>
      </w:pPr>
      <w:r>
        <w:rPr>
          <w:spacing w:val="-4"/>
        </w:rPr>
        <w:t>外币货币性项目余额按资产负债表日即期汇率折算，由此产生的汇兑差额，除属于与购建符合资本化条件的资产相关的</w:t>
      </w:r>
      <w:r>
        <w:rPr>
          <w:w w:val="101"/>
        </w:rPr>
        <w:t> </w:t>
      </w:r>
      <w:r>
        <w:rPr>
          <w:spacing w:val="-3"/>
        </w:rPr>
        <w:t>外币专门借款产生的汇兑差额按照借款费用资本化的原则处理外，均计入当期损益。以历史成本计量的外币非货币性项目，</w:t>
      </w:r>
      <w:r>
        <w:rPr>
          <w:spacing w:val="66"/>
        </w:rPr>
        <w:t> </w:t>
      </w:r>
      <w:r>
        <w:rPr>
          <w:spacing w:val="66"/>
        </w:rPr>
      </w:r>
      <w:r>
        <w:rPr>
          <w:spacing w:val="-4"/>
        </w:rPr>
        <w:t>仍采用交易发生日的即期汇率折算，不改变其记账本位币金额。以公允价值计量的外币非货币性项目，采用公允价值确定日</w:t>
      </w:r>
      <w:r>
        <w:rPr>
          <w:spacing w:val="43"/>
        </w:rPr>
        <w:t> </w:t>
      </w:r>
      <w:r>
        <w:rPr>
          <w:spacing w:val="43"/>
        </w:rPr>
      </w:r>
      <w:r>
        <w:rPr>
          <w:spacing w:val="-3"/>
        </w:rPr>
        <w:t>的即期汇率折算，由此产生的汇兑差额计入当期损益或资本公积。</w:t>
      </w:r>
    </w:p>
    <w:p>
      <w:pPr>
        <w:spacing w:line="240" w:lineRule="auto" w:before="4"/>
        <w:rPr>
          <w:rFonts w:ascii="宋体" w:hAnsi="宋体" w:cs="宋体" w:eastAsia="宋体" w:hint="default"/>
          <w:sz w:val="25"/>
          <w:szCs w:val="25"/>
        </w:rPr>
      </w:pPr>
    </w:p>
    <w:p>
      <w:pPr>
        <w:pStyle w:val="BodyText"/>
        <w:spacing w:line="316" w:lineRule="auto"/>
        <w:ind w:left="512" w:right="173"/>
        <w:jc w:val="left"/>
      </w:pPr>
      <w:r>
        <w:rPr>
          <w:spacing w:val="-3"/>
        </w:rPr>
        <w:t>（2）外币财务报表的折算</w:t>
      </w:r>
      <w:r>
        <w:rPr>
          <w:spacing w:val="-52"/>
        </w:rPr>
        <w:t> </w:t>
      </w:r>
      <w:r>
        <w:rPr>
          <w:spacing w:val="-52"/>
        </w:rPr>
      </w:r>
      <w:r>
        <w:rPr>
          <w:spacing w:val="-5"/>
        </w:rPr>
        <w:t>资产负债表中的资产和负债项目，采用资产负债表日的即期汇率折算；所有者权益项目除“未分配利润”项目外，其他</w:t>
      </w:r>
    </w:p>
    <w:p>
      <w:pPr>
        <w:pStyle w:val="BodyText"/>
        <w:spacing w:line="316" w:lineRule="auto" w:before="19"/>
        <w:ind w:right="173"/>
        <w:jc w:val="left"/>
      </w:pPr>
      <w:r>
        <w:rPr>
          <w:spacing w:val="-4"/>
        </w:rPr>
        <w:t>项目采用发生时的即期汇率折算。利润表中的收入和费用项目，采用交易发生日的即期汇率或即期汇率的近似汇率折算。按</w:t>
      </w:r>
      <w:r>
        <w:rPr>
          <w:spacing w:val="43"/>
        </w:rPr>
        <w:t> </w:t>
      </w:r>
      <w:r>
        <w:rPr>
          <w:spacing w:val="43"/>
        </w:rPr>
      </w:r>
      <w:r>
        <w:rPr>
          <w:spacing w:val="-3"/>
        </w:rPr>
        <w:t>照上述折算产生的外币财务报表折算差额，在资产负债表所有者权益项目下单独列示。</w:t>
      </w:r>
    </w:p>
    <w:p>
      <w:pPr>
        <w:pStyle w:val="BodyText"/>
        <w:spacing w:line="316" w:lineRule="auto" w:before="19"/>
        <w:ind w:right="173" w:firstLine="360"/>
        <w:jc w:val="left"/>
      </w:pPr>
      <w:r>
        <w:rPr>
          <w:spacing w:val="-4"/>
        </w:rPr>
        <w:t>处置境外经营时，将资产负债表中所有者权益项目下列示的、与该境外经营相关的外币财务报表折算差额，自所有者权</w:t>
      </w:r>
      <w:r>
        <w:rPr>
          <w:w w:val="101"/>
        </w:rPr>
        <w:t> </w:t>
      </w:r>
      <w:r>
        <w:rPr>
          <w:spacing w:val="-6"/>
        </w:rPr>
        <w:t>益项目转入处置当期损益；部分处置境外经营的，按处置的比例计算处置部分的外币财务报表折算差额，转入处置当期损益。</w:t>
      </w:r>
    </w:p>
    <w:p>
      <w:pPr>
        <w:spacing w:line="240" w:lineRule="auto" w:before="6"/>
        <w:rPr>
          <w:rFonts w:ascii="宋体" w:hAnsi="宋体" w:cs="宋体" w:eastAsia="宋体" w:hint="default"/>
          <w:sz w:val="17"/>
          <w:szCs w:val="17"/>
        </w:rPr>
      </w:pPr>
    </w:p>
    <w:p>
      <w:pPr>
        <w:pStyle w:val="Heading4"/>
        <w:spacing w:line="240" w:lineRule="auto"/>
        <w:ind w:right="17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2" w:right="173"/>
        <w:jc w:val="left"/>
      </w:pPr>
      <w:r>
        <w:rPr>
          <w:spacing w:val="-3"/>
        </w:rPr>
        <w:t>金融工具包括金融资产、金融负债和权益工具。</w:t>
      </w:r>
    </w:p>
    <w:p>
      <w:pPr>
        <w:pStyle w:val="BodyText"/>
        <w:spacing w:line="316" w:lineRule="auto" w:before="76"/>
        <w:ind w:left="512" w:right="173"/>
        <w:jc w:val="left"/>
      </w:pPr>
      <w:r>
        <w:rPr/>
        <w:t>（1）</w:t>
      </w:r>
      <w:r>
        <w:rPr>
          <w:spacing w:val="-66"/>
        </w:rPr>
        <w:t> </w:t>
      </w:r>
      <w:r>
        <w:rPr>
          <w:spacing w:val="-3"/>
        </w:rPr>
        <w:t>金融工具的分类</w:t>
      </w:r>
      <w:r>
        <w:rPr>
          <w:spacing w:val="-62"/>
        </w:rPr>
        <w:t> </w:t>
      </w:r>
      <w:r>
        <w:rPr>
          <w:spacing w:val="-62"/>
        </w:rPr>
      </w:r>
      <w:r>
        <w:rPr>
          <w:spacing w:val="-5"/>
          <w:w w:val="101"/>
        </w:rPr>
        <w:t>管理层根据所发行金融工具的合同条款及其所反映的经济实质而非仅以法律形式，结合取得持有金融资产和承担金融负</w:t>
      </w:r>
      <w:r>
        <w:rPr>
          <w:spacing w:val="-5"/>
        </w:rPr>
      </w:r>
    </w:p>
    <w:p>
      <w:pPr>
        <w:pStyle w:val="BodyText"/>
        <w:spacing w:line="316" w:lineRule="auto" w:before="19"/>
        <w:ind w:right="173"/>
        <w:jc w:val="left"/>
      </w:pPr>
      <w:r>
        <w:rPr>
          <w:spacing w:val="-4"/>
        </w:rPr>
        <w:t>债的目的，将金融资产和金融负债分为不同类别：以公允价值计量且其变动计入当期损益的金融资产（或金融负债）；持有</w:t>
      </w:r>
      <w:r>
        <w:rPr>
          <w:spacing w:val="40"/>
        </w:rPr>
        <w:t> </w:t>
      </w:r>
      <w:r>
        <w:rPr>
          <w:spacing w:val="40"/>
        </w:rPr>
      </w:r>
      <w:r>
        <w:rPr>
          <w:spacing w:val="-3"/>
        </w:rPr>
        <w:t>至到期投资；应收款项；可供出售金融资产；其他金融负债等。</w:t>
      </w:r>
    </w:p>
    <w:p>
      <w:pPr>
        <w:pStyle w:val="BodyText"/>
        <w:spacing w:line="240" w:lineRule="auto" w:before="19"/>
        <w:ind w:left="512" w:right="173"/>
        <w:jc w:val="left"/>
      </w:pPr>
      <w:r>
        <w:rPr/>
        <w:t>（2）</w:t>
      </w:r>
      <w:r>
        <w:rPr>
          <w:spacing w:val="-15"/>
        </w:rPr>
        <w:t> </w:t>
      </w:r>
      <w:r>
        <w:rPr>
          <w:spacing w:val="-3"/>
        </w:rPr>
        <w:t>金融工具的确认依据和计量方法</w:t>
      </w:r>
    </w:p>
    <w:p>
      <w:pPr>
        <w:pStyle w:val="BodyText"/>
        <w:spacing w:line="316" w:lineRule="auto" w:before="76"/>
        <w:ind w:left="512" w:right="173" w:firstLine="91"/>
        <w:jc w:val="left"/>
      </w:pPr>
      <w:r>
        <w:rPr/>
        <w:t>1）</w:t>
      </w:r>
      <w:r>
        <w:rPr>
          <w:spacing w:val="27"/>
        </w:rPr>
        <w:t> </w:t>
      </w:r>
      <w:r>
        <w:rPr>
          <w:spacing w:val="-3"/>
        </w:rPr>
        <w:t>以公允价值计量且其变动计入当期损益的金融资产（金融负债）</w:t>
      </w:r>
      <w:r>
        <w:rPr>
          <w:w w:val="101"/>
        </w:rPr>
        <w:t> </w:t>
      </w:r>
      <w:r>
        <w:rPr>
          <w:spacing w:val="-5"/>
          <w:w w:val="101"/>
        </w:rPr>
        <w:t>以公允价值计量且其变动计入当期损益的金融资产或金融负债，包括交易性金融资产或金融负债和直接指定为以公允价</w:t>
      </w:r>
      <w:r>
        <w:rPr>
          <w:spacing w:val="-5"/>
        </w:rPr>
      </w:r>
    </w:p>
    <w:p>
      <w:pPr>
        <w:pStyle w:val="BodyText"/>
        <w:spacing w:line="316" w:lineRule="auto" w:before="19"/>
        <w:ind w:left="512" w:right="179" w:hanging="361"/>
        <w:jc w:val="left"/>
      </w:pPr>
      <w:r>
        <w:rPr>
          <w:spacing w:val="-3"/>
        </w:rPr>
        <w:t>值计量且其变动计入当期损益的金融资产或金融负债。</w:t>
      </w:r>
      <w:r>
        <w:rPr>
          <w:spacing w:val="-16"/>
        </w:rPr>
        <w:t> </w:t>
      </w:r>
      <w:r>
        <w:rPr>
          <w:spacing w:val="-16"/>
        </w:rPr>
      </w:r>
      <w:r>
        <w:rPr>
          <w:spacing w:val="-3"/>
        </w:rPr>
        <w:t>交易性金融资产或金融负债是指满足下列条件之一的金融资产或金融负债：</w:t>
      </w:r>
      <w:r>
        <w:rPr>
          <w:w w:val="101"/>
        </w:rPr>
        <w:t> </w:t>
      </w:r>
      <w:r>
        <w:rPr>
          <w:spacing w:val="-3"/>
        </w:rPr>
        <w:t>A：取得该金融资产或金融负债的目的是为了在短期内出售、回购或赎回；</w:t>
      </w:r>
      <w:r>
        <w:rPr>
          <w:w w:val="101"/>
        </w:rPr>
        <w:t> </w:t>
      </w:r>
      <w:r>
        <w:rPr>
          <w:spacing w:val="-4"/>
          <w:w w:val="101"/>
        </w:rPr>
        <w:t>B:属于进行集中管理的可辨认金融工具组合的一部分，且有客观证据表明本公司近期采用短期获利方式对该组合进行管</w:t>
      </w:r>
      <w:r>
        <w:rPr>
          <w:spacing w:val="-4"/>
        </w:rPr>
      </w:r>
    </w:p>
    <w:p>
      <w:pPr>
        <w:pStyle w:val="BodyText"/>
        <w:spacing w:line="240" w:lineRule="auto" w:before="19"/>
        <w:ind w:right="173"/>
        <w:jc w:val="left"/>
      </w:pPr>
      <w:r>
        <w:rPr/>
        <w:t>理；</w:t>
      </w:r>
    </w:p>
    <w:p>
      <w:pPr>
        <w:pStyle w:val="BodyText"/>
        <w:spacing w:line="316" w:lineRule="auto" w:before="76"/>
        <w:ind w:right="173" w:firstLine="360"/>
        <w:jc w:val="left"/>
      </w:pPr>
      <w:r>
        <w:rPr>
          <w:spacing w:val="-4"/>
        </w:rPr>
        <w:t>C:属于衍生金融工具，但是被指定为有效套期工具的衍生工具、属于财务担保合同的衍生工具、与在活跃市场中没有报</w:t>
      </w:r>
      <w:r>
        <w:rPr>
          <w:w w:val="101"/>
        </w:rPr>
        <w:t> </w:t>
      </w:r>
      <w:r>
        <w:rPr>
          <w:spacing w:val="-3"/>
        </w:rPr>
        <w:t>价且其公允价值不能可靠计量的权益工具投资挂钩并须通过交付该权益工具结算的衍生工具除外。</w:t>
      </w:r>
    </w:p>
    <w:p>
      <w:pPr>
        <w:spacing w:after="0" w:line="316" w:lineRule="auto"/>
        <w:jc w:val="left"/>
        <w:sectPr>
          <w:footerReference w:type="default" r:id="rId16"/>
          <w:pgSz w:w="11910" w:h="16840"/>
          <w:pgMar w:footer="979" w:header="741" w:top="1060" w:bottom="1160" w:left="980" w:right="940"/>
          <w:pgNumType w:start="87"/>
        </w:sectPr>
      </w:pPr>
    </w:p>
    <w:p>
      <w:pPr>
        <w:spacing w:line="240" w:lineRule="auto" w:before="1"/>
        <w:rPr>
          <w:rFonts w:ascii="宋体" w:hAnsi="宋体" w:cs="宋体" w:eastAsia="宋体" w:hint="default"/>
          <w:sz w:val="26"/>
          <w:szCs w:val="26"/>
        </w:rPr>
      </w:pPr>
    </w:p>
    <w:p>
      <w:pPr>
        <w:pStyle w:val="BodyText"/>
        <w:spacing w:line="316" w:lineRule="auto" w:before="46"/>
        <w:ind w:right="210" w:firstLine="360"/>
        <w:jc w:val="both"/>
      </w:pPr>
      <w:r>
        <w:rPr>
          <w:spacing w:val="-5"/>
          <w:w w:val="101"/>
        </w:rPr>
        <w:t>只有符合以下条件之一，金融资产或金融负债才可在初始计量时指定为以公允价值计量且其变动计入损益的金融资产或</w:t>
      </w:r>
      <w:r>
        <w:rPr>
          <w:w w:val="101"/>
        </w:rPr>
        <w:t> </w:t>
      </w:r>
      <w:r>
        <w:rPr/>
        <w:t>金融负债：</w:t>
      </w:r>
    </w:p>
    <w:p>
      <w:pPr>
        <w:pStyle w:val="BodyText"/>
        <w:spacing w:line="316" w:lineRule="auto" w:before="19"/>
        <w:ind w:right="0" w:firstLine="360"/>
        <w:jc w:val="left"/>
      </w:pPr>
      <w:r>
        <w:rPr>
          <w:spacing w:val="-3"/>
        </w:rPr>
        <w:t>A:该项指定可以消除或明显减少由于金融资产或金融负债的计量基础不同所导致的相关利得或损失在确认或计量方面</w:t>
      </w:r>
      <w:r>
        <w:rPr>
          <w:w w:val="101"/>
        </w:rPr>
        <w:t> </w:t>
      </w:r>
      <w:r>
        <w:rPr>
          <w:spacing w:val="-3"/>
        </w:rPr>
        <w:t>不一致的情况；</w:t>
      </w:r>
    </w:p>
    <w:p>
      <w:pPr>
        <w:pStyle w:val="BodyText"/>
        <w:spacing w:line="316" w:lineRule="auto" w:before="19"/>
        <w:ind w:right="206" w:firstLine="360"/>
        <w:jc w:val="both"/>
      </w:pPr>
      <w:r>
        <w:rPr>
          <w:spacing w:val="-4"/>
        </w:rPr>
        <w:t>B:风险管理或投资策略的正式书面文件已载明，该金融资产组合、该金融负债组合、或该金融资产和金融负债组合，以</w:t>
      </w:r>
      <w:r>
        <w:rPr>
          <w:w w:val="101"/>
        </w:rPr>
        <w:t> </w:t>
      </w:r>
      <w:r>
        <w:rPr>
          <w:spacing w:val="-3"/>
        </w:rPr>
        <w:t>公允价值为基础进行管理、评价并向关键管理人员报告；</w:t>
      </w:r>
    </w:p>
    <w:p>
      <w:pPr>
        <w:pStyle w:val="BodyText"/>
        <w:spacing w:line="316" w:lineRule="auto" w:before="19"/>
        <w:ind w:right="206" w:firstLine="360"/>
        <w:jc w:val="both"/>
      </w:pPr>
      <w:r>
        <w:rPr>
          <w:spacing w:val="-4"/>
        </w:rPr>
        <w:t>C:包含一项或多项嵌入衍生工具的混合工具，除非嵌入衍生工具对混合工具的现金流量没有重大改变，或所嵌入的衍生</w:t>
      </w:r>
      <w:r>
        <w:rPr>
          <w:w w:val="101"/>
        </w:rPr>
        <w:t> </w:t>
      </w:r>
      <w:r>
        <w:rPr>
          <w:spacing w:val="-3"/>
        </w:rPr>
        <w:t>工具明显不应当从相关混合工具中分拆；</w:t>
      </w:r>
    </w:p>
    <w:p>
      <w:pPr>
        <w:pStyle w:val="BodyText"/>
        <w:spacing w:line="316" w:lineRule="auto" w:before="19"/>
        <w:ind w:left="512" w:right="0"/>
        <w:jc w:val="left"/>
      </w:pPr>
      <w:r>
        <w:rPr>
          <w:spacing w:val="-3"/>
        </w:rPr>
        <w:t>D:包含需要分拆但无法在取得时或后续的资产负债表日对其进行单独计量的嵌入衍生工具的混合工具。</w:t>
      </w:r>
      <w:r>
        <w:rPr>
          <w:spacing w:val="45"/>
        </w:rPr>
        <w:t> </w:t>
      </w:r>
      <w:r>
        <w:rPr>
          <w:spacing w:val="45"/>
        </w:rPr>
      </w:r>
      <w:r>
        <w:rPr>
          <w:spacing w:val="-5"/>
        </w:rPr>
        <w:t>本公司对以公允价值计量且其变动计入当期损益的金融资产或金融负债，在取得时以公允价值（扣除已宣告但尚未发放</w:t>
      </w:r>
    </w:p>
    <w:p>
      <w:pPr>
        <w:pStyle w:val="BodyText"/>
        <w:spacing w:line="316" w:lineRule="auto" w:before="19"/>
        <w:ind w:right="206"/>
        <w:jc w:val="both"/>
      </w:pPr>
      <w:r>
        <w:rPr>
          <w:spacing w:val="-4"/>
        </w:rPr>
        <w:t>的现金股利或已到付息期但尚未领取的债券利息）作为初始确认金额，相关的交易费用计入当期损益。持有期间将取得的利</w:t>
      </w:r>
      <w:r>
        <w:rPr>
          <w:spacing w:val="43"/>
        </w:rPr>
        <w:t> </w:t>
      </w:r>
      <w:r>
        <w:rPr>
          <w:spacing w:val="43"/>
        </w:rPr>
      </w:r>
      <w:r>
        <w:rPr>
          <w:spacing w:val="-4"/>
        </w:rPr>
        <w:t>息或现金股利确认为投资收益，期末将公允价值变动计入当期损益。处置时，其公允价值与初始入账金额之间的差额确认为</w:t>
      </w:r>
      <w:r>
        <w:rPr>
          <w:spacing w:val="43"/>
        </w:rPr>
        <w:t> </w:t>
      </w:r>
      <w:r>
        <w:rPr>
          <w:spacing w:val="43"/>
        </w:rPr>
      </w:r>
      <w:r>
        <w:rPr>
          <w:spacing w:val="-3"/>
        </w:rPr>
        <w:t>投资收益，同时调整公允价值变动损益。</w:t>
      </w:r>
    </w:p>
    <w:p>
      <w:pPr>
        <w:pStyle w:val="BodyText"/>
        <w:spacing w:line="316" w:lineRule="auto" w:before="19"/>
        <w:ind w:left="512" w:right="0" w:firstLine="91"/>
        <w:jc w:val="left"/>
      </w:pPr>
      <w:r>
        <w:rPr/>
        <w:t>2）</w:t>
      </w:r>
      <w:r>
        <w:rPr>
          <w:spacing w:val="25"/>
        </w:rPr>
        <w:t> </w:t>
      </w:r>
      <w:r>
        <w:rPr/>
        <w:t>应收款项</w:t>
      </w:r>
      <w:r>
        <w:rPr>
          <w:w w:val="101"/>
        </w:rPr>
        <w:t> </w:t>
      </w:r>
      <w:r>
        <w:rPr>
          <w:spacing w:val="-5"/>
          <w:w w:val="101"/>
        </w:rPr>
        <w:t>本公司对外销售商品或提供劳务形成的应收债权，以及公司持有的其他企业的不包括在活跃市场上有报价的债务工具的</w:t>
      </w:r>
      <w:r>
        <w:rPr>
          <w:spacing w:val="-5"/>
        </w:rPr>
      </w:r>
    </w:p>
    <w:p>
      <w:pPr>
        <w:pStyle w:val="BodyText"/>
        <w:spacing w:line="316" w:lineRule="auto" w:before="19"/>
        <w:ind w:right="210"/>
        <w:jc w:val="both"/>
      </w:pPr>
      <w:r>
        <w:rPr>
          <w:spacing w:val="-5"/>
        </w:rPr>
        <w:t>债权，包括应收账款、其他应收款、应收票据、预付账款等，以向购货方应收的合同或协议价款作为初始确认金额；具有融</w:t>
      </w:r>
      <w:r>
        <w:rPr>
          <w:spacing w:val="4"/>
        </w:rPr>
        <w:t> </w:t>
      </w:r>
      <w:r>
        <w:rPr>
          <w:spacing w:val="4"/>
        </w:rPr>
      </w:r>
      <w:r>
        <w:rPr>
          <w:spacing w:val="-3"/>
        </w:rPr>
        <w:t>资性质的，按其现值进行初始确认。</w:t>
      </w:r>
    </w:p>
    <w:p>
      <w:pPr>
        <w:pStyle w:val="BodyText"/>
        <w:spacing w:line="316" w:lineRule="auto" w:before="19"/>
        <w:ind w:left="603" w:right="3048" w:hanging="92"/>
        <w:jc w:val="left"/>
      </w:pPr>
      <w:r>
        <w:rPr>
          <w:spacing w:val="-3"/>
        </w:rPr>
        <w:t>收回或处置时，将取得的价款与该应收款项账面价值之间的差额计入当期损益。</w:t>
      </w:r>
      <w:r>
        <w:rPr>
          <w:spacing w:val="13"/>
        </w:rPr>
        <w:t> </w:t>
      </w:r>
      <w:r>
        <w:rPr>
          <w:spacing w:val="13"/>
        </w:rPr>
      </w:r>
      <w:r>
        <w:rPr/>
        <w:t>3）</w:t>
      </w:r>
      <w:r>
        <w:rPr>
          <w:spacing w:val="51"/>
        </w:rPr>
        <w:t> </w:t>
      </w:r>
      <w:r>
        <w:rPr>
          <w:spacing w:val="-3"/>
        </w:rPr>
        <w:t>持有至到期投资</w:t>
      </w:r>
    </w:p>
    <w:p>
      <w:pPr>
        <w:pStyle w:val="BodyText"/>
        <w:spacing w:line="316" w:lineRule="auto" w:before="19"/>
        <w:ind w:left="512" w:right="0"/>
        <w:jc w:val="left"/>
      </w:pPr>
      <w:r>
        <w:rPr>
          <w:spacing w:val="-6"/>
          <w:w w:val="101"/>
        </w:rPr>
        <w:t>持有至到期投资是指到期日固定、回收金额固定或可确定，且本公司有明确意图和能力持有至到期的非衍生性金融资产。</w:t>
      </w:r>
      <w:r>
        <w:rPr>
          <w:spacing w:val="-73"/>
          <w:w w:val="101"/>
        </w:rPr>
        <w:t> </w:t>
      </w:r>
      <w:r>
        <w:rPr>
          <w:spacing w:val="-73"/>
          <w:w w:val="101"/>
        </w:rPr>
      </w:r>
      <w:r>
        <w:rPr>
          <w:spacing w:val="-4"/>
        </w:rPr>
        <w:t>本公司对持有至到期投资，在取得时按公允价值（扣除已到付息期但尚未领取的债券利息）和相关交易费用之和作为初</w:t>
      </w:r>
    </w:p>
    <w:p>
      <w:pPr>
        <w:pStyle w:val="BodyText"/>
        <w:spacing w:line="316" w:lineRule="auto" w:before="19"/>
        <w:ind w:right="206"/>
        <w:jc w:val="both"/>
      </w:pPr>
      <w:r>
        <w:rPr>
          <w:spacing w:val="-4"/>
        </w:rPr>
        <w:t>始确认金额。持有期间按照摊余成本和实际利率计算确认利息收入，计入投资收益。实际利率在取得时确定，在该预期存续</w:t>
      </w:r>
      <w:r>
        <w:rPr>
          <w:spacing w:val="42"/>
        </w:rPr>
        <w:t> </w:t>
      </w:r>
      <w:r>
        <w:rPr>
          <w:spacing w:val="42"/>
        </w:rPr>
      </w:r>
      <w:r>
        <w:rPr>
          <w:spacing w:val="-3"/>
        </w:rPr>
        <w:t>期间或适用的更短期间内保持不变。处置时，将所取得价款与该投资账面价值之间的差额计入投资收益。</w:t>
      </w:r>
    </w:p>
    <w:p>
      <w:pPr>
        <w:pStyle w:val="BodyText"/>
        <w:spacing w:line="316" w:lineRule="auto" w:before="19"/>
        <w:ind w:right="206" w:firstLine="360"/>
        <w:jc w:val="both"/>
      </w:pPr>
      <w:r>
        <w:rPr>
          <w:spacing w:val="-5"/>
          <w:w w:val="101"/>
        </w:rPr>
        <w:t>如果持有至到期投资处置或重分类为其他类金融资产的金额，相对于本公司全部持有至到期投资在出售或重分类前的总</w:t>
      </w:r>
      <w:r>
        <w:rPr>
          <w:w w:val="101"/>
        </w:rPr>
        <w:t> </w:t>
      </w:r>
      <w:r>
        <w:rPr>
          <w:spacing w:val="-4"/>
        </w:rPr>
        <w:t>额较大，在处置或重分类后应立即将其剩余的持有至到期投资重分类为可供出售金融资产；重分类日，该投资的账面价值与</w:t>
      </w:r>
      <w:r>
        <w:rPr>
          <w:spacing w:val="43"/>
        </w:rPr>
        <w:t> </w:t>
      </w:r>
      <w:r>
        <w:rPr>
          <w:spacing w:val="43"/>
        </w:rPr>
      </w:r>
      <w:r>
        <w:rPr>
          <w:spacing w:val="-4"/>
        </w:rPr>
        <w:t>其公允价值之间的差额计入其他综合收益，在该可供出售金融资产发生减值或终止确认时转出，计入当期损益。但是，遇到</w:t>
      </w:r>
      <w:r>
        <w:rPr>
          <w:spacing w:val="41"/>
        </w:rPr>
        <w:t> </w:t>
      </w:r>
      <w:r>
        <w:rPr>
          <w:spacing w:val="41"/>
        </w:rPr>
      </w:r>
      <w:r>
        <w:rPr>
          <w:spacing w:val="-3"/>
        </w:rPr>
        <w:t>下列情况可以除外：</w:t>
      </w:r>
    </w:p>
    <w:p>
      <w:pPr>
        <w:pStyle w:val="BodyText"/>
        <w:spacing w:line="316" w:lineRule="auto" w:before="19"/>
        <w:ind w:right="206" w:firstLine="360"/>
        <w:jc w:val="both"/>
      </w:pPr>
      <w:r>
        <w:rPr>
          <w:spacing w:val="-4"/>
          <w:w w:val="101"/>
        </w:rPr>
        <w:t>A:出售日或重分类日距离该项投资到期日或赎回日较近(如到期前三个月内)，且市场利率变化对该项投资的公允价值没</w:t>
      </w:r>
      <w:r>
        <w:rPr>
          <w:w w:val="101"/>
        </w:rPr>
        <w:t> </w:t>
      </w:r>
      <w:r>
        <w:rPr/>
        <w:t>有显著影响。</w:t>
      </w:r>
    </w:p>
    <w:p>
      <w:pPr>
        <w:pStyle w:val="BodyText"/>
        <w:tabs>
          <w:tab w:pos="992" w:val="left" w:leader="none"/>
        </w:tabs>
        <w:spacing w:line="316" w:lineRule="auto" w:before="19"/>
        <w:ind w:left="512" w:right="2106"/>
        <w:jc w:val="left"/>
      </w:pPr>
      <w:r>
        <w:rPr>
          <w:spacing w:val="-3"/>
        </w:rPr>
        <w:t>B:根据合同约定的偿付方式，企业已收回几乎所有初始本金。</w:t>
      </w:r>
      <w:r>
        <w:rPr>
          <w:spacing w:val="-7"/>
        </w:rPr>
        <w:t> </w:t>
      </w:r>
      <w:r>
        <w:rPr>
          <w:spacing w:val="-7"/>
        </w:rPr>
      </w:r>
      <w:r>
        <w:rPr>
          <w:spacing w:val="-3"/>
        </w:rPr>
        <w:t>C:出售或重分类是由于企业无法控制、预期不会重复发生且难以合理预计的独立事件所引起。</w:t>
      </w:r>
      <w:r>
        <w:rPr>
          <w:spacing w:val="34"/>
        </w:rPr>
        <w:t> </w:t>
      </w:r>
      <w:r>
        <w:rPr>
          <w:spacing w:val="34"/>
        </w:rPr>
      </w:r>
      <w:r>
        <w:rPr/>
        <w:t>4）</w:t>
        <w:tab/>
        <w:t>可供出售金融资产</w:t>
      </w:r>
    </w:p>
    <w:p>
      <w:pPr>
        <w:pStyle w:val="BodyText"/>
        <w:spacing w:line="316" w:lineRule="auto" w:before="19"/>
        <w:ind w:left="512" w:right="0"/>
        <w:jc w:val="left"/>
      </w:pPr>
      <w:r>
        <w:rPr>
          <w:spacing w:val="-3"/>
        </w:rPr>
        <w:t>可供出售金融资产，是指初始确认时即指定为可供出售的非衍生金融资产，以及除其他金融资产类别以外的金融资产。</w:t>
      </w:r>
      <w:r>
        <w:rPr>
          <w:spacing w:val="60"/>
        </w:rPr>
        <w:t> </w:t>
      </w:r>
      <w:r>
        <w:rPr>
          <w:spacing w:val="60"/>
        </w:rPr>
      </w:r>
      <w:r>
        <w:rPr>
          <w:spacing w:val="-5"/>
        </w:rPr>
        <w:t>本公司对可供出售金融资产，在取得时按公允价值（扣除已宣告但尚未发放的现金股利或已到付息期但尚未领取的债券</w:t>
      </w:r>
    </w:p>
    <w:p>
      <w:pPr>
        <w:pStyle w:val="BodyText"/>
        <w:spacing w:line="316" w:lineRule="auto" w:before="19"/>
        <w:ind w:right="206"/>
        <w:jc w:val="both"/>
      </w:pPr>
      <w:r>
        <w:rPr>
          <w:spacing w:val="-4"/>
        </w:rPr>
        <w:t>利息）和相关交易费用之和作为初始确认金额。持有期间将取得的利息或现金股利确认为投资收益。可供出售金融资产的公</w:t>
      </w:r>
      <w:r>
        <w:rPr>
          <w:spacing w:val="43"/>
        </w:rPr>
        <w:t> </w:t>
      </w:r>
      <w:r>
        <w:rPr>
          <w:spacing w:val="43"/>
        </w:rPr>
      </w:r>
      <w:r>
        <w:rPr>
          <w:spacing w:val="-4"/>
        </w:rPr>
        <w:t>允价值变动形成的利得或损失，除减值损失和外币货币性金融资产形成的汇兑差额外，直接计入其他综合收益。处置可供出</w:t>
      </w:r>
      <w:r>
        <w:rPr>
          <w:spacing w:val="43"/>
        </w:rPr>
        <w:t> </w:t>
      </w:r>
      <w:r>
        <w:rPr>
          <w:spacing w:val="43"/>
        </w:rPr>
      </w:r>
      <w:r>
        <w:rPr>
          <w:spacing w:val="-4"/>
        </w:rPr>
        <w:t>售金融资产时，将取得的价款与该金融资产账面价值之间的差额，计入投资损益；同时，将原直接计入其他综合收益的公允</w:t>
      </w:r>
      <w:r>
        <w:rPr>
          <w:spacing w:val="42"/>
        </w:rPr>
        <w:t> </w:t>
      </w:r>
      <w:r>
        <w:rPr>
          <w:spacing w:val="42"/>
        </w:rPr>
      </w:r>
      <w:r>
        <w:rPr>
          <w:spacing w:val="-3"/>
        </w:rPr>
        <w:t>价值变动累计额对应处置部分的金额转出，计入投资损益。</w:t>
      </w:r>
    </w:p>
    <w:p>
      <w:pPr>
        <w:pStyle w:val="BodyText"/>
        <w:spacing w:line="316" w:lineRule="auto" w:before="19"/>
        <w:ind w:right="210" w:firstLine="360"/>
        <w:jc w:val="both"/>
      </w:pPr>
      <w:r>
        <w:rPr>
          <w:spacing w:val="-5"/>
          <w:w w:val="101"/>
        </w:rPr>
        <w:t>本公司对在活跃市场中没有报价且其公允价值不能可靠计量的权益工具投资，以及与该权益工具挂钩并须通过交付该权</w:t>
      </w:r>
      <w:r>
        <w:rPr>
          <w:w w:val="101"/>
        </w:rPr>
        <w:t> </w:t>
      </w:r>
      <w:r>
        <w:rPr>
          <w:spacing w:val="-3"/>
        </w:rPr>
        <w:t>益工具结算的衍生金融资产，按照成本计量。</w:t>
      </w:r>
    </w:p>
    <w:p>
      <w:pPr>
        <w:pStyle w:val="BodyText"/>
        <w:tabs>
          <w:tab w:pos="992" w:val="left" w:leader="none"/>
        </w:tabs>
        <w:spacing w:line="316" w:lineRule="auto" w:before="19"/>
        <w:ind w:left="512" w:right="2826"/>
        <w:jc w:val="left"/>
      </w:pPr>
      <w:r>
        <w:rPr/>
        <w:t>5）</w:t>
        <w:tab/>
        <w:t>其他金融负债</w:t>
      </w:r>
      <w:r>
        <w:rPr>
          <w:spacing w:val="-86"/>
        </w:rPr>
        <w:t> </w:t>
      </w:r>
      <w:r>
        <w:rPr>
          <w:spacing w:val="-86"/>
        </w:rPr>
      </w:r>
      <w:r>
        <w:rPr>
          <w:spacing w:val="-3"/>
        </w:rPr>
        <w:t>按其公允价值和相关交易费用之和作为初始确认金额。采用摊余成本进行后续计量。</w:t>
      </w:r>
    </w:p>
    <w:p>
      <w:pPr>
        <w:pStyle w:val="BodyText"/>
        <w:spacing w:line="316" w:lineRule="auto" w:before="19"/>
        <w:ind w:left="512" w:right="0"/>
        <w:jc w:val="left"/>
      </w:pPr>
      <w:r>
        <w:rPr/>
        <w:t>（3）</w:t>
      </w:r>
      <w:r>
        <w:rPr>
          <w:spacing w:val="-66"/>
        </w:rPr>
        <w:t> </w:t>
      </w:r>
      <w:r>
        <w:rPr>
          <w:spacing w:val="-3"/>
        </w:rPr>
        <w:t>金融资产转移的确认依据和计量方法</w:t>
      </w:r>
      <w:r>
        <w:rPr>
          <w:spacing w:val="-33"/>
        </w:rPr>
        <w:t> </w:t>
      </w:r>
      <w:r>
        <w:rPr>
          <w:spacing w:val="-33"/>
        </w:rPr>
      </w:r>
      <w:r>
        <w:rPr>
          <w:spacing w:val="-4"/>
        </w:rPr>
        <w:t>公司发生金融资产转移时，如已将金融资产所有权上几乎所有的风险和报酬转移给转入方，则终止确认该金融资产；如</w:t>
      </w:r>
    </w:p>
    <w:p>
      <w:pPr>
        <w:spacing w:after="0" w:line="316"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6" w:lineRule="auto" w:before="46"/>
        <w:ind w:left="512" w:right="173" w:hanging="361"/>
        <w:jc w:val="left"/>
      </w:pPr>
      <w:r>
        <w:rPr>
          <w:spacing w:val="-3"/>
        </w:rPr>
        <w:t>保留了金融资产所有权上几乎所有的风险和报酬的，则不终止确认该金融资产。</w:t>
      </w:r>
      <w:r>
        <w:rPr>
          <w:spacing w:val="13"/>
        </w:rPr>
        <w:t> </w:t>
      </w:r>
      <w:r>
        <w:rPr>
          <w:spacing w:val="13"/>
        </w:rPr>
      </w:r>
      <w:r>
        <w:rPr>
          <w:spacing w:val="-4"/>
        </w:rPr>
        <w:t>在判断金融资产转移是否满足上述金融资产终止确认条件时，采用实质重于形式的原则。公司将金融资产转移区分为金</w:t>
      </w:r>
    </w:p>
    <w:p>
      <w:pPr>
        <w:pStyle w:val="BodyText"/>
        <w:spacing w:line="316" w:lineRule="auto" w:before="19"/>
        <w:ind w:left="604" w:right="173" w:hanging="452"/>
        <w:jc w:val="left"/>
      </w:pPr>
      <w:r>
        <w:rPr>
          <w:spacing w:val="-3"/>
        </w:rPr>
        <w:t>融资产整体转移和部分转移。金融资产整体转移满足终止确认条件的，将下列两项金额的差额计入当期损益：</w:t>
      </w:r>
      <w:r>
        <w:rPr>
          <w:spacing w:val="49"/>
        </w:rPr>
        <w:t> </w:t>
      </w:r>
      <w:r>
        <w:rPr>
          <w:spacing w:val="49"/>
        </w:rPr>
      </w:r>
      <w:r>
        <w:rPr/>
        <w:t>1）所转移金融资产的账面价值；</w:t>
      </w:r>
    </w:p>
    <w:p>
      <w:pPr>
        <w:pStyle w:val="BodyText"/>
        <w:spacing w:line="316" w:lineRule="auto" w:before="19"/>
        <w:ind w:right="173" w:firstLine="451"/>
        <w:jc w:val="left"/>
      </w:pPr>
      <w:r>
        <w:rPr>
          <w:spacing w:val="-4"/>
        </w:rPr>
        <w:t>2）因转移而收到的对价，与原直接计入所有者权益的公允价值变动累计额（涉及转移的金融资产为可供出售金融资产</w:t>
      </w:r>
      <w:r>
        <w:rPr>
          <w:w w:val="101"/>
        </w:rPr>
        <w:t> </w:t>
      </w:r>
      <w:r>
        <w:rPr>
          <w:spacing w:val="-3"/>
        </w:rPr>
        <w:t>的情形）之和。</w:t>
      </w:r>
    </w:p>
    <w:p>
      <w:pPr>
        <w:pStyle w:val="BodyText"/>
        <w:spacing w:line="316" w:lineRule="auto" w:before="19"/>
        <w:ind w:right="173" w:firstLine="360"/>
        <w:jc w:val="left"/>
      </w:pPr>
      <w:r>
        <w:rPr>
          <w:spacing w:val="-3"/>
        </w:rPr>
        <w:t>金融资产部分转移满足终止确认条件的，将所转移金融资产整体的账面价值，在终止确认部分和未终止确认部分之间，</w:t>
      </w:r>
      <w:r>
        <w:rPr>
          <w:w w:val="101"/>
        </w:rPr>
        <w:t> </w:t>
      </w:r>
      <w:r>
        <w:rPr>
          <w:spacing w:val="-3"/>
        </w:rPr>
        <w:t>按照各自的相对公允价值进行分摊，并将下列两项金额的差额计入当期损益：</w:t>
      </w:r>
    </w:p>
    <w:p>
      <w:pPr>
        <w:pStyle w:val="BodyText"/>
        <w:spacing w:line="240" w:lineRule="auto" w:before="19"/>
        <w:ind w:left="604" w:right="173"/>
        <w:jc w:val="left"/>
      </w:pPr>
      <w:r>
        <w:rPr>
          <w:spacing w:val="-3"/>
        </w:rPr>
        <w:t>1）终止确认部分的账面价值；</w:t>
      </w:r>
    </w:p>
    <w:p>
      <w:pPr>
        <w:pStyle w:val="BodyText"/>
        <w:spacing w:line="316" w:lineRule="auto" w:before="76"/>
        <w:ind w:right="173" w:firstLine="451"/>
        <w:jc w:val="left"/>
      </w:pPr>
      <w:r>
        <w:rPr>
          <w:spacing w:val="-4"/>
        </w:rPr>
        <w:t>2）终止确认部分的对价，与原直接计入所有者权益的公允价值变动累计额中对应终止确认部分的金额（涉及转移的金</w:t>
      </w:r>
      <w:r>
        <w:rPr>
          <w:w w:val="101"/>
        </w:rPr>
        <w:t> </w:t>
      </w:r>
      <w:r>
        <w:rPr>
          <w:spacing w:val="-3"/>
        </w:rPr>
        <w:t>融资产为可供出售金融资产的情形）之和。</w:t>
      </w:r>
    </w:p>
    <w:p>
      <w:pPr>
        <w:pStyle w:val="BodyText"/>
        <w:spacing w:line="240" w:lineRule="auto" w:before="19"/>
        <w:ind w:left="512" w:right="173"/>
        <w:jc w:val="left"/>
      </w:pPr>
      <w:r>
        <w:rPr>
          <w:spacing w:val="-3"/>
        </w:rPr>
        <w:t>金融资产转移不满足终止确认条件的，继续确认该金融资产，所收到的对价确认为一项金融负债。</w:t>
      </w:r>
    </w:p>
    <w:p>
      <w:pPr>
        <w:pStyle w:val="BodyText"/>
        <w:spacing w:line="316" w:lineRule="auto" w:before="76"/>
        <w:ind w:left="512" w:right="173"/>
        <w:jc w:val="left"/>
      </w:pPr>
      <w:r>
        <w:rPr/>
        <w:t>（4）</w:t>
      </w:r>
      <w:r>
        <w:rPr>
          <w:spacing w:val="-66"/>
        </w:rPr>
        <w:t> </w:t>
      </w:r>
      <w:r>
        <w:rPr/>
        <w:t>金融负债终止确认条件</w:t>
      </w:r>
      <w:r>
        <w:rPr>
          <w:spacing w:val="-81"/>
        </w:rPr>
        <w:t> </w:t>
      </w:r>
      <w:r>
        <w:rPr>
          <w:spacing w:val="-81"/>
        </w:rPr>
      </w:r>
      <w:r>
        <w:rPr>
          <w:spacing w:val="-4"/>
        </w:rPr>
        <w:t>金融负债的的现时义务全部或部分已经解除的，则终止确认该金融负债或其一部分；本公司若与债权人签定协议，以承</w:t>
      </w:r>
    </w:p>
    <w:p>
      <w:pPr>
        <w:pStyle w:val="BodyText"/>
        <w:spacing w:line="316" w:lineRule="auto" w:before="19"/>
        <w:ind w:right="109"/>
        <w:jc w:val="both"/>
      </w:pPr>
      <w:r>
        <w:rPr>
          <w:spacing w:val="-3"/>
        </w:rPr>
        <w:t>担新金融负债方式替换现存金融负债，且新金融负债与现存金融负债的合同条款实质上不同的，则终止确认现存金融负债，</w:t>
      </w:r>
      <w:r>
        <w:rPr>
          <w:spacing w:val="66"/>
        </w:rPr>
        <w:t> </w:t>
      </w:r>
      <w:r>
        <w:rPr>
          <w:spacing w:val="66"/>
        </w:rPr>
      </w:r>
      <w:r>
        <w:rPr>
          <w:spacing w:val="-3"/>
        </w:rPr>
        <w:t>并同时确认新金融负债。</w:t>
      </w:r>
    </w:p>
    <w:p>
      <w:pPr>
        <w:pStyle w:val="BodyText"/>
        <w:spacing w:line="316" w:lineRule="auto" w:before="19"/>
        <w:ind w:right="173" w:firstLine="360"/>
        <w:jc w:val="left"/>
      </w:pPr>
      <w:r>
        <w:rPr>
          <w:spacing w:val="-4"/>
        </w:rPr>
        <w:t>对现存金融负债全部或部分合同条款作出实质性修改的，则终止确认现存金融负债或其一部分，同时将修改条款后的金</w:t>
      </w:r>
      <w:r>
        <w:rPr>
          <w:w w:val="101"/>
        </w:rPr>
        <w:t> </w:t>
      </w:r>
      <w:r>
        <w:rPr>
          <w:spacing w:val="-3"/>
        </w:rPr>
        <w:t>融负债确认为一项新金融负债。</w:t>
      </w:r>
    </w:p>
    <w:p>
      <w:pPr>
        <w:pStyle w:val="BodyText"/>
        <w:spacing w:line="316" w:lineRule="auto" w:before="19"/>
        <w:ind w:right="173" w:firstLine="360"/>
        <w:jc w:val="left"/>
      </w:pPr>
      <w:r>
        <w:rPr>
          <w:spacing w:val="-4"/>
        </w:rPr>
        <w:t>金融负债全部或部分终止确认时，终止确认的金融负债账面价值与支付对价（包括转出的非现金资产或承担的新金融负</w:t>
      </w:r>
      <w:r>
        <w:rPr>
          <w:w w:val="101"/>
        </w:rPr>
        <w:t> </w:t>
      </w:r>
      <w:r>
        <w:rPr>
          <w:spacing w:val="-3"/>
        </w:rPr>
        <w:t>债）之间的差额，计入当期损益。</w:t>
      </w:r>
    </w:p>
    <w:p>
      <w:pPr>
        <w:pStyle w:val="BodyText"/>
        <w:spacing w:line="316" w:lineRule="auto" w:before="19"/>
        <w:ind w:right="173" w:firstLine="360"/>
        <w:jc w:val="left"/>
      </w:pPr>
      <w:r>
        <w:rPr>
          <w:spacing w:val="-4"/>
        </w:rPr>
        <w:t>本公司若回购部分金融负债的，在回购日按照继续确认部分与终止确认部分的相对公允价值，将该金融负债整体的账面</w:t>
      </w:r>
      <w:r>
        <w:rPr>
          <w:w w:val="101"/>
        </w:rPr>
        <w:t> </w:t>
      </w:r>
      <w:r>
        <w:rPr>
          <w:spacing w:val="-3"/>
        </w:rPr>
        <w:t>价值进行分配。分配给终止确认部分的账面价值与支付的对价（包括转出的非现金资产或承担的新金融负债）之间的差额，</w:t>
      </w:r>
      <w:r>
        <w:rPr>
          <w:spacing w:val="66"/>
        </w:rPr>
        <w:t> </w:t>
      </w:r>
      <w:r>
        <w:rPr>
          <w:spacing w:val="66"/>
        </w:rPr>
      </w:r>
      <w:r>
        <w:rPr>
          <w:spacing w:val="-3"/>
        </w:rPr>
        <w:t>计入当期损益。</w:t>
      </w:r>
    </w:p>
    <w:p>
      <w:pPr>
        <w:pStyle w:val="BodyText"/>
        <w:spacing w:line="316" w:lineRule="auto" w:before="19"/>
        <w:ind w:left="512" w:right="173"/>
        <w:jc w:val="left"/>
      </w:pPr>
      <w:r>
        <w:rPr/>
        <w:t>（5）</w:t>
      </w:r>
      <w:r>
        <w:rPr>
          <w:spacing w:val="-66"/>
        </w:rPr>
        <w:t> </w:t>
      </w:r>
      <w:r>
        <w:rPr>
          <w:spacing w:val="-3"/>
        </w:rPr>
        <w:t>金融资产和金融负债公允价值的确定方法</w:t>
      </w:r>
      <w:r>
        <w:rPr>
          <w:spacing w:val="-28"/>
        </w:rPr>
        <w:t> </w:t>
      </w:r>
      <w:r>
        <w:rPr>
          <w:spacing w:val="-28"/>
        </w:rPr>
      </w:r>
      <w:r>
        <w:rPr>
          <w:spacing w:val="-5"/>
          <w:w w:val="101"/>
        </w:rPr>
        <w:t>本公司采用公允价值计量的金融资产和金融负债存在活跃市场的金融资产或金融负债，以活跃市场的报价确定其公允价</w:t>
      </w:r>
      <w:r>
        <w:rPr>
          <w:spacing w:val="-5"/>
        </w:rPr>
      </w:r>
    </w:p>
    <w:p>
      <w:pPr>
        <w:pStyle w:val="BodyText"/>
        <w:spacing w:line="316" w:lineRule="auto" w:before="19"/>
        <w:ind w:right="185"/>
        <w:jc w:val="both"/>
      </w:pPr>
      <w:r>
        <w:rPr>
          <w:spacing w:val="-4"/>
        </w:rPr>
        <w:t>值；不存在活跃市场的金融资产或金融负债，采用估值技术（包括参考熟悉情况并自愿交易的各方最近进行的市场交易中使</w:t>
      </w:r>
      <w:r>
        <w:rPr>
          <w:spacing w:val="38"/>
        </w:rPr>
        <w:t> </w:t>
      </w:r>
      <w:r>
        <w:rPr>
          <w:spacing w:val="38"/>
        </w:rPr>
      </w:r>
      <w:r>
        <w:rPr>
          <w:spacing w:val="-4"/>
        </w:rPr>
        <w:t>用的价格、参照实质上相同的其他金融工具的当前公允价值、现金流量折现法和期权定价模型等）确定其公允价值；初始取</w:t>
      </w:r>
      <w:r>
        <w:rPr>
          <w:spacing w:val="42"/>
        </w:rPr>
        <w:t> </w:t>
      </w:r>
      <w:r>
        <w:rPr>
          <w:spacing w:val="42"/>
        </w:rPr>
      </w:r>
      <w:r>
        <w:rPr>
          <w:spacing w:val="-3"/>
        </w:rPr>
        <w:t>得或衍生的金融资产或承担的金融负债，以市场交易价格作为确定其公允价值的基础。</w:t>
      </w:r>
    </w:p>
    <w:p>
      <w:pPr>
        <w:pStyle w:val="BodyText"/>
        <w:spacing w:line="316" w:lineRule="auto" w:before="19"/>
        <w:ind w:left="512" w:right="173"/>
        <w:jc w:val="left"/>
      </w:pPr>
      <w:r>
        <w:rPr/>
        <w:t>（6）</w:t>
      </w:r>
      <w:r>
        <w:rPr>
          <w:spacing w:val="-66"/>
        </w:rPr>
        <w:t> </w:t>
      </w:r>
      <w:r>
        <w:rPr>
          <w:spacing w:val="-3"/>
        </w:rPr>
        <w:t>金融资产（不含应收款项）减值准备计提</w:t>
      </w:r>
      <w:r>
        <w:rPr>
          <w:spacing w:val="-28"/>
        </w:rPr>
        <w:t> </w:t>
      </w:r>
      <w:r>
        <w:rPr>
          <w:spacing w:val="-28"/>
        </w:rPr>
      </w:r>
      <w:r>
        <w:rPr>
          <w:spacing w:val="-5"/>
          <w:w w:val="101"/>
        </w:rPr>
        <w:t>资产负债表日对以公允价值计量且其变动计入当期损益的金融资产以外的金融资产的账面价值进行检查，如有客观证据</w:t>
      </w:r>
      <w:r>
        <w:rPr>
          <w:spacing w:val="-5"/>
        </w:rPr>
      </w:r>
    </w:p>
    <w:p>
      <w:pPr>
        <w:pStyle w:val="BodyText"/>
        <w:spacing w:line="316" w:lineRule="auto" w:before="19"/>
        <w:ind w:left="512" w:right="5505" w:hanging="361"/>
        <w:jc w:val="left"/>
      </w:pPr>
      <w:r>
        <w:rPr>
          <w:spacing w:val="-3"/>
        </w:rPr>
        <w:t>表明该金融资产发生减值的，计提减值准备。</w:t>
      </w:r>
      <w:r>
        <w:rPr>
          <w:spacing w:val="-27"/>
        </w:rPr>
        <w:t> </w:t>
      </w:r>
      <w:r>
        <w:rPr>
          <w:spacing w:val="-27"/>
        </w:rPr>
      </w:r>
      <w:r>
        <w:rPr>
          <w:spacing w:val="-3"/>
        </w:rPr>
        <w:t>金融资产发生减值的客观证据，包括但不限于：</w:t>
      </w:r>
      <w:r>
        <w:rPr>
          <w:w w:val="101"/>
        </w:rPr>
        <w:t> </w:t>
      </w:r>
      <w:r>
        <w:rPr/>
        <w:t>1）</w:t>
      </w:r>
      <w:r>
        <w:rPr>
          <w:spacing w:val="80"/>
        </w:rPr>
        <w:t> </w:t>
      </w:r>
      <w:r>
        <w:rPr>
          <w:spacing w:val="-3"/>
        </w:rPr>
        <w:t>发行方或债务人发生严重财务困难；</w:t>
      </w:r>
    </w:p>
    <w:p>
      <w:pPr>
        <w:pStyle w:val="BodyText"/>
        <w:spacing w:line="240" w:lineRule="auto" w:before="19"/>
        <w:ind w:left="604" w:right="173"/>
        <w:jc w:val="left"/>
      </w:pPr>
      <w:r>
        <w:rPr/>
        <w:t>2） </w:t>
      </w:r>
      <w:r>
        <w:rPr>
          <w:spacing w:val="19"/>
        </w:rPr>
        <w:t> </w:t>
      </w:r>
      <w:r>
        <w:rPr>
          <w:spacing w:val="-3"/>
        </w:rPr>
        <w:t>债务人违反了合同条款，如偿付利息或本金发生违约或逾期等；</w:t>
      </w:r>
    </w:p>
    <w:p>
      <w:pPr>
        <w:pStyle w:val="BodyText"/>
        <w:spacing w:line="240" w:lineRule="auto" w:before="76"/>
        <w:ind w:left="604" w:right="173"/>
        <w:jc w:val="left"/>
      </w:pPr>
      <w:r>
        <w:rPr/>
        <w:t>3） </w:t>
      </w:r>
      <w:r>
        <w:rPr>
          <w:spacing w:val="42"/>
        </w:rPr>
        <w:t> </w:t>
      </w:r>
      <w:r>
        <w:rPr>
          <w:spacing w:val="-3"/>
        </w:rPr>
        <w:t>债权人出于经济或法律等方面因素的考虑，对发生财务困难的债务人作出让步；</w:t>
      </w:r>
    </w:p>
    <w:p>
      <w:pPr>
        <w:pStyle w:val="BodyText"/>
        <w:spacing w:line="240" w:lineRule="auto" w:before="76"/>
        <w:ind w:left="604" w:right="173"/>
        <w:jc w:val="left"/>
      </w:pPr>
      <w:r>
        <w:rPr/>
        <w:t>4）</w:t>
      </w:r>
      <w:r>
        <w:rPr>
          <w:spacing w:val="85"/>
        </w:rPr>
        <w:t> </w:t>
      </w:r>
      <w:r>
        <w:rPr>
          <w:spacing w:val="-3"/>
        </w:rPr>
        <w:t>债务人很可能倒闭或进行其他财务重组；</w:t>
      </w:r>
    </w:p>
    <w:p>
      <w:pPr>
        <w:pStyle w:val="BodyText"/>
        <w:spacing w:line="240" w:lineRule="auto" w:before="76"/>
        <w:ind w:left="604" w:right="173"/>
        <w:jc w:val="left"/>
      </w:pPr>
      <w:r>
        <w:rPr/>
        <w:t>5） </w:t>
      </w:r>
      <w:r>
        <w:rPr>
          <w:spacing w:val="25"/>
        </w:rPr>
        <w:t> </w:t>
      </w:r>
      <w:r>
        <w:rPr>
          <w:spacing w:val="-3"/>
        </w:rPr>
        <w:t>因发行方发生重大财务困难，该金融资产无法在活跃市场继续交易；</w:t>
      </w:r>
    </w:p>
    <w:p>
      <w:pPr>
        <w:pStyle w:val="BodyText"/>
        <w:spacing w:line="316" w:lineRule="auto" w:before="76"/>
        <w:ind w:right="190" w:firstLine="451"/>
        <w:jc w:val="both"/>
      </w:pPr>
      <w:r>
        <w:rPr/>
        <w:t>6）</w:t>
      </w:r>
      <w:r>
        <w:rPr>
          <w:spacing w:val="43"/>
        </w:rPr>
        <w:t> </w:t>
      </w:r>
      <w:r>
        <w:rPr>
          <w:spacing w:val="-3"/>
        </w:rPr>
        <w:t>无法辨认一组金融资产中的某项资产的现金流量是否已经减少，但根据公开的数据对其进行总体评价后发现，该</w:t>
      </w:r>
      <w:r>
        <w:rPr>
          <w:w w:val="101"/>
        </w:rPr>
        <w:t> </w:t>
      </w:r>
      <w:r>
        <w:rPr>
          <w:spacing w:val="-4"/>
        </w:rPr>
        <w:t>组金融资产自初始确认以来的预计未来现金流量确已减少且可计量，如该组金融资产的债务人支付能力逐步恶化，或债务人</w:t>
      </w:r>
      <w:r>
        <w:rPr>
          <w:spacing w:val="38"/>
        </w:rPr>
        <w:t> </w:t>
      </w:r>
      <w:r>
        <w:rPr>
          <w:spacing w:val="38"/>
        </w:rPr>
      </w:r>
      <w:r>
        <w:rPr>
          <w:spacing w:val="-3"/>
        </w:rPr>
        <w:t>所在国家或地区失业率提高、担保物在其所在地区的价格明显下降、所处行业不景气等；</w:t>
      </w:r>
    </w:p>
    <w:p>
      <w:pPr>
        <w:pStyle w:val="BodyText"/>
        <w:spacing w:line="316" w:lineRule="auto" w:before="19"/>
        <w:ind w:right="173" w:firstLine="451"/>
        <w:jc w:val="left"/>
      </w:pPr>
      <w:r>
        <w:rPr/>
        <w:t>7）</w:t>
      </w:r>
      <w:r>
        <w:rPr>
          <w:spacing w:val="43"/>
        </w:rPr>
        <w:t> </w:t>
      </w:r>
      <w:r>
        <w:rPr>
          <w:spacing w:val="-3"/>
        </w:rPr>
        <w:t>权益工具发行方经营所处的技术、市场、经济或法律环境等发生重大不利变化，使权益工具投资人可能无法收回</w:t>
      </w:r>
      <w:r>
        <w:rPr>
          <w:w w:val="101"/>
        </w:rPr>
        <w:t> </w:t>
      </w:r>
      <w:r>
        <w:rPr/>
        <w:t>投资成本；</w:t>
      </w:r>
    </w:p>
    <w:p>
      <w:pPr>
        <w:pStyle w:val="BodyText"/>
        <w:spacing w:line="316" w:lineRule="auto" w:before="19"/>
        <w:ind w:left="512" w:right="3932" w:firstLine="91"/>
        <w:jc w:val="left"/>
      </w:pPr>
      <w:r>
        <w:rPr/>
        <w:t>8） </w:t>
      </w:r>
      <w:r>
        <w:rPr>
          <w:spacing w:val="-3"/>
        </w:rPr>
        <w:t>权益工具投资的公允价值发生严重或非暂时性下跌；</w:t>
      </w:r>
      <w:r>
        <w:rPr>
          <w:w w:val="101"/>
        </w:rPr>
        <w:t> </w:t>
      </w:r>
      <w:r>
        <w:rPr>
          <w:spacing w:val="-3"/>
        </w:rPr>
        <w:t>金融资产的具体减值方法如下：</w:t>
      </w:r>
    </w:p>
    <w:p>
      <w:pPr>
        <w:spacing w:after="0" w:line="316"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left="512" w:right="0" w:firstLine="91"/>
        <w:jc w:val="left"/>
      </w:pPr>
      <w:r>
        <w:rPr/>
        <w:t>1）可供出售金融资产的减值准备</w:t>
      </w:r>
      <w:r>
        <w:rPr>
          <w:w w:val="101"/>
        </w:rPr>
        <w:t> </w:t>
      </w:r>
      <w:r>
        <w:rPr>
          <w:spacing w:val="-5"/>
        </w:rPr>
        <w:t>本公司于资产负债表日对各项可供出售金融资产采用个别认定的方式评估减值损失，其中：表明可供出售权益工具投资</w:t>
      </w:r>
    </w:p>
    <w:p>
      <w:pPr>
        <w:pStyle w:val="BodyText"/>
        <w:spacing w:line="316" w:lineRule="auto" w:before="19"/>
        <w:ind w:right="0"/>
        <w:jc w:val="left"/>
      </w:pPr>
      <w:r>
        <w:rPr>
          <w:spacing w:val="-4"/>
        </w:rPr>
        <w:t>发生减值的客观证据包括权益工具投资的公允价值发生严重或非暂时性下跌，具体量化标准为：若该权益工具投资于资产负</w:t>
      </w:r>
      <w:r>
        <w:rPr>
          <w:spacing w:val="38"/>
        </w:rPr>
        <w:t> </w:t>
      </w:r>
      <w:r>
        <w:rPr>
          <w:spacing w:val="38"/>
        </w:rPr>
      </w:r>
      <w:r>
        <w:rPr>
          <w:spacing w:val="-3"/>
        </w:rPr>
        <w:t>债表日的公允价值低于其成本的，则表明其发生减值。</w:t>
      </w:r>
    </w:p>
    <w:p>
      <w:pPr>
        <w:pStyle w:val="BodyText"/>
        <w:spacing w:line="316" w:lineRule="auto" w:before="19"/>
        <w:ind w:right="146" w:firstLine="360"/>
        <w:jc w:val="both"/>
      </w:pPr>
      <w:r>
        <w:rPr>
          <w:spacing w:val="-4"/>
        </w:rPr>
        <w:t>上段所述“成本”按照可供出售权益工具投资的初始取得成本扣除已收回本金和已摊销金额、原已计入损益的减值损失</w:t>
      </w:r>
      <w:r>
        <w:rPr>
          <w:w w:val="101"/>
        </w:rPr>
        <w:t> </w:t>
      </w:r>
      <w:r>
        <w:rPr>
          <w:spacing w:val="-4"/>
        </w:rPr>
        <w:t>确定；“公允价值”根据证券交易所期末收盘价确定，除非该项可供出售权益工具投资存在限售期。对于存在限售期的可供</w:t>
      </w:r>
      <w:r>
        <w:rPr>
          <w:spacing w:val="41"/>
        </w:rPr>
        <w:t> </w:t>
      </w:r>
      <w:r>
        <w:rPr>
          <w:spacing w:val="41"/>
        </w:rPr>
      </w:r>
      <w:r>
        <w:rPr>
          <w:spacing w:val="-4"/>
          <w:w w:val="101"/>
        </w:rPr>
        <w:t>出售权益工具投资，按照证券交易所期末收盘价扣除市场参与者因承担指定期间内无法在公开市场上出售该权益工具的风险</w:t>
      </w:r>
      <w:r>
        <w:rPr>
          <w:w w:val="101"/>
        </w:rPr>
        <w:t> </w:t>
      </w:r>
      <w:r>
        <w:rPr>
          <w:spacing w:val="-3"/>
        </w:rPr>
        <w:t>而要求获得的补偿金额后确定。</w:t>
      </w:r>
    </w:p>
    <w:p>
      <w:pPr>
        <w:pStyle w:val="BodyText"/>
        <w:spacing w:line="316" w:lineRule="auto" w:before="19"/>
        <w:ind w:right="146" w:firstLine="360"/>
        <w:jc w:val="both"/>
      </w:pPr>
      <w:r>
        <w:rPr>
          <w:spacing w:val="-4"/>
        </w:rPr>
        <w:t>可供出售金融资产发生减值时，即使该金融资产没有终止确认，本公司将原直接计入其他综合收益的因公允价值下降形</w:t>
      </w:r>
      <w:r>
        <w:rPr>
          <w:w w:val="101"/>
        </w:rPr>
        <w:t> </w:t>
      </w:r>
      <w:r>
        <w:rPr>
          <w:spacing w:val="-4"/>
        </w:rPr>
        <w:t>成的累计损失从其他综合收益转出，计入当期损益。该转出的累计损失，等于可供出售金融资产的初始取得成本扣除已收回</w:t>
      </w:r>
      <w:r>
        <w:rPr>
          <w:spacing w:val="43"/>
        </w:rPr>
        <w:t> </w:t>
      </w:r>
      <w:r>
        <w:rPr>
          <w:spacing w:val="43"/>
        </w:rPr>
      </w:r>
      <w:r>
        <w:rPr>
          <w:spacing w:val="-3"/>
        </w:rPr>
        <w:t>本金和已摊余金额、当前公允价值和原已计入损益的减值损失后的余额。</w:t>
      </w:r>
    </w:p>
    <w:p>
      <w:pPr>
        <w:pStyle w:val="BodyText"/>
        <w:spacing w:line="316" w:lineRule="auto" w:before="19"/>
        <w:ind w:right="146" w:firstLine="360"/>
        <w:jc w:val="both"/>
      </w:pPr>
      <w:r>
        <w:rPr>
          <w:spacing w:val="-5"/>
          <w:w w:val="101"/>
        </w:rPr>
        <w:t>对于已确认减值损失的可供出售债务工具，在随后的会计期间公允价值已上升且客观上与确认原减值损失后发生的事项</w:t>
      </w:r>
      <w:r>
        <w:rPr>
          <w:w w:val="101"/>
        </w:rPr>
        <w:t> </w:t>
      </w:r>
      <w:r>
        <w:rPr>
          <w:spacing w:val="-4"/>
        </w:rPr>
        <w:t>有关的，原确认的减值损失予以转回计入当期损益；对于可供出售权益工具投资发生的减值损失，在该权益工具价值回升时</w:t>
      </w:r>
      <w:r>
        <w:rPr>
          <w:spacing w:val="43"/>
        </w:rPr>
        <w:t> </w:t>
      </w:r>
      <w:r>
        <w:rPr>
          <w:spacing w:val="43"/>
        </w:rPr>
      </w:r>
      <w:r>
        <w:rPr>
          <w:spacing w:val="-4"/>
        </w:rPr>
        <w:t>通过权益转回；但在活跃市场中没有报价且其公允价值不能可靠计量的权益工具投资，或与该权益工具挂钩并须通过交付该</w:t>
      </w:r>
      <w:r>
        <w:rPr>
          <w:spacing w:val="44"/>
        </w:rPr>
        <w:t> </w:t>
      </w:r>
      <w:r>
        <w:rPr>
          <w:spacing w:val="44"/>
        </w:rPr>
      </w:r>
      <w:r>
        <w:rPr>
          <w:spacing w:val="-3"/>
        </w:rPr>
        <w:t>权益工具结算的衍生金融资产发生的减值损失，不得转回。</w:t>
      </w:r>
    </w:p>
    <w:p>
      <w:pPr>
        <w:pStyle w:val="BodyText"/>
        <w:spacing w:line="316" w:lineRule="auto" w:before="19"/>
        <w:ind w:left="512" w:right="0" w:firstLine="91"/>
        <w:jc w:val="left"/>
      </w:pPr>
      <w:r>
        <w:rPr>
          <w:spacing w:val="-3"/>
        </w:rPr>
        <w:t>2）持有至到期投资的减值准备</w:t>
      </w:r>
      <w:r>
        <w:rPr>
          <w:w w:val="101"/>
        </w:rPr>
        <w:t> </w:t>
      </w:r>
      <w:r>
        <w:rPr>
          <w:spacing w:val="-5"/>
        </w:rPr>
        <w:t>对于持有至到期投资，有客观证据表明其发生了减值的，根据其账面价值与预计未来现金流量现值之间差额计算确认减</w:t>
      </w:r>
    </w:p>
    <w:p>
      <w:pPr>
        <w:pStyle w:val="BodyText"/>
        <w:spacing w:line="316" w:lineRule="auto" w:before="19"/>
        <w:ind w:right="0"/>
        <w:jc w:val="left"/>
      </w:pPr>
      <w:r>
        <w:rPr>
          <w:spacing w:val="-4"/>
        </w:rPr>
        <w:t>值损失；计提后如有证据表明其价值已恢复，原确认的减值损失可予以转回，记入当期损益，但该转回的账面价值不超过假</w:t>
      </w:r>
      <w:r>
        <w:rPr>
          <w:spacing w:val="41"/>
        </w:rPr>
        <w:t> </w:t>
      </w:r>
      <w:r>
        <w:rPr>
          <w:spacing w:val="41"/>
        </w:rPr>
      </w:r>
      <w:r>
        <w:rPr>
          <w:spacing w:val="-3"/>
        </w:rPr>
        <w:t>定不计提减值准备情况下该金融资产在转回日的摊余成本。</w:t>
      </w:r>
    </w:p>
    <w:p>
      <w:pPr>
        <w:pStyle w:val="BodyText"/>
        <w:spacing w:line="316" w:lineRule="auto" w:before="19"/>
        <w:ind w:left="512" w:right="0"/>
        <w:jc w:val="left"/>
      </w:pPr>
      <w:r>
        <w:rPr/>
        <w:t>（7）金融资产及金融负债的抵销</w:t>
      </w:r>
      <w:r>
        <w:rPr>
          <w:spacing w:val="-86"/>
        </w:rPr>
        <w:t> </w:t>
      </w:r>
      <w:r>
        <w:rPr>
          <w:spacing w:val="-86"/>
        </w:rPr>
      </w:r>
      <w:r>
        <w:rPr>
          <w:spacing w:val="-5"/>
        </w:rPr>
        <w:t>金融资产和金融负债在资产负债表内分别列示，没有相互抵销。但是，同时满足下列条件的，以相互抵销后的净额在资</w:t>
      </w:r>
    </w:p>
    <w:p>
      <w:pPr>
        <w:pStyle w:val="BodyText"/>
        <w:spacing w:line="240" w:lineRule="auto" w:before="19"/>
        <w:ind w:right="0"/>
        <w:jc w:val="left"/>
      </w:pPr>
      <w:r>
        <w:rPr/>
        <w:t>产负债表内列示：</w:t>
      </w:r>
    </w:p>
    <w:p>
      <w:pPr>
        <w:pStyle w:val="BodyText"/>
        <w:spacing w:line="240" w:lineRule="auto" w:before="76"/>
        <w:ind w:left="603" w:right="0"/>
        <w:jc w:val="left"/>
      </w:pPr>
      <w:r>
        <w:rPr>
          <w:spacing w:val="-3"/>
        </w:rPr>
        <w:t>1）本公司具有抵销已确认金额的法定权利，且该种法定权利是当前可执行的；</w:t>
      </w:r>
    </w:p>
    <w:p>
      <w:pPr>
        <w:pStyle w:val="BodyText"/>
        <w:spacing w:line="240" w:lineRule="auto" w:before="76"/>
        <w:ind w:left="603" w:right="0"/>
        <w:jc w:val="left"/>
      </w:pPr>
      <w:r>
        <w:rPr>
          <w:spacing w:val="-3"/>
        </w:rPr>
        <w:t>2）本公司计划以净额结算，或同时变现该金融资产和清偿该金融负债。</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left="2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金额在</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以</w:t>
            </w:r>
            <w:r>
              <w:rPr>
                <w:rFonts w:ascii="宋体" w:hAnsi="宋体" w:cs="宋体" w:eastAsia="宋体" w:hint="default"/>
                <w:w w:val="101"/>
                <w:sz w:val="18"/>
                <w:szCs w:val="18"/>
              </w:rPr>
              <w:t>上（含</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027"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0"/>
              <w:jc w:val="both"/>
              <w:rPr>
                <w:rFonts w:ascii="宋体" w:hAnsi="宋体" w:cs="宋体" w:eastAsia="宋体" w:hint="default"/>
                <w:sz w:val="18"/>
                <w:szCs w:val="18"/>
              </w:rPr>
            </w:pPr>
            <w:r>
              <w:rPr>
                <w:rFonts w:ascii="宋体" w:hAnsi="宋体" w:cs="宋体" w:eastAsia="宋体" w:hint="default"/>
                <w:spacing w:val="-3"/>
                <w:sz w:val="18"/>
                <w:szCs w:val="18"/>
              </w:rPr>
              <w:t>单独进行减值测试，按预计未来现金流量现值低于其账面价</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值的差额计提坏账准备，计入当期损益。单独测试未发生减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值的应收款项，将其归入相应组合计提坏账准备。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账龄分析法组合</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3"/>
        <w:ind w:right="0"/>
        <w:jc w:val="left"/>
      </w:pPr>
      <w:r>
        <w:rPr>
          <w:spacing w:val="-3"/>
        </w:rPr>
        <w:t>组合中，采用账龄分析法计提坏账准备的：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0"/>
        <w:jc w:val="left"/>
      </w:pPr>
      <w:r>
        <w:rPr>
          <w:spacing w:val="-3"/>
        </w:rPr>
        <w:t>组合中，采用余额百分比法计提坏账准备的：</w:t>
      </w:r>
    </w:p>
    <w:p>
      <w:pPr>
        <w:pStyle w:val="BodyText"/>
        <w:spacing w:line="338" w:lineRule="auto" w:before="119"/>
        <w:ind w:right="540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710"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0"/>
              <w:jc w:val="left"/>
              <w:rPr>
                <w:rFonts w:ascii="宋体" w:hAnsi="宋体" w:cs="宋体" w:eastAsia="宋体" w:hint="default"/>
                <w:sz w:val="18"/>
                <w:szCs w:val="18"/>
              </w:rPr>
            </w:pPr>
            <w:r>
              <w:rPr>
                <w:rFonts w:ascii="宋体" w:hAnsi="宋体" w:cs="宋体" w:eastAsia="宋体" w:hint="default"/>
                <w:spacing w:val="-3"/>
                <w:sz w:val="18"/>
                <w:szCs w:val="18"/>
              </w:rPr>
              <w:t>存在客观证据表明本公司将无法按应收款项的原有条款收回</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款项。</w:t>
            </w:r>
          </w:p>
        </w:tc>
      </w:tr>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60"/>
              <w:jc w:val="left"/>
              <w:rPr>
                <w:rFonts w:ascii="宋体" w:hAnsi="宋体" w:cs="宋体" w:eastAsia="宋体" w:hint="default"/>
                <w:sz w:val="18"/>
                <w:szCs w:val="18"/>
              </w:rPr>
            </w:pPr>
            <w:r>
              <w:rPr>
                <w:rFonts w:ascii="宋体" w:hAnsi="宋体" w:cs="宋体" w:eastAsia="宋体" w:hint="default"/>
                <w:spacing w:val="-3"/>
                <w:sz w:val="18"/>
                <w:szCs w:val="18"/>
              </w:rPr>
              <w:t>根据应收款项的预计未来现金流量现值低于其账面价值的差</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额进行计提。</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2" w:right="0"/>
        <w:jc w:val="left"/>
      </w:pPr>
      <w:r>
        <w:rPr/>
        <w:t>（1）存货的分类</w:t>
      </w:r>
      <w:r>
        <w:rPr>
          <w:spacing w:val="-87"/>
        </w:rPr>
        <w:t> </w:t>
      </w:r>
      <w:r>
        <w:rPr>
          <w:spacing w:val="-87"/>
        </w:rPr>
      </w:r>
      <w:r>
        <w:rPr>
          <w:spacing w:val="-4"/>
        </w:rPr>
        <w:t>存货是指本公司在日常活动中持有以备出售的产成品或商品、处在生产过程中的在产品、在生产过程或提供劳务过程中</w:t>
      </w:r>
    </w:p>
    <w:p>
      <w:pPr>
        <w:pStyle w:val="BodyText"/>
        <w:spacing w:line="240" w:lineRule="auto" w:before="19"/>
        <w:ind w:right="0"/>
        <w:jc w:val="left"/>
      </w:pPr>
      <w:r>
        <w:rPr>
          <w:spacing w:val="-3"/>
        </w:rPr>
        <w:t>耗用的材料和物料等。主要包括原材料、在产品、自制半成品、产成品（库存商品）、低值易耗品等。</w:t>
      </w:r>
    </w:p>
    <w:p>
      <w:pPr>
        <w:pStyle w:val="BodyText"/>
        <w:spacing w:line="316" w:lineRule="auto" w:before="76"/>
        <w:ind w:left="512" w:right="0"/>
        <w:jc w:val="left"/>
      </w:pPr>
      <w:r>
        <w:rPr/>
        <w:t>（2）存货的计价方法</w:t>
      </w:r>
      <w:r>
        <w:rPr>
          <w:spacing w:val="-88"/>
        </w:rPr>
        <w:t> </w:t>
      </w:r>
      <w:r>
        <w:rPr>
          <w:spacing w:val="-88"/>
        </w:rPr>
      </w:r>
      <w:r>
        <w:rPr>
          <w:spacing w:val="-3"/>
        </w:rPr>
        <w:t>存货在取得时，按成本进行初始计量，包括采购成本、加工成本和其他成本。存货发出时按移动加权平均法计价。</w:t>
      </w:r>
    </w:p>
    <w:p>
      <w:pPr>
        <w:pStyle w:val="BodyText"/>
        <w:spacing w:line="316" w:lineRule="auto" w:before="19"/>
        <w:ind w:left="512" w:right="0"/>
        <w:jc w:val="left"/>
      </w:pPr>
      <w:r>
        <w:rPr/>
        <w:t>（3）</w:t>
      </w:r>
      <w:r>
        <w:rPr>
          <w:spacing w:val="-66"/>
        </w:rPr>
        <w:t> </w:t>
      </w:r>
      <w:r>
        <w:rPr>
          <w:spacing w:val="-3"/>
        </w:rPr>
        <w:t>存货可变现净值的确定依据及存货跌价准备的计提方法</w:t>
      </w:r>
      <w:r>
        <w:rPr>
          <w:spacing w:val="-10"/>
        </w:rPr>
        <w:t> </w:t>
      </w:r>
      <w:r>
        <w:rPr>
          <w:spacing w:val="-10"/>
        </w:rPr>
      </w:r>
      <w:r>
        <w:rPr>
          <w:spacing w:val="-4"/>
        </w:rPr>
        <w:t>期末对存货进行全面清查后，按存货的成本与可变现净值孰低提取或调整存货跌价准备。产成品、库存商品和用于出售</w:t>
      </w:r>
    </w:p>
    <w:p>
      <w:pPr>
        <w:pStyle w:val="BodyText"/>
        <w:spacing w:line="316" w:lineRule="auto" w:before="19"/>
        <w:ind w:right="0"/>
        <w:jc w:val="left"/>
      </w:pPr>
      <w:r>
        <w:rPr>
          <w:spacing w:val="-6"/>
          <w:w w:val="101"/>
        </w:rPr>
        <w:t>的材料等直接用于出售的商品存货，在正常生产经营过程中，以该存货的估计售价减去估计的销售费用和相关税费后的金额，</w:t>
      </w:r>
      <w:r>
        <w:rPr>
          <w:spacing w:val="-66"/>
          <w:w w:val="101"/>
        </w:rPr>
        <w:t> </w:t>
      </w:r>
      <w:r>
        <w:rPr>
          <w:spacing w:val="-66"/>
          <w:w w:val="101"/>
        </w:rPr>
      </w:r>
      <w:r>
        <w:rPr>
          <w:spacing w:val="-4"/>
        </w:rPr>
        <w:t>确定其可变现净值；需要经过加工的材料存货，在正常生产经营过程中，以所生产的产成品的估计售价减去至完工时估计将</w:t>
      </w:r>
      <w:r>
        <w:rPr>
          <w:spacing w:val="43"/>
        </w:rPr>
        <w:t> </w:t>
      </w:r>
      <w:r>
        <w:rPr>
          <w:spacing w:val="43"/>
        </w:rPr>
      </w:r>
      <w:r>
        <w:rPr>
          <w:spacing w:val="-4"/>
        </w:rPr>
        <w:t>要发生的成本、估计的销售费用和相关税费后的金额，确定其可变现净值；为执行销售合同或者劳务合同而持有的存货，其</w:t>
      </w:r>
      <w:r>
        <w:rPr>
          <w:spacing w:val="41"/>
        </w:rPr>
        <w:t> </w:t>
      </w:r>
      <w:r>
        <w:rPr>
          <w:spacing w:val="41"/>
        </w:rPr>
      </w:r>
      <w:r>
        <w:rPr>
          <w:spacing w:val="-4"/>
        </w:rPr>
        <w:t>可变现净值以合同价格为基础计算，若持有存货的数量多于销售合同订购数量的，超出部分的存货的可变现净值以一般销售</w:t>
      </w:r>
      <w:r>
        <w:rPr>
          <w:spacing w:val="43"/>
        </w:rPr>
        <w:t> </w:t>
      </w:r>
      <w:r>
        <w:rPr>
          <w:spacing w:val="43"/>
        </w:rPr>
      </w:r>
      <w:r>
        <w:rPr/>
        <w:t>价格为基础计算。</w:t>
      </w:r>
    </w:p>
    <w:p>
      <w:pPr>
        <w:pStyle w:val="BodyText"/>
        <w:spacing w:line="316" w:lineRule="auto" w:before="19"/>
        <w:ind w:right="206" w:firstLine="360"/>
        <w:jc w:val="both"/>
      </w:pPr>
      <w:r>
        <w:rPr>
          <w:spacing w:val="-4"/>
        </w:rPr>
        <w:t>期末按照单个存货项目计提存货跌价准备；但对于数量繁多、单价较低的存货，按照存货类别计提存货跌价准备；与在</w:t>
      </w:r>
      <w:r>
        <w:rPr>
          <w:w w:val="101"/>
        </w:rPr>
        <w:t> </w:t>
      </w:r>
      <w:r>
        <w:rPr>
          <w:spacing w:val="-4"/>
        </w:rPr>
        <w:t>同一地区生产和销售的产品系列相关、具有相同或类似最终用途或目的，且难以与其他项目分开计量的存货，则合并计提存</w:t>
      </w:r>
      <w:r>
        <w:rPr>
          <w:spacing w:val="43"/>
        </w:rPr>
        <w:t> </w:t>
      </w:r>
      <w:r>
        <w:rPr>
          <w:spacing w:val="43"/>
        </w:rPr>
      </w:r>
      <w:r>
        <w:rPr/>
        <w:t>货跌价准备。</w:t>
      </w:r>
    </w:p>
    <w:p>
      <w:pPr>
        <w:pStyle w:val="BodyText"/>
        <w:spacing w:line="316" w:lineRule="auto" w:before="19"/>
        <w:ind w:right="206" w:firstLine="360"/>
        <w:jc w:val="both"/>
      </w:pPr>
      <w:r>
        <w:rPr>
          <w:spacing w:val="-4"/>
        </w:rPr>
        <w:t>以前减记存货价值的影响因素已经消失的，减记的金额予以恢复，并在原已计提的存货跌价准备金额内转回，转回的金</w:t>
      </w:r>
      <w:r>
        <w:rPr>
          <w:w w:val="101"/>
        </w:rPr>
        <w:t> </w:t>
      </w:r>
      <w:r>
        <w:rPr/>
        <w:t>额计入当期损益。</w:t>
      </w:r>
    </w:p>
    <w:p>
      <w:pPr>
        <w:pStyle w:val="BodyText"/>
        <w:spacing w:line="316" w:lineRule="auto" w:before="19"/>
        <w:ind w:left="512" w:right="7739"/>
        <w:jc w:val="left"/>
      </w:pPr>
      <w:r>
        <w:rPr/>
        <w:t>（4）</w:t>
      </w:r>
      <w:r>
        <w:rPr>
          <w:spacing w:val="-46"/>
        </w:rPr>
        <w:t> </w:t>
      </w:r>
      <w:r>
        <w:rPr>
          <w:spacing w:val="-3"/>
        </w:rPr>
        <w:t>存货的盘存制度</w:t>
      </w:r>
      <w:r>
        <w:rPr>
          <w:spacing w:val="-82"/>
        </w:rPr>
        <w:t> </w:t>
      </w:r>
      <w:r>
        <w:rPr>
          <w:spacing w:val="-82"/>
        </w:rPr>
      </w:r>
      <w:r>
        <w:rPr/>
        <w:t>采用永续盘存制。</w:t>
      </w:r>
    </w:p>
    <w:p>
      <w:pPr>
        <w:pStyle w:val="BodyText"/>
        <w:spacing w:line="316" w:lineRule="auto" w:before="19"/>
        <w:ind w:left="603" w:right="6324" w:hanging="92"/>
        <w:jc w:val="left"/>
      </w:pPr>
      <w:r>
        <w:rPr>
          <w:spacing w:val="-3"/>
        </w:rPr>
        <w:t>（5）低值易耗品和包装物的摊销方法</w:t>
      </w:r>
      <w:r>
        <w:rPr>
          <w:spacing w:val="-35"/>
        </w:rPr>
        <w:t> </w:t>
      </w:r>
      <w:r>
        <w:rPr>
          <w:spacing w:val="-35"/>
        </w:rPr>
      </w:r>
      <w:r>
        <w:rPr/>
        <w:t>1）</w:t>
      </w:r>
      <w:r>
        <w:rPr>
          <w:spacing w:val="68"/>
        </w:rPr>
        <w:t> </w:t>
      </w:r>
      <w:r>
        <w:rPr>
          <w:spacing w:val="-3"/>
        </w:rPr>
        <w:t>低值易耗品采用一次转销法。</w:t>
      </w:r>
    </w:p>
    <w:p>
      <w:pPr>
        <w:spacing w:after="0" w:line="316"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240" w:lineRule="auto" w:before="46"/>
        <w:ind w:left="603" w:right="0"/>
        <w:jc w:val="left"/>
      </w:pPr>
      <w:r>
        <w:rPr/>
        <w:t>2）</w:t>
      </w:r>
      <w:r>
        <w:rPr>
          <w:spacing w:val="63"/>
        </w:rPr>
        <w:t> </w:t>
      </w:r>
      <w:r>
        <w:rPr>
          <w:spacing w:val="-3"/>
        </w:rPr>
        <w:t>包装物采用一次转销法。</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607" w:lineRule="auto"/>
        <w:ind w:left="512" w:right="1226" w:hanging="92"/>
        <w:jc w:val="left"/>
      </w:pPr>
      <w:r>
        <w:rPr>
          <w:spacing w:val="-3"/>
        </w:rPr>
        <w:t>（</w:t>
      </w:r>
      <w:r>
        <w:rPr>
          <w:rFonts w:ascii="Times New Roman" w:hAnsi="Times New Roman" w:cs="Times New Roman" w:eastAsia="Times New Roman" w:hint="default"/>
          <w:spacing w:val="-3"/>
        </w:rPr>
        <w:t>1</w:t>
      </w:r>
      <w:r>
        <w:rPr>
          <w:spacing w:val="-3"/>
        </w:rPr>
        <w:t>）划分为持有待售确认标准</w:t>
      </w:r>
      <w:r>
        <w:rPr>
          <w:spacing w:val="-46"/>
        </w:rPr>
        <w:t> </w:t>
      </w:r>
      <w:r>
        <w:rPr>
          <w:spacing w:val="-46"/>
        </w:rPr>
      </w:r>
      <w:r>
        <w:rPr>
          <w:spacing w:val="-3"/>
        </w:rPr>
        <w:t>本公司将同时满足下列条件的企业组成部分（或非流动资产）确认为持有待售组成部分：</w:t>
      </w:r>
      <w:r>
        <w:rPr>
          <w:spacing w:val="-67"/>
        </w:rPr>
        <w:t> </w:t>
      </w:r>
      <w:r>
        <w:rPr>
          <w:spacing w:val="-67"/>
        </w:rPr>
      </w:r>
      <w:r>
        <w:rPr>
          <w:rFonts w:ascii="Times New Roman" w:hAnsi="Times New Roman" w:cs="Times New Roman" w:eastAsia="Times New Roman" w:hint="default"/>
          <w:spacing w:val="-3"/>
        </w:rPr>
        <w:t>1</w:t>
      </w:r>
      <w:r>
        <w:rPr>
          <w:spacing w:val="-3"/>
        </w:rPr>
        <w:t>）该组成部分必须在其当前状况下仅根据出售此类组成部分的惯常条款即可立即出售；</w:t>
      </w:r>
    </w:p>
    <w:p>
      <w:pPr>
        <w:pStyle w:val="BodyText"/>
        <w:spacing w:line="240" w:lineRule="auto" w:before="60"/>
        <w:ind w:left="603" w:right="0"/>
        <w:jc w:val="left"/>
      </w:pPr>
      <w:r>
        <w:rPr>
          <w:rFonts w:ascii="Times New Roman" w:hAnsi="Times New Roman" w:cs="Times New Roman" w:eastAsia="Times New Roman" w:hint="default"/>
          <w:spacing w:val="-3"/>
        </w:rPr>
        <w:t>2</w:t>
      </w:r>
      <w:r>
        <w:rPr>
          <w:spacing w:val="-3"/>
        </w:rPr>
        <w:t>）企业已经就处置该组成部分作出决议，如按规定需得到股东批准的，已经取得股东大会或相应权力机构的批准；</w:t>
      </w:r>
    </w:p>
    <w:p>
      <w:pPr>
        <w:spacing w:line="240" w:lineRule="auto" w:before="0"/>
        <w:rPr>
          <w:rFonts w:ascii="宋体" w:hAnsi="宋体" w:cs="宋体" w:eastAsia="宋体" w:hint="default"/>
          <w:sz w:val="18"/>
          <w:szCs w:val="18"/>
        </w:rPr>
      </w:pPr>
    </w:p>
    <w:p>
      <w:pPr>
        <w:pStyle w:val="BodyText"/>
        <w:spacing w:line="240" w:lineRule="auto" w:before="125"/>
        <w:ind w:left="603" w:right="0"/>
        <w:jc w:val="left"/>
      </w:pPr>
      <w:r>
        <w:rPr>
          <w:rFonts w:ascii="Times New Roman" w:hAnsi="Times New Roman" w:cs="Times New Roman" w:eastAsia="Times New Roman" w:hint="default"/>
          <w:spacing w:val="-3"/>
        </w:rPr>
        <w:t>3</w:t>
      </w:r>
      <w:r>
        <w:rPr>
          <w:spacing w:val="-3"/>
        </w:rPr>
        <w:t>）企业已经与受让方签订了不可撤销的转让协议；</w:t>
      </w:r>
    </w:p>
    <w:p>
      <w:pPr>
        <w:spacing w:line="240" w:lineRule="auto" w:before="0"/>
        <w:rPr>
          <w:rFonts w:ascii="宋体" w:hAnsi="宋体" w:cs="宋体" w:eastAsia="宋体" w:hint="default"/>
          <w:sz w:val="18"/>
          <w:szCs w:val="18"/>
        </w:rPr>
      </w:pPr>
    </w:p>
    <w:p>
      <w:pPr>
        <w:pStyle w:val="BodyText"/>
        <w:spacing w:line="240" w:lineRule="auto" w:before="129"/>
        <w:ind w:left="603" w:right="0"/>
        <w:jc w:val="left"/>
      </w:pPr>
      <w:r>
        <w:rPr>
          <w:rFonts w:ascii="Times New Roman" w:hAnsi="Times New Roman" w:cs="Times New Roman" w:eastAsia="Times New Roman" w:hint="default"/>
          <w:spacing w:val="-3"/>
        </w:rPr>
        <w:t>4</w:t>
      </w:r>
      <w:r>
        <w:rPr>
          <w:spacing w:val="-3"/>
        </w:rPr>
        <w:t>）该项转让将在一年内完成。</w:t>
      </w:r>
    </w:p>
    <w:p>
      <w:pPr>
        <w:pStyle w:val="BodyText"/>
        <w:spacing w:line="600" w:lineRule="atLeast" w:before="9"/>
        <w:ind w:left="512" w:right="0"/>
        <w:jc w:val="left"/>
      </w:pPr>
      <w:r>
        <w:rPr>
          <w:spacing w:val="-3"/>
        </w:rPr>
        <w:t>（</w:t>
      </w:r>
      <w:r>
        <w:rPr>
          <w:rFonts w:ascii="Times New Roman" w:hAnsi="Times New Roman" w:cs="Times New Roman" w:eastAsia="Times New Roman" w:hint="default"/>
          <w:spacing w:val="-3"/>
        </w:rPr>
        <w:t>2</w:t>
      </w:r>
      <w:r>
        <w:rPr>
          <w:spacing w:val="-3"/>
        </w:rPr>
        <w:t>）划分为持有待售核算方法</w:t>
      </w:r>
      <w:r>
        <w:rPr>
          <w:spacing w:val="-46"/>
        </w:rPr>
        <w:t> </w:t>
      </w:r>
      <w:r>
        <w:rPr>
          <w:spacing w:val="-46"/>
        </w:rPr>
      </w:r>
      <w:r>
        <w:rPr>
          <w:spacing w:val="-4"/>
        </w:rPr>
        <w:t>本公司对于持有待售的固定资产，调整该项固定资产的预计净残值，使该固定资产的预计净残值反映其公允价值减去处</w:t>
      </w:r>
    </w:p>
    <w:p>
      <w:pPr>
        <w:pStyle w:val="BodyText"/>
        <w:spacing w:line="316" w:lineRule="auto" w:before="76"/>
        <w:ind w:right="146"/>
        <w:jc w:val="both"/>
      </w:pPr>
      <w:r>
        <w:rPr>
          <w:spacing w:val="-4"/>
        </w:rPr>
        <w:t>置费用后的金额，但不超过符合持有待售条件时该项固定资产的原账面价值，原账面价值高于调整后预计净残值的差额，应</w:t>
      </w:r>
      <w:r>
        <w:rPr>
          <w:spacing w:val="43"/>
        </w:rPr>
        <w:t> </w:t>
      </w:r>
      <w:r>
        <w:rPr>
          <w:spacing w:val="43"/>
        </w:rPr>
      </w:r>
      <w:r>
        <w:rPr>
          <w:spacing w:val="-4"/>
        </w:rPr>
        <w:t>作为资产减值损失计入当期损益。持有待售的固定资产不计提折旧或摊销，按照账面价值与公允价值减去处置费用后的净额</w:t>
      </w:r>
      <w:r>
        <w:rPr>
          <w:spacing w:val="43"/>
        </w:rPr>
        <w:t> </w:t>
      </w:r>
      <w:r>
        <w:rPr>
          <w:spacing w:val="43"/>
        </w:rPr>
      </w:r>
      <w:r>
        <w:rPr>
          <w:spacing w:val="-3"/>
        </w:rPr>
        <w:t>孰低进行计量。</w:t>
      </w:r>
    </w:p>
    <w:p>
      <w:pPr>
        <w:spacing w:line="240" w:lineRule="auto" w:before="2"/>
        <w:rPr>
          <w:rFonts w:ascii="宋体" w:hAnsi="宋体" w:cs="宋体" w:eastAsia="宋体" w:hint="default"/>
          <w:sz w:val="24"/>
          <w:szCs w:val="24"/>
        </w:rPr>
      </w:pPr>
    </w:p>
    <w:p>
      <w:pPr>
        <w:pStyle w:val="BodyText"/>
        <w:spacing w:line="309" w:lineRule="auto"/>
        <w:ind w:right="146" w:firstLine="360"/>
        <w:jc w:val="both"/>
      </w:pPr>
      <w:r>
        <w:rPr>
          <w:spacing w:val="-4"/>
          <w:w w:val="101"/>
        </w:rPr>
        <w:t>符合持有待售条件的权益性投资、无形资产等其他非流动资产，比照上述原则处理，但不包括递延所得税资产、《企业</w:t>
      </w:r>
      <w:r>
        <w:rPr>
          <w:w w:val="101"/>
        </w:rPr>
        <w:t> </w:t>
      </w:r>
      <w:r>
        <w:rPr>
          <w:spacing w:val="-4"/>
        </w:rPr>
        <w:t>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金融工具确认和计量》规范的金融资产、以公允价值计量的投资性房地产和生物资产、保险合同中产生</w:t>
      </w:r>
      <w:r>
        <w:rPr>
          <w:spacing w:val="46"/>
        </w:rPr>
        <w:t> </w:t>
      </w:r>
      <w:r>
        <w:rPr>
          <w:spacing w:val="46"/>
        </w:rPr>
      </w:r>
      <w:r>
        <w:rPr/>
        <w:t>的合同权利。</w:t>
      </w:r>
    </w:p>
    <w:p>
      <w:pPr>
        <w:spacing w:line="240" w:lineRule="auto" w:before="12"/>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512" w:right="0"/>
        <w:jc w:val="left"/>
      </w:pPr>
      <w:r>
        <w:rPr>
          <w:w w:val="101"/>
        </w:rPr>
        <w:t>（</w:t>
      </w:r>
      <w:r>
        <w:rPr>
          <w:rFonts w:ascii="Times New Roman" w:hAnsi="Times New Roman" w:cs="Times New Roman" w:eastAsia="Times New Roman" w:hint="default"/>
          <w:w w:val="101"/>
        </w:rPr>
        <w:t>1</w:t>
      </w:r>
      <w:r>
        <w:rPr>
          <w:spacing w:val="-96"/>
          <w:w w:val="101"/>
        </w:rPr>
        <w:t>）</w:t>
      </w:r>
      <w:r>
        <w:rPr>
          <w:w w:val="101"/>
        </w:rPr>
        <w:t>．</w:t>
      </w:r>
      <w:r>
        <w:rPr>
          <w:spacing w:val="-5"/>
          <w:w w:val="101"/>
        </w:rPr>
        <w:t>投</w:t>
      </w:r>
      <w:r>
        <w:rPr>
          <w:w w:val="101"/>
        </w:rPr>
        <w:t>资</w:t>
      </w:r>
      <w:r>
        <w:rPr>
          <w:spacing w:val="-5"/>
          <w:w w:val="101"/>
        </w:rPr>
        <w:t>成</w:t>
      </w:r>
      <w:r>
        <w:rPr>
          <w:w w:val="101"/>
        </w:rPr>
        <w:t>本</w:t>
      </w:r>
      <w:r>
        <w:rPr>
          <w:spacing w:val="-5"/>
          <w:w w:val="101"/>
        </w:rPr>
        <w:t>的</w:t>
      </w:r>
      <w:r>
        <w:rPr>
          <w:w w:val="101"/>
        </w:rPr>
        <w:t>确定</w:t>
      </w:r>
      <w:r>
        <w:rPr/>
      </w:r>
    </w:p>
    <w:p>
      <w:pPr>
        <w:spacing w:line="240" w:lineRule="auto" w:before="0"/>
        <w:rPr>
          <w:rFonts w:ascii="宋体" w:hAnsi="宋体" w:cs="宋体" w:eastAsia="宋体" w:hint="default"/>
          <w:sz w:val="18"/>
          <w:szCs w:val="18"/>
        </w:rPr>
      </w:pPr>
    </w:p>
    <w:p>
      <w:pPr>
        <w:pStyle w:val="BodyText"/>
        <w:spacing w:line="300" w:lineRule="auto" w:before="125"/>
        <w:ind w:right="150" w:firstLine="360"/>
        <w:jc w:val="both"/>
      </w:pPr>
      <w:r>
        <w:rPr>
          <w:rFonts w:ascii="Times New Roman" w:hAnsi="Times New Roman" w:cs="Times New Roman" w:eastAsia="Times New Roman" w:hint="default"/>
          <w:spacing w:val="-3"/>
        </w:rPr>
        <w:t>1</w:t>
      </w:r>
      <w:r>
        <w:rPr>
          <w:spacing w:val="-3"/>
        </w:rPr>
        <w:t>）企业合并形成的长期股权投资，具体会计政策详见本附注四／（五）同一控制下和非同一控制下企业合并的会计处</w:t>
      </w:r>
      <w:r>
        <w:rPr>
          <w:w w:val="101"/>
        </w:rPr>
        <w:t> </w:t>
      </w:r>
      <w:r>
        <w:rPr/>
        <w:t>理方法</w:t>
      </w:r>
    </w:p>
    <w:p>
      <w:pPr>
        <w:pStyle w:val="BodyText"/>
        <w:spacing w:line="610" w:lineRule="exact" w:before="56"/>
        <w:ind w:left="512" w:right="0"/>
        <w:jc w:val="left"/>
      </w:pPr>
      <w:r>
        <w:rPr>
          <w:rFonts w:ascii="Times New Roman" w:hAnsi="Times New Roman" w:cs="Times New Roman" w:eastAsia="Times New Roman" w:hint="default"/>
        </w:rPr>
        <w:t>2</w:t>
      </w:r>
      <w:r>
        <w:rPr/>
        <w:t>）其他方式取得的长期股权投资</w:t>
      </w:r>
      <w:r>
        <w:rPr>
          <w:spacing w:val="-86"/>
        </w:rPr>
        <w:t> </w:t>
      </w:r>
      <w:r>
        <w:rPr>
          <w:spacing w:val="-86"/>
        </w:rPr>
      </w:r>
      <w:r>
        <w:rPr>
          <w:spacing w:val="-4"/>
        </w:rPr>
        <w:t>以支付现金方式取得的长期股权投资，按照实际支付的购买价款作为初始投资成本。初始投资成本包括与取得长期股权</w:t>
      </w:r>
    </w:p>
    <w:p>
      <w:pPr>
        <w:pStyle w:val="BodyText"/>
        <w:spacing w:line="215" w:lineRule="exact"/>
        <w:ind w:right="0"/>
        <w:jc w:val="both"/>
      </w:pPr>
      <w:r>
        <w:rPr>
          <w:spacing w:val="-3"/>
        </w:rPr>
        <w:t>投资直接相关的费用、税金及其他必要支出。</w:t>
      </w:r>
    </w:p>
    <w:p>
      <w:pPr>
        <w:spacing w:line="240" w:lineRule="auto" w:before="0"/>
        <w:rPr>
          <w:rFonts w:ascii="宋体" w:hAnsi="宋体" w:cs="宋体" w:eastAsia="宋体" w:hint="default"/>
          <w:sz w:val="18"/>
          <w:szCs w:val="18"/>
        </w:rPr>
      </w:pPr>
    </w:p>
    <w:p>
      <w:pPr>
        <w:pStyle w:val="BodyText"/>
        <w:spacing w:line="316" w:lineRule="auto" w:before="143"/>
        <w:ind w:right="146" w:firstLine="360"/>
        <w:jc w:val="both"/>
      </w:pPr>
      <w:r>
        <w:rPr>
          <w:spacing w:val="-4"/>
        </w:rPr>
        <w:t>以发行权益性证券取得的长期股权投资，按照发行权益性证券的公允价值作为初始投资成本；发行或取得自身权益工具</w:t>
      </w:r>
      <w:r>
        <w:rPr>
          <w:w w:val="101"/>
        </w:rPr>
        <w:t> </w:t>
      </w:r>
      <w:r>
        <w:rPr>
          <w:spacing w:val="-3"/>
        </w:rPr>
        <w:t>时发生的交易费用，可直接归属于权益性交易的从权益中扣减。</w:t>
      </w:r>
    </w:p>
    <w:p>
      <w:pPr>
        <w:spacing w:line="240" w:lineRule="auto" w:before="2"/>
        <w:rPr>
          <w:rFonts w:ascii="宋体" w:hAnsi="宋体" w:cs="宋体" w:eastAsia="宋体" w:hint="default"/>
          <w:sz w:val="24"/>
          <w:szCs w:val="24"/>
        </w:rPr>
      </w:pPr>
    </w:p>
    <w:p>
      <w:pPr>
        <w:pStyle w:val="BodyText"/>
        <w:spacing w:line="316" w:lineRule="auto"/>
        <w:ind w:right="151" w:firstLine="360"/>
        <w:jc w:val="both"/>
      </w:pPr>
      <w:r>
        <w:rPr>
          <w:spacing w:val="-5"/>
          <w:w w:val="101"/>
        </w:rPr>
        <w:t>在非货币性资产交换具备商业实质和换入资产或换出资产的公允价值能够可靠计量的前提下，非货币性资产交换换入的</w:t>
      </w:r>
      <w:r>
        <w:rPr>
          <w:w w:val="101"/>
        </w:rPr>
        <w:t> </w:t>
      </w:r>
      <w:r>
        <w:rPr>
          <w:spacing w:val="-5"/>
        </w:rPr>
        <w:t>长期股权投资以换出资产的公允价值为基础确定其初始投资成本，除非有确凿证据表明换入资产的公允价值更加可靠；不满</w:t>
      </w:r>
      <w:r>
        <w:rPr>
          <w:spacing w:val="6"/>
        </w:rPr>
        <w:t> </w:t>
      </w:r>
      <w:r>
        <w:rPr>
          <w:spacing w:val="6"/>
        </w:rPr>
      </w:r>
      <w:r>
        <w:rPr>
          <w:spacing w:val="-3"/>
        </w:rPr>
        <w:t>足上述前提的非货币性资产交换，以换出资产的账面价值和应支付的相关税费作为换入长期股权投资的初始投资成本。</w:t>
      </w:r>
    </w:p>
    <w:p>
      <w:pPr>
        <w:spacing w:after="0" w:line="316" w:lineRule="auto"/>
        <w:jc w:val="both"/>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240" w:lineRule="auto" w:before="46"/>
        <w:ind w:left="512" w:right="173"/>
        <w:jc w:val="left"/>
      </w:pPr>
      <w:r>
        <w:rPr>
          <w:spacing w:val="-3"/>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38"/>
        <w:ind w:left="512" w:right="173"/>
        <w:jc w:val="left"/>
      </w:pPr>
      <w:r>
        <w:rPr>
          <w:w w:val="101"/>
        </w:rPr>
        <w:t>（</w:t>
      </w:r>
      <w:r>
        <w:rPr>
          <w:rFonts w:ascii="Times New Roman" w:hAnsi="Times New Roman" w:cs="Times New Roman" w:eastAsia="Times New Roman" w:hint="default"/>
          <w:w w:val="101"/>
        </w:rPr>
        <w:t>2</w:t>
      </w:r>
      <w:r>
        <w:rPr>
          <w:spacing w:val="-96"/>
          <w:w w:val="101"/>
        </w:rPr>
        <w:t>）</w:t>
      </w:r>
      <w:r>
        <w:rPr>
          <w:w w:val="101"/>
        </w:rPr>
        <w:t>．</w:t>
      </w:r>
      <w:r>
        <w:rPr>
          <w:spacing w:val="-5"/>
          <w:w w:val="101"/>
        </w:rPr>
        <w:t>后</w:t>
      </w:r>
      <w:r>
        <w:rPr>
          <w:w w:val="101"/>
        </w:rPr>
        <w:t>续</w:t>
      </w:r>
      <w:r>
        <w:rPr>
          <w:spacing w:val="-5"/>
          <w:w w:val="101"/>
        </w:rPr>
        <w:t>计</w:t>
      </w:r>
      <w:r>
        <w:rPr>
          <w:w w:val="101"/>
        </w:rPr>
        <w:t>量</w:t>
      </w:r>
      <w:r>
        <w:rPr>
          <w:spacing w:val="-5"/>
          <w:w w:val="101"/>
        </w:rPr>
        <w:t>及</w:t>
      </w:r>
      <w:r>
        <w:rPr>
          <w:w w:val="101"/>
        </w:rPr>
        <w:t>损</w:t>
      </w:r>
      <w:r>
        <w:rPr>
          <w:spacing w:val="-5"/>
          <w:w w:val="101"/>
        </w:rPr>
        <w:t>益</w:t>
      </w:r>
      <w:r>
        <w:rPr>
          <w:w w:val="101"/>
        </w:rPr>
        <w:t>确认</w:t>
      </w:r>
      <w:r>
        <w:rPr/>
      </w:r>
    </w:p>
    <w:p>
      <w:pPr>
        <w:pStyle w:val="BodyText"/>
        <w:spacing w:line="590" w:lineRule="atLeast" w:before="24"/>
        <w:ind w:left="512" w:right="173" w:firstLine="91"/>
        <w:jc w:val="left"/>
      </w:pPr>
      <w:r>
        <w:rPr>
          <w:rFonts w:ascii="Times New Roman" w:hAnsi="Times New Roman" w:cs="Times New Roman" w:eastAsia="Times New Roman" w:hint="default"/>
        </w:rPr>
        <w:t>1</w:t>
      </w:r>
      <w:r>
        <w:rPr/>
        <w:t>）成本法</w:t>
      </w:r>
      <w:r>
        <w:rPr>
          <w:w w:val="101"/>
        </w:rPr>
        <w:t> </w:t>
      </w:r>
      <w:r>
        <w:rPr>
          <w:spacing w:val="-5"/>
        </w:rPr>
        <w:t>本公司能够对被投资单位实施控制的长期股权投资采用成本法核算，并按照初始投资成本计价，追加或收回投资调整长</w:t>
      </w:r>
    </w:p>
    <w:p>
      <w:pPr>
        <w:pStyle w:val="BodyText"/>
        <w:spacing w:line="240" w:lineRule="auto" w:before="76"/>
        <w:ind w:right="173"/>
        <w:jc w:val="left"/>
      </w:pPr>
      <w:r>
        <w:rPr>
          <w:spacing w:val="-3"/>
        </w:rPr>
        <w:t>期股权投资的成本。</w:t>
      </w:r>
    </w:p>
    <w:p>
      <w:pPr>
        <w:spacing w:line="240" w:lineRule="auto" w:before="0"/>
        <w:rPr>
          <w:rFonts w:ascii="宋体" w:hAnsi="宋体" w:cs="宋体" w:eastAsia="宋体" w:hint="default"/>
          <w:sz w:val="18"/>
          <w:szCs w:val="18"/>
        </w:rPr>
      </w:pPr>
    </w:p>
    <w:p>
      <w:pPr>
        <w:pStyle w:val="BodyText"/>
        <w:spacing w:line="316" w:lineRule="auto" w:before="143"/>
        <w:ind w:right="173" w:firstLine="360"/>
        <w:jc w:val="left"/>
      </w:pPr>
      <w:r>
        <w:rPr>
          <w:spacing w:val="-5"/>
          <w:w w:val="101"/>
        </w:rPr>
        <w:t>除取得投资时实际支付的价款或对价中包含的已宣告但尚未发放的现金股利或利润外，本公司按照享有被投资单位宣告</w:t>
      </w:r>
      <w:r>
        <w:rPr>
          <w:w w:val="101"/>
        </w:rPr>
        <w:t> </w:t>
      </w:r>
      <w:r>
        <w:rPr>
          <w:spacing w:val="-3"/>
        </w:rPr>
        <w:t>分派的现金股利或利润确认为当期投资收益。</w:t>
      </w:r>
    </w:p>
    <w:p>
      <w:pPr>
        <w:pStyle w:val="BodyText"/>
        <w:spacing w:line="614" w:lineRule="exact" w:before="35"/>
        <w:ind w:left="512" w:right="173" w:hanging="92"/>
        <w:jc w:val="left"/>
      </w:pPr>
      <w:r>
        <w:rPr>
          <w:rFonts w:ascii="Times New Roman" w:hAnsi="Times New Roman" w:cs="Times New Roman" w:eastAsia="Times New Roman" w:hint="default"/>
        </w:rPr>
        <w:t>2</w:t>
      </w:r>
      <w:r>
        <w:rPr/>
        <w:t>）权益法</w:t>
      </w:r>
      <w:r>
        <w:rPr>
          <w:spacing w:val="-85"/>
        </w:rPr>
        <w:t> </w:t>
      </w:r>
      <w:r>
        <w:rPr>
          <w:spacing w:val="-85"/>
        </w:rPr>
      </w:r>
      <w:r>
        <w:rPr>
          <w:spacing w:val="-5"/>
        </w:rPr>
        <w:t>本公司对联营企业和合营企业的长期股权投资采用权益法核算；对于其中一部分通过风险投资机构、共同基金、信托公</w:t>
      </w:r>
    </w:p>
    <w:p>
      <w:pPr>
        <w:pStyle w:val="BodyText"/>
        <w:spacing w:line="215" w:lineRule="exact"/>
        <w:ind w:right="173"/>
        <w:jc w:val="left"/>
      </w:pPr>
      <w:r>
        <w:rPr>
          <w:spacing w:val="-3"/>
        </w:rPr>
        <w:t>司或包括投连险基金在内的类似主体间接持有的联营企业的权益性投资，采用公允价值计量且其变动计入损益。</w:t>
      </w:r>
    </w:p>
    <w:p>
      <w:pPr>
        <w:spacing w:line="240" w:lineRule="auto" w:before="0"/>
        <w:rPr>
          <w:rFonts w:ascii="宋体" w:hAnsi="宋体" w:cs="宋体" w:eastAsia="宋体" w:hint="default"/>
          <w:sz w:val="18"/>
          <w:szCs w:val="18"/>
        </w:rPr>
      </w:pPr>
    </w:p>
    <w:p>
      <w:pPr>
        <w:pStyle w:val="BodyText"/>
        <w:spacing w:line="316" w:lineRule="auto" w:before="138"/>
        <w:ind w:right="173" w:firstLine="360"/>
        <w:jc w:val="left"/>
      </w:pPr>
      <w:r>
        <w:rPr>
          <w:spacing w:val="-5"/>
          <w:w w:val="101"/>
        </w:rPr>
        <w:t>长期股权投资的初始投资成本大于投资时应享有被投资单位可辨认净资产公允价值份额的差额，不调整长期股权投资的</w:t>
      </w:r>
      <w:r>
        <w:rPr>
          <w:w w:val="101"/>
        </w:rPr>
        <w:t> </w:t>
      </w:r>
      <w:r>
        <w:rPr>
          <w:spacing w:val="-3"/>
        </w:rPr>
        <w:t>初始投资成本；初始投资成本小于投资时应享有被投资单位可辨认净资产公允价值份额的差额，计入当期损益。</w:t>
      </w:r>
    </w:p>
    <w:p>
      <w:pPr>
        <w:spacing w:line="240" w:lineRule="auto" w:before="7"/>
        <w:rPr>
          <w:rFonts w:ascii="宋体" w:hAnsi="宋体" w:cs="宋体" w:eastAsia="宋体" w:hint="default"/>
          <w:sz w:val="24"/>
          <w:szCs w:val="24"/>
        </w:rPr>
      </w:pPr>
    </w:p>
    <w:p>
      <w:pPr>
        <w:pStyle w:val="BodyText"/>
        <w:spacing w:line="316" w:lineRule="auto"/>
        <w:ind w:right="173" w:firstLine="360"/>
        <w:jc w:val="left"/>
      </w:pPr>
      <w:r>
        <w:rPr>
          <w:spacing w:val="-4"/>
        </w:rPr>
        <w:t>本公司取得长期股权投资后，按照应享有或应分担的被投资单位实现的净损益和其他综合收益的份额，分别确认投资收</w:t>
      </w:r>
      <w:r>
        <w:rPr>
          <w:w w:val="101"/>
        </w:rPr>
        <w:t> </w:t>
      </w:r>
      <w:r>
        <w:rPr>
          <w:spacing w:val="-3"/>
        </w:rPr>
        <w:t>益和其他综合收益，同时调整长期股权投资的账面价值；并按照被投资单位宣告分派的利润或现金股利计算应享有的部分，</w:t>
      </w:r>
      <w:r>
        <w:rPr>
          <w:spacing w:val="66"/>
        </w:rPr>
        <w:t> </w:t>
      </w:r>
      <w:r>
        <w:rPr>
          <w:spacing w:val="66"/>
        </w:rPr>
      </w:r>
      <w:r>
        <w:rPr>
          <w:spacing w:val="-4"/>
        </w:rPr>
        <w:t>相应减少长期股权投资的账面价值；对于被投资单位除净损益、其他综合收益和利润分配以外所有者权益的其他变动，调整</w:t>
      </w:r>
      <w:r>
        <w:rPr>
          <w:spacing w:val="43"/>
        </w:rPr>
        <w:t> </w:t>
      </w:r>
      <w:r>
        <w:rPr>
          <w:spacing w:val="43"/>
        </w:rPr>
      </w:r>
      <w:r>
        <w:rPr>
          <w:spacing w:val="-3"/>
        </w:rPr>
        <w:t>长期股权投资的账面价值并计入所有者权益。</w:t>
      </w:r>
    </w:p>
    <w:p>
      <w:pPr>
        <w:spacing w:line="240" w:lineRule="auto" w:before="2"/>
        <w:rPr>
          <w:rFonts w:ascii="宋体" w:hAnsi="宋体" w:cs="宋体" w:eastAsia="宋体" w:hint="default"/>
          <w:sz w:val="24"/>
          <w:szCs w:val="24"/>
        </w:rPr>
      </w:pPr>
    </w:p>
    <w:p>
      <w:pPr>
        <w:pStyle w:val="BodyText"/>
        <w:spacing w:line="316" w:lineRule="auto"/>
        <w:ind w:right="186" w:firstLine="360"/>
        <w:jc w:val="both"/>
      </w:pPr>
      <w:r>
        <w:rPr>
          <w:spacing w:val="-4"/>
        </w:rPr>
        <w:t>本公司在确认应享有被投资单位净损益的份额时，以取得投资时被投资单位各项可辨认资产等的公允价值为基础，对被</w:t>
      </w:r>
      <w:r>
        <w:rPr>
          <w:w w:val="101"/>
        </w:rPr>
        <w:t> </w:t>
      </w:r>
      <w:r>
        <w:rPr>
          <w:spacing w:val="-5"/>
        </w:rPr>
        <w:t>投资单位的净利润进行调整后确认。本公司与联营企业、合营企业之间发生的未实现内部交易损益按照应享有的比例计算归</w:t>
      </w:r>
      <w:r>
        <w:rPr>
          <w:spacing w:val="6"/>
        </w:rPr>
        <w:t> </w:t>
      </w:r>
      <w:r>
        <w:rPr>
          <w:spacing w:val="6"/>
        </w:rPr>
      </w:r>
      <w:r>
        <w:rPr>
          <w:spacing w:val="-3"/>
        </w:rPr>
        <w:t>属于本公司的部分予以抵销，在此基础上确认投资损益。</w:t>
      </w:r>
    </w:p>
    <w:p>
      <w:pPr>
        <w:spacing w:line="240" w:lineRule="auto" w:before="7"/>
        <w:rPr>
          <w:rFonts w:ascii="宋体" w:hAnsi="宋体" w:cs="宋体" w:eastAsia="宋体" w:hint="default"/>
          <w:sz w:val="24"/>
          <w:szCs w:val="24"/>
        </w:rPr>
      </w:pPr>
    </w:p>
    <w:p>
      <w:pPr>
        <w:pStyle w:val="BodyText"/>
        <w:spacing w:line="316" w:lineRule="auto"/>
        <w:ind w:right="173" w:firstLine="360"/>
        <w:jc w:val="left"/>
      </w:pPr>
      <w:r>
        <w:rPr>
          <w:spacing w:val="-5"/>
        </w:rPr>
        <w:t>本公司确认应分担被投资单位发生的亏损时，按照以下顺序进行处理：首先，冲减长期股权投资的账面价值。其次，长</w:t>
      </w:r>
      <w:r>
        <w:rPr>
          <w:w w:val="101"/>
        </w:rPr>
        <w:t> </w:t>
      </w:r>
      <w:r>
        <w:rPr>
          <w:spacing w:val="-3"/>
        </w:rPr>
        <w:t>期股权投资的账面价值不足以冲减的，以其他实质上构成对被投资单位净投资的长期权益账面价值为限继续确认投资损失，</w:t>
      </w:r>
      <w:r>
        <w:rPr>
          <w:spacing w:val="66"/>
        </w:rPr>
        <w:t> </w:t>
      </w:r>
      <w:r>
        <w:rPr>
          <w:spacing w:val="66"/>
        </w:rPr>
      </w:r>
      <w:r>
        <w:rPr>
          <w:spacing w:val="-4"/>
        </w:rPr>
        <w:t>冲减长期应收项目等的账面价值。最后，经过上述处理，按照投资合同或协议约定企业仍承担额外义务的，按预计承担的义</w:t>
      </w:r>
      <w:r>
        <w:rPr>
          <w:spacing w:val="42"/>
        </w:rPr>
        <w:t> </w:t>
      </w:r>
      <w:r>
        <w:rPr>
          <w:spacing w:val="42"/>
        </w:rPr>
      </w:r>
      <w:r>
        <w:rPr>
          <w:spacing w:val="-3"/>
        </w:rPr>
        <w:t>务确认预计负债，计入当期投资损失。</w:t>
      </w:r>
    </w:p>
    <w:p>
      <w:pPr>
        <w:spacing w:line="240" w:lineRule="auto" w:before="2"/>
        <w:rPr>
          <w:rFonts w:ascii="宋体" w:hAnsi="宋体" w:cs="宋体" w:eastAsia="宋体" w:hint="default"/>
          <w:sz w:val="24"/>
          <w:szCs w:val="24"/>
        </w:rPr>
      </w:pPr>
    </w:p>
    <w:p>
      <w:pPr>
        <w:pStyle w:val="BodyText"/>
        <w:spacing w:line="316" w:lineRule="auto"/>
        <w:ind w:right="173" w:firstLine="360"/>
        <w:jc w:val="left"/>
      </w:pPr>
      <w:r>
        <w:rPr>
          <w:spacing w:val="-4"/>
        </w:rPr>
        <w:t>被投资单位以后期间实现盈利的，公司在扣除未确认的亏损分担额后，按与上述相反的顺序处理，减记已确认预计负债</w:t>
      </w:r>
      <w:r>
        <w:rPr>
          <w:w w:val="101"/>
        </w:rPr>
        <w:t> </w:t>
      </w:r>
      <w:r>
        <w:rPr>
          <w:spacing w:val="-3"/>
        </w:rPr>
        <w:t>的账面余额、恢复其他实质上构成对被投资单位净投资的长期权益及长期股权投资的账面价值后，恢复确认投资收益。</w:t>
      </w:r>
    </w:p>
    <w:p>
      <w:pPr>
        <w:spacing w:line="240" w:lineRule="auto" w:before="7"/>
        <w:rPr>
          <w:rFonts w:ascii="宋体" w:hAnsi="宋体" w:cs="宋体" w:eastAsia="宋体" w:hint="default"/>
          <w:sz w:val="24"/>
          <w:szCs w:val="24"/>
        </w:rPr>
      </w:pPr>
    </w:p>
    <w:p>
      <w:pPr>
        <w:pStyle w:val="BodyText"/>
        <w:spacing w:line="240" w:lineRule="auto"/>
        <w:ind w:left="512" w:right="173"/>
        <w:jc w:val="left"/>
      </w:pPr>
      <w:r>
        <w:rPr>
          <w:w w:val="101"/>
        </w:rPr>
        <w:t>（</w:t>
      </w:r>
      <w:r>
        <w:rPr>
          <w:rFonts w:ascii="Times New Roman" w:hAnsi="Times New Roman" w:cs="Times New Roman" w:eastAsia="Times New Roman" w:hint="default"/>
          <w:w w:val="101"/>
        </w:rPr>
        <w:t>3</w:t>
      </w:r>
      <w:r>
        <w:rPr>
          <w:spacing w:val="-96"/>
          <w:w w:val="101"/>
        </w:rPr>
        <w:t>）</w:t>
      </w:r>
      <w:r>
        <w:rPr>
          <w:w w:val="101"/>
        </w:rPr>
        <w:t>．</w:t>
      </w:r>
      <w:r>
        <w:rPr>
          <w:spacing w:val="-5"/>
          <w:w w:val="101"/>
        </w:rPr>
        <w:t>长</w:t>
      </w:r>
      <w:r>
        <w:rPr>
          <w:w w:val="101"/>
        </w:rPr>
        <w:t>期</w:t>
      </w:r>
      <w:r>
        <w:rPr>
          <w:spacing w:val="-5"/>
          <w:w w:val="101"/>
        </w:rPr>
        <w:t>股</w:t>
      </w:r>
      <w:r>
        <w:rPr>
          <w:w w:val="101"/>
        </w:rPr>
        <w:t>权</w:t>
      </w:r>
      <w:r>
        <w:rPr>
          <w:spacing w:val="-5"/>
          <w:w w:val="101"/>
        </w:rPr>
        <w:t>投</w:t>
      </w:r>
      <w:r>
        <w:rPr>
          <w:w w:val="101"/>
        </w:rPr>
        <w:t>资</w:t>
      </w:r>
      <w:r>
        <w:rPr>
          <w:spacing w:val="-5"/>
          <w:w w:val="101"/>
        </w:rPr>
        <w:t>核</w:t>
      </w:r>
      <w:r>
        <w:rPr>
          <w:w w:val="101"/>
        </w:rPr>
        <w:t>算</w:t>
      </w:r>
      <w:r>
        <w:rPr>
          <w:spacing w:val="-5"/>
          <w:w w:val="101"/>
        </w:rPr>
        <w:t>方</w:t>
      </w:r>
      <w:r>
        <w:rPr>
          <w:w w:val="101"/>
        </w:rPr>
        <w:t>法</w:t>
      </w:r>
      <w:r>
        <w:rPr>
          <w:spacing w:val="-5"/>
          <w:w w:val="101"/>
        </w:rPr>
        <w:t>的</w:t>
      </w:r>
      <w:r>
        <w:rPr>
          <w:w w:val="101"/>
        </w:rPr>
        <w:t>转换</w:t>
      </w:r>
      <w:r>
        <w:rPr/>
      </w:r>
    </w:p>
    <w:p>
      <w:pPr>
        <w:pStyle w:val="BodyText"/>
        <w:spacing w:line="600" w:lineRule="atLeast" w:before="9"/>
        <w:ind w:left="512" w:right="173" w:firstLine="91"/>
        <w:jc w:val="left"/>
      </w:pPr>
      <w:r>
        <w:rPr>
          <w:rFonts w:ascii="Times New Roman" w:hAnsi="Times New Roman" w:cs="Times New Roman" w:eastAsia="Times New Roman" w:hint="default"/>
          <w:spacing w:val="-3"/>
        </w:rPr>
        <w:t>1</w:t>
      </w:r>
      <w:r>
        <w:rPr>
          <w:spacing w:val="-3"/>
        </w:rPr>
        <w:t>）公允价值计量转权益法核算</w:t>
      </w:r>
      <w:r>
        <w:rPr>
          <w:w w:val="101"/>
        </w:rPr>
        <w:t> </w:t>
      </w:r>
      <w:r>
        <w:rPr>
          <w:spacing w:val="-5"/>
          <w:w w:val="101"/>
        </w:rPr>
        <w:t>本公司原持有的对被投资单位不具有控制、共同控制或重大影响的按金融工具确认和计量准则进行会计处理的权益性投</w:t>
      </w:r>
      <w:r>
        <w:rPr>
          <w:spacing w:val="-5"/>
        </w:rPr>
      </w:r>
    </w:p>
    <w:p>
      <w:pPr>
        <w:pStyle w:val="BodyText"/>
        <w:spacing w:line="300" w:lineRule="auto" w:before="76"/>
        <w:ind w:right="173" w:hanging="1"/>
        <w:jc w:val="left"/>
      </w:pPr>
      <w:r>
        <w:rPr>
          <w:spacing w:val="-4"/>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w:t>
      </w:r>
      <w:r>
        <w:rPr>
          <w:spacing w:val="47"/>
        </w:rPr>
        <w:t> </w:t>
      </w:r>
      <w:r>
        <w:rPr>
          <w:spacing w:val="-3"/>
        </w:rPr>
        <w:t>融工具确认和计量》确定的原持有的股权投资的公允价值加上新增投资成本之和，作为改按权益法核算的初始投资成本。</w:t>
      </w:r>
    </w:p>
    <w:p>
      <w:pPr>
        <w:spacing w:after="0" w:line="30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73" w:firstLine="360"/>
        <w:jc w:val="left"/>
      </w:pPr>
      <w:r>
        <w:rPr>
          <w:spacing w:val="-4"/>
        </w:rPr>
        <w:t>原持有的股权投资分类为可供出售金融资产的，其公允价值与账面价值之间的差额，以及原计入其他综合收益的累计公</w:t>
      </w:r>
      <w:r>
        <w:rPr>
          <w:w w:val="101"/>
        </w:rPr>
        <w:t> </w:t>
      </w:r>
      <w:r>
        <w:rPr>
          <w:spacing w:val="-3"/>
        </w:rPr>
        <w:t>允价值变动转入改按权益法核算的当期损益。</w:t>
      </w:r>
    </w:p>
    <w:p>
      <w:pPr>
        <w:spacing w:line="240" w:lineRule="auto" w:before="2"/>
        <w:rPr>
          <w:rFonts w:ascii="宋体" w:hAnsi="宋体" w:cs="宋体" w:eastAsia="宋体" w:hint="default"/>
          <w:sz w:val="24"/>
          <w:szCs w:val="24"/>
        </w:rPr>
      </w:pPr>
    </w:p>
    <w:p>
      <w:pPr>
        <w:pStyle w:val="BodyText"/>
        <w:spacing w:line="316" w:lineRule="auto"/>
        <w:ind w:right="173" w:firstLine="360"/>
        <w:jc w:val="left"/>
      </w:pPr>
      <w:r>
        <w:rPr>
          <w:spacing w:val="-1"/>
        </w:rPr>
        <w:t>按权益法核算的初始投资成本小于按照追加投资后全新的持股比例计算确定的应享有被投资单位在追加投资日可辨认</w:t>
      </w:r>
      <w:r>
        <w:rPr>
          <w:w w:val="101"/>
        </w:rPr>
        <w:t> </w:t>
      </w:r>
      <w:r>
        <w:rPr>
          <w:spacing w:val="-3"/>
        </w:rPr>
        <w:t>净资产公允价值份额之间的差额，调整长期股权投资的账面价值，并计入当期营业外收入。</w:t>
      </w:r>
    </w:p>
    <w:p>
      <w:pPr>
        <w:pStyle w:val="BodyText"/>
        <w:spacing w:line="610" w:lineRule="exact" w:before="43"/>
        <w:ind w:left="512" w:right="173" w:firstLine="91"/>
        <w:jc w:val="left"/>
      </w:pPr>
      <w:r>
        <w:rPr>
          <w:rFonts w:ascii="Times New Roman" w:hAnsi="Times New Roman" w:cs="Times New Roman" w:eastAsia="Times New Roman" w:hint="default"/>
        </w:rPr>
        <w:t>2</w:t>
      </w:r>
      <w:r>
        <w:rPr/>
        <w:t>）</w:t>
      </w:r>
      <w:r>
        <w:rPr>
          <w:spacing w:val="26"/>
        </w:rPr>
        <w:t> </w:t>
      </w:r>
      <w:r>
        <w:rPr>
          <w:spacing w:val="-3"/>
        </w:rPr>
        <w:t>公允价值计量或权益法核算转成本法核算</w:t>
      </w:r>
      <w:r>
        <w:rPr>
          <w:w w:val="101"/>
        </w:rPr>
        <w:t> </w:t>
      </w:r>
      <w:r>
        <w:rPr>
          <w:spacing w:val="-5"/>
          <w:w w:val="101"/>
        </w:rPr>
        <w:t>本公司原持有的对被投资单位不具有控制、共同控制或重大影响的按金融工具确认和计量准则进行会计处理的权益性投</w:t>
      </w:r>
      <w:r>
        <w:rPr>
          <w:spacing w:val="-5"/>
        </w:rPr>
      </w:r>
    </w:p>
    <w:p>
      <w:pPr>
        <w:pStyle w:val="BodyText"/>
        <w:spacing w:line="215" w:lineRule="exact"/>
        <w:ind w:right="173"/>
        <w:jc w:val="left"/>
      </w:pPr>
      <w:r>
        <w:rPr>
          <w:spacing w:val="-4"/>
        </w:rPr>
        <w:t>资，或原持有对联营企业、合营企业的长期股权投资，因追加投资等原因能够对非同一控制下的被投资单位实施控制的，在</w:t>
      </w:r>
    </w:p>
    <w:p>
      <w:pPr>
        <w:pStyle w:val="BodyText"/>
        <w:spacing w:line="240" w:lineRule="auto" w:before="76"/>
        <w:ind w:right="173"/>
        <w:jc w:val="left"/>
      </w:pPr>
      <w:r>
        <w:rPr>
          <w:spacing w:val="-3"/>
        </w:rPr>
        <w:t>编制个别财务报表时，按照原持有的股权投资账面价值加上新增投资成本之和，作为改按成本法核算的初始投资成本。</w:t>
      </w:r>
    </w:p>
    <w:p>
      <w:pPr>
        <w:spacing w:line="240" w:lineRule="auto" w:before="0"/>
        <w:rPr>
          <w:rFonts w:ascii="宋体" w:hAnsi="宋体" w:cs="宋体" w:eastAsia="宋体" w:hint="default"/>
          <w:sz w:val="18"/>
          <w:szCs w:val="18"/>
        </w:rPr>
      </w:pPr>
    </w:p>
    <w:p>
      <w:pPr>
        <w:pStyle w:val="BodyText"/>
        <w:spacing w:line="316" w:lineRule="auto" w:before="143"/>
        <w:ind w:right="173" w:firstLine="360"/>
        <w:jc w:val="left"/>
      </w:pPr>
      <w:r>
        <w:rPr>
          <w:spacing w:val="-5"/>
          <w:w w:val="101"/>
        </w:rPr>
        <w:t>购买日之前持有的股权投资因采用权益法核算而确认的其他综合收益，在处置该项投资时采用与被投资单位直接处置相</w:t>
      </w:r>
      <w:r>
        <w:rPr>
          <w:w w:val="101"/>
        </w:rPr>
        <w:t> </w:t>
      </w:r>
      <w:r>
        <w:rPr>
          <w:spacing w:val="-3"/>
        </w:rPr>
        <w:t>关资产或负债相同的基础进行会计处理。</w:t>
      </w:r>
    </w:p>
    <w:p>
      <w:pPr>
        <w:spacing w:line="240" w:lineRule="auto" w:before="2"/>
        <w:rPr>
          <w:rFonts w:ascii="宋体" w:hAnsi="宋体" w:cs="宋体" w:eastAsia="宋体" w:hint="default"/>
          <w:sz w:val="24"/>
          <w:szCs w:val="24"/>
        </w:rPr>
      </w:pPr>
    </w:p>
    <w:p>
      <w:pPr>
        <w:pStyle w:val="BodyText"/>
        <w:spacing w:line="300" w:lineRule="auto"/>
        <w:ind w:right="173" w:firstLine="359"/>
        <w:jc w:val="left"/>
      </w:pPr>
      <w:r>
        <w:rPr>
          <w:spacing w:val="-4"/>
        </w:rPr>
        <w:t>购买日之前持有的股权投资按照《企业会计准则第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金融工具确认和计量》的有关规定进行会计处理的，原计入</w:t>
      </w:r>
      <w:r>
        <w:rPr>
          <w:w w:val="101"/>
        </w:rPr>
        <w:t> </w:t>
      </w:r>
      <w:r>
        <w:rPr>
          <w:spacing w:val="-3"/>
        </w:rPr>
        <w:t>其他综合收益的累计公允价值变动在改按成本法核算时转入当期损益。</w:t>
      </w:r>
    </w:p>
    <w:p>
      <w:pPr>
        <w:pStyle w:val="BodyText"/>
        <w:spacing w:line="610" w:lineRule="exact" w:before="56"/>
        <w:ind w:left="512" w:right="173" w:firstLine="91"/>
        <w:jc w:val="left"/>
      </w:pPr>
      <w:r>
        <w:rPr>
          <w:rFonts w:ascii="Times New Roman" w:hAnsi="Times New Roman" w:cs="Times New Roman" w:eastAsia="Times New Roman" w:hint="default"/>
          <w:spacing w:val="-3"/>
        </w:rPr>
        <w:t>3</w:t>
      </w:r>
      <w:r>
        <w:rPr>
          <w:spacing w:val="-3"/>
        </w:rPr>
        <w:t>）权益法核算转公允价值计量</w:t>
      </w:r>
      <w:r>
        <w:rPr>
          <w:w w:val="101"/>
        </w:rPr>
        <w:t> </w:t>
      </w:r>
      <w:r>
        <w:rPr>
          <w:spacing w:val="-5"/>
        </w:rPr>
        <w:t>本公司因处置部分股权投资等原因丧失了对被投资单位的共同控制或重大影响的，处置后的剩余股权改按《企业会计准</w:t>
      </w:r>
    </w:p>
    <w:p>
      <w:pPr>
        <w:pStyle w:val="BodyText"/>
        <w:spacing w:line="229" w:lineRule="exact"/>
        <w:ind w:right="173"/>
        <w:jc w:val="left"/>
      </w:pPr>
      <w:r>
        <w:rPr>
          <w:spacing w:val="-4"/>
        </w:rPr>
        <w:t>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金融工具确认和计量》核算，其在丧失共同控制或重大影响之日的公允价值与账面价值之间的差额计入当期损</w:t>
      </w:r>
    </w:p>
    <w:p>
      <w:pPr>
        <w:pStyle w:val="BodyText"/>
        <w:spacing w:line="240" w:lineRule="auto" w:before="63"/>
        <w:ind w:right="173"/>
        <w:jc w:val="left"/>
      </w:pPr>
      <w:r>
        <w:rPr/>
        <w:t>益。</w:t>
      </w:r>
    </w:p>
    <w:p>
      <w:pPr>
        <w:spacing w:line="240" w:lineRule="auto" w:before="0"/>
        <w:rPr>
          <w:rFonts w:ascii="宋体" w:hAnsi="宋体" w:cs="宋体" w:eastAsia="宋体" w:hint="default"/>
          <w:sz w:val="18"/>
          <w:szCs w:val="18"/>
        </w:rPr>
      </w:pPr>
    </w:p>
    <w:p>
      <w:pPr>
        <w:pStyle w:val="BodyText"/>
        <w:spacing w:line="316" w:lineRule="auto" w:before="143"/>
        <w:ind w:right="173" w:firstLine="360"/>
        <w:jc w:val="left"/>
      </w:pPr>
      <w:r>
        <w:rPr>
          <w:spacing w:val="-5"/>
          <w:w w:val="101"/>
        </w:rPr>
        <w:t>原股权投资因采用权益法核算而确认的其他综合收益，在终止采用权益法核算时采用与被投资单位直接处置相关资产或</w:t>
      </w:r>
      <w:r>
        <w:rPr>
          <w:w w:val="101"/>
        </w:rPr>
        <w:t> </w:t>
      </w:r>
      <w:r>
        <w:rPr>
          <w:spacing w:val="-3"/>
        </w:rPr>
        <w:t>负债相同的基础进行会计处理。</w:t>
      </w:r>
    </w:p>
    <w:p>
      <w:pPr>
        <w:pStyle w:val="BodyText"/>
        <w:spacing w:line="614" w:lineRule="exact" w:before="35"/>
        <w:ind w:left="512" w:right="173" w:firstLine="91"/>
        <w:jc w:val="left"/>
      </w:pPr>
      <w:r>
        <w:rPr>
          <w:rFonts w:ascii="Times New Roman" w:hAnsi="Times New Roman" w:cs="Times New Roman" w:eastAsia="Times New Roman" w:hint="default"/>
        </w:rPr>
        <w:t>4</w:t>
      </w:r>
      <w:r>
        <w:rPr/>
        <w:t>）成本法转权益法</w:t>
      </w:r>
      <w:r>
        <w:rPr>
          <w:w w:val="101"/>
        </w:rPr>
        <w:t> </w:t>
      </w:r>
      <w:r>
        <w:rPr>
          <w:spacing w:val="-5"/>
        </w:rPr>
        <w:t>本公司因处置部分权益性投资等原因丧失了对被投资单位的控制的，在编制个别财务报表时，处置后的剩余股权能够对</w:t>
      </w:r>
    </w:p>
    <w:p>
      <w:pPr>
        <w:pStyle w:val="BodyText"/>
        <w:spacing w:line="215" w:lineRule="exact"/>
        <w:ind w:right="173"/>
        <w:jc w:val="left"/>
      </w:pPr>
      <w:r>
        <w:rPr>
          <w:spacing w:val="-3"/>
        </w:rPr>
        <w:t>被投资单位实施共同控制或施加重大影响的，改按权益法核算，并对该剩余股权视同自取得时即采用权益法核算进行调整。</w:t>
      </w:r>
    </w:p>
    <w:p>
      <w:pPr>
        <w:pStyle w:val="BodyText"/>
        <w:spacing w:line="600" w:lineRule="atLeast" w:before="23"/>
        <w:ind w:left="512" w:right="173" w:firstLine="91"/>
        <w:jc w:val="left"/>
      </w:pPr>
      <w:r>
        <w:rPr>
          <w:rFonts w:ascii="Times New Roman" w:hAnsi="Times New Roman" w:cs="Times New Roman" w:eastAsia="Times New Roman" w:hint="default"/>
        </w:rPr>
        <w:t>5</w:t>
      </w:r>
      <w:r>
        <w:rPr/>
        <w:t>）</w:t>
      </w:r>
      <w:r>
        <w:rPr>
          <w:spacing w:val="25"/>
        </w:rPr>
        <w:t> </w:t>
      </w:r>
      <w:r>
        <w:rPr/>
        <w:t>成本法转公允价值计量</w:t>
      </w:r>
      <w:r>
        <w:rPr>
          <w:w w:val="101"/>
        </w:rPr>
        <w:t> </w:t>
      </w:r>
      <w:r>
        <w:rPr>
          <w:spacing w:val="-5"/>
        </w:rPr>
        <w:t>本公司因处置部分权益性投资等原因丧失了对被投资单位的控制的，在编制个别财务报表时，处置后的剩余股权不能对</w:t>
      </w:r>
    </w:p>
    <w:p>
      <w:pPr>
        <w:pStyle w:val="BodyText"/>
        <w:spacing w:line="300" w:lineRule="auto" w:before="76"/>
        <w:ind w:right="173" w:hanging="1"/>
        <w:jc w:val="left"/>
      </w:pPr>
      <w:r>
        <w:rPr>
          <w:spacing w:val="-4"/>
        </w:rPr>
        <w:t>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金融工具确认和计量》的有关规定进行会计处</w:t>
      </w:r>
      <w:r>
        <w:rPr>
          <w:spacing w:val="47"/>
        </w:rPr>
        <w:t> </w:t>
      </w:r>
      <w:r>
        <w:rPr>
          <w:spacing w:val="47"/>
        </w:rPr>
      </w:r>
      <w:r>
        <w:rPr>
          <w:spacing w:val="-3"/>
        </w:rPr>
        <w:t>理，其在丧失控制之日的公允价值与账面价值间的差额计入当期损益。</w:t>
      </w:r>
    </w:p>
    <w:p>
      <w:pPr>
        <w:pStyle w:val="BodyText"/>
        <w:spacing w:line="614" w:lineRule="exact" w:before="48"/>
        <w:ind w:left="512" w:right="173"/>
        <w:jc w:val="left"/>
      </w:pPr>
      <w:r>
        <w:rPr>
          <w:spacing w:val="-3"/>
        </w:rPr>
        <w:t>（</w:t>
      </w:r>
      <w:r>
        <w:rPr>
          <w:rFonts w:ascii="Times New Roman" w:hAnsi="Times New Roman" w:cs="Times New Roman" w:eastAsia="Times New Roman" w:hint="default"/>
          <w:spacing w:val="-3"/>
        </w:rPr>
        <w:t>4</w:t>
      </w:r>
      <w:r>
        <w:rPr>
          <w:spacing w:val="-3"/>
        </w:rPr>
        <w:t>）长期股权投资的处置</w:t>
      </w:r>
      <w:r>
        <w:rPr>
          <w:spacing w:val="-52"/>
        </w:rPr>
        <w:t> </w:t>
      </w:r>
      <w:r>
        <w:rPr>
          <w:spacing w:val="-52"/>
        </w:rPr>
      </w:r>
      <w:r>
        <w:rPr>
          <w:spacing w:val="-4"/>
        </w:rPr>
        <w:t>处置长期股权投资，其账面价值与实际取得价款之间的差额，应当计入当期损益。采用权益法核算的长期股权投资，在</w:t>
      </w:r>
    </w:p>
    <w:p>
      <w:pPr>
        <w:pStyle w:val="BodyText"/>
        <w:spacing w:line="215" w:lineRule="exact"/>
        <w:ind w:right="173"/>
        <w:jc w:val="left"/>
      </w:pPr>
      <w:r>
        <w:rPr>
          <w:spacing w:val="-4"/>
        </w:rPr>
        <w:t>处置该项投资时，采用与被投资单位直接处置相关资产或负债相同的基础，按相应比例对原计入其他综合收益的部分进行会</w:t>
      </w:r>
    </w:p>
    <w:p>
      <w:pPr>
        <w:pStyle w:val="BodyText"/>
        <w:spacing w:line="240" w:lineRule="auto" w:before="76"/>
        <w:ind w:right="173"/>
        <w:jc w:val="left"/>
      </w:pPr>
      <w:r>
        <w:rPr/>
        <w:t>计处理。</w:t>
      </w:r>
    </w:p>
    <w:p>
      <w:pPr>
        <w:spacing w:line="240" w:lineRule="auto" w:before="0"/>
        <w:rPr>
          <w:rFonts w:ascii="宋体" w:hAnsi="宋体" w:cs="宋体" w:eastAsia="宋体" w:hint="default"/>
          <w:sz w:val="18"/>
          <w:szCs w:val="18"/>
        </w:rPr>
      </w:pPr>
    </w:p>
    <w:p>
      <w:pPr>
        <w:pStyle w:val="BodyText"/>
        <w:spacing w:line="240" w:lineRule="auto" w:before="138"/>
        <w:ind w:left="512" w:right="173"/>
        <w:jc w:val="left"/>
      </w:pPr>
      <w:r>
        <w:rPr>
          <w:spacing w:val="-4"/>
        </w:rPr>
        <w:t>处置对子公司股权投资的各项交易的条款、条件以及经济影响符合以下一种或多种情况，将多次交易事项作为一揽子交</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240" w:lineRule="auto" w:before="46"/>
        <w:ind w:right="173"/>
        <w:jc w:val="left"/>
      </w:pPr>
      <w:r>
        <w:rPr/>
        <w:t>易进行会计处理：</w:t>
      </w:r>
    </w:p>
    <w:p>
      <w:pPr>
        <w:spacing w:line="240" w:lineRule="auto" w:before="0"/>
        <w:rPr>
          <w:rFonts w:ascii="宋体" w:hAnsi="宋体" w:cs="宋体" w:eastAsia="宋体" w:hint="default"/>
          <w:sz w:val="18"/>
          <w:szCs w:val="18"/>
        </w:rPr>
      </w:pPr>
    </w:p>
    <w:p>
      <w:pPr>
        <w:pStyle w:val="BodyText"/>
        <w:spacing w:line="240" w:lineRule="auto" w:before="138"/>
        <w:ind w:left="604" w:right="173"/>
        <w:jc w:val="left"/>
      </w:pPr>
      <w:r>
        <w:rPr>
          <w:rFonts w:ascii="Times New Roman" w:hAnsi="Times New Roman" w:cs="Times New Roman" w:eastAsia="Times New Roman" w:hint="default"/>
        </w:rPr>
        <w:t>1</w:t>
      </w:r>
      <w:r>
        <w:rPr/>
        <w:t>） </w:t>
      </w:r>
      <w:r>
        <w:rPr>
          <w:spacing w:val="13"/>
        </w:rPr>
        <w:t> </w:t>
      </w:r>
      <w:r>
        <w:rPr>
          <w:spacing w:val="-3"/>
        </w:rPr>
        <w:t>这些交易是同时或者在考虑了彼此影响的情况下订立的；</w:t>
      </w:r>
    </w:p>
    <w:p>
      <w:pPr>
        <w:spacing w:line="240" w:lineRule="auto" w:before="0"/>
        <w:rPr>
          <w:rFonts w:ascii="宋体" w:hAnsi="宋体" w:cs="宋体" w:eastAsia="宋体" w:hint="default"/>
          <w:sz w:val="18"/>
          <w:szCs w:val="18"/>
        </w:rPr>
      </w:pPr>
    </w:p>
    <w:p>
      <w:pPr>
        <w:pStyle w:val="BodyText"/>
        <w:spacing w:line="240" w:lineRule="auto" w:before="129"/>
        <w:ind w:left="604" w:right="173"/>
        <w:jc w:val="left"/>
      </w:pPr>
      <w:r>
        <w:rPr>
          <w:rFonts w:ascii="Times New Roman" w:hAnsi="Times New Roman" w:cs="Times New Roman" w:eastAsia="Times New Roman" w:hint="default"/>
        </w:rPr>
        <w:t>2</w:t>
      </w:r>
      <w:r>
        <w:rPr/>
        <w:t>） </w:t>
      </w:r>
      <w:r>
        <w:rPr>
          <w:spacing w:val="1"/>
        </w:rPr>
        <w:t> </w:t>
      </w:r>
      <w:r>
        <w:rPr>
          <w:spacing w:val="-3"/>
        </w:rPr>
        <w:t>这些交易整体才能达成一项完整的商业结果；</w:t>
      </w:r>
    </w:p>
    <w:p>
      <w:pPr>
        <w:spacing w:line="240" w:lineRule="auto" w:before="0"/>
        <w:rPr>
          <w:rFonts w:ascii="宋体" w:hAnsi="宋体" w:cs="宋体" w:eastAsia="宋体" w:hint="default"/>
          <w:sz w:val="18"/>
          <w:szCs w:val="18"/>
        </w:rPr>
      </w:pPr>
    </w:p>
    <w:p>
      <w:pPr>
        <w:pStyle w:val="BodyText"/>
        <w:spacing w:line="240" w:lineRule="auto" w:before="125"/>
        <w:ind w:left="604" w:right="173"/>
        <w:jc w:val="left"/>
      </w:pPr>
      <w:r>
        <w:rPr>
          <w:rFonts w:ascii="Times New Roman" w:hAnsi="Times New Roman" w:cs="Times New Roman" w:eastAsia="Times New Roman" w:hint="default"/>
        </w:rPr>
        <w:t>3</w:t>
      </w:r>
      <w:r>
        <w:rPr/>
        <w:t>） </w:t>
      </w:r>
      <w:r>
        <w:rPr>
          <w:spacing w:val="7"/>
        </w:rPr>
        <w:t> </w:t>
      </w:r>
      <w:r>
        <w:rPr>
          <w:spacing w:val="-3"/>
        </w:rPr>
        <w:t>一项交易的发生取决于其他至少一项交易的发生；</w:t>
      </w:r>
    </w:p>
    <w:p>
      <w:pPr>
        <w:pStyle w:val="BodyText"/>
        <w:spacing w:line="590" w:lineRule="atLeast" w:before="24"/>
        <w:ind w:left="513" w:right="173" w:firstLine="91"/>
        <w:jc w:val="left"/>
      </w:pPr>
      <w:r>
        <w:rPr>
          <w:rFonts w:ascii="Times New Roman" w:hAnsi="Times New Roman" w:cs="Times New Roman" w:eastAsia="Times New Roman" w:hint="default"/>
        </w:rPr>
        <w:t>4</w:t>
      </w:r>
      <w:r>
        <w:rPr/>
        <w:t>）</w:t>
      </w:r>
      <w:r>
        <w:rPr>
          <w:spacing w:val="27"/>
        </w:rPr>
        <w:t> </w:t>
      </w:r>
      <w:r>
        <w:rPr>
          <w:spacing w:val="-3"/>
        </w:rPr>
        <w:t>一项交易单独看是不经济的，但是和其他交易一并考虑时是经济的。</w:t>
      </w:r>
      <w:r>
        <w:rPr>
          <w:w w:val="101"/>
        </w:rPr>
        <w:t> </w:t>
      </w:r>
      <w:r>
        <w:rPr>
          <w:spacing w:val="-5"/>
        </w:rPr>
        <w:t>因处置部分股权投资或其他原因丧失了对原有子公司控制权的，不属于一揽子交易的，区分个别财务报表和合并财务报</w:t>
      </w:r>
    </w:p>
    <w:p>
      <w:pPr>
        <w:pStyle w:val="BodyText"/>
        <w:spacing w:line="240" w:lineRule="auto" w:before="76"/>
        <w:ind w:left="153" w:right="173"/>
        <w:jc w:val="left"/>
      </w:pPr>
      <w:r>
        <w:rPr/>
        <w:t>表进行相关会计处理：</w:t>
      </w:r>
    </w:p>
    <w:p>
      <w:pPr>
        <w:spacing w:line="240" w:lineRule="auto" w:before="0"/>
        <w:rPr>
          <w:rFonts w:ascii="宋体" w:hAnsi="宋体" w:cs="宋体" w:eastAsia="宋体" w:hint="default"/>
          <w:sz w:val="18"/>
          <w:szCs w:val="18"/>
        </w:rPr>
      </w:pPr>
    </w:p>
    <w:p>
      <w:pPr>
        <w:pStyle w:val="BodyText"/>
        <w:spacing w:line="307" w:lineRule="auto" w:before="143"/>
        <w:ind w:left="153" w:right="0" w:firstLine="360"/>
        <w:jc w:val="left"/>
      </w:pPr>
      <w:r>
        <w:rPr>
          <w:rFonts w:ascii="Times New Roman" w:hAnsi="Times New Roman" w:cs="Times New Roman" w:eastAsia="Times New Roman" w:hint="default"/>
          <w:spacing w:val="-4"/>
        </w:rPr>
        <w:t>A:</w:t>
      </w:r>
      <w:r>
        <w:rPr>
          <w:spacing w:val="-4"/>
        </w:rPr>
        <w:t>在个别财务报表中，对于处置的股权，其账面价值与实际取得价款之间的差额计入当期损益。处置后的剩余股权能够</w:t>
      </w:r>
      <w:r>
        <w:rPr>
          <w:w w:val="101"/>
        </w:rPr>
        <w:t> </w:t>
      </w:r>
      <w:r>
        <w:rPr>
          <w:spacing w:val="-6"/>
          <w:w w:val="101"/>
        </w:rPr>
        <w:t>对被投资单位实施共同控制或施加重大影响的，改按权益法核算，并对该剩余股权视同自取得时即采用权益法核算进行调整；</w:t>
      </w:r>
      <w:r>
        <w:rPr>
          <w:spacing w:val="-71"/>
          <w:w w:val="101"/>
        </w:rPr>
        <w:t> </w:t>
      </w:r>
      <w:r>
        <w:rPr>
          <w:spacing w:val="-71"/>
          <w:w w:val="101"/>
        </w:rPr>
      </w:r>
      <w:r>
        <w:rPr>
          <w:spacing w:val="-6"/>
          <w:w w:val="101"/>
        </w:rPr>
        <w:t>处置后的剩余股权不能对被投资单位实施共同控制或施加重大影响的，改按《企业会计准则第</w:t>
      </w:r>
      <w:r>
        <w:rPr>
          <w:rFonts w:ascii="Times New Roman" w:hAnsi="Times New Roman" w:cs="Times New Roman" w:eastAsia="Times New Roman" w:hint="default"/>
          <w:spacing w:val="-6"/>
          <w:w w:val="101"/>
        </w:rPr>
        <w:t>22</w:t>
      </w:r>
      <w:r>
        <w:rPr>
          <w:spacing w:val="-6"/>
          <w:w w:val="101"/>
        </w:rPr>
        <w:t>号</w:t>
      </w:r>
      <w:r>
        <w:rPr>
          <w:rFonts w:ascii="Times New Roman" w:hAnsi="Times New Roman" w:cs="Times New Roman" w:eastAsia="Times New Roman" w:hint="default"/>
          <w:spacing w:val="-6"/>
          <w:w w:val="101"/>
        </w:rPr>
        <w:t>——</w:t>
      </w:r>
      <w:r>
        <w:rPr>
          <w:spacing w:val="-6"/>
          <w:w w:val="101"/>
        </w:rPr>
        <w:t>金融工具确认和计量》</w:t>
      </w:r>
      <w:r>
        <w:rPr>
          <w:spacing w:val="-66"/>
          <w:w w:val="101"/>
        </w:rPr>
        <w:t> </w:t>
      </w:r>
      <w:r>
        <w:rPr>
          <w:spacing w:val="-66"/>
          <w:w w:val="101"/>
        </w:rPr>
      </w:r>
      <w:r>
        <w:rPr>
          <w:spacing w:val="-3"/>
        </w:rPr>
        <w:t>的有关规定进行会计处理，其在丧失控制之日的公允价值与账面价值间的差额计入当期损益。</w:t>
      </w:r>
    </w:p>
    <w:p>
      <w:pPr>
        <w:spacing w:line="240" w:lineRule="auto" w:before="10"/>
        <w:rPr>
          <w:rFonts w:ascii="宋体" w:hAnsi="宋体" w:cs="宋体" w:eastAsia="宋体" w:hint="default"/>
          <w:sz w:val="24"/>
          <w:szCs w:val="24"/>
        </w:rPr>
      </w:pPr>
    </w:p>
    <w:p>
      <w:pPr>
        <w:pStyle w:val="BodyText"/>
        <w:spacing w:line="314" w:lineRule="auto"/>
        <w:ind w:left="153" w:right="185" w:firstLine="446"/>
        <w:jc w:val="both"/>
      </w:pPr>
      <w:r>
        <w:rPr>
          <w:rFonts w:ascii="Times New Roman" w:hAnsi="Times New Roman" w:cs="Times New Roman" w:eastAsia="Times New Roman" w:hint="default"/>
          <w:spacing w:val="-2"/>
        </w:rPr>
        <w:t>B:</w:t>
      </w:r>
      <w:r>
        <w:rPr>
          <w:spacing w:val="-2"/>
        </w:rPr>
        <w:t>在合并财务报表中，对于在丧失对子公司控制权以前的各项交易，处置价款与处置长期股权投资相应对享有子公司</w:t>
      </w:r>
      <w:r>
        <w:rPr>
          <w:w w:val="101"/>
        </w:rPr>
        <w:t> </w:t>
      </w:r>
      <w:r>
        <w:rPr>
          <w:spacing w:val="-4"/>
          <w:w w:val="101"/>
        </w:rPr>
        <w:t>自购买日或合并日开始持续计算的净资产份额之间的差额，调整资本公积（股本溢价），资本公积不足冲减的，调整留存收</w:t>
      </w:r>
      <w:r>
        <w:rPr>
          <w:w w:val="101"/>
        </w:rPr>
        <w:t> </w:t>
      </w:r>
      <w:r>
        <w:rPr>
          <w:spacing w:val="-4"/>
        </w:rPr>
        <w:t>益；在丧失对子公司控制权时，对于剩余股权，按照其在丧失控制权日的公允价值进行重新计量。处置股权取得的对价与剩</w:t>
      </w:r>
      <w:r>
        <w:rPr>
          <w:spacing w:val="43"/>
        </w:rPr>
        <w:t> </w:t>
      </w:r>
      <w:r>
        <w:rPr>
          <w:spacing w:val="43"/>
        </w:rPr>
      </w:r>
      <w:r>
        <w:rPr>
          <w:spacing w:val="-4"/>
        </w:rPr>
        <w:t>余股权公允价值之和，减去按原持股比例计算应享有原有子公司自购买日开始持续计算的净资产的份额之间的差额，计入丧</w:t>
      </w:r>
      <w:r>
        <w:rPr>
          <w:spacing w:val="42"/>
        </w:rPr>
        <w:t> </w:t>
      </w:r>
      <w:r>
        <w:rPr>
          <w:spacing w:val="42"/>
        </w:rPr>
      </w:r>
      <w:r>
        <w:rPr>
          <w:spacing w:val="-4"/>
        </w:rPr>
        <w:t>失控制权当期的投资收益，同时冲减商誉。与原有子公司股权投资相关的其他综合收益等，在丧失控制权时转为当期投资收</w:t>
      </w:r>
      <w:r>
        <w:rPr>
          <w:spacing w:val="43"/>
        </w:rPr>
        <w:t> </w:t>
      </w:r>
      <w:r>
        <w:rPr>
          <w:spacing w:val="43"/>
        </w:rPr>
      </w:r>
      <w:r>
        <w:rPr/>
        <w:t>益。</w:t>
      </w:r>
    </w:p>
    <w:p>
      <w:pPr>
        <w:spacing w:line="240" w:lineRule="auto" w:before="9"/>
        <w:rPr>
          <w:rFonts w:ascii="宋体" w:hAnsi="宋体" w:cs="宋体" w:eastAsia="宋体" w:hint="default"/>
          <w:sz w:val="24"/>
          <w:szCs w:val="24"/>
        </w:rPr>
      </w:pPr>
    </w:p>
    <w:p>
      <w:pPr>
        <w:pStyle w:val="BodyText"/>
        <w:spacing w:line="316" w:lineRule="auto"/>
        <w:ind w:left="153" w:right="190" w:firstLine="360"/>
        <w:jc w:val="both"/>
      </w:pPr>
      <w:r>
        <w:rPr>
          <w:spacing w:val="-5"/>
          <w:w w:val="101"/>
        </w:rPr>
        <w:t>处置对子公司股权投资直至丧失控制权的各项交易属于一揽子交易的，将各项交易作为一项处置子公司股权投资并丧失</w:t>
      </w:r>
      <w:r>
        <w:rPr>
          <w:w w:val="101"/>
        </w:rPr>
        <w:t> </w:t>
      </w:r>
      <w:r>
        <w:rPr>
          <w:spacing w:val="-3"/>
        </w:rPr>
        <w:t>控制权的交易进行会计处理，区分个别财务报表和合并财务报表进行相关会计处理：</w:t>
      </w:r>
    </w:p>
    <w:p>
      <w:pPr>
        <w:spacing w:line="240" w:lineRule="auto" w:before="2"/>
        <w:rPr>
          <w:rFonts w:ascii="宋体" w:hAnsi="宋体" w:cs="宋体" w:eastAsia="宋体" w:hint="default"/>
          <w:sz w:val="24"/>
          <w:szCs w:val="24"/>
        </w:rPr>
      </w:pPr>
    </w:p>
    <w:p>
      <w:pPr>
        <w:pStyle w:val="BodyText"/>
        <w:spacing w:line="300" w:lineRule="auto"/>
        <w:ind w:left="153" w:right="190" w:firstLine="360"/>
        <w:jc w:val="both"/>
      </w:pPr>
      <w:r>
        <w:rPr>
          <w:rFonts w:ascii="Times New Roman" w:hAnsi="Times New Roman" w:cs="Times New Roman" w:eastAsia="Times New Roman" w:hint="default"/>
          <w:spacing w:val="-3"/>
        </w:rPr>
        <w:t>1</w:t>
      </w:r>
      <w:r>
        <w:rPr>
          <w:spacing w:val="-3"/>
        </w:rPr>
        <w:t>）在个别财务报表中，在丧失控制权之前每一次处置价款与处置的股权对应的长期股权投资账面价值之间的差额，确</w:t>
      </w:r>
      <w:r>
        <w:rPr>
          <w:w w:val="101"/>
        </w:rPr>
        <w:t> </w:t>
      </w:r>
      <w:r>
        <w:rPr>
          <w:spacing w:val="-3"/>
        </w:rPr>
        <w:t>认为其他综合收益，在丧失控制权时一并转入丧失控制权当期的损益。</w:t>
      </w:r>
    </w:p>
    <w:p>
      <w:pPr>
        <w:spacing w:line="240" w:lineRule="auto" w:before="7"/>
        <w:rPr>
          <w:rFonts w:ascii="宋体" w:hAnsi="宋体" w:cs="宋体" w:eastAsia="宋体" w:hint="default"/>
          <w:sz w:val="25"/>
          <w:szCs w:val="25"/>
        </w:rPr>
      </w:pPr>
    </w:p>
    <w:p>
      <w:pPr>
        <w:pStyle w:val="BodyText"/>
        <w:spacing w:line="300" w:lineRule="auto"/>
        <w:ind w:left="153" w:right="190" w:firstLine="360"/>
        <w:jc w:val="both"/>
      </w:pPr>
      <w:r>
        <w:rPr>
          <w:rFonts w:ascii="Times New Roman" w:hAnsi="Times New Roman" w:cs="Times New Roman" w:eastAsia="Times New Roman" w:hint="default"/>
          <w:spacing w:val="-3"/>
        </w:rPr>
        <w:t>2</w:t>
      </w:r>
      <w:r>
        <w:rPr>
          <w:spacing w:val="-3"/>
        </w:rPr>
        <w:t>）在合并财务报表中，在丧失控制权之前每一次处置价款与处置投资对应的享有该子公司净资产份额的差额，确认为</w:t>
      </w:r>
      <w:r>
        <w:rPr>
          <w:w w:val="101"/>
        </w:rPr>
        <w:t> </w:t>
      </w:r>
      <w:r>
        <w:rPr>
          <w:spacing w:val="-3"/>
        </w:rPr>
        <w:t>其他综合收益，在丧失控制权时一并转入丧失控制权当期的损益。</w:t>
      </w:r>
    </w:p>
    <w:p>
      <w:pPr>
        <w:pStyle w:val="BodyText"/>
        <w:spacing w:line="614" w:lineRule="exact" w:before="48"/>
        <w:ind w:left="513" w:right="173"/>
        <w:jc w:val="left"/>
      </w:pPr>
      <w:r>
        <w:rPr>
          <w:spacing w:val="-3"/>
        </w:rPr>
        <w:t>（</w:t>
      </w:r>
      <w:r>
        <w:rPr>
          <w:rFonts w:ascii="Times New Roman" w:hAnsi="Times New Roman" w:cs="Times New Roman" w:eastAsia="Times New Roman" w:hint="default"/>
          <w:spacing w:val="-3"/>
        </w:rPr>
        <w:t>5</w:t>
      </w:r>
      <w:r>
        <w:rPr>
          <w:spacing w:val="-3"/>
        </w:rPr>
        <w:t>）共同控制、重大影响的判断标准</w:t>
      </w:r>
      <w:r>
        <w:rPr>
          <w:spacing w:val="-35"/>
        </w:rPr>
        <w:t> </w:t>
      </w:r>
      <w:r>
        <w:rPr>
          <w:spacing w:val="-35"/>
        </w:rPr>
      </w:r>
      <w:r>
        <w:rPr>
          <w:spacing w:val="-4"/>
        </w:rPr>
        <w:t>如果本公司按照相关约定与其他参与方集体控制某项安排，并且对该安排回报具有重大影响的活动决策，需要经过分享</w:t>
      </w:r>
    </w:p>
    <w:p>
      <w:pPr>
        <w:pStyle w:val="BodyText"/>
        <w:spacing w:line="215" w:lineRule="exact"/>
        <w:ind w:left="153" w:right="173"/>
        <w:jc w:val="left"/>
      </w:pPr>
      <w:r>
        <w:rPr>
          <w:spacing w:val="-3"/>
        </w:rPr>
        <w:t>控制权的参与方一致同意时才存在，则视为本公司与其他参与方共同控制某项安排，该安排即属于合营安排。</w:t>
      </w:r>
    </w:p>
    <w:p>
      <w:pPr>
        <w:spacing w:line="240" w:lineRule="auto" w:before="0"/>
        <w:rPr>
          <w:rFonts w:ascii="宋体" w:hAnsi="宋体" w:cs="宋体" w:eastAsia="宋体" w:hint="default"/>
          <w:sz w:val="18"/>
          <w:szCs w:val="18"/>
        </w:rPr>
      </w:pPr>
    </w:p>
    <w:p>
      <w:pPr>
        <w:pStyle w:val="BodyText"/>
        <w:spacing w:line="316" w:lineRule="auto" w:before="138"/>
        <w:ind w:left="153" w:right="185" w:firstLine="360"/>
        <w:jc w:val="both"/>
      </w:pPr>
      <w:r>
        <w:rPr>
          <w:spacing w:val="-4"/>
        </w:rPr>
        <w:t>合营安排通过单独主体达成的，根据相关约定判断本公司对该单独主体的净资产享有权利时，将该单独主体作为合营企</w:t>
      </w:r>
      <w:r>
        <w:rPr>
          <w:w w:val="101"/>
        </w:rPr>
        <w:t> </w:t>
      </w:r>
      <w:r>
        <w:rPr>
          <w:spacing w:val="-4"/>
        </w:rPr>
        <w:t>业，采用权益法核算。若根据相关约定判断本公司并非对该单独主体的净资产享有权利时，该单独主体作为共同经营，本公</w:t>
      </w:r>
      <w:r>
        <w:rPr>
          <w:spacing w:val="42"/>
        </w:rPr>
        <w:t> </w:t>
      </w:r>
      <w:r>
        <w:rPr>
          <w:spacing w:val="42"/>
        </w:rPr>
      </w:r>
      <w:r>
        <w:rPr>
          <w:spacing w:val="-3"/>
        </w:rPr>
        <w:t>司确认与共同经营利益份额相关的项目，并按照相关企业会计准则的规定进行会计处理。</w:t>
      </w:r>
    </w:p>
    <w:p>
      <w:pPr>
        <w:spacing w:line="240" w:lineRule="auto" w:before="7"/>
        <w:rPr>
          <w:rFonts w:ascii="宋体" w:hAnsi="宋体" w:cs="宋体" w:eastAsia="宋体" w:hint="default"/>
          <w:sz w:val="24"/>
          <w:szCs w:val="24"/>
        </w:rPr>
      </w:pPr>
    </w:p>
    <w:p>
      <w:pPr>
        <w:pStyle w:val="BodyText"/>
        <w:spacing w:line="316" w:lineRule="auto"/>
        <w:ind w:left="153" w:right="108" w:firstLine="360"/>
        <w:jc w:val="both"/>
      </w:pPr>
      <w:r>
        <w:rPr>
          <w:spacing w:val="-4"/>
        </w:rPr>
        <w:t>重大影响，是指投资方对被投资单位的财务和经营政策有参与决策的权力，但并不能够控制或者与其他方一起共同控制</w:t>
      </w:r>
      <w:r>
        <w:rPr>
          <w:w w:val="101"/>
        </w:rPr>
        <w:t> </w:t>
      </w:r>
      <w:r>
        <w:rPr>
          <w:spacing w:val="-5"/>
          <w:w w:val="101"/>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5"/>
          <w:w w:val="101"/>
        </w:rPr>
        <w:t>1</w:t>
      </w:r>
      <w:r>
        <w:rPr>
          <w:spacing w:val="-5"/>
          <w:w w:val="101"/>
        </w:rPr>
        <w:t>）</w:t>
      </w:r>
      <w:r>
        <w:rPr>
          <w:spacing w:val="-5"/>
        </w:rPr>
      </w:r>
    </w:p>
    <w:p>
      <w:pPr>
        <w:spacing w:after="0" w:line="316" w:lineRule="auto"/>
        <w:jc w:val="both"/>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00" w:lineRule="auto" w:before="46"/>
        <w:ind w:right="177"/>
        <w:jc w:val="left"/>
      </w:pPr>
      <w:r>
        <w:rPr>
          <w:w w:val="101"/>
        </w:rPr>
        <w:t>在</w:t>
      </w:r>
      <w:r>
        <w:rPr>
          <w:spacing w:val="-5"/>
          <w:w w:val="101"/>
        </w:rPr>
        <w:t>被</w:t>
      </w:r>
      <w:r>
        <w:rPr>
          <w:w w:val="101"/>
        </w:rPr>
        <w:t>投</w:t>
      </w:r>
      <w:r>
        <w:rPr>
          <w:spacing w:val="-5"/>
          <w:w w:val="101"/>
        </w:rPr>
        <w:t>资</w:t>
      </w:r>
      <w:r>
        <w:rPr>
          <w:w w:val="101"/>
        </w:rPr>
        <w:t>单</w:t>
      </w:r>
      <w:r>
        <w:rPr>
          <w:spacing w:val="-5"/>
          <w:w w:val="101"/>
        </w:rPr>
        <w:t>位</w:t>
      </w:r>
      <w:r>
        <w:rPr>
          <w:w w:val="101"/>
        </w:rPr>
        <w:t>的</w:t>
      </w:r>
      <w:r>
        <w:rPr>
          <w:spacing w:val="-5"/>
          <w:w w:val="101"/>
        </w:rPr>
        <w:t>董</w:t>
      </w:r>
      <w:r>
        <w:rPr>
          <w:w w:val="101"/>
        </w:rPr>
        <w:t>事</w:t>
      </w:r>
      <w:r>
        <w:rPr>
          <w:spacing w:val="-5"/>
          <w:w w:val="101"/>
        </w:rPr>
        <w:t>会</w:t>
      </w:r>
      <w:r>
        <w:rPr>
          <w:w w:val="101"/>
        </w:rPr>
        <w:t>或</w:t>
      </w:r>
      <w:r>
        <w:rPr>
          <w:spacing w:val="-5"/>
          <w:w w:val="101"/>
        </w:rPr>
        <w:t>类</w:t>
      </w:r>
      <w:r>
        <w:rPr>
          <w:w w:val="101"/>
        </w:rPr>
        <w:t>似</w:t>
      </w:r>
      <w:r>
        <w:rPr>
          <w:spacing w:val="-5"/>
          <w:w w:val="101"/>
        </w:rPr>
        <w:t>权</w:t>
      </w:r>
      <w:r>
        <w:rPr>
          <w:w w:val="101"/>
        </w:rPr>
        <w:t>力</w:t>
      </w:r>
      <w:r>
        <w:rPr>
          <w:spacing w:val="-5"/>
          <w:w w:val="101"/>
        </w:rPr>
        <w:t>机</w:t>
      </w:r>
      <w:r>
        <w:rPr>
          <w:w w:val="101"/>
        </w:rPr>
        <w:t>构</w:t>
      </w:r>
      <w:r>
        <w:rPr>
          <w:spacing w:val="-5"/>
          <w:w w:val="101"/>
        </w:rPr>
        <w:t>中</w:t>
      </w:r>
      <w:r>
        <w:rPr>
          <w:w w:val="101"/>
        </w:rPr>
        <w:t>派</w:t>
      </w:r>
      <w:r>
        <w:rPr>
          <w:spacing w:val="-5"/>
          <w:w w:val="101"/>
        </w:rPr>
        <w:t>有</w:t>
      </w:r>
      <w:r>
        <w:rPr>
          <w:w w:val="101"/>
        </w:rPr>
        <w:t>代表</w:t>
      </w:r>
      <w:r>
        <w:rPr>
          <w:spacing w:val="-116"/>
          <w:w w:val="101"/>
        </w:rPr>
        <w:t>；</w:t>
      </w:r>
      <w:r>
        <w:rPr>
          <w:spacing w:val="-1"/>
          <w:w w:val="101"/>
        </w:rPr>
        <w:t>（</w:t>
      </w:r>
      <w:r>
        <w:rPr>
          <w:rFonts w:ascii="Times New Roman" w:hAnsi="Times New Roman" w:cs="Times New Roman" w:eastAsia="Times New Roman" w:hint="default"/>
          <w:spacing w:val="-5"/>
          <w:w w:val="101"/>
        </w:rPr>
        <w:t>2</w:t>
      </w:r>
      <w:r>
        <w:rPr>
          <w:spacing w:val="-24"/>
          <w:w w:val="101"/>
        </w:rPr>
        <w:t>）</w:t>
      </w:r>
      <w:r>
        <w:rPr>
          <w:w w:val="101"/>
        </w:rPr>
        <w:t>参</w:t>
      </w:r>
      <w:r>
        <w:rPr>
          <w:spacing w:val="-5"/>
          <w:w w:val="101"/>
        </w:rPr>
        <w:t>与</w:t>
      </w:r>
      <w:r>
        <w:rPr>
          <w:w w:val="101"/>
        </w:rPr>
        <w:t>被</w:t>
      </w:r>
      <w:r>
        <w:rPr>
          <w:spacing w:val="-5"/>
          <w:w w:val="101"/>
        </w:rPr>
        <w:t>投</w:t>
      </w:r>
      <w:r>
        <w:rPr>
          <w:w w:val="101"/>
        </w:rPr>
        <w:t>资</w:t>
      </w:r>
      <w:r>
        <w:rPr>
          <w:spacing w:val="-5"/>
          <w:w w:val="101"/>
        </w:rPr>
        <w:t>单</w:t>
      </w:r>
      <w:r>
        <w:rPr>
          <w:w w:val="101"/>
        </w:rPr>
        <w:t>位</w:t>
      </w:r>
      <w:r>
        <w:rPr>
          <w:spacing w:val="-5"/>
          <w:w w:val="101"/>
        </w:rPr>
        <w:t>财</w:t>
      </w:r>
      <w:r>
        <w:rPr>
          <w:w w:val="101"/>
        </w:rPr>
        <w:t>务</w:t>
      </w:r>
      <w:r>
        <w:rPr>
          <w:spacing w:val="-5"/>
          <w:w w:val="101"/>
        </w:rPr>
        <w:t>和</w:t>
      </w:r>
      <w:r>
        <w:rPr>
          <w:w w:val="101"/>
        </w:rPr>
        <w:t>经</w:t>
      </w:r>
      <w:r>
        <w:rPr>
          <w:spacing w:val="-5"/>
          <w:w w:val="101"/>
        </w:rPr>
        <w:t>营</w:t>
      </w:r>
      <w:r>
        <w:rPr>
          <w:w w:val="101"/>
        </w:rPr>
        <w:t>政</w:t>
      </w:r>
      <w:r>
        <w:rPr>
          <w:spacing w:val="-5"/>
          <w:w w:val="101"/>
        </w:rPr>
        <w:t>策</w:t>
      </w:r>
      <w:r>
        <w:rPr>
          <w:w w:val="101"/>
        </w:rPr>
        <w:t>制</w:t>
      </w:r>
      <w:r>
        <w:rPr>
          <w:spacing w:val="-5"/>
          <w:w w:val="101"/>
        </w:rPr>
        <w:t>定</w:t>
      </w:r>
      <w:r>
        <w:rPr>
          <w:w w:val="101"/>
        </w:rPr>
        <w:t>过程</w:t>
      </w:r>
      <w:r>
        <w:rPr>
          <w:spacing w:val="-116"/>
          <w:w w:val="101"/>
        </w:rPr>
        <w:t>；</w:t>
      </w:r>
      <w:r>
        <w:rPr>
          <w:spacing w:val="-1"/>
          <w:w w:val="101"/>
        </w:rPr>
        <w:t>（</w:t>
      </w:r>
      <w:r>
        <w:rPr>
          <w:rFonts w:ascii="Times New Roman" w:hAnsi="Times New Roman" w:cs="Times New Roman" w:eastAsia="Times New Roman" w:hint="default"/>
          <w:spacing w:val="-5"/>
          <w:w w:val="101"/>
        </w:rPr>
        <w:t>3</w:t>
      </w:r>
      <w:r>
        <w:rPr>
          <w:spacing w:val="-24"/>
          <w:w w:val="101"/>
        </w:rPr>
        <w:t>）</w:t>
      </w:r>
      <w:r>
        <w:rPr>
          <w:w w:val="101"/>
        </w:rPr>
        <w:t>与</w:t>
      </w:r>
      <w:r>
        <w:rPr>
          <w:spacing w:val="-5"/>
          <w:w w:val="101"/>
        </w:rPr>
        <w:t>被</w:t>
      </w:r>
      <w:r>
        <w:rPr>
          <w:w w:val="101"/>
        </w:rPr>
        <w:t>投</w:t>
      </w:r>
      <w:r>
        <w:rPr>
          <w:spacing w:val="-5"/>
          <w:w w:val="101"/>
        </w:rPr>
        <w:t>资</w:t>
      </w:r>
      <w:r>
        <w:rPr>
          <w:w w:val="101"/>
        </w:rPr>
        <w:t>单</w:t>
      </w:r>
      <w:r>
        <w:rPr>
          <w:spacing w:val="-5"/>
          <w:w w:val="101"/>
        </w:rPr>
        <w:t>位</w:t>
      </w:r>
      <w:r>
        <w:rPr>
          <w:w w:val="101"/>
        </w:rPr>
        <w:t>之间</w:t>
      </w:r>
      <w:r>
        <w:rPr>
          <w:w w:val="101"/>
        </w:rPr>
        <w:t> 发</w:t>
      </w:r>
      <w:r>
        <w:rPr>
          <w:spacing w:val="-5"/>
          <w:w w:val="101"/>
        </w:rPr>
        <w:t>生</w:t>
      </w:r>
      <w:r>
        <w:rPr>
          <w:w w:val="101"/>
        </w:rPr>
        <w:t>重</w:t>
      </w:r>
      <w:r>
        <w:rPr>
          <w:spacing w:val="-5"/>
          <w:w w:val="101"/>
        </w:rPr>
        <w:t>要</w:t>
      </w:r>
      <w:r>
        <w:rPr>
          <w:w w:val="101"/>
        </w:rPr>
        <w:t>交易</w:t>
      </w:r>
      <w:r>
        <w:rPr>
          <w:spacing w:val="-96"/>
          <w:w w:val="101"/>
        </w:rPr>
        <w:t>；</w:t>
      </w:r>
      <w:r>
        <w:rPr>
          <w:w w:val="101"/>
        </w:rPr>
        <w:t>（</w:t>
      </w:r>
      <w:r>
        <w:rPr>
          <w:rFonts w:ascii="Times New Roman" w:hAnsi="Times New Roman" w:cs="Times New Roman" w:eastAsia="Times New Roman" w:hint="default"/>
          <w:spacing w:val="-5"/>
          <w:w w:val="101"/>
        </w:rPr>
        <w:t>4</w:t>
      </w:r>
      <w:r>
        <w:rPr>
          <w:w w:val="101"/>
        </w:rPr>
        <w:t>）</w:t>
      </w:r>
      <w:r>
        <w:rPr>
          <w:spacing w:val="-5"/>
          <w:w w:val="101"/>
        </w:rPr>
        <w:t>向</w:t>
      </w:r>
      <w:r>
        <w:rPr>
          <w:w w:val="101"/>
        </w:rPr>
        <w:t>被</w:t>
      </w:r>
      <w:r>
        <w:rPr>
          <w:spacing w:val="-5"/>
          <w:w w:val="101"/>
        </w:rPr>
        <w:t>投</w:t>
      </w:r>
      <w:r>
        <w:rPr>
          <w:w w:val="101"/>
        </w:rPr>
        <w:t>资</w:t>
      </w:r>
      <w:r>
        <w:rPr>
          <w:spacing w:val="-5"/>
          <w:w w:val="101"/>
        </w:rPr>
        <w:t>单</w:t>
      </w:r>
      <w:r>
        <w:rPr>
          <w:w w:val="101"/>
        </w:rPr>
        <w:t>位</w:t>
      </w:r>
      <w:r>
        <w:rPr>
          <w:spacing w:val="-5"/>
          <w:w w:val="101"/>
        </w:rPr>
        <w:t>派</w:t>
      </w:r>
      <w:r>
        <w:rPr>
          <w:w w:val="101"/>
        </w:rPr>
        <w:t>出</w:t>
      </w:r>
      <w:r>
        <w:rPr>
          <w:spacing w:val="-5"/>
          <w:w w:val="101"/>
        </w:rPr>
        <w:t>管</w:t>
      </w:r>
      <w:r>
        <w:rPr>
          <w:w w:val="101"/>
        </w:rPr>
        <w:t>理</w:t>
      </w:r>
      <w:r>
        <w:rPr>
          <w:spacing w:val="-5"/>
          <w:w w:val="101"/>
        </w:rPr>
        <w:t>人</w:t>
      </w:r>
      <w:r>
        <w:rPr>
          <w:w w:val="101"/>
        </w:rPr>
        <w:t>员</w:t>
      </w:r>
      <w:r>
        <w:rPr>
          <w:spacing w:val="-92"/>
          <w:w w:val="101"/>
        </w:rPr>
        <w:t>；</w:t>
      </w:r>
      <w:r>
        <w:rPr>
          <w:spacing w:val="-5"/>
          <w:w w:val="101"/>
        </w:rPr>
        <w:t>（</w:t>
      </w:r>
      <w:r>
        <w:rPr>
          <w:rFonts w:ascii="Times New Roman" w:hAnsi="Times New Roman" w:cs="Times New Roman" w:eastAsia="Times New Roman" w:hint="default"/>
          <w:w w:val="101"/>
        </w:rPr>
        <w:t>5</w:t>
      </w:r>
      <w:r>
        <w:rPr>
          <w:spacing w:val="-5"/>
          <w:w w:val="101"/>
        </w:rPr>
        <w:t>）</w:t>
      </w:r>
      <w:r>
        <w:rPr>
          <w:w w:val="101"/>
        </w:rPr>
        <w:t>向</w:t>
      </w:r>
      <w:r>
        <w:rPr>
          <w:spacing w:val="-5"/>
          <w:w w:val="101"/>
        </w:rPr>
        <w:t>被投</w:t>
      </w:r>
      <w:r>
        <w:rPr>
          <w:w w:val="101"/>
        </w:rPr>
        <w:t>资</w:t>
      </w:r>
      <w:r>
        <w:rPr>
          <w:spacing w:val="-5"/>
          <w:w w:val="101"/>
        </w:rPr>
        <w:t>单</w:t>
      </w:r>
      <w:r>
        <w:rPr>
          <w:w w:val="101"/>
        </w:rPr>
        <w:t>位</w:t>
      </w:r>
      <w:r>
        <w:rPr>
          <w:spacing w:val="-5"/>
          <w:w w:val="101"/>
        </w:rPr>
        <w:t>提</w:t>
      </w:r>
      <w:r>
        <w:rPr>
          <w:w w:val="101"/>
        </w:rPr>
        <w:t>供</w:t>
      </w:r>
      <w:r>
        <w:rPr>
          <w:spacing w:val="-5"/>
          <w:w w:val="101"/>
        </w:rPr>
        <w:t>关</w:t>
      </w:r>
      <w:r>
        <w:rPr>
          <w:w w:val="101"/>
        </w:rPr>
        <w:t>键</w:t>
      </w:r>
      <w:r>
        <w:rPr>
          <w:spacing w:val="-5"/>
          <w:w w:val="101"/>
        </w:rPr>
        <w:t>技</w:t>
      </w:r>
      <w:r>
        <w:rPr>
          <w:w w:val="101"/>
        </w:rPr>
        <w:t>术</w:t>
      </w:r>
      <w:r>
        <w:rPr>
          <w:spacing w:val="-5"/>
          <w:w w:val="101"/>
        </w:rPr>
        <w:t>资</w:t>
      </w:r>
      <w:r>
        <w:rPr>
          <w:w w:val="101"/>
        </w:rPr>
        <w:t>料。</w:t>
      </w:r>
      <w:r>
        <w:rPr/>
      </w:r>
    </w:p>
    <w:p>
      <w:pPr>
        <w:spacing w:line="240" w:lineRule="auto" w:before="9"/>
        <w:rPr>
          <w:rFonts w:ascii="宋体" w:hAnsi="宋体" w:cs="宋体" w:eastAsia="宋体" w:hint="default"/>
          <w:sz w:val="16"/>
          <w:szCs w:val="16"/>
        </w:rPr>
      </w:pPr>
    </w:p>
    <w:p>
      <w:pPr>
        <w:pStyle w:val="Heading4"/>
        <w:spacing w:line="240" w:lineRule="auto"/>
        <w:ind w:right="17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624" w:lineRule="auto"/>
        <w:ind w:left="512" w:right="7482"/>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16" w:lineRule="auto" w:before="90"/>
        <w:ind w:right="173" w:firstLine="360"/>
        <w:jc w:val="left"/>
      </w:pPr>
      <w:r>
        <w:rPr>
          <w:spacing w:val="-5"/>
          <w:w w:val="101"/>
        </w:rPr>
        <w:t>本公司对投资性房地产采用成本模式进行后续计量，按其预计使用寿命及净残值率对建筑物和土地使用权计提折旧或摊</w:t>
      </w:r>
      <w:r>
        <w:rPr>
          <w:w w:val="101"/>
        </w:rPr>
        <w:t> </w:t>
      </w:r>
      <w:r>
        <w:rPr>
          <w:spacing w:val="-3"/>
        </w:rPr>
        <w:t>销。投资性房地产的预计使用寿命、净残值率及年折旧率列示如下：</w:t>
      </w:r>
    </w:p>
    <w:p>
      <w:pPr>
        <w:spacing w:line="240" w:lineRule="auto" w:before="5"/>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2453"/>
        <w:gridCol w:w="2030"/>
        <w:gridCol w:w="2213"/>
        <w:gridCol w:w="1836"/>
      </w:tblGrid>
      <w:tr>
        <w:trPr>
          <w:trHeight w:val="958" w:hRule="exact"/>
        </w:trPr>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tabs>
                <w:tab w:pos="815" w:val="left" w:leader="none"/>
              </w:tabs>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0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预计使用寿命（年）</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预计净残值率（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8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pacing w:val="-3"/>
                <w:sz w:val="18"/>
                <w:szCs w:val="18"/>
              </w:rPr>
              <w:t>年折旧率（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950" w:hRule="exact"/>
        </w:trPr>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20</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10.00</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4.50</w:t>
            </w:r>
          </w:p>
        </w:tc>
      </w:tr>
    </w:tbl>
    <w:p>
      <w:pPr>
        <w:spacing w:line="240" w:lineRule="auto" w:before="5"/>
        <w:rPr>
          <w:rFonts w:ascii="宋体" w:hAnsi="宋体" w:cs="宋体" w:eastAsia="宋体" w:hint="default"/>
          <w:sz w:val="20"/>
          <w:szCs w:val="20"/>
        </w:rPr>
      </w:pPr>
    </w:p>
    <w:p>
      <w:pPr>
        <w:pStyle w:val="BodyText"/>
        <w:spacing w:line="316" w:lineRule="auto" w:before="46"/>
        <w:ind w:right="186" w:firstLine="360"/>
        <w:jc w:val="both"/>
      </w:pPr>
      <w:r>
        <w:rPr>
          <w:spacing w:val="-4"/>
        </w:rPr>
        <w:t>投资性房地产的用途改变为自用时，自改变之日起，本公司将该投资性房地产转换为固定资产或无形资产。自用房地产</w:t>
      </w:r>
      <w:r>
        <w:rPr>
          <w:w w:val="101"/>
        </w:rPr>
        <w:t> </w:t>
      </w:r>
      <w:r>
        <w:rPr>
          <w:spacing w:val="-4"/>
        </w:rPr>
        <w:t>的用途改变为赚取租金或资本增值时，自改变之日起，本公司将固定资产或无形资产转换为投资性房地产。发生转换时，以</w:t>
      </w:r>
      <w:r>
        <w:rPr>
          <w:spacing w:val="41"/>
        </w:rPr>
        <w:t> </w:t>
      </w:r>
      <w:r>
        <w:rPr>
          <w:spacing w:val="41"/>
        </w:rPr>
      </w:r>
      <w:r>
        <w:rPr>
          <w:spacing w:val="-3"/>
        </w:rPr>
        <w:t>转换前的账面价值作为转换后的入账价值。</w:t>
      </w:r>
    </w:p>
    <w:p>
      <w:pPr>
        <w:spacing w:line="240" w:lineRule="auto" w:before="2"/>
        <w:rPr>
          <w:rFonts w:ascii="宋体" w:hAnsi="宋体" w:cs="宋体" w:eastAsia="宋体" w:hint="default"/>
          <w:sz w:val="24"/>
          <w:szCs w:val="24"/>
        </w:rPr>
      </w:pPr>
    </w:p>
    <w:p>
      <w:pPr>
        <w:pStyle w:val="BodyText"/>
        <w:spacing w:line="316" w:lineRule="auto"/>
        <w:ind w:right="186" w:firstLine="360"/>
        <w:jc w:val="both"/>
      </w:pPr>
      <w:r>
        <w:rPr>
          <w:spacing w:val="-4"/>
        </w:rPr>
        <w:t>当投资性房地产被处置，或者永久退出使用且预计不能从其处置中取得经济利益时，终止确认该项投资性房地产。投资</w:t>
      </w:r>
      <w:r>
        <w:rPr>
          <w:w w:val="101"/>
        </w:rPr>
        <w:t> </w:t>
      </w:r>
      <w:r>
        <w:rPr>
          <w:spacing w:val="-3"/>
        </w:rPr>
        <w:t>性房地产出售、转让、报废或毁损的处置收入扣除其账面价值和相关税费后的金额计入当期损益。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1"/>
        <w:ind w:right="173"/>
        <w:jc w:val="left"/>
        <w:rPr>
          <w:b w:val="0"/>
          <w:bCs w:val="0"/>
        </w:rPr>
      </w:pPr>
      <w:r>
        <w:rPr>
          <w:rFonts w:ascii="Times New Roman" w:hAnsi="Times New Roman" w:cs="Times New Roman" w:eastAsia="Times New Roman" w:hint="default"/>
        </w:rPr>
        <w:t>16</w:t>
      </w:r>
      <w:r>
        <w:rPr/>
        <w:t>、固定资产</w:t>
      </w:r>
      <w:r>
        <w:rPr>
          <w:b w:val="0"/>
          <w:bCs w:val="0"/>
        </w:rPr>
      </w:r>
    </w:p>
    <w:p>
      <w:pPr>
        <w:pStyle w:val="BodyText"/>
        <w:spacing w:line="610" w:lineRule="exact" w:before="63"/>
        <w:ind w:left="512" w:right="173"/>
        <w:jc w:val="left"/>
      </w:pPr>
      <w:r>
        <w:rPr/>
        <w:t>（</w:t>
      </w:r>
      <w:r>
        <w:rPr>
          <w:rFonts w:ascii="Times New Roman" w:hAnsi="Times New Roman" w:cs="Times New Roman" w:eastAsia="Times New Roman" w:hint="default"/>
        </w:rPr>
        <w:t>1</w:t>
      </w:r>
      <w:r>
        <w:rPr/>
        <w:t>）确认条件</w:t>
      </w:r>
      <w:r>
        <w:rPr>
          <w:spacing w:val="-85"/>
        </w:rPr>
        <w:t> </w:t>
      </w:r>
      <w:r>
        <w:rPr>
          <w:spacing w:val="-85"/>
        </w:rPr>
      </w:r>
      <w:r>
        <w:rPr>
          <w:spacing w:val="-4"/>
        </w:rPr>
        <w:t>固定资产指为生产商品、提供劳务、出租或经营管理而持有，并且使用寿命超过一个会计年度的有形资产。固定资产在</w:t>
      </w:r>
    </w:p>
    <w:p>
      <w:pPr>
        <w:pStyle w:val="BodyText"/>
        <w:spacing w:line="229" w:lineRule="exact"/>
        <w:ind w:right="173"/>
        <w:jc w:val="left"/>
      </w:pPr>
      <w:r>
        <w:rPr>
          <w:spacing w:val="-3"/>
        </w:rPr>
        <w:t>同时满足下列条件时予以确认：</w:t>
      </w:r>
      <w:r>
        <w:rPr>
          <w:rFonts w:ascii="Times New Roman" w:hAnsi="Times New Roman" w:cs="Times New Roman" w:eastAsia="Times New Roman" w:hint="default"/>
          <w:spacing w:val="-3"/>
        </w:rPr>
        <w:t>1</w:t>
      </w:r>
      <w:r>
        <w:rPr>
          <w:spacing w:val="-3"/>
        </w:rPr>
        <w:t>）与该固定资产有关的经济利益很可能流入企业；</w:t>
      </w:r>
      <w:r>
        <w:rPr>
          <w:rFonts w:ascii="Times New Roman" w:hAnsi="Times New Roman" w:cs="Times New Roman" w:eastAsia="Times New Roman" w:hint="default"/>
          <w:spacing w:val="-3"/>
        </w:rPr>
        <w:t>2</w:t>
      </w:r>
      <w:r>
        <w:rPr>
          <w:spacing w:val="-3"/>
        </w:rPr>
        <w:t>）该固定资产的成本能够可靠地计量。</w:t>
      </w:r>
    </w:p>
    <w:p>
      <w:pPr>
        <w:spacing w:line="240" w:lineRule="auto" w:before="0"/>
        <w:rPr>
          <w:rFonts w:ascii="宋体" w:hAnsi="宋体" w:cs="宋体" w:eastAsia="宋体" w:hint="default"/>
          <w:sz w:val="18"/>
          <w:szCs w:val="18"/>
        </w:rPr>
      </w:pPr>
    </w:p>
    <w:p>
      <w:pPr>
        <w:pStyle w:val="BodyText"/>
        <w:spacing w:line="240" w:lineRule="auto" w:before="129"/>
        <w:ind w:left="512" w:right="173"/>
        <w:jc w:val="left"/>
      </w:pPr>
      <w:r>
        <w:rPr/>
        <w:t>（</w:t>
      </w:r>
      <w:r>
        <w:rPr>
          <w:rFonts w:ascii="Times New Roman" w:hAnsi="Times New Roman" w:cs="Times New Roman" w:eastAsia="Times New Roman" w:hint="default"/>
        </w:rPr>
        <w:t>2</w:t>
      </w:r>
      <w:r>
        <w:rPr/>
        <w:t>）折旧方法</w:t>
      </w:r>
    </w:p>
    <w:p>
      <w:pPr>
        <w:spacing w:line="240" w:lineRule="auto" w:before="10"/>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92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92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83" w:right="0"/>
              <w:jc w:val="left"/>
              <w:rPr>
                <w:rFonts w:ascii="Times New Roman" w:hAnsi="Times New Roman" w:cs="Times New Roman" w:eastAsia="Times New Roman" w:hint="default"/>
                <w:sz w:val="18"/>
                <w:szCs w:val="18"/>
              </w:rPr>
            </w:pPr>
            <w:r>
              <w:rPr>
                <w:rFonts w:ascii="Times New Roman"/>
                <w:sz w:val="18"/>
              </w:rPr>
              <w:t>20-50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8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84" w:right="0"/>
              <w:jc w:val="left"/>
              <w:rPr>
                <w:rFonts w:ascii="Times New Roman" w:hAnsi="Times New Roman" w:cs="Times New Roman" w:eastAsia="Times New Roman" w:hint="default"/>
                <w:sz w:val="18"/>
                <w:szCs w:val="18"/>
              </w:rPr>
            </w:pPr>
            <w:r>
              <w:rPr>
                <w:rFonts w:ascii="Times New Roman"/>
                <w:sz w:val="18"/>
              </w:rPr>
              <w:t>4.5-1.8%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4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9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18-9%</w:t>
            </w:r>
          </w:p>
        </w:tc>
      </w:tr>
      <w:tr>
        <w:trPr>
          <w:trHeight w:val="9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9.7-9%</w:t>
            </w:r>
          </w:p>
        </w:tc>
      </w:tr>
      <w:tr>
        <w:trPr>
          <w:trHeight w:val="9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13"/>
        <w:rPr>
          <w:rFonts w:ascii="宋体" w:hAnsi="宋体" w:cs="宋体" w:eastAsia="宋体" w:hint="default"/>
          <w:sz w:val="19"/>
          <w:szCs w:val="19"/>
        </w:rPr>
      </w:pPr>
    </w:p>
    <w:p>
      <w:pPr>
        <w:pStyle w:val="BodyText"/>
        <w:spacing w:line="240" w:lineRule="auto" w:before="46"/>
        <w:ind w:left="512" w:right="173"/>
        <w:jc w:val="left"/>
      </w:pPr>
      <w:r>
        <w:rPr>
          <w:spacing w:val="-3"/>
        </w:rPr>
        <w:t>（</w:t>
      </w:r>
      <w:r>
        <w:rPr>
          <w:rFonts w:ascii="Times New Roman" w:hAnsi="Times New Roman" w:cs="Times New Roman" w:eastAsia="Times New Roman" w:hint="default"/>
          <w:spacing w:val="-3"/>
        </w:rPr>
        <w:t>3</w:t>
      </w:r>
      <w:r>
        <w:rPr>
          <w:spacing w:val="-3"/>
        </w:rPr>
        <w:t>）融资租入固定资产的认定依据、计价和折旧方法</w:t>
      </w:r>
    </w:p>
    <w:p>
      <w:pPr>
        <w:spacing w:line="240" w:lineRule="auto" w:before="0"/>
        <w:rPr>
          <w:rFonts w:ascii="宋体" w:hAnsi="宋体" w:cs="宋体" w:eastAsia="宋体" w:hint="default"/>
          <w:sz w:val="18"/>
          <w:szCs w:val="18"/>
        </w:rPr>
      </w:pPr>
    </w:p>
    <w:p>
      <w:pPr>
        <w:pStyle w:val="BodyText"/>
        <w:spacing w:line="309" w:lineRule="auto" w:before="129"/>
        <w:ind w:right="173" w:firstLine="359"/>
        <w:jc w:val="left"/>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w:t>
      </w:r>
      <w:r>
        <w:rPr>
          <w:spacing w:val="35"/>
        </w:rPr>
        <w:t> </w:t>
      </w:r>
      <w:r>
        <w:rPr>
          <w:spacing w:val="-4"/>
        </w:rPr>
        <w:t>在租赁期届满时，租赁资产的所</w:t>
      </w:r>
      <w:r>
        <w:rPr>
          <w:w w:val="101"/>
        </w:rPr>
        <w:t> </w:t>
      </w:r>
      <w:r>
        <w:rPr>
          <w:spacing w:val="-5"/>
        </w:rPr>
        <w:t>有权转移给本公司。</w:t>
      </w:r>
      <w:r>
        <w:rPr>
          <w:rFonts w:ascii="Times New Roman" w:hAnsi="Times New Roman" w:cs="Times New Roman" w:eastAsia="Times New Roman" w:hint="default"/>
          <w:spacing w:val="-5"/>
        </w:rPr>
        <w:t>2</w:t>
      </w:r>
      <w:r>
        <w:rPr>
          <w:spacing w:val="-5"/>
        </w:rPr>
        <w:t>） </w:t>
      </w:r>
      <w:r>
        <w:rPr>
          <w:spacing w:val="-4"/>
        </w:rPr>
        <w:t>本公司有购买租赁资产的选择权，所订立的购买价款预计将远低于行使选择权时租赁资产的公允价</w:t>
      </w:r>
      <w:r>
        <w:rPr>
          <w:spacing w:val="54"/>
        </w:rPr>
        <w:t> </w:t>
      </w:r>
      <w:r>
        <w:rPr>
          <w:spacing w:val="54"/>
        </w:rPr>
      </w:r>
      <w:r>
        <w:rPr>
          <w:spacing w:val="-4"/>
        </w:rPr>
        <w:t>值，因而在租赁开始日就可以合理确定本公司将会行使这种选择权。</w:t>
      </w:r>
      <w:r>
        <w:rPr>
          <w:rFonts w:ascii="Times New Roman" w:hAnsi="Times New Roman" w:cs="Times New Roman" w:eastAsia="Times New Roman" w:hint="default"/>
          <w:spacing w:val="-4"/>
        </w:rPr>
        <w:t>3</w:t>
      </w:r>
      <w:r>
        <w:rPr>
          <w:spacing w:val="-4"/>
        </w:rPr>
        <w:t>） 即使资产的所有权不转移，但租赁期占租赁资产使</w:t>
      </w:r>
      <w:r>
        <w:rPr>
          <w:spacing w:val="-39"/>
        </w:rPr>
        <w:t> </w:t>
      </w:r>
      <w:r>
        <w:rPr>
          <w:spacing w:val="-39"/>
        </w:rPr>
      </w:r>
      <w:r>
        <w:rPr>
          <w:spacing w:val="-4"/>
        </w:rPr>
        <w:t>用寿命的大部分。</w:t>
      </w:r>
      <w:r>
        <w:rPr>
          <w:rFonts w:ascii="Times New Roman" w:hAnsi="Times New Roman" w:cs="Times New Roman" w:eastAsia="Times New Roman" w:hint="default"/>
          <w:spacing w:val="-4"/>
        </w:rPr>
        <w:t>4</w:t>
      </w:r>
      <w:r>
        <w:rPr>
          <w:spacing w:val="-4"/>
        </w:rPr>
        <w:t>） 本公司在租赁开始日的最低租赁付款额现值，几乎相当于租赁开始日租赁资产公允价值。</w:t>
      </w:r>
      <w:r>
        <w:rPr>
          <w:rFonts w:ascii="Times New Roman" w:hAnsi="Times New Roman" w:cs="Times New Roman" w:eastAsia="Times New Roman" w:hint="default"/>
          <w:spacing w:val="-4"/>
        </w:rPr>
        <w:t>5</w:t>
      </w:r>
      <w:r>
        <w:rPr>
          <w:spacing w:val="-4"/>
        </w:rPr>
        <w:t>） </w:t>
      </w:r>
      <w:r>
        <w:rPr/>
        <w:t>租赁资</w:t>
      </w:r>
      <w:r>
        <w:rPr>
          <w:spacing w:val="37"/>
        </w:rPr>
        <w:t> </w:t>
      </w:r>
      <w:r>
        <w:rPr>
          <w:spacing w:val="37"/>
        </w:rPr>
      </w:r>
      <w:r>
        <w:rPr>
          <w:spacing w:val="-4"/>
        </w:rPr>
        <w:t>产性质特殊，如果不作较大改造，只有本公司才能使用。融资租赁租入的固定资产，按租赁开始日租赁资产公允价值与最低</w:t>
      </w:r>
      <w:r>
        <w:rPr>
          <w:spacing w:val="44"/>
        </w:rPr>
        <w:t> </w:t>
      </w:r>
      <w:r>
        <w:rPr>
          <w:spacing w:val="44"/>
        </w:rPr>
      </w:r>
      <w:r>
        <w:rPr>
          <w:spacing w:val="-6"/>
        </w:rPr>
        <w:t>租赁付款额的现值两者中较低者，作为入账价值。最低租赁付款额作为长期应付款的入账价值，其差额作为未确认融资费用。</w:t>
      </w:r>
      <w:r>
        <w:rPr>
          <w:spacing w:val="63"/>
        </w:rPr>
        <w:t> </w:t>
      </w:r>
      <w:r>
        <w:rPr>
          <w:spacing w:val="63"/>
        </w:rPr>
      </w:r>
      <w:r>
        <w:rPr>
          <w:spacing w:val="-4"/>
        </w:rPr>
        <w:t>在租赁谈判和签订租赁合同过程中发生的，可归属于租赁项目的手续费、律师费、差旅费、印花税等初始直接费用，计入租</w:t>
      </w:r>
      <w:r>
        <w:rPr>
          <w:spacing w:val="40"/>
        </w:rPr>
        <w:t> </w:t>
      </w:r>
      <w:r>
        <w:rPr>
          <w:spacing w:val="40"/>
        </w:rPr>
      </w:r>
      <w:r>
        <w:rPr>
          <w:spacing w:val="-4"/>
        </w:rPr>
        <w:t>入资产价值。未确认融资费用在租赁期内各个期间采用实际利率法进行分摊。本公司采用与自有固定资产相一致的折旧政策</w:t>
      </w:r>
      <w:r>
        <w:rPr>
          <w:spacing w:val="43"/>
        </w:rPr>
        <w:t> </w:t>
      </w:r>
      <w:r>
        <w:rPr>
          <w:spacing w:val="43"/>
        </w:rPr>
      </w:r>
      <w:r>
        <w:rPr>
          <w:spacing w:val="-4"/>
        </w:rPr>
        <w:t>计提融资租入固定资产折旧。能够合理确定租赁期届满时取得租赁资产所有权的，在租赁资产使用寿命内计提折旧。无法合</w:t>
      </w:r>
      <w:r>
        <w:rPr>
          <w:spacing w:val="43"/>
        </w:rPr>
        <w:t> </w:t>
      </w:r>
      <w:r>
        <w:rPr>
          <w:spacing w:val="43"/>
        </w:rPr>
      </w:r>
      <w:r>
        <w:rPr>
          <w:spacing w:val="-3"/>
        </w:rPr>
        <w:t>理确定租赁期届满时能够取得租赁资产所有权的，在租赁期与租赁资产使用寿命两者中较短的期间内计提折旧。</w:t>
      </w:r>
    </w:p>
    <w:p>
      <w:pPr>
        <w:spacing w:line="240" w:lineRule="auto" w:before="11"/>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pStyle w:val="BodyText"/>
        <w:spacing w:line="610" w:lineRule="exact" w:before="63"/>
        <w:ind w:left="512" w:right="173"/>
        <w:jc w:val="left"/>
      </w:pPr>
      <w:r>
        <w:rPr>
          <w:rFonts w:ascii="Times New Roman" w:hAnsi="Times New Roman" w:cs="Times New Roman" w:eastAsia="Times New Roman" w:hint="default"/>
        </w:rPr>
        <w:t>(1</w:t>
      </w:r>
      <w:r>
        <w:rPr/>
        <w:t>）在建工程的类别</w:t>
      </w:r>
      <w:r>
        <w:rPr>
          <w:spacing w:val="-88"/>
        </w:rPr>
        <w:t> </w:t>
      </w:r>
      <w:r>
        <w:rPr>
          <w:spacing w:val="-88"/>
        </w:rPr>
      </w:r>
      <w:r>
        <w:rPr>
          <w:spacing w:val="-3"/>
        </w:rPr>
        <w:t>本公司自行建造的在建工程按实际成本计价，实际成本由建造该项资产达到预定可使用状态前所发生的必要支出构成，</w:t>
      </w:r>
    </w:p>
    <w:p>
      <w:pPr>
        <w:pStyle w:val="BodyText"/>
        <w:spacing w:line="215" w:lineRule="exact"/>
        <w:ind w:right="0"/>
        <w:jc w:val="both"/>
      </w:pPr>
      <w:r>
        <w:rPr>
          <w:spacing w:val="-4"/>
        </w:rPr>
        <w:t>包括工程用物资成本、人工成本、交纳的相关税费、应予资本化的借款费用以及应分摊的间接费用等。本公司的在建工程以</w:t>
      </w:r>
    </w:p>
    <w:p>
      <w:pPr>
        <w:pStyle w:val="BodyText"/>
        <w:spacing w:line="240" w:lineRule="auto" w:before="76"/>
        <w:ind w:right="0"/>
        <w:jc w:val="both"/>
      </w:pPr>
      <w:r>
        <w:rPr>
          <w:spacing w:val="-3"/>
        </w:rPr>
        <w:t>项目分类核算。</w:t>
      </w:r>
    </w:p>
    <w:p>
      <w:pPr>
        <w:pStyle w:val="BodyText"/>
        <w:spacing w:line="590" w:lineRule="atLeast" w:before="38"/>
        <w:ind w:left="512" w:right="173"/>
        <w:jc w:val="left"/>
      </w:pPr>
      <w:r>
        <w:rPr>
          <w:spacing w:val="-7"/>
          <w:w w:val="101"/>
        </w:rPr>
        <w:t>（</w:t>
      </w:r>
      <w:r>
        <w:rPr>
          <w:rFonts w:ascii="Times New Roman" w:hAnsi="Times New Roman" w:cs="Times New Roman" w:eastAsia="Times New Roman" w:hint="default"/>
          <w:spacing w:val="-7"/>
          <w:w w:val="101"/>
        </w:rPr>
        <w:t>2</w:t>
      </w:r>
      <w:r>
        <w:rPr>
          <w:spacing w:val="-7"/>
          <w:w w:val="101"/>
        </w:rPr>
        <w:t>）．在建工程结转为固定资产的标准和时点</w:t>
      </w:r>
      <w:r>
        <w:rPr>
          <w:spacing w:val="-81"/>
          <w:w w:val="101"/>
        </w:rPr>
        <w:t> </w:t>
      </w:r>
      <w:r>
        <w:rPr>
          <w:spacing w:val="-81"/>
          <w:w w:val="101"/>
        </w:rPr>
      </w:r>
      <w:r>
        <w:rPr>
          <w:spacing w:val="-5"/>
        </w:rPr>
        <w:t>在建工程项目按建造该项资产达到预定可使用状态前所发生的全部支出，作为固定资产的入账价值。所建造的固定资产</w:t>
      </w:r>
    </w:p>
    <w:p>
      <w:pPr>
        <w:pStyle w:val="BodyText"/>
        <w:spacing w:line="316" w:lineRule="auto" w:before="76"/>
        <w:ind w:right="186"/>
        <w:jc w:val="both"/>
      </w:pPr>
      <w:r>
        <w:rPr>
          <w:spacing w:val="-4"/>
        </w:rPr>
        <w:t>在建工程已达到预定可使用状态，但尚未办理竣工决算的，自达到预定可使用状态之日起，根据工程预算、造价或者工程实</w:t>
      </w:r>
      <w:r>
        <w:rPr>
          <w:spacing w:val="40"/>
        </w:rPr>
        <w:t> </w:t>
      </w:r>
      <w:r>
        <w:rPr>
          <w:spacing w:val="40"/>
        </w:rPr>
      </w:r>
      <w:r>
        <w:rPr>
          <w:spacing w:val="-4"/>
        </w:rPr>
        <w:t>际成本等，按估计的价值转入固定资产，并按本公司固定资产折旧政策计提固定资产的折旧，待办理竣工决算后，再按实际</w:t>
      </w:r>
      <w:r>
        <w:rPr>
          <w:spacing w:val="42"/>
        </w:rPr>
        <w:t> </w:t>
      </w:r>
      <w:r>
        <w:rPr>
          <w:spacing w:val="42"/>
        </w:rPr>
      </w:r>
      <w:r>
        <w:rPr>
          <w:spacing w:val="-3"/>
        </w:rPr>
        <w:t>成本调整原来的暂估价值，但不调整原已计提的折旧额。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588" w:lineRule="auto"/>
        <w:ind w:left="512" w:right="173"/>
        <w:jc w:val="left"/>
      </w:pPr>
      <w:r>
        <w:rPr/>
        <w:t>（</w:t>
      </w:r>
      <w:r>
        <w:rPr>
          <w:rFonts w:ascii="Times New Roman" w:hAnsi="Times New Roman" w:cs="Times New Roman" w:eastAsia="Times New Roman" w:hint="default"/>
        </w:rPr>
        <w:t>1</w:t>
      </w:r>
      <w:r>
        <w:rPr/>
        <w:t>）借款费用资本化的确认原则</w:t>
      </w:r>
      <w:r>
        <w:rPr>
          <w:spacing w:val="-86"/>
        </w:rPr>
        <w:t> </w:t>
      </w:r>
      <w:r>
        <w:rPr>
          <w:spacing w:val="-86"/>
        </w:rPr>
      </w:r>
      <w:r>
        <w:rPr>
          <w:spacing w:val="-4"/>
        </w:rPr>
        <w:t>公司发生的借款费用，可直接归属于符合资本化条件的资产的购建或者生产的，予以资本化，计入相关资产成本；其他</w:t>
      </w:r>
    </w:p>
    <w:p>
      <w:pPr>
        <w:spacing w:after="0" w:line="588"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240" w:lineRule="auto" w:before="46"/>
        <w:ind w:right="173"/>
        <w:jc w:val="left"/>
      </w:pPr>
      <w:r>
        <w:rPr>
          <w:spacing w:val="-3"/>
        </w:rPr>
        <w:t>借款费用，在发生时根据其发生额确认为费用，计入当期损益。</w:t>
      </w:r>
    </w:p>
    <w:p>
      <w:pPr>
        <w:spacing w:line="240" w:lineRule="auto" w:before="0"/>
        <w:rPr>
          <w:rFonts w:ascii="宋体" w:hAnsi="宋体" w:cs="宋体" w:eastAsia="宋体" w:hint="default"/>
          <w:sz w:val="18"/>
          <w:szCs w:val="18"/>
        </w:rPr>
      </w:pPr>
    </w:p>
    <w:p>
      <w:pPr>
        <w:pStyle w:val="BodyText"/>
        <w:spacing w:line="316" w:lineRule="auto" w:before="138"/>
        <w:ind w:right="173" w:firstLine="360"/>
        <w:jc w:val="left"/>
      </w:pPr>
      <w:r>
        <w:rPr>
          <w:spacing w:val="-1"/>
        </w:rPr>
        <w:t>符合资本化条件的资产，是指需要经过相当长时间的购建或者生产活动才能达到预定可使用或者可销售状态的固定资</w:t>
      </w:r>
      <w:r>
        <w:rPr>
          <w:w w:val="101"/>
        </w:rPr>
        <w:t> </w:t>
      </w:r>
      <w:r>
        <w:rPr>
          <w:spacing w:val="-3"/>
        </w:rPr>
        <w:t>产、投资性房地产和存货等资产。</w:t>
      </w:r>
    </w:p>
    <w:p>
      <w:pPr>
        <w:spacing w:line="240" w:lineRule="auto" w:before="7"/>
        <w:rPr>
          <w:rFonts w:ascii="宋体" w:hAnsi="宋体" w:cs="宋体" w:eastAsia="宋体" w:hint="default"/>
          <w:sz w:val="24"/>
          <w:szCs w:val="24"/>
        </w:rPr>
      </w:pPr>
    </w:p>
    <w:p>
      <w:pPr>
        <w:pStyle w:val="BodyText"/>
        <w:spacing w:line="240" w:lineRule="auto"/>
        <w:ind w:left="512" w:right="173"/>
        <w:jc w:val="left"/>
      </w:pPr>
      <w:r>
        <w:rPr>
          <w:spacing w:val="-3"/>
        </w:rPr>
        <w:t>借款费用同时满足下列条件时开始资本化：</w:t>
      </w:r>
    </w:p>
    <w:p>
      <w:pPr>
        <w:spacing w:line="240" w:lineRule="auto" w:before="0"/>
        <w:rPr>
          <w:rFonts w:ascii="宋体" w:hAnsi="宋体" w:cs="宋体" w:eastAsia="宋体" w:hint="default"/>
          <w:sz w:val="18"/>
          <w:szCs w:val="18"/>
        </w:rPr>
      </w:pPr>
    </w:p>
    <w:p>
      <w:pPr>
        <w:pStyle w:val="BodyText"/>
        <w:spacing w:line="300" w:lineRule="auto" w:before="138"/>
        <w:ind w:right="173" w:firstLine="360"/>
        <w:jc w:val="left"/>
      </w:pPr>
      <w:r>
        <w:rPr>
          <w:rFonts w:ascii="Times New Roman" w:hAnsi="Times New Roman" w:cs="Times New Roman" w:eastAsia="Times New Roman" w:hint="default"/>
        </w:rPr>
        <w:t>1</w:t>
      </w:r>
      <w:r>
        <w:rPr/>
        <w:t>） </w:t>
      </w:r>
      <w:r>
        <w:rPr>
          <w:spacing w:val="-4"/>
        </w:rPr>
        <w:t>资产支出已经发生，资产支出包括为购建或者生产符合资本化条件的资产而以支付现金、转移非现金资产或者承担</w:t>
      </w:r>
      <w:r>
        <w:rPr>
          <w:w w:val="101"/>
        </w:rPr>
        <w:t> </w:t>
      </w:r>
      <w:r>
        <w:rPr>
          <w:spacing w:val="-3"/>
        </w:rPr>
        <w:t>带息债务形式发生的支出；</w:t>
      </w:r>
    </w:p>
    <w:p>
      <w:pPr>
        <w:spacing w:line="240" w:lineRule="auto" w:before="7"/>
        <w:rPr>
          <w:rFonts w:ascii="宋体" w:hAnsi="宋体" w:cs="宋体" w:eastAsia="宋体" w:hint="default"/>
          <w:sz w:val="25"/>
          <w:szCs w:val="25"/>
        </w:rPr>
      </w:pPr>
    </w:p>
    <w:p>
      <w:pPr>
        <w:pStyle w:val="BodyText"/>
        <w:spacing w:line="240" w:lineRule="auto"/>
        <w:ind w:left="512" w:right="173"/>
        <w:jc w:val="left"/>
      </w:pPr>
      <w:r>
        <w:rPr>
          <w:rFonts w:ascii="Times New Roman" w:hAnsi="Times New Roman" w:cs="Times New Roman" w:eastAsia="Times New Roman" w:hint="default"/>
        </w:rPr>
        <w:t>2</w:t>
      </w:r>
      <w:r>
        <w:rPr/>
        <w:t>）</w:t>
      </w:r>
      <w:r>
        <w:rPr>
          <w:spacing w:val="28"/>
        </w:rPr>
        <w:t> </w:t>
      </w:r>
      <w:r>
        <w:rPr>
          <w:spacing w:val="-3"/>
        </w:rPr>
        <w:t>借款费用已经发生；</w:t>
      </w:r>
    </w:p>
    <w:p>
      <w:pPr>
        <w:spacing w:line="240" w:lineRule="auto" w:before="0"/>
        <w:rPr>
          <w:rFonts w:ascii="宋体" w:hAnsi="宋体" w:cs="宋体" w:eastAsia="宋体" w:hint="default"/>
          <w:sz w:val="18"/>
          <w:szCs w:val="18"/>
        </w:rPr>
      </w:pPr>
    </w:p>
    <w:p>
      <w:pPr>
        <w:pStyle w:val="BodyText"/>
        <w:spacing w:line="240" w:lineRule="auto" w:before="125"/>
        <w:ind w:left="512" w:right="173"/>
        <w:jc w:val="left"/>
      </w:pPr>
      <w:r>
        <w:rPr>
          <w:rFonts w:ascii="Times New Roman" w:hAnsi="Times New Roman" w:cs="Times New Roman" w:eastAsia="Times New Roman" w:hint="default"/>
        </w:rPr>
        <w:t>3</w:t>
      </w:r>
      <w:r>
        <w:rPr/>
        <w:t>） </w:t>
      </w:r>
      <w:r>
        <w:rPr>
          <w:spacing w:val="13"/>
        </w:rPr>
        <w:t> </w:t>
      </w:r>
      <w:r>
        <w:rPr>
          <w:spacing w:val="-3"/>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607" w:lineRule="auto" w:before="129"/>
        <w:ind w:left="512" w:right="173"/>
        <w:jc w:val="left"/>
      </w:pPr>
      <w:r>
        <w:rPr>
          <w:spacing w:val="-3"/>
        </w:rPr>
        <w:t>（</w:t>
      </w:r>
      <w:r>
        <w:rPr>
          <w:rFonts w:ascii="Times New Roman" w:hAnsi="Times New Roman" w:cs="Times New Roman" w:eastAsia="Times New Roman" w:hint="default"/>
          <w:spacing w:val="-3"/>
        </w:rPr>
        <w:t>2</w:t>
      </w:r>
      <w:r>
        <w:rPr>
          <w:spacing w:val="-3"/>
        </w:rPr>
        <w:t>）借款费用资本化期间</w:t>
      </w:r>
      <w:r>
        <w:rPr>
          <w:spacing w:val="-52"/>
        </w:rPr>
        <w:t> </w:t>
      </w:r>
      <w:r>
        <w:rPr>
          <w:spacing w:val="-52"/>
        </w:rPr>
      </w:r>
      <w:r>
        <w:rPr>
          <w:spacing w:val="-3"/>
        </w:rPr>
        <w:t>资本化期间，指从借款费用开始资本化时点到停止资本化时点的期间，借款费用暂停资本化的期间不包括在内。</w:t>
      </w:r>
      <w:r>
        <w:rPr>
          <w:spacing w:val="54"/>
        </w:rPr>
        <w:t> </w:t>
      </w:r>
      <w:r>
        <w:rPr>
          <w:spacing w:val="54"/>
        </w:rPr>
      </w:r>
      <w:r>
        <w:rPr>
          <w:spacing w:val="-3"/>
        </w:rPr>
        <w:t>当购建或者生产符合资本化条件的资产达到预定可使用或者可销售状态时，借款费用停止资本化。</w:t>
      </w:r>
    </w:p>
    <w:p>
      <w:pPr>
        <w:pStyle w:val="BodyText"/>
        <w:spacing w:line="240" w:lineRule="auto" w:before="98"/>
        <w:ind w:left="512" w:right="173"/>
        <w:jc w:val="left"/>
      </w:pPr>
      <w:r>
        <w:rPr>
          <w:spacing w:val="-3"/>
        </w:rPr>
        <w:t>当购建或者生产符合资本化条件的资产中部分项目分别完工且可单独使用时，该部分资产借款费用停止资本化。</w:t>
      </w:r>
    </w:p>
    <w:p>
      <w:pPr>
        <w:spacing w:line="240" w:lineRule="auto" w:before="0"/>
        <w:rPr>
          <w:rFonts w:ascii="宋体" w:hAnsi="宋体" w:cs="宋体" w:eastAsia="宋体" w:hint="default"/>
          <w:sz w:val="18"/>
          <w:szCs w:val="18"/>
        </w:rPr>
      </w:pPr>
    </w:p>
    <w:p>
      <w:pPr>
        <w:pStyle w:val="BodyText"/>
        <w:spacing w:line="316" w:lineRule="auto" w:before="143"/>
        <w:ind w:right="173" w:firstLine="360"/>
        <w:jc w:val="left"/>
      </w:pPr>
      <w:r>
        <w:rPr>
          <w:spacing w:val="-4"/>
        </w:rPr>
        <w:t>购建或者生产的资产的各部分分别完工，但必须等到整体完工后才可使用或可对外销售的，在该资产整体完工时停止借</w:t>
      </w:r>
      <w:r>
        <w:rPr>
          <w:w w:val="101"/>
        </w:rPr>
        <w:t> </w:t>
      </w:r>
      <w:r>
        <w:rPr>
          <w:spacing w:val="-3"/>
        </w:rPr>
        <w:t>款费用资本化。</w:t>
      </w:r>
    </w:p>
    <w:p>
      <w:pPr>
        <w:pStyle w:val="BodyText"/>
        <w:spacing w:line="614" w:lineRule="exact" w:before="35"/>
        <w:ind w:left="512" w:right="173"/>
        <w:jc w:val="left"/>
      </w:pPr>
      <w:r>
        <w:rPr/>
        <w:t>（</w:t>
      </w:r>
      <w:r>
        <w:rPr>
          <w:rFonts w:ascii="Times New Roman" w:hAnsi="Times New Roman" w:cs="Times New Roman" w:eastAsia="Times New Roman" w:hint="default"/>
        </w:rPr>
        <w:t>3</w:t>
      </w:r>
      <w:r>
        <w:rPr/>
        <w:t>）暂停资本化期间</w:t>
      </w:r>
      <w:r>
        <w:rPr>
          <w:spacing w:val="-88"/>
        </w:rPr>
        <w:t> </w:t>
      </w:r>
      <w:r>
        <w:rPr>
          <w:spacing w:val="-88"/>
        </w:rPr>
      </w:r>
      <w:r>
        <w:rPr>
          <w:spacing w:val="-4"/>
        </w:rPr>
        <w:t>符合资本化条件的资产在购建或生产过程中发生的非正常中断、且中断时间连续超过</w:t>
      </w:r>
      <w:r>
        <w:rPr>
          <w:rFonts w:ascii="Times New Roman" w:hAnsi="Times New Roman" w:cs="Times New Roman" w:eastAsia="Times New Roman" w:hint="default"/>
          <w:spacing w:val="-4"/>
        </w:rPr>
        <w:t>3</w:t>
      </w:r>
      <w:r>
        <w:rPr>
          <w:spacing w:val="-4"/>
        </w:rPr>
        <w:t>个月的，则借款费用暂停资本化；</w:t>
      </w:r>
    </w:p>
    <w:p>
      <w:pPr>
        <w:pStyle w:val="BodyText"/>
        <w:spacing w:line="215" w:lineRule="exact"/>
        <w:ind w:right="108"/>
        <w:jc w:val="left"/>
      </w:pPr>
      <w:r>
        <w:rPr>
          <w:w w:val="101"/>
        </w:rPr>
        <w:t>该</w:t>
      </w:r>
      <w:r>
        <w:rPr>
          <w:spacing w:val="-5"/>
          <w:w w:val="101"/>
        </w:rPr>
        <w:t>项</w:t>
      </w:r>
      <w:r>
        <w:rPr>
          <w:w w:val="101"/>
        </w:rPr>
        <w:t>中</w:t>
      </w:r>
      <w:r>
        <w:rPr>
          <w:spacing w:val="-5"/>
          <w:w w:val="101"/>
        </w:rPr>
        <w:t>断</w:t>
      </w:r>
      <w:r>
        <w:rPr>
          <w:w w:val="101"/>
        </w:rPr>
        <w:t>如</w:t>
      </w:r>
      <w:r>
        <w:rPr>
          <w:spacing w:val="-5"/>
          <w:w w:val="101"/>
        </w:rPr>
        <w:t>是</w:t>
      </w:r>
      <w:r>
        <w:rPr>
          <w:w w:val="101"/>
        </w:rPr>
        <w:t>所</w:t>
      </w:r>
      <w:r>
        <w:rPr>
          <w:spacing w:val="-5"/>
          <w:w w:val="101"/>
        </w:rPr>
        <w:t>购</w:t>
      </w:r>
      <w:r>
        <w:rPr>
          <w:w w:val="101"/>
        </w:rPr>
        <w:t>建</w:t>
      </w:r>
      <w:r>
        <w:rPr>
          <w:spacing w:val="-5"/>
          <w:w w:val="101"/>
        </w:rPr>
        <w:t>或</w:t>
      </w:r>
      <w:r>
        <w:rPr>
          <w:w w:val="101"/>
        </w:rPr>
        <w:t>生</w:t>
      </w:r>
      <w:r>
        <w:rPr>
          <w:spacing w:val="-5"/>
          <w:w w:val="101"/>
        </w:rPr>
        <w:t>产</w:t>
      </w:r>
      <w:r>
        <w:rPr>
          <w:w w:val="101"/>
        </w:rPr>
        <w:t>的</w:t>
      </w:r>
      <w:r>
        <w:rPr>
          <w:spacing w:val="-5"/>
          <w:w w:val="101"/>
        </w:rPr>
        <w:t>符</w:t>
      </w:r>
      <w:r>
        <w:rPr>
          <w:w w:val="101"/>
        </w:rPr>
        <w:t>合</w:t>
      </w:r>
      <w:r>
        <w:rPr>
          <w:spacing w:val="-5"/>
          <w:w w:val="101"/>
        </w:rPr>
        <w:t>资</w:t>
      </w:r>
      <w:r>
        <w:rPr>
          <w:w w:val="101"/>
        </w:rPr>
        <w:t>本</w:t>
      </w:r>
      <w:r>
        <w:rPr>
          <w:spacing w:val="-5"/>
          <w:w w:val="101"/>
        </w:rPr>
        <w:t>化</w:t>
      </w:r>
      <w:r>
        <w:rPr>
          <w:w w:val="101"/>
        </w:rPr>
        <w:t>条</w:t>
      </w:r>
      <w:r>
        <w:rPr>
          <w:spacing w:val="-5"/>
          <w:w w:val="101"/>
        </w:rPr>
        <w:t>件</w:t>
      </w:r>
      <w:r>
        <w:rPr>
          <w:w w:val="101"/>
        </w:rPr>
        <w:t>的</w:t>
      </w:r>
      <w:r>
        <w:rPr>
          <w:spacing w:val="-5"/>
          <w:w w:val="101"/>
        </w:rPr>
        <w:t>资</w:t>
      </w:r>
      <w:r>
        <w:rPr>
          <w:w w:val="101"/>
        </w:rPr>
        <w:t>产</w:t>
      </w:r>
      <w:r>
        <w:rPr>
          <w:spacing w:val="-5"/>
          <w:w w:val="101"/>
        </w:rPr>
        <w:t>达</w:t>
      </w:r>
      <w:r>
        <w:rPr>
          <w:w w:val="101"/>
        </w:rPr>
        <w:t>到</w:t>
      </w:r>
      <w:r>
        <w:rPr>
          <w:spacing w:val="-5"/>
          <w:w w:val="101"/>
        </w:rPr>
        <w:t>预定</w:t>
      </w:r>
      <w:r>
        <w:rPr>
          <w:w w:val="101"/>
        </w:rPr>
        <w:t>可</w:t>
      </w:r>
      <w:r>
        <w:rPr>
          <w:spacing w:val="-5"/>
          <w:w w:val="101"/>
        </w:rPr>
        <w:t>使</w:t>
      </w:r>
      <w:r>
        <w:rPr>
          <w:w w:val="101"/>
        </w:rPr>
        <w:t>用</w:t>
      </w:r>
      <w:r>
        <w:rPr>
          <w:spacing w:val="-5"/>
          <w:w w:val="101"/>
        </w:rPr>
        <w:t>状</w:t>
      </w:r>
      <w:r>
        <w:rPr>
          <w:w w:val="101"/>
        </w:rPr>
        <w:t>态</w:t>
      </w:r>
      <w:r>
        <w:rPr>
          <w:spacing w:val="-5"/>
          <w:w w:val="101"/>
        </w:rPr>
        <w:t>或</w:t>
      </w:r>
      <w:r>
        <w:rPr>
          <w:w w:val="101"/>
        </w:rPr>
        <w:t>者</w:t>
      </w:r>
      <w:r>
        <w:rPr>
          <w:spacing w:val="-5"/>
          <w:w w:val="101"/>
        </w:rPr>
        <w:t>可</w:t>
      </w:r>
      <w:r>
        <w:rPr>
          <w:w w:val="101"/>
        </w:rPr>
        <w:t>销</w:t>
      </w:r>
      <w:r>
        <w:rPr>
          <w:spacing w:val="-5"/>
          <w:w w:val="101"/>
        </w:rPr>
        <w:t>售</w:t>
      </w:r>
      <w:r>
        <w:rPr>
          <w:w w:val="101"/>
        </w:rPr>
        <w:t>状</w:t>
      </w:r>
      <w:r>
        <w:rPr>
          <w:spacing w:val="-5"/>
          <w:w w:val="101"/>
        </w:rPr>
        <w:t>态</w:t>
      </w:r>
      <w:r>
        <w:rPr>
          <w:w w:val="101"/>
        </w:rPr>
        <w:t>必</w:t>
      </w:r>
      <w:r>
        <w:rPr>
          <w:spacing w:val="-5"/>
          <w:w w:val="101"/>
        </w:rPr>
        <w:t>要</w:t>
      </w:r>
      <w:r>
        <w:rPr>
          <w:w w:val="101"/>
        </w:rPr>
        <w:t>的</w:t>
      </w:r>
      <w:r>
        <w:rPr>
          <w:spacing w:val="-5"/>
          <w:w w:val="101"/>
        </w:rPr>
        <w:t>程</w:t>
      </w:r>
      <w:r>
        <w:rPr>
          <w:w w:val="101"/>
        </w:rPr>
        <w:t>序</w:t>
      </w:r>
      <w:r>
        <w:rPr>
          <w:spacing w:val="-87"/>
          <w:w w:val="101"/>
        </w:rPr>
        <w:t>，</w:t>
      </w:r>
      <w:r>
        <w:rPr>
          <w:w w:val="101"/>
        </w:rPr>
        <w:t>则</w:t>
      </w:r>
      <w:r>
        <w:rPr>
          <w:spacing w:val="-5"/>
          <w:w w:val="101"/>
        </w:rPr>
        <w:t>借</w:t>
      </w:r>
      <w:r>
        <w:rPr>
          <w:w w:val="101"/>
        </w:rPr>
        <w:t>款</w:t>
      </w:r>
      <w:r>
        <w:rPr>
          <w:spacing w:val="-5"/>
          <w:w w:val="101"/>
        </w:rPr>
        <w:t>费</w:t>
      </w:r>
      <w:r>
        <w:rPr>
          <w:w w:val="101"/>
        </w:rPr>
        <w:t>用</w:t>
      </w:r>
      <w:r>
        <w:rPr>
          <w:spacing w:val="-5"/>
          <w:w w:val="101"/>
        </w:rPr>
        <w:t>继</w:t>
      </w:r>
      <w:r>
        <w:rPr>
          <w:w w:val="101"/>
        </w:rPr>
        <w:t>续</w:t>
      </w:r>
      <w:r>
        <w:rPr>
          <w:spacing w:val="-5"/>
          <w:w w:val="101"/>
        </w:rPr>
        <w:t>资</w:t>
      </w:r>
      <w:r>
        <w:rPr>
          <w:w w:val="101"/>
        </w:rPr>
        <w:t>本</w:t>
      </w:r>
      <w:r>
        <w:rPr/>
      </w:r>
    </w:p>
    <w:p>
      <w:pPr>
        <w:pStyle w:val="BodyText"/>
        <w:spacing w:line="240" w:lineRule="auto" w:before="76"/>
        <w:ind w:right="173"/>
        <w:jc w:val="left"/>
      </w:pPr>
      <w:r>
        <w:rPr>
          <w:spacing w:val="-3"/>
        </w:rPr>
        <w:t>化。在中断期间发生的借款费用确认为当期损益，直至资产的购建或者生产活动重新开始后借款费用继续资本化。</w:t>
      </w:r>
    </w:p>
    <w:p>
      <w:pPr>
        <w:pStyle w:val="BodyText"/>
        <w:spacing w:line="600" w:lineRule="atLeast" w:before="23"/>
        <w:ind w:left="512" w:right="173"/>
        <w:jc w:val="left"/>
      </w:pPr>
      <w:r>
        <w:rPr>
          <w:spacing w:val="-3"/>
        </w:rPr>
        <w:t>（</w:t>
      </w:r>
      <w:r>
        <w:rPr>
          <w:rFonts w:ascii="Times New Roman" w:hAnsi="Times New Roman" w:cs="Times New Roman" w:eastAsia="Times New Roman" w:hint="default"/>
          <w:spacing w:val="-3"/>
        </w:rPr>
        <w:t>4</w:t>
      </w:r>
      <w:r>
        <w:rPr>
          <w:spacing w:val="-3"/>
        </w:rPr>
        <w:t>）借款费用资本化金额的计算方法</w:t>
      </w:r>
      <w:r>
        <w:rPr>
          <w:spacing w:val="-35"/>
        </w:rPr>
        <w:t> </w:t>
      </w:r>
      <w:r>
        <w:rPr>
          <w:spacing w:val="-35"/>
        </w:rPr>
      </w:r>
      <w:r>
        <w:rPr>
          <w:spacing w:val="-4"/>
        </w:rPr>
        <w:t>专门借款的利息费用（扣除尚未动用的借款资金存入银行取得的利息收入或者进行暂时性投资取得的投资收益）及其辅</w:t>
      </w:r>
    </w:p>
    <w:p>
      <w:pPr>
        <w:pStyle w:val="BodyText"/>
        <w:spacing w:line="240" w:lineRule="auto" w:before="76"/>
        <w:ind w:right="173"/>
        <w:jc w:val="left"/>
      </w:pPr>
      <w:r>
        <w:rPr>
          <w:spacing w:val="-3"/>
        </w:rPr>
        <w:t>助费用在所购建或者生产的符合资本化条件的资产达到预定可使用或者可销售状态前，予以资本化。</w:t>
      </w:r>
    </w:p>
    <w:p>
      <w:pPr>
        <w:spacing w:line="240" w:lineRule="auto" w:before="0"/>
        <w:rPr>
          <w:rFonts w:ascii="宋体" w:hAnsi="宋体" w:cs="宋体" w:eastAsia="宋体" w:hint="default"/>
          <w:sz w:val="18"/>
          <w:szCs w:val="18"/>
        </w:rPr>
      </w:pPr>
    </w:p>
    <w:p>
      <w:pPr>
        <w:pStyle w:val="BodyText"/>
        <w:spacing w:line="316" w:lineRule="auto" w:before="138"/>
        <w:ind w:right="173" w:firstLine="360"/>
        <w:jc w:val="left"/>
      </w:pPr>
      <w:r>
        <w:rPr>
          <w:spacing w:val="-5"/>
          <w:w w:val="101"/>
        </w:rPr>
        <w:t>根据累计资产支出超过专门借款部分的资产支出加权平均数乘以所占用一般借款的资本化率，计算确定一般借款应予资</w:t>
      </w:r>
      <w:r>
        <w:rPr>
          <w:w w:val="101"/>
        </w:rPr>
        <w:t> </w:t>
      </w:r>
      <w:r>
        <w:rPr>
          <w:spacing w:val="-3"/>
        </w:rPr>
        <w:t>本化的利息金额。资本化率根据一般借款加权平均利率计算确定。</w:t>
      </w:r>
    </w:p>
    <w:p>
      <w:pPr>
        <w:spacing w:line="240" w:lineRule="auto" w:before="7"/>
        <w:rPr>
          <w:rFonts w:ascii="宋体" w:hAnsi="宋体" w:cs="宋体" w:eastAsia="宋体" w:hint="default"/>
          <w:sz w:val="24"/>
          <w:szCs w:val="24"/>
        </w:rPr>
      </w:pPr>
    </w:p>
    <w:p>
      <w:pPr>
        <w:pStyle w:val="BodyText"/>
        <w:spacing w:line="240" w:lineRule="auto"/>
        <w:ind w:left="512" w:right="173"/>
        <w:jc w:val="left"/>
      </w:pPr>
      <w:r>
        <w:rPr>
          <w:spacing w:val="-3"/>
        </w:rPr>
        <w:t>借款存在折价或者溢价的，按照实际利率法确定每一会计期间应摊销的折价或者溢价金额，调整每期利息金额。</w:t>
      </w:r>
    </w:p>
    <w:p>
      <w:pPr>
        <w:spacing w:after="0" w:line="240" w:lineRule="auto"/>
        <w:jc w:val="left"/>
        <w:sectPr>
          <w:pgSz w:w="11910" w:h="16840"/>
          <w:pgMar w:header="741" w:footer="979" w:top="1060" w:bottom="1160" w:left="980" w:right="940"/>
        </w:sectPr>
      </w:pPr>
    </w:p>
    <w:p>
      <w:pPr>
        <w:spacing w:line="240" w:lineRule="auto" w:before="12"/>
        <w:rPr>
          <w:rFonts w:ascii="宋体" w:hAnsi="宋体" w:cs="宋体" w:eastAsia="宋体" w:hint="default"/>
          <w:sz w:val="24"/>
          <w:szCs w:val="24"/>
        </w:rPr>
      </w:pPr>
    </w:p>
    <w:p>
      <w:pPr>
        <w:pStyle w:val="Heading4"/>
        <w:spacing w:line="335" w:lineRule="exact"/>
        <w:ind w:right="17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607" w:lineRule="auto"/>
        <w:ind w:left="512" w:right="173"/>
        <w:jc w:val="left"/>
      </w:pPr>
      <w:r>
        <w:rPr>
          <w:spacing w:val="-3"/>
        </w:rPr>
        <w:t>（</w:t>
      </w:r>
      <w:r>
        <w:rPr>
          <w:rFonts w:ascii="Times New Roman" w:hAnsi="Times New Roman" w:cs="Times New Roman" w:eastAsia="Times New Roman" w:hint="default"/>
          <w:spacing w:val="-3"/>
        </w:rPr>
        <w:t>1</w:t>
      </w:r>
      <w:r>
        <w:rPr>
          <w:spacing w:val="-3"/>
        </w:rPr>
        <w:t>）计价方法、使用寿命、减值测试</w:t>
      </w:r>
      <w:r>
        <w:rPr>
          <w:spacing w:val="-35"/>
        </w:rPr>
        <w:t> </w:t>
      </w:r>
      <w:r>
        <w:rPr>
          <w:spacing w:val="-35"/>
        </w:rPr>
      </w:r>
      <w:r>
        <w:rPr>
          <w:spacing w:val="-3"/>
        </w:rPr>
        <w:t>无形资产是指本公司拥有或者控制的没有实物形态的可辨认非货币性资产，包括土地使用权、专利权、软件等。</w:t>
      </w:r>
      <w:r>
        <w:rPr>
          <w:spacing w:val="54"/>
        </w:rPr>
        <w:t> </w:t>
      </w:r>
      <w:r>
        <w:rPr>
          <w:spacing w:val="54"/>
        </w:rPr>
      </w:r>
      <w:r>
        <w:rPr>
          <w:spacing w:val="-3"/>
        </w:rPr>
        <w:t>无形资产的初始计量</w:t>
      </w:r>
    </w:p>
    <w:p>
      <w:pPr>
        <w:pStyle w:val="BodyText"/>
        <w:spacing w:line="316" w:lineRule="auto" w:before="98"/>
        <w:ind w:right="186" w:firstLine="360"/>
        <w:jc w:val="both"/>
      </w:pPr>
      <w:r>
        <w:rPr>
          <w:spacing w:val="-4"/>
        </w:rPr>
        <w:t>外购无形资产的成本，包括购买价款、相关税费以及直接归属于使该项资产达到预定用途所发生的其他支出。购买无形</w:t>
      </w:r>
      <w:r>
        <w:rPr>
          <w:w w:val="101"/>
        </w:rPr>
        <w:t> </w:t>
      </w:r>
      <w:r>
        <w:rPr>
          <w:spacing w:val="-3"/>
        </w:rPr>
        <w:t>资产的价款超过正常信用条件延期支付，实质上具有融资性质的，无形资产的成本以购买价款的现值为基础确定。</w:t>
      </w:r>
    </w:p>
    <w:p>
      <w:pPr>
        <w:spacing w:line="240" w:lineRule="auto" w:before="7"/>
        <w:rPr>
          <w:rFonts w:ascii="宋体" w:hAnsi="宋体" w:cs="宋体" w:eastAsia="宋体" w:hint="default"/>
          <w:sz w:val="24"/>
          <w:szCs w:val="24"/>
        </w:rPr>
      </w:pPr>
    </w:p>
    <w:p>
      <w:pPr>
        <w:pStyle w:val="BodyText"/>
        <w:spacing w:line="316" w:lineRule="auto"/>
        <w:ind w:right="186" w:firstLine="360"/>
        <w:jc w:val="both"/>
      </w:pPr>
      <w:r>
        <w:rPr>
          <w:spacing w:val="-4"/>
        </w:rPr>
        <w:t>债务重组取得债务人用以抵债的无形资产，以该无形资产的公允价值为基础确定其入账价值，并将重组债务的账面价值</w:t>
      </w:r>
      <w:r>
        <w:rPr>
          <w:w w:val="101"/>
        </w:rPr>
        <w:t> </w:t>
      </w:r>
      <w:r>
        <w:rPr>
          <w:spacing w:val="-3"/>
        </w:rPr>
        <w:t>与该用以抵债的无形资产公允价值之间的差额，计入当期损益。</w:t>
      </w:r>
    </w:p>
    <w:p>
      <w:pPr>
        <w:spacing w:line="240" w:lineRule="auto" w:before="2"/>
        <w:rPr>
          <w:rFonts w:ascii="宋体" w:hAnsi="宋体" w:cs="宋体" w:eastAsia="宋体" w:hint="default"/>
          <w:sz w:val="24"/>
          <w:szCs w:val="24"/>
        </w:rPr>
      </w:pPr>
    </w:p>
    <w:p>
      <w:pPr>
        <w:pStyle w:val="BodyText"/>
        <w:spacing w:line="316" w:lineRule="auto"/>
        <w:ind w:right="186" w:firstLine="360"/>
        <w:jc w:val="both"/>
      </w:pPr>
      <w:r>
        <w:rPr>
          <w:spacing w:val="-5"/>
          <w:w w:val="101"/>
        </w:rPr>
        <w:t>在非货币性资产交换具备商业实质且换入资产或换出资产的公允价值能够可靠计量的前提下，非货币性资产交换换入的</w:t>
      </w:r>
      <w:r>
        <w:rPr>
          <w:w w:val="101"/>
        </w:rPr>
        <w:t> </w:t>
      </w:r>
      <w:r>
        <w:rPr>
          <w:spacing w:val="-4"/>
        </w:rPr>
        <w:t>无形资产以换出资产的公允价值为基础确定其入账价值，除非有确凿证据表明换入资产的公允价值更加可靠；不满足上述前</w:t>
      </w:r>
      <w:r>
        <w:rPr>
          <w:spacing w:val="44"/>
        </w:rPr>
        <w:t> </w:t>
      </w:r>
      <w:r>
        <w:rPr>
          <w:spacing w:val="44"/>
        </w:rPr>
      </w:r>
      <w:r>
        <w:rPr>
          <w:spacing w:val="-3"/>
        </w:rPr>
        <w:t>提的非货币性资产交换，以换出资产的账面价值和应支付的相关税费作为换入无形资产的成本，不确认损益。</w:t>
      </w:r>
    </w:p>
    <w:p>
      <w:pPr>
        <w:spacing w:line="240" w:lineRule="auto" w:before="7"/>
        <w:rPr>
          <w:rFonts w:ascii="宋体" w:hAnsi="宋体" w:cs="宋体" w:eastAsia="宋体" w:hint="default"/>
          <w:sz w:val="24"/>
          <w:szCs w:val="24"/>
        </w:rPr>
      </w:pPr>
    </w:p>
    <w:p>
      <w:pPr>
        <w:pStyle w:val="BodyText"/>
        <w:spacing w:line="316" w:lineRule="auto"/>
        <w:ind w:right="191" w:firstLine="360"/>
        <w:jc w:val="both"/>
      </w:pPr>
      <w:r>
        <w:rPr>
          <w:spacing w:val="-5"/>
          <w:w w:val="101"/>
        </w:rPr>
        <w:t>以同一控制下的企业吸收合并方式取得的无形资产按被合并方的账面价值确定其入账价值；以非同一控制下的企业吸收</w:t>
      </w:r>
      <w:r>
        <w:rPr>
          <w:w w:val="101"/>
        </w:rPr>
        <w:t> </w:t>
      </w:r>
      <w:r>
        <w:rPr>
          <w:spacing w:val="-3"/>
        </w:rPr>
        <w:t>合并方式取得的无形资产按公允价值确定其入账价值。</w:t>
      </w:r>
    </w:p>
    <w:p>
      <w:pPr>
        <w:spacing w:line="240" w:lineRule="auto" w:before="2"/>
        <w:rPr>
          <w:rFonts w:ascii="宋体" w:hAnsi="宋体" w:cs="宋体" w:eastAsia="宋体" w:hint="default"/>
          <w:sz w:val="24"/>
          <w:szCs w:val="24"/>
        </w:rPr>
      </w:pPr>
    </w:p>
    <w:p>
      <w:pPr>
        <w:pStyle w:val="BodyText"/>
        <w:spacing w:line="316" w:lineRule="auto"/>
        <w:ind w:right="186" w:firstLine="360"/>
        <w:jc w:val="both"/>
      </w:pPr>
      <w:r>
        <w:rPr>
          <w:spacing w:val="-5"/>
        </w:rPr>
        <w:t>内部自行开发的无形资产，其成本包括：开发该无形资产时耗用的材料、劳务成本、注册费、在开发过程中使用的其他</w:t>
      </w:r>
      <w:r>
        <w:rPr>
          <w:w w:val="101"/>
        </w:rPr>
        <w:t> </w:t>
      </w:r>
      <w:r>
        <w:rPr>
          <w:spacing w:val="-3"/>
        </w:rPr>
        <w:t>专利权和特许权的摊销以及满足资本化条件的利息费用，以及为使该无形资产达到预定用途前所发生的其他直接费用。</w:t>
      </w:r>
    </w:p>
    <w:p>
      <w:pPr>
        <w:spacing w:line="240" w:lineRule="auto" w:before="7"/>
        <w:rPr>
          <w:rFonts w:ascii="宋体" w:hAnsi="宋体" w:cs="宋体" w:eastAsia="宋体" w:hint="default"/>
          <w:sz w:val="24"/>
          <w:szCs w:val="24"/>
        </w:rPr>
      </w:pPr>
    </w:p>
    <w:p>
      <w:pPr>
        <w:pStyle w:val="BodyText"/>
        <w:spacing w:line="624" w:lineRule="auto"/>
        <w:ind w:left="512" w:right="173"/>
        <w:jc w:val="left"/>
      </w:pPr>
      <w:r>
        <w:rPr>
          <w:spacing w:val="-3"/>
        </w:rPr>
        <w:t>无形资产的后续计量</w:t>
      </w:r>
      <w:r>
        <w:rPr>
          <w:spacing w:val="-62"/>
        </w:rPr>
        <w:t> </w:t>
      </w:r>
      <w:r>
        <w:rPr>
          <w:spacing w:val="-62"/>
        </w:rPr>
      </w:r>
      <w:r>
        <w:rPr>
          <w:spacing w:val="-3"/>
        </w:rPr>
        <w:t>本公司在取得无形资产时分析判断其使用寿命，划分为使用寿命有限和使用寿命不确定的无形资产。</w:t>
      </w:r>
      <w:r>
        <w:rPr>
          <w:spacing w:val="37"/>
        </w:rPr>
        <w:t> </w:t>
      </w:r>
      <w:r>
        <w:rPr>
          <w:spacing w:val="37"/>
        </w:rPr>
      </w:r>
      <w:r>
        <w:rPr>
          <w:spacing w:val="-3"/>
        </w:rPr>
        <w:t>使用寿命有限的无形资产</w:t>
      </w:r>
    </w:p>
    <w:p>
      <w:pPr>
        <w:pStyle w:val="BodyText"/>
        <w:spacing w:line="316" w:lineRule="auto" w:before="86"/>
        <w:ind w:right="186" w:firstLine="360"/>
        <w:jc w:val="both"/>
      </w:pPr>
      <w:r>
        <w:rPr>
          <w:spacing w:val="-4"/>
        </w:rPr>
        <w:t>对于使用寿命有限的无形资产，在为企业带来经济利益的期限内按直线法摊销。使用寿命有限的无形资产预计寿命及依</w:t>
      </w:r>
      <w:r>
        <w:rPr>
          <w:w w:val="101"/>
        </w:rPr>
        <w:t> </w:t>
      </w:r>
      <w:r>
        <w:rPr/>
        <w:t>据如下：</w:t>
      </w:r>
    </w:p>
    <w:p>
      <w:pPr>
        <w:spacing w:line="240" w:lineRule="auto" w:before="10"/>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2808"/>
        <w:gridCol w:w="2808"/>
        <w:gridCol w:w="2806"/>
      </w:tblGrid>
      <w:tr>
        <w:trPr>
          <w:trHeight w:val="953" w:hRule="exact"/>
        </w:trPr>
        <w:tc>
          <w:tcPr>
            <w:tcW w:w="2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8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950" w:hRule="exact"/>
        </w:trPr>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8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受益期限</w:t>
            </w:r>
          </w:p>
        </w:tc>
      </w:tr>
      <w:tr>
        <w:trPr>
          <w:trHeight w:val="955" w:hRule="exact"/>
        </w:trPr>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8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受益期限</w:t>
            </w:r>
          </w:p>
        </w:tc>
      </w:tr>
    </w:tbl>
    <w:p>
      <w:pPr>
        <w:spacing w:line="240" w:lineRule="auto" w:before="13"/>
        <w:rPr>
          <w:rFonts w:ascii="宋体" w:hAnsi="宋体" w:cs="宋体" w:eastAsia="宋体" w:hint="default"/>
          <w:sz w:val="19"/>
          <w:szCs w:val="19"/>
        </w:rPr>
      </w:pPr>
    </w:p>
    <w:p>
      <w:pPr>
        <w:pStyle w:val="BodyText"/>
        <w:spacing w:line="240" w:lineRule="auto" w:before="46"/>
        <w:ind w:left="512" w:right="173"/>
        <w:jc w:val="left"/>
      </w:pPr>
      <w:r>
        <w:rPr>
          <w:spacing w:val="-3"/>
        </w:rPr>
        <w:t>每期末，对使用寿命有限的无形资产的使用寿命及摊销方法进行复核，如与原先估计数存在差异的，进行相应的调整。</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621" w:lineRule="auto" w:before="46"/>
        <w:ind w:left="512" w:right="2284"/>
        <w:jc w:val="left"/>
      </w:pPr>
      <w:r>
        <w:rPr>
          <w:spacing w:val="-3"/>
        </w:rPr>
        <w:t>经复核，本期期末无形资产的使用寿命及摊销方法与以前估计未有不同。</w:t>
      </w:r>
      <w:r>
        <w:rPr>
          <w:spacing w:val="2"/>
        </w:rPr>
        <w:t> </w:t>
      </w:r>
      <w:r>
        <w:rPr>
          <w:spacing w:val="2"/>
        </w:rPr>
      </w:r>
      <w:r>
        <w:rPr>
          <w:spacing w:val="-3"/>
        </w:rPr>
        <w:t>使用寿命不确定的无形资产</w:t>
      </w:r>
    </w:p>
    <w:p>
      <w:pPr>
        <w:pStyle w:val="BodyText"/>
        <w:spacing w:line="316" w:lineRule="auto" w:before="92"/>
        <w:ind w:right="173" w:firstLine="360"/>
        <w:jc w:val="left"/>
      </w:pPr>
      <w:r>
        <w:rPr>
          <w:spacing w:val="-4"/>
        </w:rPr>
        <w:t>对于使用寿命不确定的无形资产，在持有期间内不摊销，每期末对无形资产的寿命进行复核。如果期末重新复核后仍为</w:t>
      </w:r>
      <w:r>
        <w:rPr>
          <w:w w:val="101"/>
        </w:rPr>
        <w:t> </w:t>
      </w:r>
      <w:r>
        <w:rPr>
          <w:spacing w:val="-3"/>
        </w:rPr>
        <w:t>不确定的，在每个会计期间继续进行减值测试。</w:t>
      </w:r>
    </w:p>
    <w:p>
      <w:pPr>
        <w:spacing w:line="240" w:lineRule="auto" w:before="2"/>
        <w:rPr>
          <w:rFonts w:ascii="宋体" w:hAnsi="宋体" w:cs="宋体" w:eastAsia="宋体" w:hint="default"/>
          <w:sz w:val="24"/>
          <w:szCs w:val="24"/>
        </w:rPr>
      </w:pPr>
    </w:p>
    <w:p>
      <w:pPr>
        <w:pStyle w:val="BodyText"/>
        <w:spacing w:line="240" w:lineRule="auto"/>
        <w:ind w:left="512" w:right="173"/>
        <w:jc w:val="left"/>
      </w:pPr>
      <w:r>
        <w:rPr/>
        <w:t>（</w:t>
      </w:r>
      <w:r>
        <w:rPr>
          <w:rFonts w:ascii="Times New Roman" w:hAnsi="Times New Roman" w:cs="Times New Roman" w:eastAsia="Times New Roman" w:hint="default"/>
        </w:rPr>
        <w:t>2</w:t>
      </w:r>
      <w:r>
        <w:rPr/>
        <w:t>）内部研究开发支出会计政策</w:t>
      </w:r>
    </w:p>
    <w:p>
      <w:pPr>
        <w:spacing w:line="240" w:lineRule="auto" w:before="0"/>
        <w:rPr>
          <w:rFonts w:ascii="宋体" w:hAnsi="宋体" w:cs="宋体" w:eastAsia="宋体" w:hint="default"/>
          <w:sz w:val="18"/>
          <w:szCs w:val="18"/>
        </w:rPr>
      </w:pPr>
    </w:p>
    <w:p>
      <w:pPr>
        <w:pStyle w:val="BodyText"/>
        <w:spacing w:line="588" w:lineRule="auto" w:before="129"/>
        <w:ind w:left="512" w:right="173"/>
        <w:jc w:val="left"/>
      </w:pPr>
      <w:r>
        <w:rPr>
          <w:rFonts w:ascii="Times New Roman" w:hAnsi="Times New Roman" w:cs="Times New Roman" w:eastAsia="Times New Roman" w:hint="default"/>
          <w:spacing w:val="-3"/>
        </w:rPr>
        <w:t>1</w:t>
      </w:r>
      <w:r>
        <w:rPr>
          <w:spacing w:val="-3"/>
        </w:rPr>
        <w:t>．划分公司内部研究开发项目的研究阶段和开发阶段具体标准</w:t>
      </w:r>
      <w:r>
        <w:rPr>
          <w:spacing w:val="-5"/>
        </w:rPr>
        <w:t> </w:t>
      </w:r>
      <w:r>
        <w:rPr>
          <w:spacing w:val="-5"/>
        </w:rPr>
      </w:r>
      <w:r>
        <w:rPr>
          <w:spacing w:val="-3"/>
        </w:rPr>
        <w:t>研究阶段：为获取并理解新的科学或技术知识等而进行的独创性的有计划调查、研究活动的阶段。</w:t>
      </w:r>
    </w:p>
    <w:p>
      <w:pPr>
        <w:pStyle w:val="BodyText"/>
        <w:spacing w:line="316" w:lineRule="auto" w:before="117"/>
        <w:ind w:right="173" w:firstLine="360"/>
        <w:jc w:val="left"/>
      </w:pPr>
      <w:r>
        <w:rPr>
          <w:spacing w:val="-4"/>
        </w:rPr>
        <w:t>开发阶段：在进行商业性生产或使用前，将研究成果或其他知识应用于某项计划或设计，以生产出新的或具有实质性改</w:t>
      </w:r>
      <w:r>
        <w:rPr>
          <w:w w:val="101"/>
        </w:rPr>
        <w:t> </w:t>
      </w:r>
      <w:r>
        <w:rPr>
          <w:spacing w:val="-3"/>
        </w:rPr>
        <w:t>进的材料、装置、产品等活动的阶段。</w:t>
      </w:r>
    </w:p>
    <w:p>
      <w:pPr>
        <w:spacing w:line="240" w:lineRule="auto" w:before="2"/>
        <w:rPr>
          <w:rFonts w:ascii="宋体" w:hAnsi="宋体" w:cs="宋体" w:eastAsia="宋体" w:hint="default"/>
          <w:sz w:val="24"/>
          <w:szCs w:val="24"/>
        </w:rPr>
      </w:pPr>
    </w:p>
    <w:p>
      <w:pPr>
        <w:pStyle w:val="BodyText"/>
        <w:spacing w:line="607" w:lineRule="auto"/>
        <w:ind w:left="512" w:right="2284"/>
        <w:jc w:val="left"/>
      </w:pPr>
      <w:r>
        <w:rPr>
          <w:spacing w:val="-3"/>
        </w:rPr>
        <w:t>内部研究开发项目研究阶段的支出，在发生时计入当期损益。</w:t>
      </w:r>
      <w:r>
        <w:rPr>
          <w:spacing w:val="-10"/>
        </w:rPr>
        <w:t> </w:t>
      </w:r>
      <w:r>
        <w:rPr>
          <w:spacing w:val="-10"/>
        </w:rPr>
      </w:r>
      <w:r>
        <w:rPr>
          <w:rFonts w:ascii="Times New Roman" w:hAnsi="Times New Roman" w:cs="Times New Roman" w:eastAsia="Times New Roman" w:hint="default"/>
          <w:spacing w:val="-3"/>
        </w:rPr>
        <w:t>2</w:t>
      </w:r>
      <w:r>
        <w:rPr>
          <w:spacing w:val="-3"/>
        </w:rPr>
        <w:t>．开发阶段支出符合资本化的具体标准</w:t>
      </w:r>
      <w:r>
        <w:rPr>
          <w:spacing w:val="-34"/>
        </w:rPr>
        <w:t> </w:t>
      </w:r>
      <w:r>
        <w:rPr>
          <w:spacing w:val="-34"/>
        </w:rPr>
      </w:r>
      <w:r>
        <w:rPr>
          <w:spacing w:val="-3"/>
        </w:rPr>
        <w:t>内部研究开发项目开发阶段的支出，同时满足下列条件时确认为无形资产：</w:t>
      </w:r>
    </w:p>
    <w:p>
      <w:pPr>
        <w:pStyle w:val="BodyText"/>
        <w:spacing w:line="240" w:lineRule="auto" w:before="103"/>
        <w:ind w:left="512" w:right="173"/>
        <w:jc w:val="left"/>
      </w:pPr>
      <w:r>
        <w:rPr>
          <w:spacing w:val="-3"/>
        </w:rPr>
        <w:t>（</w:t>
      </w:r>
      <w:r>
        <w:rPr>
          <w:rFonts w:ascii="Times New Roman" w:hAnsi="Times New Roman" w:cs="Times New Roman" w:eastAsia="Times New Roman" w:hint="default"/>
          <w:spacing w:val="-3"/>
        </w:rPr>
        <w:t>1</w:t>
      </w:r>
      <w:r>
        <w:rPr>
          <w:spacing w:val="-3"/>
        </w:rPr>
        <w:t>）完成该无形资产以使其能够使用或出售在技术上具有可行性；</w:t>
      </w:r>
    </w:p>
    <w:p>
      <w:pPr>
        <w:spacing w:line="240" w:lineRule="auto" w:before="0"/>
        <w:rPr>
          <w:rFonts w:ascii="宋体" w:hAnsi="宋体" w:cs="宋体" w:eastAsia="宋体" w:hint="default"/>
          <w:sz w:val="18"/>
          <w:szCs w:val="18"/>
        </w:rPr>
      </w:pPr>
    </w:p>
    <w:p>
      <w:pPr>
        <w:pStyle w:val="BodyText"/>
        <w:spacing w:line="240" w:lineRule="auto" w:before="125"/>
        <w:ind w:left="512" w:right="173"/>
        <w:jc w:val="left"/>
      </w:pPr>
      <w:r>
        <w:rPr>
          <w:spacing w:val="-3"/>
        </w:rPr>
        <w:t>（</w:t>
      </w:r>
      <w:r>
        <w:rPr>
          <w:rFonts w:ascii="Times New Roman" w:hAnsi="Times New Roman" w:cs="Times New Roman" w:eastAsia="Times New Roman" w:hint="default"/>
          <w:spacing w:val="-3"/>
        </w:rPr>
        <w:t>2</w:t>
      </w:r>
      <w:r>
        <w:rPr>
          <w:spacing w:val="-3"/>
        </w:rPr>
        <w:t>）具有完成该无形资产并使用或出售的意图；</w:t>
      </w:r>
    </w:p>
    <w:p>
      <w:pPr>
        <w:spacing w:line="240" w:lineRule="auto" w:before="0"/>
        <w:rPr>
          <w:rFonts w:ascii="宋体" w:hAnsi="宋体" w:cs="宋体" w:eastAsia="宋体" w:hint="default"/>
          <w:sz w:val="18"/>
          <w:szCs w:val="18"/>
        </w:rPr>
      </w:pPr>
    </w:p>
    <w:p>
      <w:pPr>
        <w:pStyle w:val="BodyText"/>
        <w:spacing w:line="300" w:lineRule="auto" w:before="129"/>
        <w:ind w:right="173" w:firstLine="360"/>
        <w:jc w:val="left"/>
      </w:pPr>
      <w:r>
        <w:rPr>
          <w:spacing w:val="-3"/>
        </w:rPr>
        <w:t>（</w:t>
      </w: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）无形资产产生经济利益的方式，包括能够证明运用该无形资产生产的产品存在市场或无形资产自身存在市场，无</w:t>
      </w:r>
      <w:r>
        <w:rPr>
          <w:w w:val="101"/>
        </w:rPr>
        <w:t> </w:t>
      </w:r>
      <w:r>
        <w:rPr>
          <w:spacing w:val="-3"/>
        </w:rPr>
        <w:t>形资产将在内部使用的，能够证明其有用性；</w:t>
      </w:r>
    </w:p>
    <w:p>
      <w:pPr>
        <w:spacing w:line="240" w:lineRule="auto" w:before="2"/>
        <w:rPr>
          <w:rFonts w:ascii="宋体" w:hAnsi="宋体" w:cs="宋体" w:eastAsia="宋体" w:hint="default"/>
          <w:sz w:val="25"/>
          <w:szCs w:val="25"/>
        </w:rPr>
      </w:pPr>
    </w:p>
    <w:p>
      <w:pPr>
        <w:pStyle w:val="BodyText"/>
        <w:spacing w:line="240" w:lineRule="auto"/>
        <w:ind w:left="512" w:right="173"/>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）有足够的技术、财务资源和其他资源支持，以完成该无形资产的开发，并有能力使用或出售该无形资产；</w:t>
      </w:r>
    </w:p>
    <w:p>
      <w:pPr>
        <w:pStyle w:val="BodyText"/>
        <w:spacing w:line="590" w:lineRule="atLeast" w:before="24"/>
        <w:ind w:left="512" w:right="173"/>
        <w:jc w:val="left"/>
      </w:pPr>
      <w:r>
        <w:rPr>
          <w:spacing w:val="-3"/>
        </w:rPr>
        <w:t>（</w:t>
      </w:r>
      <w:r>
        <w:rPr>
          <w:rFonts w:ascii="Times New Roman" w:hAnsi="Times New Roman" w:cs="Times New Roman" w:eastAsia="Times New Roman" w:hint="default"/>
          <w:spacing w:val="-3"/>
        </w:rPr>
        <w:t>5</w:t>
      </w:r>
      <w:r>
        <w:rPr>
          <w:spacing w:val="-3"/>
        </w:rPr>
        <w:t>）归属于该无形资产开发阶段的支出能够可靠地计量。</w:t>
      </w:r>
      <w:r>
        <w:rPr>
          <w:spacing w:val="-11"/>
        </w:rPr>
        <w:t> </w:t>
      </w:r>
      <w:r>
        <w:rPr>
          <w:spacing w:val="-11"/>
        </w:rPr>
      </w:r>
      <w:r>
        <w:rPr>
          <w:spacing w:val="-5"/>
        </w:rPr>
        <w:t>不满足上述条件的开发阶段的支出，于发生时计入当期损益。以前期间已计入损益的开发支出不在以后期间重新确认为</w:t>
      </w:r>
    </w:p>
    <w:p>
      <w:pPr>
        <w:pStyle w:val="BodyText"/>
        <w:spacing w:line="240" w:lineRule="auto" w:before="76"/>
        <w:ind w:right="173"/>
        <w:jc w:val="left"/>
      </w:pPr>
      <w:r>
        <w:rPr>
          <w:spacing w:val="-3"/>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73"/>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73" w:firstLine="360"/>
        <w:jc w:val="left"/>
      </w:pPr>
      <w:r>
        <w:rPr>
          <w:spacing w:val="-5"/>
        </w:rPr>
        <w:t>本公司在资产负债表日判断长期资产是否存在可能发生减值的迹象。如果长期资产存在减值迹象的，以单项资产为基础</w:t>
      </w:r>
      <w:r>
        <w:rPr>
          <w:w w:val="101"/>
        </w:rPr>
        <w:t> </w:t>
      </w:r>
      <w:r>
        <w:rPr>
          <w:spacing w:val="-3"/>
        </w:rPr>
        <w:t>估计其可收回金额；难以对单项资产的可收回金额进行估计的，以该资产所属的资产组为基础确定资产组的可收回金额。</w:t>
      </w:r>
    </w:p>
    <w:p>
      <w:pPr>
        <w:spacing w:line="240" w:lineRule="auto" w:before="7"/>
        <w:rPr>
          <w:rFonts w:ascii="宋体" w:hAnsi="宋体" w:cs="宋体" w:eastAsia="宋体" w:hint="default"/>
          <w:sz w:val="24"/>
          <w:szCs w:val="24"/>
        </w:rPr>
      </w:pPr>
    </w:p>
    <w:p>
      <w:pPr>
        <w:pStyle w:val="BodyText"/>
        <w:spacing w:line="240" w:lineRule="auto"/>
        <w:ind w:left="512" w:right="173"/>
        <w:jc w:val="left"/>
      </w:pPr>
      <w:r>
        <w:rPr>
          <w:spacing w:val="-3"/>
        </w:rPr>
        <w:t>资产可收回金额的估计，根据其公允价值减去处置费用后的净额与资产预计未来现金流量的现值两者之间较高者确定。</w:t>
      </w:r>
    </w:p>
    <w:p>
      <w:pPr>
        <w:spacing w:after="0" w:line="240" w:lineRule="auto"/>
        <w:jc w:val="left"/>
        <w:sectPr>
          <w:footerReference w:type="default" r:id="rId17"/>
          <w:pgSz w:w="11910" w:h="16840"/>
          <w:pgMar w:footer="979" w:header="741"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46" w:firstLine="360"/>
        <w:jc w:val="both"/>
      </w:pPr>
      <w:r>
        <w:rPr>
          <w:spacing w:val="-4"/>
        </w:rPr>
        <w:t>可收回金额的计量结果表明，长期资产的可收回金额低于其账面价值的，将长期资产的账面价值减记至可收回金额，减</w:t>
      </w:r>
      <w:r>
        <w:rPr>
          <w:w w:val="101"/>
        </w:rPr>
        <w:t> </w:t>
      </w:r>
      <w:r>
        <w:rPr>
          <w:spacing w:val="-4"/>
        </w:rPr>
        <w:t>记的金额确认为资产减值损失，计入当期损益，同时计提相应的资产减值准备。资产减值损失一经确认，在以后会计期间不</w:t>
      </w:r>
      <w:r>
        <w:rPr>
          <w:spacing w:val="44"/>
        </w:rPr>
        <w:t> </w:t>
      </w:r>
      <w:r>
        <w:rPr>
          <w:spacing w:val="44"/>
        </w:rPr>
      </w:r>
      <w:r>
        <w:rPr/>
        <w:t>得转回。</w:t>
      </w:r>
    </w:p>
    <w:p>
      <w:pPr>
        <w:spacing w:line="240" w:lineRule="auto" w:before="2"/>
        <w:rPr>
          <w:rFonts w:ascii="宋体" w:hAnsi="宋体" w:cs="宋体" w:eastAsia="宋体" w:hint="default"/>
          <w:sz w:val="24"/>
          <w:szCs w:val="24"/>
        </w:rPr>
      </w:pPr>
    </w:p>
    <w:p>
      <w:pPr>
        <w:pStyle w:val="BodyText"/>
        <w:spacing w:line="316" w:lineRule="auto"/>
        <w:ind w:right="146" w:firstLine="360"/>
        <w:jc w:val="both"/>
      </w:pPr>
      <w:r>
        <w:rPr>
          <w:spacing w:val="-4"/>
        </w:rPr>
        <w:t>资产减值损失确认后，减值资产的折旧或者摊销费用在未来期间作相应调整，以使该资产在剩余使用寿命内，系统地分</w:t>
      </w:r>
      <w:r>
        <w:rPr>
          <w:w w:val="101"/>
        </w:rPr>
        <w:t> </w:t>
      </w:r>
      <w:r>
        <w:rPr>
          <w:spacing w:val="-7"/>
          <w:w w:val="101"/>
        </w:rPr>
        <w:t>摊调整后的资产账面价值（扣除预计净残值）。</w:t>
      </w:r>
      <w:r>
        <w:rPr>
          <w:spacing w:val="-7"/>
        </w:rPr>
      </w:r>
    </w:p>
    <w:p>
      <w:pPr>
        <w:pStyle w:val="BodyText"/>
        <w:spacing w:line="610" w:lineRule="exact" w:before="43"/>
        <w:ind w:left="512" w:right="0"/>
        <w:jc w:val="left"/>
      </w:pPr>
      <w:r>
        <w:rPr>
          <w:spacing w:val="-3"/>
        </w:rPr>
        <w:t>因企业合并所形成的商誉和使用寿命不确定的无形资产，无论是否存在减值迹象，每年都进行减值测试。</w:t>
      </w:r>
      <w:r>
        <w:rPr>
          <w:spacing w:val="43"/>
        </w:rPr>
        <w:t> </w:t>
      </w:r>
      <w:r>
        <w:rPr>
          <w:spacing w:val="43"/>
        </w:rPr>
      </w:r>
      <w:r>
        <w:rPr>
          <w:spacing w:val="-1"/>
        </w:rPr>
        <w:t>商誉结合与其相关的资产组或者资产组组合进行减值测试。在对包含商誉的相关资产组或者资产组组合进行减值测试</w:t>
      </w:r>
    </w:p>
    <w:p>
      <w:pPr>
        <w:pStyle w:val="BodyText"/>
        <w:spacing w:line="215" w:lineRule="exact"/>
        <w:ind w:right="0"/>
        <w:jc w:val="both"/>
      </w:pPr>
      <w:r>
        <w:rPr>
          <w:spacing w:val="-4"/>
        </w:rPr>
        <w:t>时，如与商誉相关的资产组或者资产组组合存在减值迹象的，先对不包含商誉的资产组或者资产组组合进行减值测试，计算</w:t>
      </w:r>
    </w:p>
    <w:p>
      <w:pPr>
        <w:pStyle w:val="BodyText"/>
        <w:spacing w:line="316" w:lineRule="auto" w:before="76"/>
        <w:ind w:right="146"/>
        <w:jc w:val="both"/>
      </w:pPr>
      <w:r>
        <w:rPr>
          <w:spacing w:val="-4"/>
        </w:rPr>
        <w:t>可收回金额，并与相关账面价值相比较，确认相应的减值损失。再对包含商誉的资产组或者资产组组合进行减值测试，比较</w:t>
      </w:r>
      <w:r>
        <w:rPr>
          <w:spacing w:val="42"/>
        </w:rPr>
        <w:t> </w:t>
      </w:r>
      <w:r>
        <w:rPr>
          <w:spacing w:val="42"/>
        </w:rPr>
      </w:r>
      <w:r>
        <w:rPr>
          <w:spacing w:val="-4"/>
        </w:rPr>
        <w:t>这些相关资产组或者资产组组合的账面价值（包括所分摊的商誉的账面价值部分）与其可收回金额，如相关资产组或者资产</w:t>
      </w:r>
      <w:r>
        <w:rPr>
          <w:spacing w:val="43"/>
        </w:rPr>
        <w:t> </w:t>
      </w:r>
      <w:r>
        <w:rPr>
          <w:spacing w:val="43"/>
        </w:rPr>
      </w:r>
      <w:r>
        <w:rPr>
          <w:spacing w:val="-3"/>
        </w:rPr>
        <w:t>组组合的可收回金额低于其账面价值的，确认商誉的减值损失。</w:t>
      </w:r>
    </w:p>
    <w:p>
      <w:pPr>
        <w:spacing w:line="240" w:lineRule="auto" w:before="6"/>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21</w:t>
      </w:r>
      <w:r>
        <w:rPr/>
        <w:t>、长期待摊费用</w:t>
      </w:r>
      <w:r>
        <w:rPr>
          <w:b w:val="0"/>
          <w:bCs w:val="0"/>
        </w:rPr>
      </w:r>
    </w:p>
    <w:p>
      <w:pPr>
        <w:pStyle w:val="BodyText"/>
        <w:spacing w:line="610" w:lineRule="exact" w:before="63"/>
        <w:ind w:left="512" w:right="0"/>
        <w:jc w:val="left"/>
      </w:pPr>
      <w:r>
        <w:rPr/>
        <w:t>（</w:t>
      </w:r>
      <w:r>
        <w:rPr>
          <w:rFonts w:ascii="Times New Roman" w:hAnsi="Times New Roman" w:cs="Times New Roman" w:eastAsia="Times New Roman" w:hint="default"/>
        </w:rPr>
        <w:t>1</w:t>
      </w:r>
      <w:r>
        <w:rPr/>
        <w:t>） </w:t>
      </w:r>
      <w:r>
        <w:rPr>
          <w:spacing w:val="-3"/>
        </w:rPr>
        <w:t>摊销方法</w:t>
      </w:r>
      <w:r>
        <w:rPr>
          <w:spacing w:val="-77"/>
        </w:rPr>
        <w:t> </w:t>
      </w:r>
      <w:r>
        <w:rPr>
          <w:spacing w:val="-77"/>
        </w:rPr>
      </w:r>
      <w:r>
        <w:rPr>
          <w:spacing w:val="-3"/>
        </w:rPr>
        <w:t>长期待摊费用，是指本公司已经发生但应由本期和以后各期负担的分摊期限在</w:t>
      </w:r>
      <w:r>
        <w:rPr>
          <w:rFonts w:ascii="Times New Roman" w:hAnsi="Times New Roman" w:cs="Times New Roman" w:eastAsia="Times New Roman" w:hint="default"/>
          <w:spacing w:val="-3"/>
        </w:rPr>
        <w:t>1</w:t>
      </w:r>
      <w:r>
        <w:rPr>
          <w:spacing w:val="-3"/>
        </w:rPr>
        <w:t>年以上的各项费用。长期待摊费用在受</w:t>
      </w:r>
    </w:p>
    <w:p>
      <w:pPr>
        <w:pStyle w:val="BodyText"/>
        <w:spacing w:line="215" w:lineRule="exact"/>
        <w:ind w:right="0"/>
        <w:jc w:val="both"/>
      </w:pPr>
      <w:r>
        <w:rPr>
          <w:spacing w:val="-3"/>
        </w:rPr>
        <w:t>益期内按直接法分期摊销。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603" w:right="0"/>
        <w:jc w:val="left"/>
      </w:pPr>
      <w:r>
        <w:rPr>
          <w:spacing w:val="-3"/>
        </w:rPr>
        <w:t>（</w:t>
      </w:r>
      <w:r>
        <w:rPr>
          <w:rFonts w:ascii="Times New Roman" w:hAnsi="Times New Roman" w:cs="Times New Roman" w:eastAsia="Times New Roman" w:hint="default"/>
          <w:spacing w:val="-3"/>
        </w:rPr>
        <w:t>2</w:t>
      </w:r>
      <w:r>
        <w:rPr>
          <w:spacing w:val="-3"/>
        </w:rPr>
        <w:t>）摊销年限</w:t>
      </w:r>
    </w:p>
    <w:p>
      <w:pPr>
        <w:spacing w:line="240" w:lineRule="auto" w:before="1"/>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2842"/>
        <w:gridCol w:w="2842"/>
        <w:gridCol w:w="2849"/>
      </w:tblGrid>
      <w:tr>
        <w:trPr>
          <w:trHeight w:val="953"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摊销年限</w:t>
            </w:r>
          </w:p>
        </w:tc>
        <w:tc>
          <w:tcPr>
            <w:tcW w:w="28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955"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pacing w:val="-3"/>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335" w:lineRule="exact"/>
        <w:ind w:right="0"/>
        <w:jc w:val="left"/>
        <w:rPr>
          <w:b w:val="0"/>
          <w:bCs w:val="0"/>
        </w:rPr>
      </w:pPr>
      <w:r>
        <w:rPr>
          <w:rFonts w:ascii="Times New Roman" w:hAnsi="Times New Roman" w:cs="Times New Roman" w:eastAsia="Times New Roman" w:hint="default"/>
        </w:rPr>
        <w:t>22</w:t>
      </w:r>
      <w:r>
        <w:rPr/>
        <w:t>、职工薪酬</w:t>
      </w:r>
      <w:r>
        <w:rPr>
          <w:b w:val="0"/>
          <w:bCs w:val="0"/>
        </w:rPr>
      </w:r>
    </w:p>
    <w:p>
      <w:pPr>
        <w:pStyle w:val="BodyText"/>
        <w:spacing w:line="610" w:lineRule="exact" w:before="58"/>
        <w:ind w:left="512" w:right="0"/>
        <w:jc w:val="left"/>
      </w:pPr>
      <w:r>
        <w:rPr>
          <w:spacing w:val="-3"/>
        </w:rPr>
        <w:t>（</w:t>
      </w:r>
      <w:r>
        <w:rPr>
          <w:rFonts w:ascii="Times New Roman" w:hAnsi="Times New Roman" w:cs="Times New Roman" w:eastAsia="Times New Roman" w:hint="default"/>
          <w:spacing w:val="-3"/>
        </w:rPr>
        <w:t>1</w:t>
      </w:r>
      <w:r>
        <w:rPr>
          <w:spacing w:val="-3"/>
        </w:rPr>
        <w:t>）短期薪酬的会计处理方法</w:t>
      </w:r>
      <w:r>
        <w:rPr>
          <w:spacing w:val="-46"/>
        </w:rPr>
        <w:t> </w:t>
      </w:r>
      <w:r>
        <w:rPr>
          <w:spacing w:val="-46"/>
        </w:rPr>
      </w:r>
      <w:r>
        <w:rPr>
          <w:spacing w:val="-5"/>
          <w:w w:val="101"/>
        </w:rPr>
        <w:t>短期薪酬是指本公司在职工提供相关服务的年度报告期间结束后十二个月内需要全部予以支付的职工薪酬，离职后福利</w:t>
      </w:r>
      <w:r>
        <w:rPr>
          <w:spacing w:val="-5"/>
        </w:rPr>
      </w:r>
    </w:p>
    <w:p>
      <w:pPr>
        <w:pStyle w:val="BodyText"/>
        <w:spacing w:line="215" w:lineRule="exact"/>
        <w:ind w:right="0"/>
        <w:jc w:val="left"/>
      </w:pPr>
      <w:r>
        <w:rPr>
          <w:spacing w:val="-4"/>
        </w:rPr>
        <w:t>和辞退福利除外。本公司在职工提供服务的会计期间，将应付的短期薪酬确认为负债，并根据职工提供服务的受益对象计入</w:t>
      </w:r>
    </w:p>
    <w:p>
      <w:pPr>
        <w:pStyle w:val="BodyText"/>
        <w:spacing w:line="240" w:lineRule="auto" w:before="76"/>
        <w:ind w:right="0"/>
        <w:jc w:val="left"/>
      </w:pPr>
      <w:r>
        <w:rPr/>
        <w:t>相关资产成本和费用。</w:t>
      </w:r>
    </w:p>
    <w:p>
      <w:pPr>
        <w:spacing w:after="0" w:line="240" w:lineRule="auto"/>
        <w:jc w:val="left"/>
        <w:sectPr>
          <w:footerReference w:type="default" r:id="rId18"/>
          <w:pgSz w:w="11910" w:h="16840"/>
          <w:pgMar w:footer="979" w:header="741" w:top="1060" w:bottom="1160" w:left="980" w:right="980"/>
          <w:pgNumType w:start="101"/>
        </w:sectPr>
      </w:pPr>
    </w:p>
    <w:p>
      <w:pPr>
        <w:spacing w:line="240" w:lineRule="auto" w:before="1"/>
        <w:rPr>
          <w:rFonts w:ascii="宋体" w:hAnsi="宋体" w:cs="宋体" w:eastAsia="宋体" w:hint="default"/>
          <w:sz w:val="26"/>
          <w:szCs w:val="26"/>
        </w:rPr>
      </w:pPr>
    </w:p>
    <w:p>
      <w:pPr>
        <w:pStyle w:val="BodyText"/>
        <w:spacing w:line="240" w:lineRule="auto" w:before="46"/>
        <w:ind w:left="512" w:right="173"/>
        <w:jc w:val="left"/>
      </w:pPr>
      <w:r>
        <w:rPr/>
        <w:t>（</w:t>
      </w:r>
      <w:r>
        <w:rPr>
          <w:rFonts w:ascii="Times New Roman" w:hAnsi="Times New Roman" w:cs="Times New Roman" w:eastAsia="Times New Roman" w:hint="default"/>
        </w:rPr>
        <w:t>2</w:t>
      </w:r>
      <w:r>
        <w:rPr/>
        <w:t>）离职后福利的会计处理方法</w:t>
      </w:r>
    </w:p>
    <w:p>
      <w:pPr>
        <w:spacing w:line="240" w:lineRule="auto" w:before="0"/>
        <w:rPr>
          <w:rFonts w:ascii="宋体" w:hAnsi="宋体" w:cs="宋体" w:eastAsia="宋体" w:hint="default"/>
          <w:sz w:val="18"/>
          <w:szCs w:val="18"/>
        </w:rPr>
      </w:pPr>
    </w:p>
    <w:p>
      <w:pPr>
        <w:pStyle w:val="BodyText"/>
        <w:spacing w:line="316" w:lineRule="auto" w:before="125"/>
        <w:ind w:right="173" w:firstLine="360"/>
        <w:jc w:val="left"/>
      </w:pPr>
      <w:r>
        <w:rPr>
          <w:spacing w:val="-3"/>
        </w:rPr>
        <w:t>离职后福利是指本公司为获得职工提供的服务而在职工退休或与企业解除劳动关系后，提供的各种形式的报酬和福利，</w:t>
      </w:r>
      <w:r>
        <w:rPr>
          <w:w w:val="101"/>
        </w:rPr>
        <w:t> </w:t>
      </w:r>
      <w:r>
        <w:rPr>
          <w:spacing w:val="-3"/>
        </w:rPr>
        <w:t>短期薪酬和辞退福利除外。离职后福利计划分类为设定提存计划和设定受益计划。</w:t>
      </w:r>
    </w:p>
    <w:p>
      <w:pPr>
        <w:spacing w:line="240" w:lineRule="auto" w:before="7"/>
        <w:rPr>
          <w:rFonts w:ascii="宋体" w:hAnsi="宋体" w:cs="宋体" w:eastAsia="宋体" w:hint="default"/>
          <w:sz w:val="24"/>
          <w:szCs w:val="24"/>
        </w:rPr>
      </w:pPr>
    </w:p>
    <w:p>
      <w:pPr>
        <w:pStyle w:val="BodyText"/>
        <w:spacing w:line="316" w:lineRule="auto"/>
        <w:ind w:right="173" w:firstLine="360"/>
        <w:jc w:val="left"/>
      </w:pPr>
      <w:r>
        <w:rPr>
          <w:spacing w:val="-5"/>
        </w:rPr>
        <w:t>离职后福利设定提存计划主要为参加由各地劳动及社会保障机构组织实施的社会基本养老保险、失业保险等。在职工为</w:t>
      </w:r>
      <w:r>
        <w:rPr>
          <w:w w:val="101"/>
        </w:rPr>
        <w:t> </w:t>
      </w:r>
      <w:r>
        <w:rPr>
          <w:spacing w:val="-3"/>
        </w:rPr>
        <w:t>本公司提供服务的会计期间，将根据设定提存计划计算的应缴存金额确认为负债，并计入当期损益或相关资产成本。</w:t>
      </w:r>
    </w:p>
    <w:p>
      <w:pPr>
        <w:spacing w:line="240" w:lineRule="auto" w:before="2"/>
        <w:rPr>
          <w:rFonts w:ascii="宋体" w:hAnsi="宋体" w:cs="宋体" w:eastAsia="宋体" w:hint="default"/>
          <w:sz w:val="24"/>
          <w:szCs w:val="24"/>
        </w:rPr>
      </w:pPr>
    </w:p>
    <w:p>
      <w:pPr>
        <w:pStyle w:val="BodyText"/>
        <w:spacing w:line="240" w:lineRule="auto"/>
        <w:ind w:left="512" w:right="173"/>
        <w:jc w:val="left"/>
      </w:pPr>
      <w:r>
        <w:rPr>
          <w:spacing w:val="-3"/>
        </w:rPr>
        <w:t>本公司按照国家规定的标准和年金计划定期缴付上述款项后，不再有其他的支付义务。</w:t>
      </w:r>
    </w:p>
    <w:p>
      <w:pPr>
        <w:pStyle w:val="BodyText"/>
        <w:spacing w:line="590" w:lineRule="atLeast" w:before="38"/>
        <w:ind w:left="512" w:right="173"/>
        <w:jc w:val="left"/>
      </w:pPr>
      <w:r>
        <w:rPr>
          <w:spacing w:val="-3"/>
        </w:rPr>
        <w:t>（</w:t>
      </w:r>
      <w:r>
        <w:rPr>
          <w:rFonts w:ascii="Times New Roman" w:hAnsi="Times New Roman" w:cs="Times New Roman" w:eastAsia="Times New Roman" w:hint="default"/>
          <w:spacing w:val="-3"/>
        </w:rPr>
        <w:t>3</w:t>
      </w:r>
      <w:r>
        <w:rPr>
          <w:spacing w:val="-3"/>
        </w:rPr>
        <w:t>）辞退福利的会计处理方法</w:t>
      </w:r>
      <w:r>
        <w:rPr>
          <w:spacing w:val="-46"/>
        </w:rPr>
        <w:t> </w:t>
      </w:r>
      <w:r>
        <w:rPr>
          <w:spacing w:val="-46"/>
        </w:rPr>
      </w:r>
      <w:r>
        <w:rPr>
          <w:spacing w:val="-1"/>
        </w:rPr>
        <w:t>辞退福利是指本公司在职工劳动合同到期之前解除与职工的劳动关系，或者为鼓励职工自愿接受裁减而给予职工的补</w:t>
      </w:r>
    </w:p>
    <w:p>
      <w:pPr>
        <w:pStyle w:val="BodyText"/>
        <w:spacing w:line="240" w:lineRule="auto" w:before="76"/>
        <w:ind w:right="173"/>
        <w:jc w:val="left"/>
      </w:pPr>
      <w:r>
        <w:rPr>
          <w:spacing w:val="-3"/>
        </w:rPr>
        <w:t>偿，在发生当期计入当期损益。</w:t>
      </w:r>
    </w:p>
    <w:p>
      <w:pPr>
        <w:spacing w:line="240" w:lineRule="auto" w:before="0"/>
        <w:rPr>
          <w:rFonts w:ascii="宋体" w:hAnsi="宋体" w:cs="宋体" w:eastAsia="宋体" w:hint="default"/>
          <w:sz w:val="18"/>
          <w:szCs w:val="18"/>
        </w:rPr>
      </w:pPr>
    </w:p>
    <w:p>
      <w:pPr>
        <w:pStyle w:val="BodyText"/>
        <w:spacing w:line="588" w:lineRule="auto" w:before="143"/>
        <w:ind w:left="512" w:right="173"/>
        <w:jc w:val="left"/>
      </w:pPr>
      <w:r>
        <w:rPr>
          <w:spacing w:val="-3"/>
        </w:rPr>
        <w:t>（</w:t>
      </w:r>
      <w:r>
        <w:rPr>
          <w:rFonts w:ascii="Times New Roman" w:hAnsi="Times New Roman" w:cs="Times New Roman" w:eastAsia="Times New Roman" w:hint="default"/>
          <w:spacing w:val="-3"/>
        </w:rPr>
        <w:t>4</w:t>
      </w:r>
      <w:r>
        <w:rPr>
          <w:spacing w:val="-3"/>
        </w:rPr>
        <w:t>）其他长期职工福利的会计处理方法</w:t>
      </w:r>
      <w:r>
        <w:rPr>
          <w:spacing w:val="-34"/>
        </w:rPr>
        <w:t> </w:t>
      </w:r>
      <w:r>
        <w:rPr>
          <w:spacing w:val="-34"/>
        </w:rPr>
      </w:r>
      <w:r>
        <w:rPr>
          <w:spacing w:val="-3"/>
        </w:rPr>
        <w:t>其他长期职工福利是指除短期薪酬、离职后福利、辞退福利之外的其他所有职工福利。</w:t>
      </w:r>
    </w:p>
    <w:p>
      <w:pPr>
        <w:pStyle w:val="BodyText"/>
        <w:spacing w:line="316" w:lineRule="auto" w:before="117"/>
        <w:ind w:right="186" w:firstLine="360"/>
        <w:jc w:val="both"/>
      </w:pPr>
      <w:r>
        <w:rPr>
          <w:spacing w:val="-4"/>
        </w:rPr>
        <w:t>对符合设定提存计划条件的其他长期职工福利，在职工为本公司提供服务的会计期间，将应缴存金额确认为负债，并计</w:t>
      </w:r>
      <w:r>
        <w:rPr>
          <w:w w:val="101"/>
        </w:rPr>
        <w:t> </w:t>
      </w:r>
      <w:r>
        <w:rPr>
          <w:spacing w:val="-4"/>
        </w:rPr>
        <w:t>入当期损益或相关资产成本；除上述情形外的其他长期职工福利，在资产负债表日由独立精算师使用预期累计福利单位法进</w:t>
      </w:r>
      <w:r>
        <w:rPr>
          <w:spacing w:val="43"/>
        </w:rPr>
        <w:t> </w:t>
      </w:r>
      <w:r>
        <w:rPr>
          <w:spacing w:val="43"/>
        </w:rPr>
      </w:r>
      <w:r>
        <w:rPr>
          <w:spacing w:val="-3"/>
        </w:rPr>
        <w:t>行精算，将设定受益计划产生的福利义务归属于职工提供服务的期间，并计入当期损益或相关资产成本。</w:t>
      </w:r>
    </w:p>
    <w:p>
      <w:pPr>
        <w:spacing w:line="240" w:lineRule="auto" w:before="2"/>
        <w:rPr>
          <w:rFonts w:ascii="宋体" w:hAnsi="宋体" w:cs="宋体" w:eastAsia="宋体" w:hint="default"/>
          <w:sz w:val="17"/>
          <w:szCs w:val="17"/>
        </w:rPr>
      </w:pPr>
    </w:p>
    <w:p>
      <w:pPr>
        <w:pStyle w:val="Heading4"/>
        <w:spacing w:line="240" w:lineRule="auto"/>
        <w:ind w:right="17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614" w:lineRule="auto"/>
        <w:ind w:left="512" w:right="3932"/>
        <w:jc w:val="left"/>
      </w:pPr>
      <w:r>
        <w:rPr>
          <w:spacing w:val="-3"/>
        </w:rPr>
        <w:t>（</w:t>
      </w:r>
      <w:r>
        <w:rPr>
          <w:rFonts w:ascii="Times New Roman" w:hAnsi="Times New Roman" w:cs="Times New Roman" w:eastAsia="Times New Roman" w:hint="default"/>
          <w:spacing w:val="-3"/>
        </w:rPr>
        <w:t>1</w:t>
      </w:r>
      <w:r>
        <w:rPr>
          <w:spacing w:val="-3"/>
        </w:rPr>
        <w:t>）预计负债的确认标准</w:t>
      </w:r>
      <w:r>
        <w:rPr>
          <w:spacing w:val="-52"/>
        </w:rPr>
        <w:t> </w:t>
      </w:r>
      <w:r>
        <w:rPr>
          <w:spacing w:val="-52"/>
        </w:rPr>
      </w:r>
      <w:r>
        <w:rPr>
          <w:spacing w:val="-3"/>
        </w:rPr>
        <w:t>与或有事项相关的义务同时满足下列条件时，本公司确认为预计负债：</w:t>
      </w:r>
      <w:r>
        <w:rPr>
          <w:spacing w:val="2"/>
        </w:rPr>
        <w:t> </w:t>
      </w:r>
      <w:r>
        <w:rPr>
          <w:spacing w:val="2"/>
        </w:rPr>
      </w:r>
      <w:r>
        <w:rPr>
          <w:spacing w:val="-3"/>
        </w:rPr>
        <w:t>该义务是本公司承担的现时义务；</w:t>
      </w:r>
      <w:r>
        <w:rPr>
          <w:spacing w:val="-44"/>
        </w:rPr>
        <w:t> </w:t>
      </w:r>
      <w:r>
        <w:rPr>
          <w:spacing w:val="-44"/>
        </w:rPr>
      </w:r>
      <w:r>
        <w:rPr>
          <w:spacing w:val="-3"/>
        </w:rPr>
        <w:t>履行该义务很可能导致经济利益流出本公司；</w:t>
      </w:r>
      <w:r>
        <w:rPr>
          <w:spacing w:val="-27"/>
        </w:rPr>
        <w:t> </w:t>
      </w:r>
      <w:r>
        <w:rPr>
          <w:spacing w:val="-27"/>
        </w:rPr>
      </w:r>
      <w:r>
        <w:rPr>
          <w:spacing w:val="-3"/>
        </w:rPr>
        <w:t>该义务的金额能够可靠地计量。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592" w:lineRule="auto"/>
        <w:ind w:left="512" w:right="2284"/>
        <w:jc w:val="left"/>
      </w:pPr>
      <w:r>
        <w:rPr>
          <w:spacing w:val="-3"/>
        </w:rPr>
        <w:t>（</w:t>
      </w:r>
      <w:r>
        <w:rPr>
          <w:rFonts w:ascii="Times New Roman" w:hAnsi="Times New Roman" w:cs="Times New Roman" w:eastAsia="Times New Roman" w:hint="default"/>
          <w:spacing w:val="-3"/>
        </w:rPr>
        <w:t>2</w:t>
      </w:r>
      <w:r>
        <w:rPr>
          <w:spacing w:val="-3"/>
        </w:rPr>
        <w:t>）预计负债的计量方法</w:t>
      </w:r>
      <w:r>
        <w:rPr>
          <w:spacing w:val="-52"/>
        </w:rPr>
        <w:t> </w:t>
      </w:r>
      <w:r>
        <w:rPr>
          <w:spacing w:val="-52"/>
        </w:rPr>
      </w:r>
      <w:r>
        <w:rPr>
          <w:spacing w:val="-3"/>
        </w:rPr>
        <w:t>本公司预计负债按履行相关现时义务所需的支出的最佳估计数进行初始计量。</w:t>
      </w:r>
    </w:p>
    <w:p>
      <w:pPr>
        <w:pStyle w:val="BodyText"/>
        <w:spacing w:line="316" w:lineRule="auto" w:before="109"/>
        <w:ind w:right="173" w:firstLine="360"/>
        <w:jc w:val="left"/>
      </w:pPr>
      <w:r>
        <w:rPr>
          <w:spacing w:val="-4"/>
        </w:rPr>
        <w:t>本公司在确定最佳估计数时，综合考虑与或有事项有关的风险、不确定性和货币时间价值等因素。对于货币时间价值影</w:t>
      </w:r>
      <w:r>
        <w:rPr>
          <w:w w:val="101"/>
        </w:rPr>
        <w:t> </w:t>
      </w:r>
      <w:r>
        <w:rPr>
          <w:spacing w:val="-3"/>
        </w:rPr>
        <w:t>响重大的，通过对相关未来现金流出进行折现后确定最佳估计数。</w:t>
      </w:r>
    </w:p>
    <w:p>
      <w:pPr>
        <w:spacing w:line="240" w:lineRule="auto" w:before="7"/>
        <w:rPr>
          <w:rFonts w:ascii="宋体" w:hAnsi="宋体" w:cs="宋体" w:eastAsia="宋体" w:hint="default"/>
          <w:sz w:val="24"/>
          <w:szCs w:val="24"/>
        </w:rPr>
      </w:pPr>
    </w:p>
    <w:p>
      <w:pPr>
        <w:pStyle w:val="BodyText"/>
        <w:spacing w:line="240" w:lineRule="auto"/>
        <w:ind w:left="512" w:right="173"/>
        <w:jc w:val="left"/>
      </w:pPr>
      <w:r>
        <w:rPr>
          <w:spacing w:val="-3"/>
        </w:rPr>
        <w:t>最佳估计数分别以下情况处理：</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190" w:firstLine="360"/>
        <w:jc w:val="both"/>
      </w:pPr>
      <w:r>
        <w:rPr>
          <w:spacing w:val="-5"/>
          <w:w w:val="101"/>
        </w:rPr>
        <w:t>所需支出存在一个连续范围（或区间），且该范围内各种结果发生的可能性相同的，则最佳估计数按照该范围的中间值</w:t>
      </w:r>
      <w:r>
        <w:rPr>
          <w:w w:val="101"/>
        </w:rPr>
        <w:t> </w:t>
      </w:r>
      <w:r>
        <w:rPr>
          <w:spacing w:val="-3"/>
        </w:rPr>
        <w:t>即上下限金额的平均数确定。</w:t>
      </w:r>
    </w:p>
    <w:p>
      <w:pPr>
        <w:spacing w:line="240" w:lineRule="auto" w:before="2"/>
        <w:rPr>
          <w:rFonts w:ascii="宋体" w:hAnsi="宋体" w:cs="宋体" w:eastAsia="宋体" w:hint="default"/>
          <w:sz w:val="24"/>
          <w:szCs w:val="24"/>
        </w:rPr>
      </w:pPr>
    </w:p>
    <w:p>
      <w:pPr>
        <w:pStyle w:val="BodyText"/>
        <w:spacing w:line="316" w:lineRule="auto"/>
        <w:ind w:right="186" w:firstLine="360"/>
        <w:jc w:val="both"/>
      </w:pPr>
      <w:r>
        <w:rPr>
          <w:spacing w:val="-4"/>
          <w:w w:val="101"/>
        </w:rPr>
        <w:t>所需支出不存在一个连续范围（或区间），或虽然存在一个连续范围但该范围内各种结果发生的可能性不相同的，如或</w:t>
      </w:r>
      <w:r>
        <w:rPr>
          <w:w w:val="101"/>
        </w:rPr>
        <w:t> </w:t>
      </w:r>
      <w:r>
        <w:rPr>
          <w:spacing w:val="-4"/>
        </w:rPr>
        <w:t>有事项涉及单个项目的，则最佳估计数按照最可能发生金额确定；如或有事项涉及多个项目的，则最佳估计数按各种可能结</w:t>
      </w:r>
      <w:r>
        <w:rPr>
          <w:spacing w:val="43"/>
        </w:rPr>
        <w:t> </w:t>
      </w:r>
      <w:r>
        <w:rPr>
          <w:spacing w:val="43"/>
        </w:rPr>
      </w:r>
      <w:r>
        <w:rPr>
          <w:spacing w:val="-3"/>
        </w:rPr>
        <w:t>果及相关概率计算确定。</w:t>
      </w:r>
    </w:p>
    <w:p>
      <w:pPr>
        <w:spacing w:line="240" w:lineRule="auto" w:before="7"/>
        <w:rPr>
          <w:rFonts w:ascii="宋体" w:hAnsi="宋体" w:cs="宋体" w:eastAsia="宋体" w:hint="default"/>
          <w:sz w:val="24"/>
          <w:szCs w:val="24"/>
        </w:rPr>
      </w:pPr>
    </w:p>
    <w:p>
      <w:pPr>
        <w:pStyle w:val="BodyText"/>
        <w:spacing w:line="316" w:lineRule="auto"/>
        <w:ind w:right="109" w:firstLine="360"/>
        <w:jc w:val="both"/>
      </w:pPr>
      <w:r>
        <w:rPr>
          <w:spacing w:val="-3"/>
        </w:rPr>
        <w:t>本公司清偿预计负债所需支出全部或部分预期由第三方补偿的，补偿金额在基本确定能够收到时，作为资产单独确认，</w:t>
      </w:r>
      <w:r>
        <w:rPr>
          <w:w w:val="101"/>
        </w:rPr>
        <w:t> </w:t>
      </w:r>
      <w:r>
        <w:rPr>
          <w:spacing w:val="-3"/>
        </w:rPr>
        <w:t>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1"/>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588" w:lineRule="auto"/>
        <w:ind w:left="512" w:right="2284"/>
        <w:jc w:val="left"/>
      </w:pPr>
      <w:r>
        <w:rPr/>
        <w:t>（</w:t>
      </w:r>
      <w:r>
        <w:rPr>
          <w:rFonts w:ascii="Times New Roman" w:hAnsi="Times New Roman" w:cs="Times New Roman" w:eastAsia="Times New Roman" w:hint="default"/>
        </w:rPr>
        <w:t>1</w:t>
      </w:r>
      <w:r>
        <w:rPr/>
        <w:t>）股份支付的种类</w:t>
      </w:r>
      <w:r>
        <w:rPr>
          <w:spacing w:val="-88"/>
        </w:rPr>
        <w:t> </w:t>
      </w:r>
      <w:r>
        <w:rPr>
          <w:spacing w:val="-88"/>
        </w:rPr>
      </w:r>
      <w:r>
        <w:rPr>
          <w:spacing w:val="-3"/>
        </w:rPr>
        <w:t>本公司的股份支付分为以权益结算的股份支付和以现金结算的股份支付。</w:t>
      </w:r>
    </w:p>
    <w:p>
      <w:pPr>
        <w:pStyle w:val="BodyText"/>
        <w:spacing w:line="240" w:lineRule="auto" w:before="117"/>
        <w:ind w:left="512" w:right="173"/>
        <w:jc w:val="left"/>
      </w:pPr>
      <w:r>
        <w:rPr>
          <w:spacing w:val="-3"/>
        </w:rPr>
        <w:t>（</w:t>
      </w:r>
      <w:r>
        <w:rPr>
          <w:rFonts w:ascii="Times New Roman" w:hAnsi="Times New Roman" w:cs="Times New Roman" w:eastAsia="Times New Roman" w:hint="default"/>
          <w:spacing w:val="-3"/>
        </w:rPr>
        <w:t>2</w:t>
      </w:r>
      <w:r>
        <w:rPr>
          <w:spacing w:val="-3"/>
        </w:rPr>
        <w:t>）权益工具公允价值的确定方法</w:t>
      </w:r>
    </w:p>
    <w:p>
      <w:pPr>
        <w:spacing w:line="240" w:lineRule="auto" w:before="0"/>
        <w:rPr>
          <w:rFonts w:ascii="宋体" w:hAnsi="宋体" w:cs="宋体" w:eastAsia="宋体" w:hint="default"/>
          <w:sz w:val="18"/>
          <w:szCs w:val="18"/>
        </w:rPr>
      </w:pPr>
    </w:p>
    <w:p>
      <w:pPr>
        <w:pStyle w:val="BodyText"/>
        <w:spacing w:line="309" w:lineRule="auto" w:before="125"/>
        <w:ind w:right="186" w:firstLine="360"/>
        <w:jc w:val="both"/>
      </w:pPr>
      <w:r>
        <w:rPr>
          <w:spacing w:val="-4"/>
        </w:rPr>
        <w:t>对于授予的存在活跃市场的期权等权益工具，按照活跃市场中的报价确定其公允价值。对于授予的不存在活跃市场的期</w:t>
      </w:r>
      <w:r>
        <w:rPr>
          <w:w w:val="101"/>
        </w:rPr>
        <w:t> </w:t>
      </w:r>
      <w:r>
        <w:rPr>
          <w:spacing w:val="-7"/>
          <w:w w:val="101"/>
        </w:rPr>
        <w:t>权等权益工具，采用期权定价模型等确定其公允价值，选用的期权定价模型考虑以下因素：（</w:t>
      </w:r>
      <w:r>
        <w:rPr>
          <w:rFonts w:ascii="Times New Roman" w:hAnsi="Times New Roman" w:cs="Times New Roman" w:eastAsia="Times New Roman" w:hint="default"/>
          <w:spacing w:val="-7"/>
          <w:w w:val="101"/>
        </w:rPr>
        <w:t>1</w:t>
      </w:r>
      <w:r>
        <w:rPr>
          <w:spacing w:val="-7"/>
          <w:w w:val="101"/>
        </w:rPr>
        <w:t>）期权的行权价格；（</w:t>
      </w:r>
      <w:r>
        <w:rPr>
          <w:rFonts w:ascii="Times New Roman" w:hAnsi="Times New Roman" w:cs="Times New Roman" w:eastAsia="Times New Roman" w:hint="default"/>
          <w:spacing w:val="-7"/>
          <w:w w:val="101"/>
        </w:rPr>
        <w:t>2</w:t>
      </w:r>
      <w:r>
        <w:rPr>
          <w:spacing w:val="-7"/>
          <w:w w:val="101"/>
        </w:rPr>
        <w:t>）期权</w:t>
      </w:r>
      <w:r>
        <w:rPr>
          <w:w w:val="101"/>
        </w:rPr>
        <w:t> </w:t>
      </w:r>
      <w:r>
        <w:rPr>
          <w:spacing w:val="-9"/>
          <w:w w:val="101"/>
        </w:rPr>
        <w:t>的有效期；（</w:t>
      </w:r>
      <w:r>
        <w:rPr>
          <w:rFonts w:ascii="Times New Roman" w:hAnsi="Times New Roman" w:cs="Times New Roman" w:eastAsia="Times New Roman" w:hint="default"/>
          <w:spacing w:val="-9"/>
          <w:w w:val="101"/>
        </w:rPr>
        <w:t>3</w:t>
      </w:r>
      <w:r>
        <w:rPr>
          <w:spacing w:val="-9"/>
          <w:w w:val="101"/>
        </w:rPr>
        <w:t>）标的股份的现行价格；（</w:t>
      </w:r>
      <w:r>
        <w:rPr>
          <w:rFonts w:ascii="Times New Roman" w:hAnsi="Times New Roman" w:cs="Times New Roman" w:eastAsia="Times New Roman" w:hint="default"/>
          <w:spacing w:val="-9"/>
          <w:w w:val="101"/>
        </w:rPr>
        <w:t>4</w:t>
      </w:r>
      <w:r>
        <w:rPr>
          <w:spacing w:val="-9"/>
          <w:w w:val="101"/>
        </w:rPr>
        <w:t>）股价预计波动率；（</w:t>
      </w:r>
      <w:r>
        <w:rPr>
          <w:rFonts w:ascii="Times New Roman" w:hAnsi="Times New Roman" w:cs="Times New Roman" w:eastAsia="Times New Roman" w:hint="default"/>
          <w:spacing w:val="-9"/>
          <w:w w:val="101"/>
        </w:rPr>
        <w:t>5</w:t>
      </w:r>
      <w:r>
        <w:rPr>
          <w:spacing w:val="-9"/>
          <w:w w:val="101"/>
        </w:rPr>
        <w:t>）股份的预计股利；（</w:t>
      </w:r>
      <w:r>
        <w:rPr>
          <w:rFonts w:ascii="Times New Roman" w:hAnsi="Times New Roman" w:cs="Times New Roman" w:eastAsia="Times New Roman" w:hint="default"/>
          <w:spacing w:val="-9"/>
          <w:w w:val="101"/>
        </w:rPr>
        <w:t>6</w:t>
      </w:r>
      <w:r>
        <w:rPr>
          <w:spacing w:val="-9"/>
          <w:w w:val="101"/>
        </w:rPr>
        <w:t>）期权有效期内的无风险利率。</w:t>
      </w:r>
      <w:r>
        <w:rPr>
          <w:spacing w:val="-9"/>
        </w:rPr>
      </w:r>
    </w:p>
    <w:p>
      <w:pPr>
        <w:spacing w:line="240" w:lineRule="auto" w:before="6"/>
        <w:rPr>
          <w:rFonts w:ascii="宋体" w:hAnsi="宋体" w:cs="宋体" w:eastAsia="宋体" w:hint="default"/>
          <w:sz w:val="23"/>
          <w:szCs w:val="23"/>
        </w:rPr>
      </w:pPr>
    </w:p>
    <w:p>
      <w:pPr>
        <w:pStyle w:val="BodyText"/>
        <w:spacing w:line="316" w:lineRule="auto"/>
        <w:ind w:right="186" w:firstLine="360"/>
        <w:jc w:val="both"/>
      </w:pPr>
      <w:r>
        <w:rPr>
          <w:spacing w:val="-4"/>
        </w:rPr>
        <w:t>在确定权益工具授予日的公允价值时，考虑股份支付协议规定的可行权条件中的市场条件和非可行权条件的影响。股份</w:t>
      </w:r>
      <w:r>
        <w:rPr>
          <w:w w:val="101"/>
        </w:rPr>
        <w:t> </w:t>
      </w:r>
      <w:r>
        <w:rPr>
          <w:spacing w:val="-4"/>
          <w:w w:val="101"/>
        </w:rPr>
        <w:t>支付存在非可行权条件的，只要职工或其他方满足了所有可行权条件中的非市场条件（如服务期限等），即确认已得到服务</w:t>
      </w:r>
      <w:r>
        <w:rPr>
          <w:w w:val="101"/>
        </w:rPr>
        <w:t> </w:t>
      </w:r>
      <w:r>
        <w:rPr>
          <w:spacing w:val="-3"/>
        </w:rPr>
        <w:t>相对应的成本费用。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590" w:lineRule="atLeast" w:before="119"/>
        <w:ind w:left="512" w:right="173"/>
        <w:jc w:val="left"/>
      </w:pPr>
      <w:r>
        <w:rPr>
          <w:spacing w:val="-3"/>
        </w:rPr>
        <w:t>（</w:t>
      </w:r>
      <w:r>
        <w:rPr>
          <w:rFonts w:ascii="Times New Roman" w:hAnsi="Times New Roman" w:cs="Times New Roman" w:eastAsia="Times New Roman" w:hint="default"/>
          <w:spacing w:val="-3"/>
        </w:rPr>
        <w:t>3</w:t>
      </w:r>
      <w:r>
        <w:rPr>
          <w:spacing w:val="-3"/>
        </w:rPr>
        <w:t>）确认可行权权益工具最佳估计的依据</w:t>
      </w:r>
      <w:r>
        <w:rPr>
          <w:spacing w:val="-29"/>
        </w:rPr>
        <w:t> </w:t>
      </w:r>
      <w:r>
        <w:rPr>
          <w:spacing w:val="-29"/>
        </w:rPr>
      </w:r>
      <w:r>
        <w:rPr>
          <w:spacing w:val="-4"/>
        </w:rPr>
        <w:t>等待期内每个资产负债表日，根据最新取得的可行权职工人数变动等后续信息作出最佳估计，修正预计可行权的权益工</w:t>
      </w:r>
    </w:p>
    <w:p>
      <w:pPr>
        <w:pStyle w:val="BodyText"/>
        <w:spacing w:line="240" w:lineRule="auto" w:before="76"/>
        <w:ind w:right="0"/>
        <w:jc w:val="both"/>
      </w:pPr>
      <w:r>
        <w:rPr>
          <w:spacing w:val="-3"/>
        </w:rPr>
        <w:t>具数量。在可行权日，最终预计可行权权益工具的数量与实际可行权数量一致。</w:t>
      </w:r>
    </w:p>
    <w:p>
      <w:pPr>
        <w:pStyle w:val="BodyText"/>
        <w:spacing w:line="590" w:lineRule="atLeast" w:before="38"/>
        <w:ind w:left="512" w:right="173"/>
        <w:jc w:val="left"/>
      </w:pPr>
      <w:r>
        <w:rPr>
          <w:spacing w:val="-3"/>
        </w:rPr>
        <w:t>（</w:t>
      </w:r>
      <w:r>
        <w:rPr>
          <w:rFonts w:ascii="Times New Roman" w:hAnsi="Times New Roman" w:cs="Times New Roman" w:eastAsia="Times New Roman" w:hint="default"/>
          <w:spacing w:val="-3"/>
        </w:rPr>
        <w:t>4</w:t>
      </w:r>
      <w:r>
        <w:rPr>
          <w:spacing w:val="-3"/>
        </w:rPr>
        <w:t>）实施、修改、终止股份支付计划的相关会计处理</w:t>
      </w:r>
      <w:r>
        <w:rPr>
          <w:spacing w:val="-17"/>
        </w:rPr>
        <w:t> </w:t>
      </w:r>
      <w:r>
        <w:rPr>
          <w:spacing w:val="-17"/>
        </w:rPr>
      </w:r>
      <w:r>
        <w:rPr>
          <w:spacing w:val="-4"/>
        </w:rPr>
        <w:t>以权益结算的股份支付，按授予职工权益工具的公允价值计量。授予后立即可行权的，在授予日按照权益工具的公允价</w:t>
      </w:r>
    </w:p>
    <w:p>
      <w:pPr>
        <w:pStyle w:val="BodyText"/>
        <w:spacing w:line="316" w:lineRule="auto" w:before="76"/>
        <w:ind w:right="186"/>
        <w:jc w:val="both"/>
      </w:pPr>
      <w:r>
        <w:rPr>
          <w:spacing w:val="-4"/>
        </w:rPr>
        <w:t>值计入相关成本或费用，相应增加资本公积。在完成等待期内的服务或达到规定业绩条件才可行权的，在等待期内的每个资</w:t>
      </w:r>
      <w:r>
        <w:rPr>
          <w:spacing w:val="43"/>
        </w:rPr>
        <w:t> </w:t>
      </w:r>
      <w:r>
        <w:rPr>
          <w:spacing w:val="43"/>
        </w:rPr>
      </w:r>
      <w:r>
        <w:rPr>
          <w:spacing w:val="-4"/>
        </w:rPr>
        <w:t>产负债表日，以对可行权权益工具数量的最佳估计为基础，按照权益工具授予日的公允价值，将当期取得的服务计入相关成</w:t>
      </w:r>
      <w:r>
        <w:rPr>
          <w:spacing w:val="43"/>
        </w:rPr>
        <w:t> </w:t>
      </w:r>
      <w:r>
        <w:rPr>
          <w:spacing w:val="43"/>
        </w:rPr>
      </w:r>
      <w:r>
        <w:rPr>
          <w:spacing w:val="-3"/>
        </w:rPr>
        <w:t>本或费用和资本公积。在可行权日之后不再对已确认的相关成本或费用和所有者权益总额进行调整。</w:t>
      </w:r>
    </w:p>
    <w:p>
      <w:pPr>
        <w:spacing w:line="240" w:lineRule="auto" w:before="7"/>
        <w:rPr>
          <w:rFonts w:ascii="宋体" w:hAnsi="宋体" w:cs="宋体" w:eastAsia="宋体" w:hint="default"/>
          <w:sz w:val="24"/>
          <w:szCs w:val="24"/>
        </w:rPr>
      </w:pPr>
    </w:p>
    <w:p>
      <w:pPr>
        <w:pStyle w:val="BodyText"/>
        <w:spacing w:line="316" w:lineRule="auto"/>
        <w:ind w:right="186" w:firstLine="360"/>
        <w:jc w:val="both"/>
      </w:pPr>
      <w:r>
        <w:rPr>
          <w:spacing w:val="-4"/>
        </w:rPr>
        <w:t>以现金结算的股份支付，按照本公司承担的以股份或其他权益工具为基础计算确定的负债的公允价值计量。授予后立即</w:t>
      </w:r>
      <w:r>
        <w:rPr>
          <w:w w:val="101"/>
        </w:rPr>
        <w:t> </w:t>
      </w:r>
      <w:r>
        <w:rPr>
          <w:spacing w:val="-4"/>
        </w:rPr>
        <w:t>可行权的，在授予日以本公司承担负债的公允价值计入相关成本或费用，相应增加负债。在完成等待期内的服务或达到规定</w:t>
      </w:r>
      <w:r>
        <w:rPr>
          <w:spacing w:val="43"/>
        </w:rPr>
        <w:t> </w:t>
      </w:r>
      <w:r>
        <w:rPr>
          <w:spacing w:val="43"/>
        </w:rPr>
      </w:r>
      <w:r>
        <w:rPr>
          <w:spacing w:val="-4"/>
        </w:rPr>
        <w:t>业绩条件以后才可行权的以现金结算的股份支付，在等待期内的每个资产负债表日，以对可行权情况的最佳估计为基础，按</w:t>
      </w:r>
    </w:p>
    <w:p>
      <w:pPr>
        <w:spacing w:after="0" w:line="316" w:lineRule="auto"/>
        <w:jc w:val="both"/>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照本公司承担负债的公允价值金额，将当期取得的服务计入成本或费用和相应的负债。在相关负债结算前的每个资产负债表</w:t>
      </w:r>
      <w:r>
        <w:rPr>
          <w:spacing w:val="43"/>
        </w:rPr>
        <w:t> </w:t>
      </w:r>
      <w:r>
        <w:rPr>
          <w:spacing w:val="43"/>
        </w:rPr>
      </w:r>
      <w:r>
        <w:rPr>
          <w:spacing w:val="-3"/>
        </w:rPr>
        <w:t>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590" w:lineRule="atLeast" w:before="119"/>
        <w:ind w:left="512" w:right="0"/>
        <w:jc w:val="left"/>
      </w:pPr>
      <w:r>
        <w:rPr/>
        <w:t>（</w:t>
      </w:r>
      <w:r>
        <w:rPr>
          <w:rFonts w:ascii="Times New Roman" w:hAnsi="Times New Roman" w:cs="Times New Roman" w:eastAsia="Times New Roman" w:hint="default"/>
        </w:rPr>
        <w:t>5</w:t>
      </w:r>
      <w:r>
        <w:rPr/>
        <w:t>） </w:t>
      </w:r>
      <w:r>
        <w:rPr>
          <w:spacing w:val="-3"/>
        </w:rPr>
        <w:t>对于存在修改条款和条件的情况的，本期的修改情况及相关会计处理</w:t>
      </w:r>
      <w:r>
        <w:rPr>
          <w:spacing w:val="-1"/>
        </w:rPr>
        <w:t> </w:t>
      </w:r>
      <w:r>
        <w:rPr>
          <w:spacing w:val="-1"/>
        </w:rPr>
      </w:r>
      <w:r>
        <w:rPr>
          <w:spacing w:val="-4"/>
        </w:rPr>
        <w:t>若在等待期内取消了授予的权益工具，本公司对取消所授予的权益性工具作为加速行权处理，将剩余等待期内应确认的</w:t>
      </w:r>
    </w:p>
    <w:p>
      <w:pPr>
        <w:pStyle w:val="BodyText"/>
        <w:spacing w:line="316" w:lineRule="auto" w:before="76"/>
        <w:ind w:right="0"/>
        <w:jc w:val="left"/>
      </w:pPr>
      <w:r>
        <w:rPr>
          <w:spacing w:val="-4"/>
        </w:rPr>
        <w:t>金额立即计入当期损益，同时确认资本公积。职工或其他方能够选择满足非可行权条件但在等待期内未满足的，本公司将其</w:t>
      </w:r>
      <w:r>
        <w:rPr>
          <w:spacing w:val="43"/>
        </w:rPr>
        <w:t> </w:t>
      </w:r>
      <w:r>
        <w:rPr>
          <w:spacing w:val="43"/>
        </w:rPr>
      </w:r>
      <w:r>
        <w:rPr>
          <w:spacing w:val="-3"/>
        </w:rPr>
        <w:t>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5"/>
        </w:rPr>
        <w:t>本公司按照金融工具准则的规定，根据所发行优先股、永续债等金融工具的合同条款及其所反映的经济实质而非仅以法</w:t>
      </w:r>
      <w:r>
        <w:rPr>
          <w:w w:val="101"/>
        </w:rPr>
        <w:t> </w:t>
      </w:r>
      <w:r>
        <w:rPr>
          <w:spacing w:val="-3"/>
        </w:rPr>
        <w:t>律形式，结合金融负债和权益工具的定义，在初始确认时将该金融工具或其组成部分分类为金融负债或权益工具：</w:t>
      </w:r>
    </w:p>
    <w:p>
      <w:pPr>
        <w:spacing w:line="240" w:lineRule="auto" w:before="7"/>
        <w:rPr>
          <w:rFonts w:ascii="宋体" w:hAnsi="宋体" w:cs="宋体" w:eastAsia="宋体" w:hint="default"/>
          <w:sz w:val="24"/>
          <w:szCs w:val="24"/>
        </w:rPr>
      </w:pPr>
    </w:p>
    <w:p>
      <w:pPr>
        <w:pStyle w:val="BodyText"/>
        <w:spacing w:line="240" w:lineRule="auto"/>
        <w:ind w:left="512" w:right="0"/>
        <w:jc w:val="left"/>
      </w:pPr>
      <w:r>
        <w:rPr>
          <w:spacing w:val="-3"/>
        </w:rPr>
        <w:t>（</w:t>
      </w:r>
      <w:r>
        <w:rPr>
          <w:rFonts w:ascii="Times New Roman" w:hAnsi="Times New Roman" w:cs="Times New Roman" w:eastAsia="Times New Roman" w:hint="default"/>
          <w:spacing w:val="-3"/>
        </w:rPr>
        <w:t>1</w:t>
      </w:r>
      <w:r>
        <w:rPr>
          <w:spacing w:val="-3"/>
        </w:rPr>
        <w:t>）符合下列条件之一，将发行的金融工具分类为金融负债：</w:t>
      </w:r>
    </w:p>
    <w:p>
      <w:pPr>
        <w:spacing w:line="240" w:lineRule="auto" w:before="0"/>
        <w:rPr>
          <w:rFonts w:ascii="宋体" w:hAnsi="宋体" w:cs="宋体" w:eastAsia="宋体" w:hint="default"/>
          <w:sz w:val="18"/>
          <w:szCs w:val="18"/>
        </w:rPr>
      </w:pPr>
    </w:p>
    <w:p>
      <w:pPr>
        <w:pStyle w:val="BodyText"/>
        <w:spacing w:line="240" w:lineRule="auto" w:before="125"/>
        <w:ind w:left="603" w:right="0"/>
        <w:jc w:val="left"/>
      </w:pPr>
      <w:r>
        <w:rPr>
          <w:rFonts w:ascii="Times New Roman" w:hAnsi="Times New Roman" w:cs="Times New Roman" w:eastAsia="Times New Roman" w:hint="default"/>
          <w:spacing w:val="-3"/>
        </w:rPr>
        <w:t>1</w:t>
      </w:r>
      <w:r>
        <w:rPr>
          <w:spacing w:val="-3"/>
        </w:rPr>
        <w:t>）向其他方交付现金或其他金融资产的合同义务；</w:t>
      </w:r>
    </w:p>
    <w:p>
      <w:pPr>
        <w:spacing w:line="240" w:lineRule="auto" w:before="0"/>
        <w:rPr>
          <w:rFonts w:ascii="宋体" w:hAnsi="宋体" w:cs="宋体" w:eastAsia="宋体" w:hint="default"/>
          <w:sz w:val="18"/>
          <w:szCs w:val="18"/>
        </w:rPr>
      </w:pPr>
    </w:p>
    <w:p>
      <w:pPr>
        <w:pStyle w:val="BodyText"/>
        <w:spacing w:line="240" w:lineRule="auto" w:before="129"/>
        <w:ind w:left="603" w:right="0"/>
        <w:jc w:val="left"/>
      </w:pPr>
      <w:r>
        <w:rPr>
          <w:rFonts w:ascii="Times New Roman" w:hAnsi="Times New Roman" w:cs="Times New Roman" w:eastAsia="Times New Roman" w:hint="default"/>
          <w:spacing w:val="-3"/>
        </w:rPr>
        <w:t>2</w:t>
      </w:r>
      <w:r>
        <w:rPr>
          <w:spacing w:val="-3"/>
        </w:rPr>
        <w:t>）在潜在不利条件下，与其他方交换金融资产或金融负债的合同义务；</w:t>
      </w:r>
    </w:p>
    <w:p>
      <w:pPr>
        <w:spacing w:line="240" w:lineRule="auto" w:before="0"/>
        <w:rPr>
          <w:rFonts w:ascii="宋体" w:hAnsi="宋体" w:cs="宋体" w:eastAsia="宋体" w:hint="default"/>
          <w:sz w:val="18"/>
          <w:szCs w:val="18"/>
        </w:rPr>
      </w:pPr>
    </w:p>
    <w:p>
      <w:pPr>
        <w:pStyle w:val="BodyText"/>
        <w:spacing w:line="240" w:lineRule="auto" w:before="125"/>
        <w:ind w:left="603" w:right="0"/>
        <w:jc w:val="left"/>
      </w:pPr>
      <w:r>
        <w:rPr>
          <w:rFonts w:ascii="Times New Roman" w:hAnsi="Times New Roman" w:cs="Times New Roman" w:eastAsia="Times New Roman" w:hint="default"/>
          <w:w w:val="101"/>
        </w:rPr>
        <w:t>3</w:t>
      </w:r>
      <w:r>
        <w:rPr>
          <w:spacing w:val="-87"/>
          <w:w w:val="101"/>
        </w:rPr>
        <w:t>）</w:t>
      </w:r>
      <w:r>
        <w:rPr>
          <w:spacing w:val="-5"/>
          <w:w w:val="101"/>
        </w:rPr>
        <w:t>将</w:t>
      </w:r>
      <w:r>
        <w:rPr>
          <w:w w:val="101"/>
        </w:rPr>
        <w:t>来</w:t>
      </w:r>
      <w:r>
        <w:rPr>
          <w:spacing w:val="-5"/>
          <w:w w:val="101"/>
        </w:rPr>
        <w:t>须</w:t>
      </w:r>
      <w:r>
        <w:rPr>
          <w:w w:val="101"/>
        </w:rPr>
        <w:t>用</w:t>
      </w:r>
      <w:r>
        <w:rPr>
          <w:spacing w:val="-5"/>
          <w:w w:val="101"/>
        </w:rPr>
        <w:t>或</w:t>
      </w:r>
      <w:r>
        <w:rPr>
          <w:w w:val="101"/>
        </w:rPr>
        <w:t>可</w:t>
      </w:r>
      <w:r>
        <w:rPr>
          <w:spacing w:val="-5"/>
          <w:w w:val="101"/>
        </w:rPr>
        <w:t>用</w:t>
      </w:r>
      <w:r>
        <w:rPr>
          <w:w w:val="101"/>
        </w:rPr>
        <w:t>企</w:t>
      </w:r>
      <w:r>
        <w:rPr>
          <w:spacing w:val="-5"/>
          <w:w w:val="101"/>
        </w:rPr>
        <w:t>业</w:t>
      </w:r>
      <w:r>
        <w:rPr>
          <w:w w:val="101"/>
        </w:rPr>
        <w:t>自</w:t>
      </w:r>
      <w:r>
        <w:rPr>
          <w:spacing w:val="-5"/>
          <w:w w:val="101"/>
        </w:rPr>
        <w:t>身</w:t>
      </w:r>
      <w:r>
        <w:rPr>
          <w:w w:val="101"/>
        </w:rPr>
        <w:t>权</w:t>
      </w:r>
      <w:r>
        <w:rPr>
          <w:spacing w:val="-5"/>
          <w:w w:val="101"/>
        </w:rPr>
        <w:t>益</w:t>
      </w:r>
      <w:r>
        <w:rPr>
          <w:w w:val="101"/>
        </w:rPr>
        <w:t>工</w:t>
      </w:r>
      <w:r>
        <w:rPr>
          <w:spacing w:val="-5"/>
          <w:w w:val="101"/>
        </w:rPr>
        <w:t>具</w:t>
      </w:r>
      <w:r>
        <w:rPr>
          <w:w w:val="101"/>
        </w:rPr>
        <w:t>进</w:t>
      </w:r>
      <w:r>
        <w:rPr>
          <w:spacing w:val="-5"/>
          <w:w w:val="101"/>
        </w:rPr>
        <w:t>行</w:t>
      </w:r>
      <w:r>
        <w:rPr>
          <w:w w:val="101"/>
        </w:rPr>
        <w:t>结</w:t>
      </w:r>
      <w:r>
        <w:rPr>
          <w:spacing w:val="-5"/>
          <w:w w:val="101"/>
        </w:rPr>
        <w:t>算</w:t>
      </w:r>
      <w:r>
        <w:rPr>
          <w:w w:val="101"/>
        </w:rPr>
        <w:t>的</w:t>
      </w:r>
      <w:r>
        <w:rPr>
          <w:spacing w:val="-5"/>
          <w:w w:val="101"/>
        </w:rPr>
        <w:t>非</w:t>
      </w:r>
      <w:r>
        <w:rPr>
          <w:w w:val="101"/>
        </w:rPr>
        <w:t>衍</w:t>
      </w:r>
      <w:r>
        <w:rPr>
          <w:spacing w:val="-5"/>
          <w:w w:val="101"/>
        </w:rPr>
        <w:t>生</w:t>
      </w:r>
      <w:r>
        <w:rPr>
          <w:w w:val="101"/>
        </w:rPr>
        <w:t>工</w:t>
      </w:r>
      <w:r>
        <w:rPr>
          <w:spacing w:val="-5"/>
          <w:w w:val="101"/>
        </w:rPr>
        <w:t>具合</w:t>
      </w:r>
      <w:r>
        <w:rPr>
          <w:w w:val="101"/>
        </w:rPr>
        <w:t>同</w:t>
      </w:r>
      <w:r>
        <w:rPr>
          <w:spacing w:val="-87"/>
          <w:w w:val="101"/>
        </w:rPr>
        <w:t>，</w:t>
      </w:r>
      <w:r>
        <w:rPr>
          <w:spacing w:val="-5"/>
          <w:w w:val="101"/>
        </w:rPr>
        <w:t>且</w:t>
      </w:r>
      <w:r>
        <w:rPr>
          <w:w w:val="101"/>
        </w:rPr>
        <w:t>企</w:t>
      </w:r>
      <w:r>
        <w:rPr>
          <w:spacing w:val="-5"/>
          <w:w w:val="101"/>
        </w:rPr>
        <w:t>业</w:t>
      </w:r>
      <w:r>
        <w:rPr>
          <w:w w:val="101"/>
        </w:rPr>
        <w:t>根</w:t>
      </w:r>
      <w:r>
        <w:rPr>
          <w:spacing w:val="-5"/>
          <w:w w:val="101"/>
        </w:rPr>
        <w:t>据</w:t>
      </w:r>
      <w:r>
        <w:rPr>
          <w:w w:val="101"/>
        </w:rPr>
        <w:t>该</w:t>
      </w:r>
      <w:r>
        <w:rPr>
          <w:spacing w:val="-5"/>
          <w:w w:val="101"/>
        </w:rPr>
        <w:t>合</w:t>
      </w:r>
      <w:r>
        <w:rPr>
          <w:w w:val="101"/>
        </w:rPr>
        <w:t>同</w:t>
      </w:r>
      <w:r>
        <w:rPr>
          <w:spacing w:val="-5"/>
          <w:w w:val="101"/>
        </w:rPr>
        <w:t>将</w:t>
      </w:r>
      <w:r>
        <w:rPr>
          <w:w w:val="101"/>
        </w:rPr>
        <w:t>交</w:t>
      </w:r>
      <w:r>
        <w:rPr>
          <w:spacing w:val="-5"/>
          <w:w w:val="101"/>
        </w:rPr>
        <w:t>付可</w:t>
      </w:r>
      <w:r>
        <w:rPr>
          <w:w w:val="101"/>
        </w:rPr>
        <w:t>变</w:t>
      </w:r>
      <w:r>
        <w:rPr>
          <w:spacing w:val="-5"/>
          <w:w w:val="101"/>
        </w:rPr>
        <w:t>数</w:t>
      </w:r>
      <w:r>
        <w:rPr>
          <w:w w:val="101"/>
        </w:rPr>
        <w:t>量</w:t>
      </w:r>
      <w:r>
        <w:rPr>
          <w:spacing w:val="-5"/>
          <w:w w:val="101"/>
        </w:rPr>
        <w:t>的</w:t>
      </w:r>
      <w:r>
        <w:rPr>
          <w:w w:val="101"/>
        </w:rPr>
        <w:t>自</w:t>
      </w:r>
      <w:r>
        <w:rPr>
          <w:spacing w:val="-5"/>
          <w:w w:val="101"/>
        </w:rPr>
        <w:t>身</w:t>
      </w:r>
      <w:r>
        <w:rPr>
          <w:w w:val="101"/>
        </w:rPr>
        <w:t>权</w:t>
      </w:r>
      <w:r>
        <w:rPr>
          <w:spacing w:val="-5"/>
          <w:w w:val="101"/>
        </w:rPr>
        <w:t>益</w:t>
      </w:r>
      <w:r>
        <w:rPr>
          <w:w w:val="101"/>
        </w:rPr>
        <w:t>工具；</w:t>
      </w:r>
      <w:r>
        <w:rPr/>
      </w:r>
    </w:p>
    <w:p>
      <w:pPr>
        <w:spacing w:line="240" w:lineRule="auto" w:before="0"/>
        <w:rPr>
          <w:rFonts w:ascii="宋体" w:hAnsi="宋体" w:cs="宋体" w:eastAsia="宋体" w:hint="default"/>
          <w:sz w:val="18"/>
          <w:szCs w:val="18"/>
        </w:rPr>
      </w:pPr>
    </w:p>
    <w:p>
      <w:pPr>
        <w:pStyle w:val="BodyText"/>
        <w:spacing w:line="300" w:lineRule="auto" w:before="129"/>
        <w:ind w:right="0" w:firstLine="451"/>
        <w:jc w:val="left"/>
      </w:pPr>
      <w:r>
        <w:rPr>
          <w:rFonts w:ascii="Times New Roman" w:hAnsi="Times New Roman" w:cs="Times New Roman" w:eastAsia="Times New Roman" w:hint="default"/>
          <w:spacing w:val="-4"/>
        </w:rPr>
        <w:t>4</w:t>
      </w:r>
      <w:r>
        <w:rPr>
          <w:spacing w:val="-4"/>
        </w:rPr>
        <w:t>）将来须用或可用企业自身权益工具进行结算的衍生工具合同，但以固定数量的自身权益工具交换固定金额的现金或</w:t>
      </w:r>
      <w:r>
        <w:rPr>
          <w:w w:val="101"/>
        </w:rPr>
        <w:t> </w:t>
      </w:r>
      <w:r>
        <w:rPr>
          <w:spacing w:val="-3"/>
        </w:rPr>
        <w:t>其他金融资产的衍生工具合同除外。</w:t>
      </w:r>
    </w:p>
    <w:p>
      <w:pPr>
        <w:spacing w:line="240" w:lineRule="auto" w:before="2"/>
        <w:rPr>
          <w:rFonts w:ascii="宋体" w:hAnsi="宋体" w:cs="宋体" w:eastAsia="宋体" w:hint="default"/>
          <w:sz w:val="25"/>
          <w:szCs w:val="25"/>
        </w:rPr>
      </w:pPr>
    </w:p>
    <w:p>
      <w:pPr>
        <w:pStyle w:val="BodyText"/>
        <w:spacing w:line="240" w:lineRule="auto"/>
        <w:ind w:left="512" w:right="0"/>
        <w:jc w:val="left"/>
      </w:pPr>
      <w:r>
        <w:rPr>
          <w:w w:val="101"/>
        </w:rPr>
        <w:t>（</w:t>
      </w:r>
      <w:r>
        <w:rPr>
          <w:rFonts w:ascii="Times New Roman" w:hAnsi="Times New Roman" w:cs="Times New Roman" w:eastAsia="Times New Roman" w:hint="default"/>
          <w:w w:val="101"/>
        </w:rPr>
        <w:t>2</w:t>
      </w:r>
      <w:r>
        <w:rPr>
          <w:spacing w:val="-96"/>
          <w:w w:val="101"/>
        </w:rPr>
        <w:t>）</w:t>
      </w:r>
      <w:r>
        <w:rPr>
          <w:w w:val="101"/>
        </w:rPr>
        <w:t>．</w:t>
      </w:r>
      <w:r>
        <w:rPr>
          <w:spacing w:val="-5"/>
          <w:w w:val="101"/>
        </w:rPr>
        <w:t>同</w:t>
      </w:r>
      <w:r>
        <w:rPr>
          <w:w w:val="101"/>
        </w:rPr>
        <w:t>时</w:t>
      </w:r>
      <w:r>
        <w:rPr>
          <w:spacing w:val="-5"/>
          <w:w w:val="101"/>
        </w:rPr>
        <w:t>满</w:t>
      </w:r>
      <w:r>
        <w:rPr>
          <w:w w:val="101"/>
        </w:rPr>
        <w:t>足</w:t>
      </w:r>
      <w:r>
        <w:rPr>
          <w:spacing w:val="-5"/>
          <w:w w:val="101"/>
        </w:rPr>
        <w:t>下</w:t>
      </w:r>
      <w:r>
        <w:rPr>
          <w:w w:val="101"/>
        </w:rPr>
        <w:t>列</w:t>
      </w:r>
      <w:r>
        <w:rPr>
          <w:spacing w:val="-5"/>
          <w:w w:val="101"/>
        </w:rPr>
        <w:t>条</w:t>
      </w:r>
      <w:r>
        <w:rPr>
          <w:w w:val="101"/>
        </w:rPr>
        <w:t>件</w:t>
      </w:r>
      <w:r>
        <w:rPr>
          <w:spacing w:val="-5"/>
          <w:w w:val="101"/>
        </w:rPr>
        <w:t>的</w:t>
      </w:r>
      <w:r>
        <w:rPr>
          <w:w w:val="101"/>
        </w:rPr>
        <w:t>，</w:t>
      </w:r>
      <w:r>
        <w:rPr>
          <w:spacing w:val="-5"/>
          <w:w w:val="101"/>
        </w:rPr>
        <w:t>将</w:t>
      </w:r>
      <w:r>
        <w:rPr>
          <w:w w:val="101"/>
        </w:rPr>
        <w:t>发</w:t>
      </w:r>
      <w:r>
        <w:rPr>
          <w:spacing w:val="-5"/>
          <w:w w:val="101"/>
        </w:rPr>
        <w:t>行</w:t>
      </w:r>
      <w:r>
        <w:rPr>
          <w:w w:val="101"/>
        </w:rPr>
        <w:t>的</w:t>
      </w:r>
      <w:r>
        <w:rPr>
          <w:spacing w:val="-5"/>
          <w:w w:val="101"/>
        </w:rPr>
        <w:t>金</w:t>
      </w:r>
      <w:r>
        <w:rPr>
          <w:w w:val="101"/>
        </w:rPr>
        <w:t>融</w:t>
      </w:r>
      <w:r>
        <w:rPr>
          <w:spacing w:val="-5"/>
          <w:w w:val="101"/>
        </w:rPr>
        <w:t>工</w:t>
      </w:r>
      <w:r>
        <w:rPr>
          <w:w w:val="101"/>
        </w:rPr>
        <w:t>具</w:t>
      </w:r>
      <w:r>
        <w:rPr>
          <w:spacing w:val="-5"/>
          <w:w w:val="101"/>
        </w:rPr>
        <w:t>分</w:t>
      </w:r>
      <w:r>
        <w:rPr>
          <w:w w:val="101"/>
        </w:rPr>
        <w:t>类</w:t>
      </w:r>
      <w:r>
        <w:rPr>
          <w:spacing w:val="-5"/>
          <w:w w:val="101"/>
        </w:rPr>
        <w:t>为</w:t>
      </w:r>
      <w:r>
        <w:rPr>
          <w:w w:val="101"/>
        </w:rPr>
        <w:t>权</w:t>
      </w:r>
      <w:r>
        <w:rPr>
          <w:spacing w:val="-5"/>
          <w:w w:val="101"/>
        </w:rPr>
        <w:t>益工</w:t>
      </w:r>
      <w:r>
        <w:rPr>
          <w:w w:val="101"/>
        </w:rPr>
        <w:t>具：</w:t>
      </w:r>
      <w:r>
        <w:rPr/>
      </w:r>
    </w:p>
    <w:p>
      <w:pPr>
        <w:spacing w:line="240" w:lineRule="auto" w:before="0"/>
        <w:rPr>
          <w:rFonts w:ascii="宋体" w:hAnsi="宋体" w:cs="宋体" w:eastAsia="宋体" w:hint="default"/>
          <w:sz w:val="18"/>
          <w:szCs w:val="18"/>
        </w:rPr>
      </w:pPr>
    </w:p>
    <w:p>
      <w:pPr>
        <w:pStyle w:val="BodyText"/>
        <w:spacing w:line="300" w:lineRule="auto" w:before="129"/>
        <w:ind w:right="0" w:firstLine="451"/>
        <w:jc w:val="left"/>
      </w:pPr>
      <w:r>
        <w:rPr>
          <w:rFonts w:ascii="Times New Roman" w:hAnsi="Times New Roman" w:cs="Times New Roman" w:eastAsia="Times New Roman" w:hint="default"/>
          <w:spacing w:val="-4"/>
        </w:rPr>
        <w:t>1</w:t>
      </w:r>
      <w:r>
        <w:rPr>
          <w:spacing w:val="-4"/>
        </w:rPr>
        <w:t>）该金融工具不包括交付现金或其他金融资产给其他方，或在潜在不利条件下与其他方交换金融资产或金融负债的合</w:t>
      </w:r>
      <w:r>
        <w:rPr>
          <w:w w:val="101"/>
        </w:rPr>
        <w:t> </w:t>
      </w:r>
      <w:r>
        <w:rPr/>
        <w:t>同义务；</w:t>
      </w:r>
    </w:p>
    <w:p>
      <w:pPr>
        <w:spacing w:line="240" w:lineRule="auto" w:before="2"/>
        <w:rPr>
          <w:rFonts w:ascii="宋体" w:hAnsi="宋体" w:cs="宋体" w:eastAsia="宋体" w:hint="default"/>
          <w:sz w:val="25"/>
          <w:szCs w:val="25"/>
        </w:rPr>
      </w:pPr>
    </w:p>
    <w:p>
      <w:pPr>
        <w:pStyle w:val="BodyText"/>
        <w:spacing w:line="309" w:lineRule="auto"/>
        <w:ind w:right="206" w:firstLine="451"/>
        <w:jc w:val="both"/>
      </w:pPr>
      <w:r>
        <w:rPr>
          <w:rFonts w:ascii="Times New Roman" w:hAnsi="Times New Roman" w:cs="Times New Roman" w:eastAsia="Times New Roman" w:hint="default"/>
          <w:spacing w:val="-4"/>
        </w:rPr>
        <w:t>2</w:t>
      </w:r>
      <w:r>
        <w:rPr>
          <w:spacing w:val="-4"/>
        </w:rPr>
        <w:t>）将来须用或可用企业自身权益工具结算该金融工具的，如该金融工具为非衍生工具，不包括交付可变数量的自身权</w:t>
      </w:r>
      <w:r>
        <w:rPr>
          <w:w w:val="101"/>
        </w:rPr>
        <w:t> </w:t>
      </w:r>
      <w:r>
        <w:rPr>
          <w:spacing w:val="-4"/>
        </w:rPr>
        <w:t>益工具进行结算的合同义务；如为衍生工具，企业只能通过以固定数量的自身权益工具交换固定金额的现金或其他金融资产</w:t>
      </w:r>
      <w:r>
        <w:rPr>
          <w:spacing w:val="39"/>
        </w:rPr>
        <w:t> </w:t>
      </w:r>
      <w:r>
        <w:rPr>
          <w:spacing w:val="39"/>
        </w:rPr>
      </w:r>
      <w:r>
        <w:rPr/>
        <w:t>结算该金融工具。</w:t>
      </w:r>
    </w:p>
    <w:p>
      <w:pPr>
        <w:pStyle w:val="BodyText"/>
        <w:spacing w:line="610" w:lineRule="exact" w:before="49"/>
        <w:ind w:left="512" w:right="0"/>
        <w:jc w:val="left"/>
      </w:pPr>
      <w:r>
        <w:rPr/>
        <w:t>（</w:t>
      </w:r>
      <w:r>
        <w:rPr>
          <w:rFonts w:ascii="Times New Roman" w:hAnsi="Times New Roman" w:cs="Times New Roman" w:eastAsia="Times New Roman" w:hint="default"/>
        </w:rPr>
        <w:t>3</w:t>
      </w:r>
      <w:r>
        <w:rPr/>
        <w:t>）会计处理方法</w:t>
      </w:r>
      <w:r>
        <w:rPr>
          <w:spacing w:val="-85"/>
        </w:rPr>
        <w:t> </w:t>
      </w:r>
      <w:r>
        <w:rPr>
          <w:spacing w:val="-85"/>
        </w:rPr>
      </w:r>
      <w:r>
        <w:rPr>
          <w:spacing w:val="-4"/>
        </w:rPr>
        <w:t>对于归类为权益工具的金融工具，其利息支出或股利分配都应当作为发行企业的利润分配，其回购、注销等作为权益的</w:t>
      </w:r>
    </w:p>
    <w:p>
      <w:pPr>
        <w:pStyle w:val="BodyText"/>
        <w:spacing w:line="215" w:lineRule="exact"/>
        <w:ind w:right="0"/>
        <w:jc w:val="left"/>
      </w:pPr>
      <w:r>
        <w:rPr>
          <w:spacing w:val="-3"/>
        </w:rPr>
        <w:t>变动处理，手续费、佣金等交易费用从权益中扣除；</w:t>
      </w:r>
    </w:p>
    <w:p>
      <w:pPr>
        <w:spacing w:line="240" w:lineRule="auto" w:before="0"/>
        <w:rPr>
          <w:rFonts w:ascii="宋体" w:hAnsi="宋体" w:cs="宋体" w:eastAsia="宋体" w:hint="default"/>
          <w:sz w:val="18"/>
          <w:szCs w:val="18"/>
        </w:rPr>
      </w:pPr>
    </w:p>
    <w:p>
      <w:pPr>
        <w:pStyle w:val="BodyText"/>
        <w:spacing w:line="316" w:lineRule="auto" w:before="143"/>
        <w:ind w:right="0" w:firstLine="360"/>
        <w:jc w:val="left"/>
      </w:pPr>
      <w:r>
        <w:rPr>
          <w:spacing w:val="-4"/>
        </w:rPr>
        <w:t>对于归类为金融负债的金融工具，其利息支出或股利分配原则上按照借款费用进行处理，其回购或赎回产生的利得或损</w:t>
      </w:r>
      <w:r>
        <w:rPr>
          <w:w w:val="101"/>
        </w:rPr>
        <w:t> </w:t>
      </w:r>
      <w:r>
        <w:rPr>
          <w:spacing w:val="-3"/>
        </w:rPr>
        <w:t>失等计入当期损益，手续费、佣金等交易费用计入所发行工具的初始计量金额。</w:t>
      </w:r>
    </w:p>
    <w:p>
      <w:pPr>
        <w:spacing w:after="0" w:line="316" w:lineRule="auto"/>
        <w:jc w:val="left"/>
        <w:sectPr>
          <w:pgSz w:w="11910" w:h="16840"/>
          <w:pgMar w:header="741" w:footer="979" w:top="1060" w:bottom="1160" w:left="980" w:right="920"/>
        </w:sectPr>
      </w:pPr>
    </w:p>
    <w:p>
      <w:pPr>
        <w:spacing w:line="240" w:lineRule="auto" w:before="12"/>
        <w:rPr>
          <w:rFonts w:ascii="宋体" w:hAnsi="宋体" w:cs="宋体" w:eastAsia="宋体" w:hint="default"/>
          <w:sz w:val="24"/>
          <w:szCs w:val="24"/>
        </w:rPr>
      </w:pPr>
    </w:p>
    <w:p>
      <w:pPr>
        <w:pStyle w:val="Heading4"/>
        <w:spacing w:line="335" w:lineRule="exact"/>
        <w:ind w:right="173"/>
        <w:jc w:val="left"/>
        <w:rPr>
          <w:b w:val="0"/>
          <w:bCs w:val="0"/>
        </w:rPr>
      </w:pPr>
      <w:r>
        <w:rPr>
          <w:rFonts w:ascii="Times New Roman" w:hAnsi="Times New Roman" w:cs="Times New Roman" w:eastAsia="Times New Roman" w:hint="default"/>
        </w:rPr>
        <w:t>26</w:t>
      </w:r>
      <w:r>
        <w:rPr/>
        <w:t>、收入</w:t>
      </w:r>
      <w:r>
        <w:rPr>
          <w:b w:val="0"/>
          <w:bCs w:val="0"/>
        </w:rPr>
      </w:r>
    </w:p>
    <w:p>
      <w:pPr>
        <w:pStyle w:val="BodyText"/>
        <w:spacing w:line="610" w:lineRule="exact" w:before="63"/>
        <w:ind w:left="512" w:right="173"/>
        <w:jc w:val="left"/>
      </w:pPr>
      <w:r>
        <w:rPr>
          <w:spacing w:val="-3"/>
        </w:rPr>
        <w:t>（</w:t>
      </w:r>
      <w:r>
        <w:rPr>
          <w:rFonts w:ascii="Times New Roman" w:hAnsi="Times New Roman" w:cs="Times New Roman" w:eastAsia="Times New Roman" w:hint="default"/>
          <w:spacing w:val="-3"/>
        </w:rPr>
        <w:t>1</w:t>
      </w:r>
      <w:r>
        <w:rPr>
          <w:spacing w:val="-3"/>
        </w:rPr>
        <w:t>）销售商品收入确认时间的具体判断标准</w:t>
      </w:r>
      <w:r>
        <w:rPr>
          <w:spacing w:val="-29"/>
        </w:rPr>
        <w:t> </w:t>
      </w:r>
      <w:r>
        <w:rPr>
          <w:spacing w:val="-29"/>
        </w:rPr>
      </w:r>
      <w:r>
        <w:rPr>
          <w:spacing w:val="-4"/>
        </w:rPr>
        <w:t>公司已将商品所有权上的主要风险和报酬转移给购买方；公司既没有保留与所有权相联系的继续管理权，也没有对已售</w:t>
      </w:r>
    </w:p>
    <w:p>
      <w:pPr>
        <w:pStyle w:val="BodyText"/>
        <w:spacing w:line="215" w:lineRule="exact"/>
        <w:ind w:right="173"/>
        <w:jc w:val="left"/>
      </w:pPr>
      <w:r>
        <w:rPr>
          <w:spacing w:val="-4"/>
        </w:rPr>
        <w:t>出的商品实施有效控制；收入的金额能够可靠地计量；相关的经济利益很可能流入企业；相关的已发生或将发生的成本能够</w:t>
      </w:r>
    </w:p>
    <w:p>
      <w:pPr>
        <w:pStyle w:val="BodyText"/>
        <w:spacing w:line="240" w:lineRule="auto" w:before="76"/>
        <w:ind w:right="173"/>
        <w:jc w:val="left"/>
      </w:pPr>
      <w:r>
        <w:rPr>
          <w:spacing w:val="-3"/>
        </w:rPr>
        <w:t>可靠地计量时，确认商品销售收入实现。</w:t>
      </w:r>
    </w:p>
    <w:p>
      <w:pPr>
        <w:spacing w:line="240" w:lineRule="auto" w:before="0"/>
        <w:rPr>
          <w:rFonts w:ascii="宋体" w:hAnsi="宋体" w:cs="宋体" w:eastAsia="宋体" w:hint="default"/>
          <w:sz w:val="18"/>
          <w:szCs w:val="18"/>
        </w:rPr>
      </w:pPr>
    </w:p>
    <w:p>
      <w:pPr>
        <w:pStyle w:val="BodyText"/>
        <w:spacing w:line="316" w:lineRule="auto" w:before="143"/>
        <w:ind w:right="173" w:firstLine="360"/>
        <w:jc w:val="left"/>
      </w:pPr>
      <w:r>
        <w:rPr>
          <w:spacing w:val="-5"/>
          <w:w w:val="101"/>
        </w:rPr>
        <w:t>由于公司销售合同约定商品所有权的主要风险和报酬在送达指定地点时转移给购买方，因此公司以商品发出并经客户验</w:t>
      </w:r>
      <w:r>
        <w:rPr>
          <w:w w:val="101"/>
        </w:rPr>
        <w:t> </w:t>
      </w:r>
      <w:r>
        <w:rPr>
          <w:spacing w:val="-3"/>
        </w:rPr>
        <w:t>收为确认销售收入时点。</w:t>
      </w:r>
    </w:p>
    <w:p>
      <w:pPr>
        <w:spacing w:line="240" w:lineRule="auto" w:before="2"/>
        <w:rPr>
          <w:rFonts w:ascii="宋体" w:hAnsi="宋体" w:cs="宋体" w:eastAsia="宋体" w:hint="default"/>
          <w:sz w:val="24"/>
          <w:szCs w:val="24"/>
        </w:rPr>
      </w:pPr>
    </w:p>
    <w:p>
      <w:pPr>
        <w:pStyle w:val="BodyText"/>
        <w:spacing w:line="240" w:lineRule="auto"/>
        <w:ind w:left="512" w:right="173"/>
        <w:jc w:val="left"/>
      </w:pPr>
      <w:r>
        <w:rPr>
          <w:spacing w:val="-3"/>
        </w:rPr>
        <w:t>公司销售分为内销和外销。</w:t>
      </w:r>
    </w:p>
    <w:p>
      <w:pPr>
        <w:spacing w:line="240" w:lineRule="auto" w:before="0"/>
        <w:rPr>
          <w:rFonts w:ascii="宋体" w:hAnsi="宋体" w:cs="宋体" w:eastAsia="宋体" w:hint="default"/>
          <w:sz w:val="18"/>
          <w:szCs w:val="18"/>
        </w:rPr>
      </w:pPr>
    </w:p>
    <w:p>
      <w:pPr>
        <w:pStyle w:val="BodyText"/>
        <w:spacing w:line="300" w:lineRule="auto" w:before="143"/>
        <w:ind w:right="173" w:firstLine="451"/>
        <w:jc w:val="left"/>
      </w:pPr>
      <w:r>
        <w:rPr>
          <w:rFonts w:ascii="Times New Roman" w:hAnsi="Times New Roman" w:cs="Times New Roman" w:eastAsia="Times New Roman" w:hint="default"/>
          <w:spacing w:val="-4"/>
        </w:rPr>
        <w:t>1</w:t>
      </w:r>
      <w:r>
        <w:rPr>
          <w:spacing w:val="-4"/>
        </w:rPr>
        <w:t>）产品内销收入确认：内销采用的交货方式有快递、物流公司运输和公司车送货。公司根据回签的送货清单和相应的</w:t>
      </w:r>
      <w:r>
        <w:rPr>
          <w:w w:val="101"/>
        </w:rPr>
        <w:t> </w:t>
      </w:r>
      <w:r>
        <w:rPr>
          <w:spacing w:val="-3"/>
        </w:rPr>
        <w:t>订单、出库通知单、出厂放行条等确认收入。</w:t>
      </w:r>
    </w:p>
    <w:p>
      <w:pPr>
        <w:spacing w:line="240" w:lineRule="auto" w:before="2"/>
        <w:rPr>
          <w:rFonts w:ascii="宋体" w:hAnsi="宋体" w:cs="宋体" w:eastAsia="宋体" w:hint="default"/>
          <w:sz w:val="25"/>
          <w:szCs w:val="25"/>
        </w:rPr>
      </w:pPr>
    </w:p>
    <w:p>
      <w:pPr>
        <w:pStyle w:val="BodyText"/>
        <w:spacing w:line="300" w:lineRule="auto"/>
        <w:ind w:right="173" w:firstLine="451"/>
        <w:jc w:val="left"/>
      </w:pPr>
      <w:r>
        <w:rPr>
          <w:rFonts w:ascii="Times New Roman" w:hAnsi="Times New Roman" w:cs="Times New Roman" w:eastAsia="Times New Roman" w:hint="default"/>
          <w:spacing w:val="-4"/>
        </w:rPr>
        <w:t>2</w:t>
      </w:r>
      <w:r>
        <w:rPr>
          <w:spacing w:val="-4"/>
        </w:rPr>
        <w:t>）产品外销收入确认：外销采用的是物流公司运输方式。公司以取得提单并向银行办妥交单手续的日期作为出口商品</w:t>
      </w:r>
      <w:r>
        <w:rPr>
          <w:w w:val="101"/>
        </w:rPr>
        <w:t> </w:t>
      </w:r>
      <w:r>
        <w:rPr/>
        <w:t>外销收入确认的时点。</w:t>
      </w:r>
    </w:p>
    <w:p>
      <w:pPr>
        <w:spacing w:line="240" w:lineRule="auto" w:before="7"/>
        <w:rPr>
          <w:rFonts w:ascii="宋体" w:hAnsi="宋体" w:cs="宋体" w:eastAsia="宋体" w:hint="default"/>
          <w:sz w:val="25"/>
          <w:szCs w:val="25"/>
        </w:rPr>
      </w:pPr>
    </w:p>
    <w:p>
      <w:pPr>
        <w:pStyle w:val="BodyText"/>
        <w:spacing w:line="316" w:lineRule="auto"/>
        <w:ind w:right="173" w:firstLine="360"/>
        <w:jc w:val="left"/>
      </w:pPr>
      <w:r>
        <w:rPr>
          <w:spacing w:val="-4"/>
        </w:rPr>
        <w:t>合同或协议价款的收取采用递延方式，实质上具有融资性质的，按照应收的合同或协议价款的公允价值确定销售商品收</w:t>
      </w:r>
      <w:r>
        <w:rPr>
          <w:w w:val="101"/>
        </w:rPr>
        <w:t> </w:t>
      </w:r>
      <w:r>
        <w:rPr/>
        <w:t>入金额。</w:t>
      </w:r>
    </w:p>
    <w:p>
      <w:pPr>
        <w:spacing w:line="240" w:lineRule="auto" w:before="2"/>
        <w:rPr>
          <w:rFonts w:ascii="宋体" w:hAnsi="宋体" w:cs="宋体" w:eastAsia="宋体" w:hint="default"/>
          <w:sz w:val="24"/>
          <w:szCs w:val="24"/>
        </w:rPr>
      </w:pPr>
    </w:p>
    <w:p>
      <w:pPr>
        <w:pStyle w:val="BodyText"/>
        <w:spacing w:line="607" w:lineRule="auto"/>
        <w:ind w:left="512" w:right="173" w:hanging="1"/>
        <w:jc w:val="left"/>
      </w:pPr>
      <w:r>
        <w:rPr/>
        <w:t>（</w:t>
      </w:r>
      <w:r>
        <w:rPr>
          <w:rFonts w:ascii="Times New Roman" w:hAnsi="Times New Roman" w:cs="Times New Roman" w:eastAsia="Times New Roman" w:hint="default"/>
        </w:rPr>
        <w:t>2</w:t>
      </w:r>
      <w:r>
        <w:rPr/>
        <w:t>）</w:t>
      </w:r>
      <w:r>
        <w:rPr>
          <w:spacing w:val="-66"/>
        </w:rPr>
        <w:t> </w:t>
      </w:r>
      <w:r>
        <w:rPr>
          <w:spacing w:val="-3"/>
        </w:rPr>
        <w:t>确认让渡资产使用权收入的依据</w:t>
      </w:r>
      <w:r>
        <w:rPr>
          <w:spacing w:val="-39"/>
        </w:rPr>
        <w:t> </w:t>
      </w:r>
      <w:r>
        <w:rPr>
          <w:spacing w:val="-39"/>
        </w:rPr>
      </w:r>
      <w:r>
        <w:rPr>
          <w:spacing w:val="-3"/>
        </w:rPr>
        <w:t>与交易相关的经济利益很可能流入企业，收入的金额能够可靠地计量时，分别下列情况确定让渡资产使用权收入金额：</w:t>
      </w:r>
      <w:r>
        <w:rPr>
          <w:spacing w:val="59"/>
        </w:rPr>
        <w:t> </w:t>
      </w:r>
      <w:r>
        <w:rPr>
          <w:spacing w:val="59"/>
        </w:rPr>
      </w:r>
      <w:r>
        <w:rPr>
          <w:rFonts w:ascii="Times New Roman" w:hAnsi="Times New Roman" w:cs="Times New Roman" w:eastAsia="Times New Roman" w:hint="default"/>
          <w:spacing w:val="-3"/>
        </w:rPr>
        <w:t>1</w:t>
      </w:r>
      <w:r>
        <w:rPr>
          <w:spacing w:val="-3"/>
        </w:rPr>
        <w:t>）利息收入金额，按照他人使用本企业货币资金的时间和实际利率计算确定。</w:t>
      </w:r>
    </w:p>
    <w:p>
      <w:pPr>
        <w:pStyle w:val="BodyText"/>
        <w:spacing w:line="240" w:lineRule="auto" w:before="60"/>
        <w:ind w:left="603" w:right="173"/>
        <w:jc w:val="left"/>
      </w:pPr>
      <w:r>
        <w:rPr>
          <w:rFonts w:ascii="Times New Roman" w:hAnsi="Times New Roman" w:cs="Times New Roman" w:eastAsia="Times New Roman" w:hint="default"/>
          <w:spacing w:val="-3"/>
        </w:rPr>
        <w:t>2</w:t>
      </w:r>
      <w:r>
        <w:rPr>
          <w:spacing w:val="-3"/>
        </w:rPr>
        <w:t>）使用费收入金额，按照有关合同或协议约定的收费时间和方法计算确定。</w:t>
      </w:r>
    </w:p>
    <w:p>
      <w:pPr>
        <w:pStyle w:val="BodyText"/>
        <w:spacing w:line="600" w:lineRule="atLeast" w:before="9"/>
        <w:ind w:left="512" w:right="0"/>
        <w:jc w:val="left"/>
      </w:pPr>
      <w:r>
        <w:rPr>
          <w:spacing w:val="-3"/>
        </w:rPr>
        <w:t>（</w:t>
      </w:r>
      <w:r>
        <w:rPr>
          <w:rFonts w:ascii="Times New Roman" w:hAnsi="Times New Roman" w:cs="Times New Roman" w:eastAsia="Times New Roman" w:hint="default"/>
          <w:spacing w:val="-3"/>
        </w:rPr>
        <w:t>3</w:t>
      </w:r>
      <w:r>
        <w:rPr>
          <w:spacing w:val="-3"/>
        </w:rPr>
        <w:t>）提供劳务收入的确认依据和方法</w:t>
      </w:r>
      <w:r>
        <w:rPr>
          <w:spacing w:val="-35"/>
        </w:rPr>
        <w:t> </w:t>
      </w:r>
      <w:r>
        <w:rPr>
          <w:spacing w:val="-35"/>
        </w:rPr>
      </w:r>
      <w:r>
        <w:rPr>
          <w:spacing w:val="-6"/>
          <w:w w:val="101"/>
        </w:rPr>
        <w:t>在资产负债表日提供劳务交易的结果能够可靠估计的，采用完工百分比法确认提供劳务收入。提供劳务交易的完工进度，</w:t>
      </w:r>
      <w:r>
        <w:rPr>
          <w:spacing w:val="-6"/>
        </w:rPr>
      </w:r>
    </w:p>
    <w:p>
      <w:pPr>
        <w:pStyle w:val="BodyText"/>
        <w:spacing w:line="624" w:lineRule="auto" w:before="76"/>
        <w:ind w:left="512" w:right="3932" w:hanging="361"/>
        <w:jc w:val="left"/>
      </w:pPr>
      <w:r>
        <w:rPr>
          <w:spacing w:val="-3"/>
        </w:rPr>
        <w:t>依据已完工作的测量确定。</w:t>
      </w:r>
      <w:r>
        <w:rPr>
          <w:spacing w:val="-51"/>
        </w:rPr>
        <w:t> </w:t>
      </w:r>
      <w:r>
        <w:rPr>
          <w:spacing w:val="-51"/>
        </w:rPr>
      </w:r>
      <w:r>
        <w:rPr>
          <w:spacing w:val="-3"/>
        </w:rPr>
        <w:t>提供劳务交易的结果能够可靠估计，是指同时满足下列条件：</w:t>
      </w:r>
      <w:r>
        <w:rPr>
          <w:w w:val="101"/>
        </w:rPr>
        <w:t> </w:t>
      </w:r>
      <w:r>
        <w:rPr>
          <w:rFonts w:ascii="Times New Roman" w:hAnsi="Times New Roman" w:cs="Times New Roman" w:eastAsia="Times New Roman" w:hint="default"/>
        </w:rPr>
        <w:t>1</w:t>
      </w:r>
      <w:r>
        <w:rPr/>
        <w:t>）收入的金额能够可靠地计量；</w:t>
      </w:r>
    </w:p>
    <w:p>
      <w:pPr>
        <w:pStyle w:val="BodyText"/>
        <w:spacing w:line="240" w:lineRule="auto" w:before="41"/>
        <w:ind w:left="603" w:right="173"/>
        <w:jc w:val="left"/>
      </w:pPr>
      <w:r>
        <w:rPr>
          <w:rFonts w:ascii="Times New Roman" w:hAnsi="Times New Roman" w:cs="Times New Roman" w:eastAsia="Times New Roman" w:hint="default"/>
          <w:spacing w:val="-3"/>
        </w:rPr>
        <w:t>2</w:t>
      </w:r>
      <w:r>
        <w:rPr>
          <w:spacing w:val="-3"/>
        </w:rPr>
        <w:t>）相关的经济利益很可能流入企业；</w:t>
      </w:r>
    </w:p>
    <w:p>
      <w:pPr>
        <w:spacing w:line="240" w:lineRule="auto" w:before="0"/>
        <w:rPr>
          <w:rFonts w:ascii="宋体" w:hAnsi="宋体" w:cs="宋体" w:eastAsia="宋体" w:hint="default"/>
          <w:sz w:val="18"/>
          <w:szCs w:val="18"/>
        </w:rPr>
      </w:pPr>
    </w:p>
    <w:p>
      <w:pPr>
        <w:pStyle w:val="BodyText"/>
        <w:spacing w:line="240" w:lineRule="auto" w:before="129"/>
        <w:ind w:left="603" w:right="173"/>
        <w:jc w:val="left"/>
      </w:pPr>
      <w:r>
        <w:rPr>
          <w:rFonts w:ascii="Times New Roman" w:hAnsi="Times New Roman" w:cs="Times New Roman" w:eastAsia="Times New Roman" w:hint="default"/>
          <w:spacing w:val="-3"/>
        </w:rPr>
        <w:t>3</w:t>
      </w:r>
      <w:r>
        <w:rPr>
          <w:spacing w:val="-3"/>
        </w:rPr>
        <w:t>）交易的完工进度能够可靠地确定；</w:t>
      </w:r>
    </w:p>
    <w:p>
      <w:pPr>
        <w:spacing w:line="240" w:lineRule="auto" w:before="0"/>
        <w:rPr>
          <w:rFonts w:ascii="宋体" w:hAnsi="宋体" w:cs="宋体" w:eastAsia="宋体" w:hint="default"/>
          <w:sz w:val="18"/>
          <w:szCs w:val="18"/>
        </w:rPr>
      </w:pPr>
    </w:p>
    <w:p>
      <w:pPr>
        <w:pStyle w:val="BodyText"/>
        <w:spacing w:line="240" w:lineRule="auto" w:before="125"/>
        <w:ind w:left="603" w:right="173"/>
        <w:jc w:val="left"/>
      </w:pPr>
      <w:r>
        <w:rPr>
          <w:rFonts w:ascii="Times New Roman" w:hAnsi="Times New Roman" w:cs="Times New Roman" w:eastAsia="Times New Roman" w:hint="default"/>
          <w:spacing w:val="-3"/>
        </w:rPr>
        <w:t>4</w:t>
      </w:r>
      <w:r>
        <w:rPr>
          <w:spacing w:val="-3"/>
        </w:rPr>
        <w:t>）交易中已发生和将发生的成本能够可靠地计量。</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16" w:lineRule="auto" w:before="46"/>
        <w:ind w:right="0" w:firstLine="360"/>
        <w:jc w:val="left"/>
      </w:pPr>
      <w:r>
        <w:rPr>
          <w:spacing w:val="-4"/>
        </w:rPr>
        <w:t>按照已收或应收的合同或协议价款确定提供劳务收入总额，但已收或应收的合同或协议价款不公允的除外。资产负债表</w:t>
      </w:r>
      <w:r>
        <w:rPr>
          <w:w w:val="101"/>
        </w:rPr>
        <w:t> </w:t>
      </w:r>
      <w:r>
        <w:rPr>
          <w:spacing w:val="-6"/>
          <w:w w:val="101"/>
        </w:rPr>
        <w:t>日按照提供劳务收入总额乘以完工进度扣除以前会计期间累计已确认提供劳务收入后的金额，确认当期提供劳务收入；同时，</w:t>
      </w:r>
      <w:r>
        <w:rPr>
          <w:spacing w:val="-71"/>
          <w:w w:val="101"/>
        </w:rPr>
        <w:t> </w:t>
      </w:r>
      <w:r>
        <w:rPr>
          <w:spacing w:val="-71"/>
          <w:w w:val="101"/>
        </w:rPr>
      </w:r>
      <w:r>
        <w:rPr>
          <w:spacing w:val="-3"/>
        </w:rPr>
        <w:t>按照提供劳务估计总成本乘以完工进度扣除以前会计期间累计已确认劳务成本后的金额，结转当期劳务成本。</w:t>
      </w:r>
    </w:p>
    <w:p>
      <w:pPr>
        <w:spacing w:line="240" w:lineRule="auto" w:before="2"/>
        <w:rPr>
          <w:rFonts w:ascii="宋体" w:hAnsi="宋体" w:cs="宋体" w:eastAsia="宋体" w:hint="default"/>
          <w:sz w:val="24"/>
          <w:szCs w:val="24"/>
        </w:rPr>
      </w:pPr>
    </w:p>
    <w:p>
      <w:pPr>
        <w:pStyle w:val="BodyText"/>
        <w:spacing w:line="240" w:lineRule="auto"/>
        <w:ind w:left="512" w:right="173"/>
        <w:jc w:val="left"/>
      </w:pPr>
      <w:r>
        <w:rPr>
          <w:spacing w:val="-3"/>
        </w:rPr>
        <w:t>在资产负债表日提供劳务交易结果不能够可靠估计的，分别下列情况处理：</w:t>
      </w:r>
    </w:p>
    <w:p>
      <w:pPr>
        <w:spacing w:line="240" w:lineRule="auto" w:before="0"/>
        <w:rPr>
          <w:rFonts w:ascii="宋体" w:hAnsi="宋体" w:cs="宋体" w:eastAsia="宋体" w:hint="default"/>
          <w:sz w:val="18"/>
          <w:szCs w:val="18"/>
        </w:rPr>
      </w:pPr>
    </w:p>
    <w:p>
      <w:pPr>
        <w:pStyle w:val="BodyText"/>
        <w:spacing w:line="300" w:lineRule="auto" w:before="143"/>
        <w:ind w:right="173" w:firstLine="451"/>
        <w:jc w:val="left"/>
      </w:pPr>
      <w:r>
        <w:rPr>
          <w:rFonts w:ascii="Times New Roman" w:hAnsi="Times New Roman" w:cs="Times New Roman" w:eastAsia="Times New Roman" w:hint="default"/>
          <w:spacing w:val="-4"/>
        </w:rPr>
        <w:t>1</w:t>
      </w:r>
      <w:r>
        <w:rPr>
          <w:spacing w:val="-4"/>
        </w:rPr>
        <w:t>）已经发生的劳务成本预计能够得到补偿的，按照已经发生的劳务成本金额确认提供劳务收入，并按相同金额结转劳</w:t>
      </w:r>
      <w:r>
        <w:rPr>
          <w:w w:val="101"/>
        </w:rPr>
        <w:t> </w:t>
      </w:r>
      <w:r>
        <w:rPr/>
        <w:t>务成本。</w:t>
      </w:r>
    </w:p>
    <w:p>
      <w:pPr>
        <w:pStyle w:val="BodyText"/>
        <w:spacing w:line="614" w:lineRule="exact" w:before="48"/>
        <w:ind w:left="512" w:right="173" w:firstLine="91"/>
        <w:jc w:val="left"/>
      </w:pPr>
      <w:r>
        <w:rPr>
          <w:rFonts w:ascii="Times New Roman" w:hAnsi="Times New Roman" w:cs="Times New Roman" w:eastAsia="Times New Roman" w:hint="default"/>
          <w:spacing w:val="-3"/>
        </w:rPr>
        <w:t>2</w:t>
      </w:r>
      <w:r>
        <w:rPr>
          <w:spacing w:val="-3"/>
        </w:rPr>
        <w:t>）已经发生的劳务成本预计不能够得到补偿的，将已经发生的劳务成本计入当期损益，不确认提供劳务收入。</w:t>
      </w:r>
      <w:r>
        <w:rPr>
          <w:spacing w:val="-33"/>
        </w:rPr>
        <w:t> </w:t>
      </w:r>
      <w:r>
        <w:rPr>
          <w:spacing w:val="-33"/>
        </w:rPr>
      </w:r>
      <w:r>
        <w:rPr>
          <w:spacing w:val="-5"/>
          <w:w w:val="101"/>
        </w:rPr>
        <w:t>本公司与其他企业签订的合同或协议包括销售商品和提供劳务时，销售商品部分和提供劳务部分能够区分且能够单独计</w:t>
      </w:r>
      <w:r>
        <w:rPr>
          <w:spacing w:val="-5"/>
        </w:rPr>
      </w:r>
    </w:p>
    <w:p>
      <w:pPr>
        <w:pStyle w:val="BodyText"/>
        <w:spacing w:line="215" w:lineRule="exact"/>
        <w:ind w:right="173"/>
        <w:jc w:val="left"/>
      </w:pPr>
      <w:r>
        <w:rPr>
          <w:spacing w:val="-4"/>
        </w:rPr>
        <w:t>量的，将销售商品的部分作为销售商品处理，将提供劳务的部分作为提供劳务处理。销售商品部分和提供劳务部分不能够区</w:t>
      </w:r>
    </w:p>
    <w:p>
      <w:pPr>
        <w:pStyle w:val="BodyText"/>
        <w:spacing w:line="240" w:lineRule="auto" w:before="76"/>
        <w:ind w:right="173"/>
        <w:jc w:val="left"/>
      </w:pPr>
      <w:r>
        <w:rPr>
          <w:spacing w:val="-3"/>
        </w:rPr>
        <w:t>分，或虽能区分但不能够单独计量的，将销售商品部分和提供劳务部分全部作为销售商品处理。</w:t>
      </w:r>
    </w:p>
    <w:p>
      <w:pPr>
        <w:spacing w:line="240" w:lineRule="auto" w:before="0"/>
        <w:rPr>
          <w:rFonts w:ascii="宋体" w:hAnsi="宋体" w:cs="宋体" w:eastAsia="宋体" w:hint="default"/>
          <w:sz w:val="18"/>
          <w:szCs w:val="18"/>
        </w:rPr>
      </w:pPr>
    </w:p>
    <w:p>
      <w:pPr>
        <w:pStyle w:val="BodyText"/>
        <w:spacing w:line="240" w:lineRule="auto" w:before="138"/>
        <w:ind w:left="512" w:right="173"/>
        <w:jc w:val="left"/>
      </w:pPr>
      <w:r>
        <w:rPr>
          <w:spacing w:val="-3"/>
        </w:rPr>
        <w:t>（</w:t>
      </w:r>
      <w:r>
        <w:rPr>
          <w:rFonts w:ascii="Times New Roman" w:hAnsi="Times New Roman" w:cs="Times New Roman" w:eastAsia="Times New Roman" w:hint="default"/>
          <w:spacing w:val="-3"/>
        </w:rPr>
        <w:t>4</w:t>
      </w:r>
      <w:r>
        <w:rPr>
          <w:spacing w:val="-3"/>
        </w:rPr>
        <w:t>）建造合同收入的确认依据和方法</w:t>
      </w:r>
    </w:p>
    <w:p>
      <w:pPr>
        <w:spacing w:line="240" w:lineRule="auto" w:before="0"/>
        <w:rPr>
          <w:rFonts w:ascii="宋体" w:hAnsi="宋体" w:cs="宋体" w:eastAsia="宋体" w:hint="default"/>
          <w:sz w:val="18"/>
          <w:szCs w:val="18"/>
        </w:rPr>
      </w:pPr>
    </w:p>
    <w:p>
      <w:pPr>
        <w:pStyle w:val="BodyText"/>
        <w:spacing w:line="309" w:lineRule="auto" w:before="129"/>
        <w:ind w:right="186" w:firstLine="451"/>
        <w:jc w:val="both"/>
      </w:pPr>
      <w:r>
        <w:rPr>
          <w:rFonts w:ascii="Times New Roman" w:hAnsi="Times New Roman" w:cs="Times New Roman" w:eastAsia="Times New Roman" w:hint="default"/>
        </w:rPr>
        <w:t>1</w:t>
      </w:r>
      <w:r>
        <w:rPr/>
        <w:t>）</w:t>
      </w:r>
      <w:r>
        <w:rPr>
          <w:spacing w:val="72"/>
        </w:rPr>
        <w:t> </w:t>
      </w:r>
      <w:r>
        <w:rPr/>
        <w:t>当建造合同的结果能够可靠地估计时，与其相关的合同收入和合同费用在资产负债表日按完工百分比法予以确</w:t>
      </w:r>
      <w:r>
        <w:rPr>
          <w:w w:val="101"/>
        </w:rPr>
        <w:t> </w:t>
      </w:r>
      <w:r>
        <w:rPr>
          <w:spacing w:val="-4"/>
        </w:rPr>
        <w:t>认。完工百分比法，是指根据合同完工进度确认合同收入和合同费用的方法。合同完工进度按照累计实际发生的合同费用占</w:t>
      </w:r>
      <w:r>
        <w:rPr>
          <w:spacing w:val="43"/>
        </w:rPr>
        <w:t> </w:t>
      </w:r>
      <w:r>
        <w:rPr>
          <w:spacing w:val="43"/>
        </w:rPr>
      </w:r>
      <w:r>
        <w:rPr>
          <w:spacing w:val="-3"/>
        </w:rPr>
        <w:t>合同预计总成本的比例确定。</w:t>
      </w:r>
    </w:p>
    <w:p>
      <w:pPr>
        <w:spacing w:line="240" w:lineRule="auto" w:before="8"/>
        <w:rPr>
          <w:rFonts w:ascii="宋体" w:hAnsi="宋体" w:cs="宋体" w:eastAsia="宋体" w:hint="default"/>
          <w:sz w:val="24"/>
          <w:szCs w:val="24"/>
        </w:rPr>
      </w:pPr>
    </w:p>
    <w:p>
      <w:pPr>
        <w:pStyle w:val="BodyText"/>
        <w:spacing w:line="607" w:lineRule="auto"/>
        <w:ind w:left="512" w:right="3932"/>
        <w:jc w:val="left"/>
      </w:pPr>
      <w:r>
        <w:rPr>
          <w:spacing w:val="-3"/>
        </w:rPr>
        <w:t>固定造价合同的结果能够可靠估计，是指同时满足下列条件：</w:t>
      </w:r>
      <w:r>
        <w:rPr>
          <w:spacing w:val="-10"/>
        </w:rPr>
        <w:t> </w:t>
      </w:r>
      <w:r>
        <w:rPr>
          <w:spacing w:val="-10"/>
        </w:rPr>
      </w:r>
      <w:r>
        <w:rPr>
          <w:rFonts w:ascii="Times New Roman" w:hAnsi="Times New Roman" w:cs="Times New Roman" w:eastAsia="Times New Roman" w:hint="default"/>
        </w:rPr>
        <w:t>A:</w:t>
      </w:r>
      <w:r>
        <w:rPr/>
        <w:t>合同总收入能够可靠地计量；</w:t>
      </w:r>
      <w:r>
        <w:rPr>
          <w:spacing w:val="-87"/>
        </w:rPr>
        <w:t> </w:t>
      </w:r>
      <w:r>
        <w:rPr>
          <w:spacing w:val="-87"/>
        </w:rPr>
      </w:r>
      <w:r>
        <w:rPr>
          <w:rFonts w:ascii="Times New Roman" w:hAnsi="Times New Roman" w:cs="Times New Roman" w:eastAsia="Times New Roman" w:hint="default"/>
          <w:spacing w:val="-3"/>
        </w:rPr>
        <w:t>B</w:t>
      </w:r>
      <w:r>
        <w:rPr>
          <w:spacing w:val="-3"/>
        </w:rPr>
        <w:t>：与合同相关的经济利益很可能流入企业；</w:t>
      </w:r>
    </w:p>
    <w:p>
      <w:pPr>
        <w:pStyle w:val="BodyText"/>
        <w:spacing w:line="597" w:lineRule="auto" w:before="60"/>
        <w:ind w:left="512" w:right="3932"/>
        <w:jc w:val="left"/>
      </w:pPr>
      <w:r>
        <w:rPr>
          <w:rFonts w:ascii="Times New Roman" w:hAnsi="Times New Roman" w:cs="Times New Roman" w:eastAsia="Times New Roman" w:hint="default"/>
          <w:spacing w:val="-3"/>
        </w:rPr>
        <w:t>C</w:t>
      </w:r>
      <w:r>
        <w:rPr>
          <w:spacing w:val="-3"/>
        </w:rPr>
        <w:t>：实际发生的合同成本能够清楚地区分和可靠地计量；</w:t>
      </w:r>
      <w:r>
        <w:rPr>
          <w:spacing w:val="-13"/>
        </w:rPr>
        <w:t> </w:t>
      </w:r>
      <w:r>
        <w:rPr>
          <w:spacing w:val="-13"/>
        </w:rPr>
      </w:r>
      <w:r>
        <w:rPr>
          <w:rFonts w:ascii="Times New Roman" w:hAnsi="Times New Roman" w:cs="Times New Roman" w:eastAsia="Times New Roman" w:hint="default"/>
          <w:spacing w:val="-3"/>
        </w:rPr>
        <w:t>D</w:t>
      </w:r>
      <w:r>
        <w:rPr>
          <w:spacing w:val="-3"/>
        </w:rPr>
        <w:t>：合同完工进度和为完成合同尚需发生的成本能够可靠地确定。</w:t>
      </w:r>
      <w:r>
        <w:rPr>
          <w:spacing w:val="-2"/>
        </w:rPr>
        <w:t> </w:t>
      </w:r>
      <w:r>
        <w:rPr>
          <w:spacing w:val="-2"/>
        </w:rPr>
      </w:r>
      <w:r>
        <w:rPr>
          <w:spacing w:val="-3"/>
        </w:rPr>
        <w:t>成本加成合同的结果能够可靠估计，是指同时满足下列条件：</w:t>
      </w:r>
      <w:r>
        <w:rPr>
          <w:spacing w:val="-10"/>
        </w:rPr>
        <w:t> </w:t>
      </w:r>
      <w:r>
        <w:rPr>
          <w:spacing w:val="-10"/>
        </w:rPr>
      </w:r>
      <w:r>
        <w:rPr>
          <w:rFonts w:ascii="Times New Roman" w:hAnsi="Times New Roman" w:cs="Times New Roman" w:eastAsia="Times New Roman" w:hint="default"/>
          <w:spacing w:val="-3"/>
        </w:rPr>
        <w:t>A:</w:t>
      </w:r>
      <w:r>
        <w:rPr>
          <w:spacing w:val="-3"/>
        </w:rPr>
        <w:t>与合同相关的经济利益很可能流入企业；</w:t>
      </w:r>
      <w:r>
        <w:rPr>
          <w:spacing w:val="-30"/>
        </w:rPr>
        <w:t> </w:t>
      </w:r>
      <w:r>
        <w:rPr>
          <w:spacing w:val="-30"/>
        </w:rPr>
      </w:r>
      <w:r>
        <w:rPr>
          <w:rFonts w:ascii="Times New Roman" w:hAnsi="Times New Roman" w:cs="Times New Roman" w:eastAsia="Times New Roman" w:hint="default"/>
          <w:spacing w:val="-3"/>
        </w:rPr>
        <w:t>B:</w:t>
      </w:r>
      <w:r>
        <w:rPr>
          <w:spacing w:val="-3"/>
        </w:rPr>
        <w:t>实际发生的合同成本能够清楚地区分和可靠地计量。</w:t>
      </w:r>
    </w:p>
    <w:p>
      <w:pPr>
        <w:pStyle w:val="BodyText"/>
        <w:spacing w:line="316" w:lineRule="auto" w:before="63"/>
        <w:ind w:right="173" w:firstLine="360"/>
        <w:jc w:val="left"/>
      </w:pPr>
      <w:r>
        <w:rPr>
          <w:spacing w:val="-4"/>
        </w:rPr>
        <w:t>在资产负债表日，按照合同总收入乘以完工进度扣除以前会计期间累计已确认收入后的金额，确认为当期合同收入；同</w:t>
      </w:r>
      <w:r>
        <w:rPr>
          <w:w w:val="101"/>
        </w:rPr>
        <w:t> </w:t>
      </w:r>
      <w:r>
        <w:rPr>
          <w:spacing w:val="-6"/>
        </w:rPr>
        <w:t>时，按照合同预计总成本乘以完工进度扣除以前会计期间累计已确认费用后的金额，确认为当期合同费用。合同工程的变动、</w:t>
      </w:r>
      <w:r>
        <w:rPr>
          <w:spacing w:val="63"/>
        </w:rPr>
        <w:t> </w:t>
      </w:r>
      <w:r>
        <w:rPr>
          <w:spacing w:val="63"/>
        </w:rPr>
      </w:r>
      <w:r>
        <w:rPr>
          <w:spacing w:val="-3"/>
        </w:rPr>
        <w:t>索赔及奖金以可能带来收入并能可靠计算的数额为限计入合同总收入。</w:t>
      </w:r>
    </w:p>
    <w:p>
      <w:pPr>
        <w:spacing w:line="240" w:lineRule="auto" w:before="7"/>
        <w:rPr>
          <w:rFonts w:ascii="宋体" w:hAnsi="宋体" w:cs="宋体" w:eastAsia="宋体" w:hint="default"/>
          <w:sz w:val="24"/>
          <w:szCs w:val="24"/>
        </w:rPr>
      </w:pPr>
    </w:p>
    <w:p>
      <w:pPr>
        <w:pStyle w:val="BodyText"/>
        <w:spacing w:line="588" w:lineRule="auto"/>
        <w:ind w:left="512" w:right="173" w:firstLine="91"/>
        <w:jc w:val="left"/>
      </w:pPr>
      <w:r>
        <w:rPr>
          <w:rFonts w:ascii="Times New Roman" w:hAnsi="Times New Roman" w:cs="Times New Roman" w:eastAsia="Times New Roman" w:hint="default"/>
          <w:spacing w:val="-3"/>
        </w:rPr>
        <w:t>2</w:t>
      </w:r>
      <w:r>
        <w:rPr>
          <w:spacing w:val="-3"/>
        </w:rPr>
        <w:t>）建造合同的结果不能可靠估计的，分别下列情况处理：</w:t>
      </w:r>
      <w:r>
        <w:rPr>
          <w:w w:val="101"/>
        </w:rPr>
        <w:t> </w:t>
      </w:r>
      <w:r>
        <w:rPr>
          <w:rFonts w:ascii="Times New Roman" w:hAnsi="Times New Roman" w:cs="Times New Roman" w:eastAsia="Times New Roman" w:hint="default"/>
          <w:spacing w:val="-3"/>
        </w:rPr>
        <w:t>A:</w:t>
      </w:r>
      <w:r>
        <w:rPr>
          <w:spacing w:val="-3"/>
        </w:rPr>
        <w:t>合同成本能够收回的，合同收入根据能够收回的实际合同成本予以确认，合同成本在其发生的当期确认为合同费用。</w:t>
      </w:r>
    </w:p>
    <w:p>
      <w:pPr>
        <w:spacing w:after="0" w:line="588"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588" w:lineRule="auto" w:before="46"/>
        <w:ind w:left="512" w:right="0"/>
        <w:jc w:val="left"/>
      </w:pPr>
      <w:r>
        <w:rPr>
          <w:rFonts w:ascii="Times New Roman" w:hAnsi="Times New Roman" w:cs="Times New Roman" w:eastAsia="Times New Roman" w:hint="default"/>
          <w:spacing w:val="-3"/>
        </w:rPr>
        <w:t>B</w:t>
      </w:r>
      <w:r>
        <w:rPr>
          <w:spacing w:val="-3"/>
        </w:rPr>
        <w:t>：合同成本不可能收回的，在发生时立即确认为合同费用，不确认合同收入。</w:t>
      </w:r>
      <w:r>
        <w:rPr>
          <w:spacing w:val="16"/>
        </w:rPr>
        <w:t> </w:t>
      </w:r>
      <w:r>
        <w:rPr>
          <w:spacing w:val="16"/>
        </w:rPr>
      </w:r>
      <w:r>
        <w:rPr>
          <w:rFonts w:ascii="Times New Roman" w:hAnsi="Times New Roman" w:cs="Times New Roman" w:eastAsia="Times New Roman" w:hint="default"/>
          <w:spacing w:val="-3"/>
        </w:rPr>
        <w:t>C:</w:t>
      </w:r>
      <w:r>
        <w:rPr>
          <w:spacing w:val="-3"/>
        </w:rPr>
        <w:t>如果合同总成本很可能超过合同总收入，则预期损失立即确认为费用。</w:t>
      </w:r>
    </w:p>
    <w:p>
      <w:pPr>
        <w:pStyle w:val="BodyText"/>
        <w:spacing w:line="240" w:lineRule="auto" w:before="76"/>
        <w:ind w:left="512" w:right="0"/>
        <w:jc w:val="left"/>
      </w:pPr>
      <w:r>
        <w:rPr/>
        <w:t>（</w:t>
      </w:r>
      <w:r>
        <w:rPr>
          <w:rFonts w:ascii="Times New Roman" w:hAnsi="Times New Roman" w:cs="Times New Roman" w:eastAsia="Times New Roman" w:hint="default"/>
        </w:rPr>
        <w:t>5</w:t>
      </w:r>
      <w:r>
        <w:rPr/>
        <w:t>）附回购条件的资产转让</w:t>
      </w:r>
    </w:p>
    <w:p>
      <w:pPr>
        <w:spacing w:line="240" w:lineRule="auto" w:before="0"/>
        <w:rPr>
          <w:rFonts w:ascii="宋体" w:hAnsi="宋体" w:cs="宋体" w:eastAsia="宋体" w:hint="default"/>
          <w:sz w:val="18"/>
          <w:szCs w:val="18"/>
        </w:rPr>
      </w:pPr>
    </w:p>
    <w:p>
      <w:pPr>
        <w:pStyle w:val="BodyText"/>
        <w:spacing w:line="316" w:lineRule="auto" w:before="125"/>
        <w:ind w:right="146" w:firstLine="360"/>
        <w:jc w:val="both"/>
      </w:pPr>
      <w:r>
        <w:rPr>
          <w:spacing w:val="-4"/>
        </w:rPr>
        <w:t>公司销售产品或转让其他资产时，与购买方签订了所销售的产品或转让资产回购协议，根据协议条款判断销售商品是否</w:t>
      </w:r>
      <w:r>
        <w:rPr>
          <w:w w:val="101"/>
        </w:rPr>
        <w:t> </w:t>
      </w:r>
      <w:r>
        <w:rPr>
          <w:spacing w:val="-4"/>
        </w:rPr>
        <w:t>满足收入确认条件。如售后回购属于融资交易，则在交付产品或资产时，本公司不确认销售收入。回购价款大于销售价款的</w:t>
      </w:r>
      <w:r>
        <w:rPr>
          <w:spacing w:val="41"/>
        </w:rPr>
        <w:t> </w:t>
      </w:r>
      <w:r>
        <w:rPr>
          <w:spacing w:val="41"/>
        </w:rPr>
      </w:r>
      <w:r>
        <w:rPr>
          <w:spacing w:val="-3"/>
        </w:rPr>
        <w:t>差额，在回购期间按期计提利息，计入财务费用。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607" w:lineRule="auto"/>
        <w:ind w:left="512" w:right="0"/>
        <w:jc w:val="left"/>
      </w:pPr>
      <w:r>
        <w:rPr>
          <w:spacing w:val="-3"/>
        </w:rPr>
        <w:t>（</w:t>
      </w:r>
      <w:r>
        <w:rPr>
          <w:rFonts w:ascii="Times New Roman" w:hAnsi="Times New Roman" w:cs="Times New Roman" w:eastAsia="Times New Roman" w:hint="default"/>
          <w:spacing w:val="-3"/>
        </w:rPr>
        <w:t>1</w:t>
      </w:r>
      <w:r>
        <w:rPr>
          <w:spacing w:val="-3"/>
        </w:rPr>
        <w:t>）与资产相关的政府补助判断依据及会计处理方法</w:t>
      </w:r>
      <w:r>
        <w:rPr>
          <w:spacing w:val="-17"/>
        </w:rPr>
        <w:t> </w:t>
      </w:r>
      <w:r>
        <w:rPr>
          <w:spacing w:val="-17"/>
        </w:rPr>
      </w:r>
      <w:r>
        <w:rPr>
          <w:spacing w:val="-3"/>
        </w:rPr>
        <w:t>与资产相关的政府补助，是指本公司取得的、用于购建或以其他方式形成长期资产的政府补助。</w:t>
      </w:r>
      <w:r>
        <w:rPr>
          <w:spacing w:val="31"/>
        </w:rPr>
        <w:t> </w:t>
      </w:r>
      <w:r>
        <w:rPr>
          <w:spacing w:val="31"/>
        </w:rPr>
      </w:r>
      <w:r>
        <w:rPr>
          <w:spacing w:val="-3"/>
        </w:rPr>
        <w:t>与资产相关的政府补助，确认为递延收益，按照所建造或购买的资产使用年限分期计入营业外收入；</w:t>
      </w:r>
    </w:p>
    <w:p>
      <w:pPr>
        <w:pStyle w:val="BodyText"/>
        <w:spacing w:line="588" w:lineRule="auto" w:before="103"/>
        <w:ind w:left="512" w:right="0" w:hanging="92"/>
        <w:jc w:val="left"/>
      </w:pPr>
      <w:r>
        <w:rPr>
          <w:spacing w:val="-3"/>
        </w:rPr>
        <w:t>（</w:t>
      </w:r>
      <w:r>
        <w:rPr>
          <w:rFonts w:ascii="Times New Roman" w:hAnsi="Times New Roman" w:cs="Times New Roman" w:eastAsia="Times New Roman" w:hint="default"/>
          <w:spacing w:val="-3"/>
        </w:rPr>
        <w:t>2</w:t>
      </w:r>
      <w:r>
        <w:rPr>
          <w:spacing w:val="-3"/>
        </w:rPr>
        <w:t>）与收益相关的政府补助判断依据及会计处理方法</w:t>
      </w:r>
      <w:r>
        <w:rPr>
          <w:spacing w:val="-17"/>
        </w:rPr>
        <w:t> </w:t>
      </w:r>
      <w:r>
        <w:rPr>
          <w:spacing w:val="-17"/>
        </w:rPr>
      </w:r>
      <w:r>
        <w:rPr>
          <w:spacing w:val="-3"/>
        </w:rPr>
        <w:t>与收益相关的政府补助，是指除与资产相关的政府补助之外的政府补助。</w:t>
      </w:r>
    </w:p>
    <w:p>
      <w:pPr>
        <w:pStyle w:val="BodyText"/>
        <w:spacing w:line="316" w:lineRule="auto" w:before="117"/>
        <w:ind w:right="146" w:firstLine="360"/>
        <w:jc w:val="both"/>
      </w:pPr>
      <w:r>
        <w:rPr>
          <w:spacing w:val="-4"/>
        </w:rPr>
        <w:t>与收益相关的政府补助，用于补偿企业以后期间的相关费用或损失的，确认为递延收益，在确认相关费用的期间计入当</w:t>
      </w:r>
      <w:r>
        <w:rPr>
          <w:w w:val="101"/>
        </w:rPr>
        <w:t> </w:t>
      </w:r>
      <w:r>
        <w:rPr>
          <w:spacing w:val="-3"/>
        </w:rPr>
        <w:t>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2"/>
        <w:ind w:right="0"/>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300" w:lineRule="auto"/>
        <w:ind w:right="150" w:firstLine="360"/>
        <w:jc w:val="both"/>
      </w:pPr>
      <w:r>
        <w:rPr>
          <w:spacing w:val="-3"/>
        </w:rPr>
        <w:t>递延所得税资产和递延所得税负债根据资产和负债的计税基础与其账面价值的差额</w:t>
      </w:r>
      <w:r>
        <w:rPr>
          <w:rFonts w:ascii="Times New Roman" w:hAnsi="Times New Roman" w:cs="Times New Roman" w:eastAsia="Times New Roman" w:hint="default"/>
          <w:spacing w:val="-3"/>
        </w:rPr>
        <w:t>(</w:t>
      </w:r>
      <w:r>
        <w:rPr>
          <w:spacing w:val="-3"/>
        </w:rPr>
        <w:t>暂时性差异</w:t>
      </w:r>
      <w:r>
        <w:rPr>
          <w:rFonts w:ascii="Times New Roman" w:hAnsi="Times New Roman" w:cs="Times New Roman" w:eastAsia="Times New Roman" w:hint="default"/>
          <w:spacing w:val="-3"/>
        </w:rPr>
        <w:t>)</w:t>
      </w:r>
      <w:r>
        <w:rPr>
          <w:spacing w:val="-3"/>
        </w:rPr>
        <w:t>计算确认。于资产负债</w:t>
      </w:r>
      <w:r>
        <w:rPr>
          <w:w w:val="101"/>
        </w:rPr>
        <w:t> </w:t>
      </w:r>
      <w:r>
        <w:rPr>
          <w:spacing w:val="-3"/>
        </w:rPr>
        <w:t>表日，递延所得税资产和递延所得税负债，按照预期收回该资产或清偿该负债期间的适用税率计量。</w:t>
      </w:r>
    </w:p>
    <w:p>
      <w:pPr>
        <w:pStyle w:val="BodyText"/>
        <w:spacing w:line="614" w:lineRule="exact" w:before="48"/>
        <w:ind w:left="512" w:right="0"/>
        <w:jc w:val="left"/>
      </w:pPr>
      <w:r>
        <w:rPr/>
        <w:t>（</w:t>
      </w:r>
      <w:r>
        <w:rPr>
          <w:rFonts w:ascii="Times New Roman" w:hAnsi="Times New Roman" w:cs="Times New Roman" w:eastAsia="Times New Roman" w:hint="default"/>
        </w:rPr>
        <w:t>1</w:t>
      </w:r>
      <w:r>
        <w:rPr/>
        <w:t>）确认递延所得税资产的依据</w:t>
      </w:r>
      <w:r>
        <w:rPr>
          <w:spacing w:val="-86"/>
        </w:rPr>
        <w:t> </w:t>
      </w:r>
      <w:r>
        <w:rPr>
          <w:spacing w:val="-86"/>
        </w:rPr>
      </w:r>
      <w:r>
        <w:rPr>
          <w:spacing w:val="-4"/>
        </w:rPr>
        <w:t>本公司以很可能取得用来抵扣可抵扣暂时性差异、能够结转以后年度的可抵扣亏损和税款抵减的应纳税所得额为限，确</w:t>
      </w:r>
    </w:p>
    <w:p>
      <w:pPr>
        <w:pStyle w:val="BodyText"/>
        <w:spacing w:line="215" w:lineRule="exact"/>
        <w:ind w:right="0"/>
        <w:jc w:val="left"/>
      </w:pPr>
      <w:r>
        <w:rPr>
          <w:spacing w:val="-4"/>
        </w:rPr>
        <w:t>认由可抵扣暂时性差异产生的递延所得税资产。但是，同时具有下列特征的交易中因资产或负债的初始确认所产生的递延所</w:t>
      </w:r>
    </w:p>
    <w:p>
      <w:pPr>
        <w:pStyle w:val="BodyText"/>
        <w:spacing w:line="240" w:lineRule="auto" w:before="76"/>
        <w:ind w:right="0"/>
        <w:jc w:val="left"/>
      </w:pPr>
      <w:r>
        <w:rPr>
          <w:w w:val="101"/>
        </w:rPr>
        <w:t>得</w:t>
      </w:r>
      <w:r>
        <w:rPr>
          <w:spacing w:val="-5"/>
          <w:w w:val="101"/>
        </w:rPr>
        <w:t>税</w:t>
      </w:r>
      <w:r>
        <w:rPr>
          <w:w w:val="101"/>
        </w:rPr>
        <w:t>资</w:t>
      </w:r>
      <w:r>
        <w:rPr>
          <w:spacing w:val="-5"/>
          <w:w w:val="101"/>
        </w:rPr>
        <w:t>产</w:t>
      </w:r>
      <w:r>
        <w:rPr>
          <w:w w:val="101"/>
        </w:rPr>
        <w:t>不</w:t>
      </w:r>
      <w:r>
        <w:rPr>
          <w:spacing w:val="-5"/>
          <w:w w:val="101"/>
        </w:rPr>
        <w:t>予</w:t>
      </w:r>
      <w:r>
        <w:rPr>
          <w:w w:val="101"/>
        </w:rPr>
        <w:t>确认</w:t>
      </w:r>
      <w:r>
        <w:rPr>
          <w:spacing w:val="-96"/>
          <w:w w:val="101"/>
        </w:rPr>
        <w:t>：</w:t>
      </w:r>
      <w:r>
        <w:rPr>
          <w:w w:val="101"/>
        </w:rPr>
        <w:t>（</w:t>
      </w:r>
      <w:r>
        <w:rPr>
          <w:rFonts w:ascii="Times New Roman" w:hAnsi="Times New Roman" w:cs="Times New Roman" w:eastAsia="Times New Roman" w:hint="default"/>
          <w:spacing w:val="-5"/>
          <w:w w:val="101"/>
        </w:rPr>
        <w:t>1</w:t>
      </w:r>
      <w:r>
        <w:rPr>
          <w:w w:val="101"/>
        </w:rPr>
        <w:t>）</w:t>
      </w:r>
      <w:r>
        <w:rPr>
          <w:spacing w:val="-5"/>
          <w:w w:val="101"/>
        </w:rPr>
        <w:t>该</w:t>
      </w:r>
      <w:r>
        <w:rPr>
          <w:w w:val="101"/>
        </w:rPr>
        <w:t>交</w:t>
      </w:r>
      <w:r>
        <w:rPr>
          <w:spacing w:val="-5"/>
          <w:w w:val="101"/>
        </w:rPr>
        <w:t>易</w:t>
      </w:r>
      <w:r>
        <w:rPr>
          <w:w w:val="101"/>
        </w:rPr>
        <w:t>不</w:t>
      </w:r>
      <w:r>
        <w:rPr>
          <w:spacing w:val="-5"/>
          <w:w w:val="101"/>
        </w:rPr>
        <w:t>是</w:t>
      </w:r>
      <w:r>
        <w:rPr>
          <w:w w:val="101"/>
        </w:rPr>
        <w:t>企</w:t>
      </w:r>
      <w:r>
        <w:rPr>
          <w:spacing w:val="-5"/>
          <w:w w:val="101"/>
        </w:rPr>
        <w:t>业</w:t>
      </w:r>
      <w:r>
        <w:rPr>
          <w:w w:val="101"/>
        </w:rPr>
        <w:t>合并</w:t>
      </w:r>
      <w:r>
        <w:rPr>
          <w:spacing w:val="-96"/>
          <w:w w:val="101"/>
        </w:rPr>
        <w:t>；</w:t>
      </w:r>
      <w:r>
        <w:rPr>
          <w:spacing w:val="-1"/>
          <w:w w:val="101"/>
        </w:rPr>
        <w:t>（</w:t>
      </w:r>
      <w:r>
        <w:rPr>
          <w:rFonts w:ascii="Times New Roman" w:hAnsi="Times New Roman" w:cs="Times New Roman" w:eastAsia="Times New Roman" w:hint="default"/>
          <w:spacing w:val="-5"/>
          <w:w w:val="101"/>
        </w:rPr>
        <w:t>2</w:t>
      </w:r>
      <w:r>
        <w:rPr>
          <w:w w:val="101"/>
        </w:rPr>
        <w:t>）</w:t>
      </w:r>
      <w:r>
        <w:rPr>
          <w:spacing w:val="-5"/>
          <w:w w:val="101"/>
        </w:rPr>
        <w:t>交</w:t>
      </w:r>
      <w:r>
        <w:rPr>
          <w:w w:val="101"/>
        </w:rPr>
        <w:t>易</w:t>
      </w:r>
      <w:r>
        <w:rPr>
          <w:spacing w:val="-5"/>
          <w:w w:val="101"/>
        </w:rPr>
        <w:t>发生</w:t>
      </w:r>
      <w:r>
        <w:rPr>
          <w:w w:val="101"/>
        </w:rPr>
        <w:t>时</w:t>
      </w:r>
      <w:r>
        <w:rPr>
          <w:spacing w:val="-5"/>
          <w:w w:val="101"/>
        </w:rPr>
        <w:t>既</w:t>
      </w:r>
      <w:r>
        <w:rPr>
          <w:w w:val="101"/>
        </w:rPr>
        <w:t>不</w:t>
      </w:r>
      <w:r>
        <w:rPr>
          <w:spacing w:val="-5"/>
          <w:w w:val="101"/>
        </w:rPr>
        <w:t>影</w:t>
      </w:r>
      <w:r>
        <w:rPr>
          <w:w w:val="101"/>
        </w:rPr>
        <w:t>响</w:t>
      </w:r>
      <w:r>
        <w:rPr>
          <w:spacing w:val="-5"/>
          <w:w w:val="101"/>
        </w:rPr>
        <w:t>会</w:t>
      </w:r>
      <w:r>
        <w:rPr>
          <w:w w:val="101"/>
        </w:rPr>
        <w:t>计</w:t>
      </w:r>
      <w:r>
        <w:rPr>
          <w:spacing w:val="-5"/>
          <w:w w:val="101"/>
        </w:rPr>
        <w:t>利</w:t>
      </w:r>
      <w:r>
        <w:rPr>
          <w:w w:val="101"/>
        </w:rPr>
        <w:t>润</w:t>
      </w:r>
      <w:r>
        <w:rPr>
          <w:spacing w:val="-5"/>
          <w:w w:val="101"/>
        </w:rPr>
        <w:t>也</w:t>
      </w:r>
      <w:r>
        <w:rPr>
          <w:w w:val="101"/>
        </w:rPr>
        <w:t>不</w:t>
      </w:r>
      <w:r>
        <w:rPr>
          <w:spacing w:val="-5"/>
          <w:w w:val="101"/>
        </w:rPr>
        <w:t>影</w:t>
      </w:r>
      <w:r>
        <w:rPr>
          <w:w w:val="101"/>
        </w:rPr>
        <w:t>响</w:t>
      </w:r>
      <w:r>
        <w:rPr>
          <w:spacing w:val="-5"/>
          <w:w w:val="101"/>
        </w:rPr>
        <w:t>应</w:t>
      </w:r>
      <w:r>
        <w:rPr>
          <w:w w:val="101"/>
        </w:rPr>
        <w:t>纳</w:t>
      </w:r>
      <w:r>
        <w:rPr>
          <w:spacing w:val="-5"/>
          <w:w w:val="101"/>
        </w:rPr>
        <w:t>税</w:t>
      </w:r>
      <w:r>
        <w:rPr>
          <w:w w:val="101"/>
        </w:rPr>
        <w:t>所</w:t>
      </w:r>
      <w:r>
        <w:rPr>
          <w:spacing w:val="-5"/>
          <w:w w:val="101"/>
        </w:rPr>
        <w:t>得</w:t>
      </w:r>
      <w:r>
        <w:rPr>
          <w:w w:val="101"/>
        </w:rPr>
        <w:t>额</w:t>
      </w:r>
      <w:r>
        <w:rPr>
          <w:spacing w:val="-5"/>
          <w:w w:val="101"/>
        </w:rPr>
        <w:t>或</w:t>
      </w:r>
      <w:r>
        <w:rPr>
          <w:w w:val="101"/>
        </w:rPr>
        <w:t>可</w:t>
      </w:r>
      <w:r>
        <w:rPr>
          <w:spacing w:val="-5"/>
          <w:w w:val="101"/>
        </w:rPr>
        <w:t>抵</w:t>
      </w:r>
      <w:r>
        <w:rPr>
          <w:w w:val="101"/>
        </w:rPr>
        <w:t>扣</w:t>
      </w:r>
      <w:r>
        <w:rPr>
          <w:spacing w:val="-5"/>
          <w:w w:val="101"/>
        </w:rPr>
        <w:t>亏</w:t>
      </w:r>
      <w:r>
        <w:rPr>
          <w:w w:val="101"/>
        </w:rPr>
        <w:t>损。</w:t>
      </w:r>
      <w:r>
        <w:rPr/>
      </w:r>
    </w:p>
    <w:p>
      <w:pPr>
        <w:spacing w:line="240" w:lineRule="auto" w:before="0"/>
        <w:rPr>
          <w:rFonts w:ascii="宋体" w:hAnsi="宋体" w:cs="宋体" w:eastAsia="宋体" w:hint="default"/>
          <w:sz w:val="18"/>
          <w:szCs w:val="18"/>
        </w:rPr>
      </w:pPr>
    </w:p>
    <w:p>
      <w:pPr>
        <w:pStyle w:val="BodyText"/>
        <w:spacing w:line="316" w:lineRule="auto" w:before="125"/>
        <w:ind w:right="146" w:firstLine="360"/>
        <w:jc w:val="both"/>
      </w:pPr>
      <w:r>
        <w:rPr>
          <w:spacing w:val="-4"/>
        </w:rPr>
        <w:t>对于与联营企业投资相关的可抵扣暂时性差异，同时满足下列条件的，确认相应的递延所得税资产：暂时性差异在可预</w:t>
      </w:r>
      <w:r>
        <w:rPr>
          <w:w w:val="101"/>
        </w:rPr>
        <w:t> </w:t>
      </w:r>
      <w:r>
        <w:rPr>
          <w:spacing w:val="-3"/>
        </w:rPr>
        <w:t>见的未来很可能转回，且未来很可能获得用来抵扣可抵扣暂时性差异的应纳税所得额。</w:t>
      </w:r>
    </w:p>
    <w:p>
      <w:pPr>
        <w:spacing w:line="240" w:lineRule="auto" w:before="7"/>
        <w:rPr>
          <w:rFonts w:ascii="宋体" w:hAnsi="宋体" w:cs="宋体" w:eastAsia="宋体" w:hint="default"/>
          <w:sz w:val="24"/>
          <w:szCs w:val="24"/>
        </w:rPr>
      </w:pPr>
    </w:p>
    <w:p>
      <w:pPr>
        <w:pStyle w:val="BodyText"/>
        <w:spacing w:line="240" w:lineRule="auto"/>
        <w:ind w:left="512" w:right="0"/>
        <w:jc w:val="left"/>
      </w:pPr>
      <w:r>
        <w:rPr/>
        <w:t>（</w:t>
      </w:r>
      <w:r>
        <w:rPr>
          <w:rFonts w:ascii="Times New Roman" w:hAnsi="Times New Roman" w:cs="Times New Roman" w:eastAsia="Times New Roman" w:hint="default"/>
        </w:rPr>
        <w:t>2</w:t>
      </w:r>
      <w:r>
        <w:rPr/>
        <w:t>）确认递延所得税负债的依据</w:t>
      </w:r>
    </w:p>
    <w:p>
      <w:pPr>
        <w:spacing w:after="0" w:line="240" w:lineRule="auto"/>
        <w:jc w:val="left"/>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240" w:lineRule="auto" w:before="46"/>
        <w:ind w:left="512" w:right="0"/>
        <w:jc w:val="left"/>
      </w:pPr>
      <w:r>
        <w:rPr>
          <w:spacing w:val="-3"/>
        </w:rPr>
        <w:t>公司将当期与以前期间应交未交的应纳税暂时性差异确认为递延所得税负债。但不包括：</w:t>
      </w:r>
    </w:p>
    <w:p>
      <w:pPr>
        <w:spacing w:line="240" w:lineRule="auto" w:before="0"/>
        <w:rPr>
          <w:rFonts w:ascii="宋体" w:hAnsi="宋体" w:cs="宋体" w:eastAsia="宋体" w:hint="default"/>
          <w:sz w:val="18"/>
          <w:szCs w:val="18"/>
        </w:rPr>
      </w:pPr>
    </w:p>
    <w:p>
      <w:pPr>
        <w:pStyle w:val="BodyText"/>
        <w:spacing w:line="240" w:lineRule="auto" w:before="138"/>
        <w:ind w:left="603" w:right="0"/>
        <w:jc w:val="left"/>
      </w:pPr>
      <w:r>
        <w:rPr>
          <w:rFonts w:ascii="Times New Roman" w:hAnsi="Times New Roman" w:cs="Times New Roman" w:eastAsia="Times New Roman" w:hint="default"/>
          <w:spacing w:val="-3"/>
        </w:rPr>
        <w:t>1</w:t>
      </w:r>
      <w:r>
        <w:rPr>
          <w:spacing w:val="-3"/>
        </w:rPr>
        <w:t>）商誉的初始确认所形成的暂时性差异；</w:t>
      </w:r>
    </w:p>
    <w:p>
      <w:pPr>
        <w:spacing w:line="240" w:lineRule="auto" w:before="0"/>
        <w:rPr>
          <w:rFonts w:ascii="宋体" w:hAnsi="宋体" w:cs="宋体" w:eastAsia="宋体" w:hint="default"/>
          <w:sz w:val="18"/>
          <w:szCs w:val="18"/>
        </w:rPr>
      </w:pPr>
    </w:p>
    <w:p>
      <w:pPr>
        <w:pStyle w:val="BodyText"/>
        <w:spacing w:line="300" w:lineRule="auto" w:before="129"/>
        <w:ind w:right="0" w:firstLine="451"/>
        <w:jc w:val="left"/>
      </w:pPr>
      <w:r>
        <w:rPr>
          <w:rFonts w:ascii="Times New Roman" w:hAnsi="Times New Roman" w:cs="Times New Roman" w:eastAsia="Times New Roman" w:hint="default"/>
          <w:spacing w:val="-6"/>
        </w:rPr>
        <w:t>2</w:t>
      </w:r>
      <w:r>
        <w:rPr>
          <w:spacing w:val="-6"/>
        </w:rPr>
        <w:t>）非企业合并形成的交易或事项，且该交易或事项发生时既不影响会计利润，也不影响应纳税所得额（或可抵扣亏损）</w:t>
      </w:r>
      <w:r>
        <w:rPr>
          <w:w w:val="101"/>
        </w:rPr>
        <w:t> </w:t>
      </w:r>
      <w:r>
        <w:rPr/>
        <w:t>所形成的暂时性差异；</w:t>
      </w:r>
    </w:p>
    <w:p>
      <w:pPr>
        <w:spacing w:line="240" w:lineRule="auto" w:before="2"/>
        <w:rPr>
          <w:rFonts w:ascii="宋体" w:hAnsi="宋体" w:cs="宋体" w:eastAsia="宋体" w:hint="default"/>
          <w:sz w:val="25"/>
          <w:szCs w:val="25"/>
        </w:rPr>
      </w:pPr>
    </w:p>
    <w:p>
      <w:pPr>
        <w:pStyle w:val="BodyText"/>
        <w:spacing w:line="300" w:lineRule="auto"/>
        <w:ind w:right="0" w:firstLine="451"/>
        <w:jc w:val="left"/>
      </w:pPr>
      <w:r>
        <w:rPr>
          <w:rFonts w:ascii="Times New Roman" w:hAnsi="Times New Roman" w:cs="Times New Roman" w:eastAsia="Times New Roman" w:hint="default"/>
          <w:spacing w:val="-4"/>
        </w:rPr>
        <w:t>3</w:t>
      </w:r>
      <w:r>
        <w:rPr>
          <w:spacing w:val="-4"/>
        </w:rPr>
        <w:t>）对于与子公司、联营企业投资相关的应纳税暂时性差异，该暂时性差异转回的时间能够控制并且该暂时性差异在可</w:t>
      </w:r>
      <w:r>
        <w:rPr>
          <w:w w:val="101"/>
        </w:rPr>
        <w:t> </w:t>
      </w:r>
      <w:r>
        <w:rPr>
          <w:spacing w:val="-3"/>
        </w:rPr>
        <w:t>预见的未来很可能不会转回。</w:t>
      </w:r>
    </w:p>
    <w:p>
      <w:pPr>
        <w:spacing w:line="240" w:lineRule="auto" w:before="7"/>
        <w:rPr>
          <w:rFonts w:ascii="宋体" w:hAnsi="宋体" w:cs="宋体" w:eastAsia="宋体" w:hint="default"/>
          <w:sz w:val="25"/>
          <w:szCs w:val="25"/>
        </w:rPr>
      </w:pPr>
    </w:p>
    <w:p>
      <w:pPr>
        <w:pStyle w:val="BodyText"/>
        <w:spacing w:line="240" w:lineRule="auto"/>
        <w:ind w:left="512" w:right="0"/>
        <w:jc w:val="left"/>
      </w:pPr>
      <w:r>
        <w:rPr>
          <w:spacing w:val="-3"/>
        </w:rPr>
        <w:t>（</w:t>
      </w:r>
      <w:r>
        <w:rPr>
          <w:rFonts w:ascii="Times New Roman" w:hAnsi="Times New Roman" w:cs="Times New Roman" w:eastAsia="Times New Roman" w:hint="default"/>
          <w:spacing w:val="-3"/>
        </w:rPr>
        <w:t>3</w:t>
      </w:r>
      <w:r>
        <w:rPr>
          <w:spacing w:val="-3"/>
        </w:rPr>
        <w:t>）同时满足下列条件时，将递延所得税资产及递延所得税负债以抵销后的净额列示</w:t>
      </w:r>
    </w:p>
    <w:p>
      <w:pPr>
        <w:spacing w:line="240" w:lineRule="auto" w:before="0"/>
        <w:rPr>
          <w:rFonts w:ascii="宋体" w:hAnsi="宋体" w:cs="宋体" w:eastAsia="宋体" w:hint="default"/>
          <w:sz w:val="18"/>
          <w:szCs w:val="18"/>
        </w:rPr>
      </w:pPr>
    </w:p>
    <w:p>
      <w:pPr>
        <w:pStyle w:val="BodyText"/>
        <w:spacing w:line="240" w:lineRule="auto" w:before="125"/>
        <w:ind w:left="603" w:right="0"/>
        <w:jc w:val="left"/>
      </w:pPr>
      <w:r>
        <w:rPr>
          <w:rFonts w:ascii="Times New Roman" w:hAnsi="Times New Roman" w:cs="Times New Roman" w:eastAsia="Times New Roman" w:hint="default"/>
          <w:spacing w:val="-3"/>
        </w:rPr>
        <w:t>1</w:t>
      </w:r>
      <w:r>
        <w:rPr>
          <w:spacing w:val="-3"/>
        </w:rPr>
        <w:t>）企业拥有以净额结算当期所得税资产及当期所得税负债的法定权利；</w:t>
      </w:r>
    </w:p>
    <w:p>
      <w:pPr>
        <w:spacing w:line="240" w:lineRule="auto" w:before="0"/>
        <w:rPr>
          <w:rFonts w:ascii="宋体" w:hAnsi="宋体" w:cs="宋体" w:eastAsia="宋体" w:hint="default"/>
          <w:sz w:val="18"/>
          <w:szCs w:val="18"/>
        </w:rPr>
      </w:pPr>
    </w:p>
    <w:p>
      <w:pPr>
        <w:pStyle w:val="BodyText"/>
        <w:spacing w:line="309" w:lineRule="auto" w:before="129"/>
        <w:ind w:right="206" w:firstLine="451"/>
        <w:jc w:val="both"/>
      </w:pPr>
      <w:r>
        <w:rPr>
          <w:rFonts w:ascii="Times New Roman" w:hAnsi="Times New Roman" w:cs="Times New Roman" w:eastAsia="Times New Roman" w:hint="default"/>
          <w:spacing w:val="-4"/>
          <w:w w:val="101"/>
        </w:rPr>
        <w:t>2</w:t>
      </w:r>
      <w:r>
        <w:rPr>
          <w:spacing w:val="-4"/>
          <w:w w:val="101"/>
        </w:rPr>
        <w:t>）递延所得税资产和递延所得税负债是与同一税收征管部门对同一纳税主体征收的所得税相关或者对不同的纳税主体</w:t>
      </w:r>
      <w:r>
        <w:rPr>
          <w:w w:val="101"/>
        </w:rPr>
        <w:t> </w:t>
      </w:r>
      <w:r>
        <w:rPr>
          <w:spacing w:val="-4"/>
        </w:rPr>
        <w:t>相关，但在未来每一具有重要性的递延所得税资产和递延所得税负债转回的期间内，涉及的纳税主体体意图以净额结算当期</w:t>
      </w:r>
      <w:r>
        <w:rPr>
          <w:spacing w:val="43"/>
        </w:rPr>
        <w:t> </w:t>
      </w:r>
      <w:r>
        <w:rPr>
          <w:spacing w:val="43"/>
        </w:rPr>
      </w:r>
      <w:r>
        <w:rPr>
          <w:spacing w:val="-3"/>
        </w:rPr>
        <w:t>所得税资产及当期所得税负债或是同时取得资产、清偿债务。</w:t>
      </w:r>
    </w:p>
    <w:p>
      <w:pPr>
        <w:spacing w:line="240" w:lineRule="auto" w:before="7"/>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29</w:t>
      </w:r>
      <w:r>
        <w:rPr/>
        <w:t>、租赁</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512" w:right="0"/>
        <w:jc w:val="left"/>
      </w:pPr>
      <w:r>
        <w:rPr>
          <w:spacing w:val="-3"/>
        </w:rPr>
        <w:t>（</w:t>
      </w:r>
      <w:r>
        <w:rPr>
          <w:rFonts w:ascii="Times New Roman" w:hAnsi="Times New Roman" w:cs="Times New Roman" w:eastAsia="Times New Roman" w:hint="default"/>
          <w:spacing w:val="-3"/>
        </w:rPr>
        <w:t>1</w:t>
      </w:r>
      <w:r>
        <w:rPr>
          <w:spacing w:val="-3"/>
        </w:rPr>
        <w:t>）经营租赁的会计处理方法</w:t>
      </w:r>
    </w:p>
    <w:p>
      <w:pPr>
        <w:spacing w:line="240" w:lineRule="auto" w:before="0"/>
        <w:rPr>
          <w:rFonts w:ascii="宋体" w:hAnsi="宋体" w:cs="宋体" w:eastAsia="宋体" w:hint="default"/>
          <w:sz w:val="18"/>
          <w:szCs w:val="18"/>
        </w:rPr>
      </w:pPr>
    </w:p>
    <w:p>
      <w:pPr>
        <w:pStyle w:val="BodyText"/>
        <w:spacing w:line="300" w:lineRule="auto" w:before="129"/>
        <w:ind w:right="0" w:firstLine="360"/>
        <w:jc w:val="left"/>
      </w:pP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）公司租入资产所支付的租赁费，在不扣除免租期的整个租赁期内，按直线法进行分摊，计入当期费用。公司支付的</w:t>
      </w:r>
      <w:r>
        <w:rPr>
          <w:w w:val="101"/>
        </w:rPr>
        <w:t> </w:t>
      </w:r>
      <w:r>
        <w:rPr>
          <w:spacing w:val="-3"/>
        </w:rPr>
        <w:t>与租赁交易相关的初始直接费用，计入当期费用。</w:t>
      </w:r>
    </w:p>
    <w:p>
      <w:pPr>
        <w:spacing w:line="240" w:lineRule="auto" w:before="2"/>
        <w:rPr>
          <w:rFonts w:ascii="宋体" w:hAnsi="宋体" w:cs="宋体" w:eastAsia="宋体" w:hint="default"/>
          <w:sz w:val="25"/>
          <w:szCs w:val="25"/>
        </w:rPr>
      </w:pPr>
    </w:p>
    <w:p>
      <w:pPr>
        <w:pStyle w:val="BodyText"/>
        <w:spacing w:line="316" w:lineRule="auto"/>
        <w:ind w:right="0" w:firstLine="360"/>
        <w:jc w:val="left"/>
      </w:pPr>
      <w:r>
        <w:rPr>
          <w:spacing w:val="-4"/>
        </w:rPr>
        <w:t>资产出租方承担了应由公司承担的与租赁相关的费用时，公司将该部分费用从租金总额中扣除，按扣除后的租金费用在</w:t>
      </w:r>
      <w:r>
        <w:rPr>
          <w:w w:val="101"/>
        </w:rPr>
        <w:t> </w:t>
      </w:r>
      <w:r>
        <w:rPr>
          <w:spacing w:val="-3"/>
        </w:rPr>
        <w:t>租赁期内分摊，计入当期费用。</w:t>
      </w:r>
    </w:p>
    <w:p>
      <w:pPr>
        <w:spacing w:line="240" w:lineRule="auto" w:before="7"/>
        <w:rPr>
          <w:rFonts w:ascii="宋体" w:hAnsi="宋体" w:cs="宋体" w:eastAsia="宋体" w:hint="default"/>
          <w:sz w:val="24"/>
          <w:szCs w:val="24"/>
        </w:rPr>
      </w:pPr>
    </w:p>
    <w:p>
      <w:pPr>
        <w:pStyle w:val="BodyText"/>
        <w:spacing w:line="309" w:lineRule="auto"/>
        <w:ind w:right="206" w:firstLine="360"/>
        <w:jc w:val="both"/>
      </w:pP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）公司出租资产所收取的租赁费，在不扣除免租期的整个租赁期内，按直线法进行分摊，确认为租赁收入。公司支付</w:t>
      </w:r>
      <w:r>
        <w:rPr>
          <w:w w:val="101"/>
        </w:rPr>
        <w:t> </w:t>
      </w:r>
      <w:r>
        <w:rPr>
          <w:spacing w:val="-4"/>
        </w:rPr>
        <w:t>的与租赁交易相关的初始直接费用，计入当期费用；如金额较大的，则予以资本化，在整个租赁期间内按照与租赁收入确认</w:t>
      </w:r>
      <w:r>
        <w:rPr>
          <w:spacing w:val="42"/>
        </w:rPr>
        <w:t> </w:t>
      </w:r>
      <w:r>
        <w:rPr>
          <w:spacing w:val="42"/>
        </w:rPr>
      </w:r>
      <w:r>
        <w:rPr>
          <w:spacing w:val="-3"/>
        </w:rPr>
        <w:t>相同的基础分期计入当期收益。</w:t>
      </w:r>
    </w:p>
    <w:p>
      <w:pPr>
        <w:spacing w:line="240" w:lineRule="auto" w:before="8"/>
        <w:rPr>
          <w:rFonts w:ascii="宋体" w:hAnsi="宋体" w:cs="宋体" w:eastAsia="宋体" w:hint="default"/>
          <w:sz w:val="24"/>
          <w:szCs w:val="24"/>
        </w:rPr>
      </w:pPr>
    </w:p>
    <w:p>
      <w:pPr>
        <w:pStyle w:val="BodyText"/>
        <w:spacing w:line="316" w:lineRule="auto"/>
        <w:ind w:right="0" w:firstLine="360"/>
        <w:jc w:val="left"/>
      </w:pPr>
      <w:r>
        <w:rPr>
          <w:spacing w:val="-4"/>
        </w:rPr>
        <w:t>公司承担了应由承租方承担的与租赁相关的费用时，公司将该部分费用从租金收入总额中扣除，按扣除后的租金费用在</w:t>
      </w:r>
      <w:r>
        <w:rPr>
          <w:w w:val="101"/>
        </w:rPr>
        <w:t> </w:t>
      </w:r>
      <w:r>
        <w:rPr>
          <w:spacing w:val="-3"/>
        </w:rPr>
        <w:t>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BodyText"/>
        <w:spacing w:line="240" w:lineRule="auto"/>
        <w:ind w:left="512" w:right="0"/>
        <w:jc w:val="left"/>
      </w:pPr>
      <w:r>
        <w:rPr>
          <w:spacing w:val="-3"/>
        </w:rPr>
        <w:t>（</w:t>
      </w:r>
      <w:r>
        <w:rPr>
          <w:rFonts w:ascii="Times New Roman" w:hAnsi="Times New Roman" w:cs="Times New Roman" w:eastAsia="Times New Roman" w:hint="default"/>
          <w:spacing w:val="-3"/>
        </w:rPr>
        <w:t>2</w:t>
      </w:r>
      <w:r>
        <w:rPr>
          <w:spacing w:val="-3"/>
        </w:rPr>
        <w:t>）融资租赁的会计处理方法</w:t>
      </w:r>
    </w:p>
    <w:p>
      <w:pPr>
        <w:spacing w:line="240" w:lineRule="auto" w:before="0"/>
        <w:rPr>
          <w:rFonts w:ascii="宋体" w:hAnsi="宋体" w:cs="宋体" w:eastAsia="宋体" w:hint="default"/>
          <w:sz w:val="18"/>
          <w:szCs w:val="18"/>
        </w:rPr>
      </w:pPr>
    </w:p>
    <w:p>
      <w:pPr>
        <w:pStyle w:val="BodyText"/>
        <w:spacing w:line="300" w:lineRule="auto" w:before="129"/>
        <w:ind w:right="0" w:firstLine="360"/>
        <w:jc w:val="left"/>
      </w:pP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）融资租入资产：公司在承租开始日，将租赁资产公允价值与最低租赁付款额现值两者中较低者作为租入资产的入账</w:t>
      </w:r>
      <w:r>
        <w:rPr>
          <w:w w:val="101"/>
        </w:rPr>
        <w:t> </w:t>
      </w:r>
      <w:r>
        <w:rPr>
          <w:spacing w:val="-3"/>
        </w:rPr>
        <w:t>价值，将最低租赁付款额作为长期应付款的入账价值，其差额作为未确认的融资费用。</w:t>
      </w:r>
    </w:p>
    <w:p>
      <w:pPr>
        <w:spacing w:line="240" w:lineRule="auto" w:before="2"/>
        <w:rPr>
          <w:rFonts w:ascii="宋体" w:hAnsi="宋体" w:cs="宋体" w:eastAsia="宋体" w:hint="default"/>
          <w:sz w:val="25"/>
          <w:szCs w:val="25"/>
        </w:rPr>
      </w:pPr>
    </w:p>
    <w:p>
      <w:pPr>
        <w:pStyle w:val="BodyText"/>
        <w:spacing w:line="240" w:lineRule="auto"/>
        <w:ind w:left="512" w:right="0"/>
        <w:jc w:val="left"/>
      </w:pPr>
      <w:r>
        <w:rPr>
          <w:spacing w:val="-3"/>
        </w:rPr>
        <w:t>公司采用实际利率法对未确认的融资费用，在资产租赁期间内摊销，计入财务费用。</w:t>
      </w:r>
    </w:p>
    <w:p>
      <w:pPr>
        <w:spacing w:line="240" w:lineRule="auto" w:before="0"/>
        <w:rPr>
          <w:rFonts w:ascii="宋体" w:hAnsi="宋体" w:cs="宋体" w:eastAsia="宋体" w:hint="default"/>
          <w:sz w:val="18"/>
          <w:szCs w:val="18"/>
        </w:rPr>
      </w:pPr>
    </w:p>
    <w:p>
      <w:pPr>
        <w:pStyle w:val="BodyText"/>
        <w:spacing w:line="240" w:lineRule="auto" w:before="143"/>
        <w:ind w:left="512" w:right="0"/>
        <w:jc w:val="left"/>
      </w:pP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）融资租出资产：公司在租赁开始日，将应收融资租赁款，未担保余值之和与其现值的差额确认为未实现融资收益，</w:t>
      </w:r>
    </w:p>
    <w:p>
      <w:pPr>
        <w:spacing w:after="0" w:line="24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16" w:lineRule="auto" w:before="46"/>
        <w:ind w:right="173"/>
        <w:jc w:val="left"/>
      </w:pPr>
      <w:r>
        <w:rPr>
          <w:spacing w:val="-4"/>
        </w:rPr>
        <w:t>在将来收到租金的各期间内确认为租赁收入，公司发生的与出租交易相关的初始直接费用，计入应收融资租赁款的初始计量</w:t>
      </w:r>
      <w:r>
        <w:rPr>
          <w:spacing w:val="43"/>
        </w:rPr>
        <w:t> </w:t>
      </w:r>
      <w:r>
        <w:rPr>
          <w:spacing w:val="43"/>
        </w:rPr>
      </w:r>
      <w:r>
        <w:rPr>
          <w:spacing w:val="-3"/>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1"/>
        <w:ind w:right="173"/>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512" w:right="173"/>
        <w:jc w:val="left"/>
      </w:pPr>
      <w:r>
        <w:rPr/>
        <w:t>（</w:t>
      </w:r>
      <w:r>
        <w:rPr>
          <w:rFonts w:ascii="Times New Roman" w:hAnsi="Times New Roman" w:cs="Times New Roman" w:eastAsia="Times New Roman" w:hint="default"/>
        </w:rPr>
        <w:t>1</w:t>
      </w:r>
      <w:r>
        <w:rPr/>
        <w:t>）重要会计政策变更</w:t>
      </w:r>
    </w:p>
    <w:p>
      <w:pPr>
        <w:spacing w:line="240" w:lineRule="auto" w:before="0"/>
        <w:rPr>
          <w:rFonts w:ascii="宋体" w:hAnsi="宋体" w:cs="宋体" w:eastAsia="宋体" w:hint="default"/>
          <w:sz w:val="18"/>
          <w:szCs w:val="18"/>
        </w:rPr>
      </w:pPr>
    </w:p>
    <w:p>
      <w:pPr>
        <w:pStyle w:val="BodyText"/>
        <w:spacing w:line="240" w:lineRule="auto" w:before="125"/>
        <w:ind w:left="512" w:right="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92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20"/>
          <w:szCs w:val="20"/>
        </w:rPr>
      </w:pPr>
    </w:p>
    <w:p>
      <w:pPr>
        <w:pStyle w:val="BodyText"/>
        <w:spacing w:line="295" w:lineRule="auto" w:before="46"/>
        <w:ind w:left="153" w:right="0" w:firstLine="359"/>
        <w:jc w:val="left"/>
      </w:pPr>
      <w:r>
        <w:rPr>
          <w:rFonts w:ascii="Times New Roman" w:hAnsi="Times New Roman" w:cs="Times New Roman" w:eastAsia="Times New Roman" w:hint="default"/>
          <w:spacing w:val="-2"/>
        </w:rPr>
        <w:t>2014</w:t>
      </w:r>
      <w:r>
        <w:rPr>
          <w:spacing w:val="-2"/>
        </w:rPr>
        <w:t>年初，财政部分别以财会【</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6</w:t>
      </w:r>
      <w:r>
        <w:rPr>
          <w:spacing w:val="-2"/>
        </w:rPr>
        <w:t>号、</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10</w:t>
      </w:r>
      <w:r>
        <w:rPr>
          <w:spacing w:val="-2"/>
        </w:rPr>
        <w:t>号、</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14</w:t>
      </w:r>
      <w:r>
        <w:rPr>
          <w:spacing w:val="-2"/>
        </w:rPr>
        <w:t>号及</w:t>
      </w:r>
      <w:r>
        <w:rPr>
          <w:rFonts w:ascii="Times New Roman" w:hAnsi="Times New Roman" w:cs="Times New Roman" w:eastAsia="Times New Roman" w:hint="default"/>
          <w:spacing w:val="-2"/>
        </w:rPr>
        <w:t>16</w:t>
      </w:r>
      <w:r>
        <w:rPr>
          <w:spacing w:val="-2"/>
        </w:rPr>
        <w:t>号发布了《企业会计准则第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w:t>
      </w:r>
      <w:r>
        <w:rPr>
          <w:w w:val="101"/>
        </w:rPr>
        <w:t> </w:t>
      </w:r>
      <w:r>
        <w:rPr>
          <w:spacing w:val="-15"/>
          <w:w w:val="101"/>
        </w:rPr>
        <w:t>允价值计量》、《企业会计准则第</w:t>
      </w:r>
      <w:r>
        <w:rPr>
          <w:rFonts w:ascii="Times New Roman" w:hAnsi="Times New Roman" w:cs="Times New Roman" w:eastAsia="Times New Roman" w:hint="default"/>
          <w:spacing w:val="-15"/>
          <w:w w:val="101"/>
        </w:rPr>
        <w:t>30</w:t>
      </w:r>
      <w:r>
        <w:rPr>
          <w:spacing w:val="-15"/>
          <w:w w:val="101"/>
        </w:rPr>
        <w:t>号</w:t>
      </w:r>
      <w:r>
        <w:rPr>
          <w:rFonts w:ascii="Times New Roman" w:hAnsi="Times New Roman" w:cs="Times New Roman" w:eastAsia="Times New Roman" w:hint="default"/>
          <w:spacing w:val="-15"/>
          <w:w w:val="101"/>
        </w:rPr>
        <w:t>——</w:t>
      </w:r>
      <w:r>
        <w:rPr>
          <w:spacing w:val="-15"/>
          <w:w w:val="101"/>
        </w:rPr>
        <w:t>财务报表列报（</w:t>
      </w:r>
      <w:r>
        <w:rPr>
          <w:rFonts w:ascii="Times New Roman" w:hAnsi="Times New Roman" w:cs="Times New Roman" w:eastAsia="Times New Roman" w:hint="default"/>
          <w:spacing w:val="-15"/>
          <w:w w:val="101"/>
        </w:rPr>
        <w:t>2014</w:t>
      </w:r>
      <w:r>
        <w:rPr>
          <w:spacing w:val="-15"/>
          <w:w w:val="101"/>
        </w:rPr>
        <w:t>年修订）》、《企业会计准则第</w:t>
      </w:r>
      <w:r>
        <w:rPr>
          <w:rFonts w:ascii="Times New Roman" w:hAnsi="Times New Roman" w:cs="Times New Roman" w:eastAsia="Times New Roman" w:hint="default"/>
          <w:spacing w:val="-15"/>
          <w:w w:val="101"/>
        </w:rPr>
        <w:t>9</w:t>
      </w:r>
      <w:r>
        <w:rPr>
          <w:spacing w:val="-15"/>
          <w:w w:val="101"/>
        </w:rPr>
        <w:t>号</w:t>
      </w:r>
      <w:r>
        <w:rPr>
          <w:rFonts w:ascii="Times New Roman" w:hAnsi="Times New Roman" w:cs="Times New Roman" w:eastAsia="Times New Roman" w:hint="default"/>
          <w:spacing w:val="-15"/>
          <w:w w:val="101"/>
        </w:rPr>
        <w:t>——</w:t>
      </w:r>
      <w:r>
        <w:rPr>
          <w:spacing w:val="-15"/>
          <w:w w:val="101"/>
        </w:rPr>
        <w:t>职工薪酬（</w:t>
      </w:r>
      <w:r>
        <w:rPr>
          <w:rFonts w:ascii="Times New Roman" w:hAnsi="Times New Roman" w:cs="Times New Roman" w:eastAsia="Times New Roman" w:hint="default"/>
          <w:spacing w:val="-15"/>
          <w:w w:val="101"/>
        </w:rPr>
        <w:t>2014</w:t>
      </w:r>
      <w:r>
        <w:rPr>
          <w:spacing w:val="-15"/>
          <w:w w:val="101"/>
        </w:rPr>
        <w:t>年修订）》、</w:t>
      </w:r>
      <w:r>
        <w:rPr>
          <w:spacing w:val="-15"/>
        </w:rPr>
      </w:r>
    </w:p>
    <w:p>
      <w:pPr>
        <w:pStyle w:val="BodyText"/>
        <w:spacing w:line="300" w:lineRule="auto" w:before="17"/>
        <w:ind w:left="153" w:right="184" w:hanging="1"/>
        <w:jc w:val="both"/>
      </w:pPr>
      <w:r>
        <w:rPr>
          <w:spacing w:val="-11"/>
          <w:w w:val="101"/>
        </w:rPr>
        <w:t>《企业会计准则第</w:t>
      </w:r>
      <w:r>
        <w:rPr>
          <w:rFonts w:ascii="Times New Roman" w:hAnsi="Times New Roman" w:cs="Times New Roman" w:eastAsia="Times New Roman" w:hint="default"/>
          <w:spacing w:val="-11"/>
          <w:w w:val="101"/>
        </w:rPr>
        <w:t>33</w:t>
      </w:r>
      <w:r>
        <w:rPr>
          <w:spacing w:val="-11"/>
          <w:w w:val="101"/>
        </w:rPr>
        <w:t>号</w:t>
      </w:r>
      <w:r>
        <w:rPr>
          <w:rFonts w:ascii="Times New Roman" w:hAnsi="Times New Roman" w:cs="Times New Roman" w:eastAsia="Times New Roman" w:hint="default"/>
          <w:spacing w:val="-11"/>
          <w:w w:val="101"/>
        </w:rPr>
        <w:t>——</w:t>
      </w:r>
      <w:r>
        <w:rPr>
          <w:spacing w:val="-11"/>
          <w:w w:val="101"/>
        </w:rPr>
        <w:t>合并财务报表（</w:t>
      </w:r>
      <w:r>
        <w:rPr>
          <w:rFonts w:ascii="Times New Roman" w:hAnsi="Times New Roman" w:cs="Times New Roman" w:eastAsia="Times New Roman" w:hint="default"/>
          <w:spacing w:val="-11"/>
          <w:w w:val="101"/>
        </w:rPr>
        <w:t>2014</w:t>
      </w:r>
      <w:r>
        <w:rPr>
          <w:spacing w:val="-11"/>
          <w:w w:val="101"/>
        </w:rPr>
        <w:t>年修订）》、《企业会计准则第</w:t>
      </w:r>
      <w:r>
        <w:rPr>
          <w:rFonts w:ascii="Times New Roman" w:hAnsi="Times New Roman" w:cs="Times New Roman" w:eastAsia="Times New Roman" w:hint="default"/>
          <w:spacing w:val="-11"/>
          <w:w w:val="101"/>
        </w:rPr>
        <w:t>40</w:t>
      </w:r>
      <w:r>
        <w:rPr>
          <w:spacing w:val="-11"/>
          <w:w w:val="101"/>
        </w:rPr>
        <w:t>号</w:t>
      </w:r>
      <w:r>
        <w:rPr>
          <w:rFonts w:ascii="Times New Roman" w:hAnsi="Times New Roman" w:cs="Times New Roman" w:eastAsia="Times New Roman" w:hint="default"/>
          <w:spacing w:val="-11"/>
          <w:w w:val="101"/>
        </w:rPr>
        <w:t>——</w:t>
      </w:r>
      <w:r>
        <w:rPr>
          <w:spacing w:val="-11"/>
          <w:w w:val="101"/>
        </w:rPr>
        <w:t>合营安排》、《企业会计准则第</w:t>
      </w:r>
      <w:r>
        <w:rPr>
          <w:rFonts w:ascii="Times New Roman" w:hAnsi="Times New Roman" w:cs="Times New Roman" w:eastAsia="Times New Roman" w:hint="default"/>
          <w:spacing w:val="-11"/>
          <w:w w:val="101"/>
        </w:rPr>
        <w:t>2</w:t>
      </w:r>
      <w:r>
        <w:rPr>
          <w:spacing w:val="-11"/>
          <w:w w:val="101"/>
        </w:rPr>
        <w:t>号</w:t>
      </w:r>
      <w:r>
        <w:rPr>
          <w:rFonts w:ascii="Times New Roman" w:hAnsi="Times New Roman" w:cs="Times New Roman" w:eastAsia="Times New Roman" w:hint="default"/>
          <w:spacing w:val="-11"/>
          <w:w w:val="101"/>
        </w:rPr>
        <w:t>——</w:t>
      </w:r>
      <w:r>
        <w:rPr>
          <w:rFonts w:ascii="Times New Roman" w:hAnsi="Times New Roman" w:cs="Times New Roman" w:eastAsia="Times New Roman" w:hint="default"/>
          <w:spacing w:val="-43"/>
          <w:w w:val="101"/>
        </w:rPr>
        <w:t> </w:t>
      </w:r>
      <w:r>
        <w:rPr>
          <w:spacing w:val="-7"/>
          <w:w w:val="101"/>
        </w:rPr>
        <w:t>长期股权投资（</w:t>
      </w:r>
      <w:r>
        <w:rPr>
          <w:rFonts w:ascii="Times New Roman" w:hAnsi="Times New Roman" w:cs="Times New Roman" w:eastAsia="Times New Roman" w:hint="default"/>
          <w:spacing w:val="-7"/>
          <w:w w:val="101"/>
        </w:rPr>
        <w:t>2014</w:t>
      </w:r>
      <w:r>
        <w:rPr>
          <w:spacing w:val="-7"/>
          <w:w w:val="101"/>
        </w:rPr>
        <w:t>年修订）》及《企业会计准则第</w:t>
      </w:r>
      <w:r>
        <w:rPr>
          <w:rFonts w:ascii="Times New Roman" w:hAnsi="Times New Roman" w:cs="Times New Roman" w:eastAsia="Times New Roman" w:hint="default"/>
          <w:spacing w:val="-7"/>
          <w:w w:val="101"/>
        </w:rPr>
        <w:t>41</w:t>
      </w:r>
      <w:r>
        <w:rPr>
          <w:spacing w:val="-7"/>
          <w:w w:val="101"/>
        </w:rPr>
        <w:t>号</w:t>
      </w:r>
      <w:r>
        <w:rPr>
          <w:rFonts w:ascii="Times New Roman" w:hAnsi="Times New Roman" w:cs="Times New Roman" w:eastAsia="Times New Roman" w:hint="default"/>
          <w:spacing w:val="-7"/>
          <w:w w:val="101"/>
        </w:rPr>
        <w:t>——</w:t>
      </w:r>
      <w:r>
        <w:rPr>
          <w:spacing w:val="-7"/>
          <w:w w:val="101"/>
        </w:rPr>
        <w:t>在其他主体中权益的披露》，要求自</w:t>
      </w:r>
      <w:r>
        <w:rPr>
          <w:rFonts w:ascii="Times New Roman" w:hAnsi="Times New Roman" w:cs="Times New Roman" w:eastAsia="Times New Roman" w:hint="default"/>
          <w:spacing w:val="-7"/>
          <w:w w:val="101"/>
        </w:rPr>
        <w:t>2014</w:t>
      </w:r>
      <w:r>
        <w:rPr>
          <w:spacing w:val="-7"/>
          <w:w w:val="101"/>
        </w:rPr>
        <w:t>年</w:t>
      </w:r>
      <w:r>
        <w:rPr>
          <w:rFonts w:ascii="Times New Roman" w:hAnsi="Times New Roman" w:cs="Times New Roman" w:eastAsia="Times New Roman" w:hint="default"/>
          <w:spacing w:val="-7"/>
          <w:w w:val="101"/>
        </w:rPr>
        <w:t>7</w:t>
      </w:r>
      <w:r>
        <w:rPr>
          <w:spacing w:val="-7"/>
          <w:w w:val="101"/>
        </w:rPr>
        <w:t>月</w:t>
      </w:r>
      <w:r>
        <w:rPr>
          <w:rFonts w:ascii="Times New Roman" w:hAnsi="Times New Roman" w:cs="Times New Roman" w:eastAsia="Times New Roman" w:hint="default"/>
          <w:spacing w:val="-7"/>
          <w:w w:val="101"/>
        </w:rPr>
        <w:t>1</w:t>
      </w:r>
      <w:r>
        <w:rPr>
          <w:spacing w:val="-7"/>
          <w:w w:val="101"/>
        </w:rPr>
        <w:t>日起在所有执行</w:t>
      </w:r>
      <w:r>
        <w:rPr>
          <w:spacing w:val="-67"/>
          <w:w w:val="101"/>
        </w:rPr>
        <w:t> </w:t>
      </w:r>
      <w:r>
        <w:rPr>
          <w:spacing w:val="-67"/>
          <w:w w:val="101"/>
        </w:rPr>
      </w:r>
      <w:r>
        <w:rPr>
          <w:spacing w:val="-4"/>
        </w:rPr>
        <w:t>企业会计准则的企业范围内施行，鼓励在境外上市的企业提前执行。同时，财政部以财会【</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23</w:t>
      </w:r>
      <w:r>
        <w:rPr>
          <w:spacing w:val="-4"/>
        </w:rPr>
        <w:t>号发布了《企业会计准</w:t>
      </w:r>
      <w:r>
        <w:rPr>
          <w:spacing w:val="45"/>
        </w:rPr>
        <w:t> </w:t>
      </w:r>
      <w:r>
        <w:rPr>
          <w:spacing w:val="45"/>
        </w:rPr>
      </w:r>
      <w:r>
        <w:rPr>
          <w:spacing w:val="-7"/>
          <w:w w:val="101"/>
        </w:rPr>
        <w:t>则第</w:t>
      </w:r>
      <w:r>
        <w:rPr>
          <w:rFonts w:ascii="Times New Roman" w:hAnsi="Times New Roman" w:cs="Times New Roman" w:eastAsia="Times New Roman" w:hint="default"/>
          <w:spacing w:val="-7"/>
          <w:w w:val="101"/>
        </w:rPr>
        <w:t>37</w:t>
      </w:r>
      <w:r>
        <w:rPr>
          <w:spacing w:val="-7"/>
          <w:w w:val="101"/>
        </w:rPr>
        <w:t>号</w:t>
      </w:r>
      <w:r>
        <w:rPr>
          <w:rFonts w:ascii="Times New Roman" w:hAnsi="Times New Roman" w:cs="Times New Roman" w:eastAsia="Times New Roman" w:hint="default"/>
          <w:spacing w:val="-7"/>
          <w:w w:val="101"/>
        </w:rPr>
        <w:t>——</w:t>
      </w:r>
      <w:r>
        <w:rPr>
          <w:spacing w:val="-7"/>
          <w:w w:val="101"/>
        </w:rPr>
        <w:t>金融工具列报（</w:t>
      </w:r>
      <w:r>
        <w:rPr>
          <w:rFonts w:ascii="Times New Roman" w:hAnsi="Times New Roman" w:cs="Times New Roman" w:eastAsia="Times New Roman" w:hint="default"/>
          <w:spacing w:val="-7"/>
          <w:w w:val="101"/>
        </w:rPr>
        <w:t>2014</w:t>
      </w:r>
      <w:r>
        <w:rPr>
          <w:spacing w:val="-7"/>
          <w:w w:val="101"/>
        </w:rPr>
        <w:t>年修订）》（以下简称</w:t>
      </w:r>
      <w:r>
        <w:rPr>
          <w:rFonts w:ascii="Times New Roman" w:hAnsi="Times New Roman" w:cs="Times New Roman" w:eastAsia="Times New Roman" w:hint="default"/>
          <w:spacing w:val="-7"/>
          <w:w w:val="101"/>
        </w:rPr>
        <w:t>“</w:t>
      </w:r>
      <w:r>
        <w:rPr>
          <w:spacing w:val="-7"/>
          <w:w w:val="101"/>
        </w:rPr>
        <w:t>金融工具列报准则</w:t>
      </w:r>
      <w:r>
        <w:rPr>
          <w:rFonts w:ascii="Times New Roman" w:hAnsi="Times New Roman" w:cs="Times New Roman" w:eastAsia="Times New Roman" w:hint="default"/>
          <w:spacing w:val="-7"/>
          <w:w w:val="101"/>
        </w:rPr>
        <w:t>”</w:t>
      </w:r>
      <w:r>
        <w:rPr>
          <w:spacing w:val="-7"/>
          <w:w w:val="101"/>
        </w:rPr>
        <w:t>），要求在</w:t>
      </w:r>
      <w:r>
        <w:rPr>
          <w:rFonts w:ascii="Times New Roman" w:hAnsi="Times New Roman" w:cs="Times New Roman" w:eastAsia="Times New Roman" w:hint="default"/>
          <w:spacing w:val="-7"/>
          <w:w w:val="101"/>
        </w:rPr>
        <w:t>2014</w:t>
      </w:r>
      <w:r>
        <w:rPr>
          <w:spacing w:val="-7"/>
          <w:w w:val="101"/>
        </w:rPr>
        <w:t>年年度及以后期间的财务报告中</w:t>
      </w:r>
      <w:r>
        <w:rPr>
          <w:spacing w:val="-47"/>
          <w:w w:val="101"/>
        </w:rPr>
        <w:t> </w:t>
      </w:r>
      <w:r>
        <w:rPr>
          <w:spacing w:val="-47"/>
          <w:w w:val="101"/>
        </w:rPr>
      </w:r>
      <w:r>
        <w:rPr>
          <w:spacing w:val="-3"/>
        </w:rPr>
        <w:t>按照该准则的要求对金融工具进行列报。</w:t>
      </w:r>
    </w:p>
    <w:p>
      <w:pPr>
        <w:spacing w:line="240" w:lineRule="auto" w:before="7"/>
        <w:rPr>
          <w:rFonts w:ascii="宋体" w:hAnsi="宋体" w:cs="宋体" w:eastAsia="宋体" w:hint="default"/>
          <w:sz w:val="25"/>
          <w:szCs w:val="25"/>
        </w:rPr>
      </w:pPr>
    </w:p>
    <w:p>
      <w:pPr>
        <w:pStyle w:val="BodyText"/>
        <w:spacing w:line="300" w:lineRule="auto"/>
        <w:ind w:left="154" w:right="173" w:firstLine="359"/>
        <w:jc w:val="left"/>
      </w:pPr>
      <w:r>
        <w:rPr>
          <w:spacing w:val="-3"/>
        </w:rPr>
        <w:t>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日开始执行前述除金融工具列报准则以外的</w:t>
      </w:r>
      <w:r>
        <w:rPr>
          <w:rFonts w:ascii="Times New Roman" w:hAnsi="Times New Roman" w:cs="Times New Roman" w:eastAsia="Times New Roman" w:hint="default"/>
          <w:spacing w:val="-3"/>
        </w:rPr>
        <w:t>7</w:t>
      </w:r>
      <w:r>
        <w:rPr>
          <w:spacing w:val="-3"/>
        </w:rPr>
        <w:t>项新颁布或修订的企业会计准则，在编制</w:t>
      </w:r>
      <w:r>
        <w:rPr>
          <w:rFonts w:ascii="Times New Roman" w:hAnsi="Times New Roman" w:cs="Times New Roman" w:eastAsia="Times New Roman" w:hint="default"/>
          <w:spacing w:val="-3"/>
        </w:rPr>
        <w:t>2014</w:t>
      </w:r>
      <w:r>
        <w:rPr>
          <w:spacing w:val="-3"/>
        </w:rPr>
        <w:t>年年度</w:t>
      </w:r>
      <w:r>
        <w:rPr>
          <w:w w:val="101"/>
        </w:rPr>
        <w:t> </w:t>
      </w:r>
      <w:r>
        <w:rPr>
          <w:spacing w:val="-3"/>
        </w:rPr>
        <w:t>财务报告时开始执行金融工具列报准则，并根据各准则衔接要求进行了调整，对可比期间财务报表项目及金额的影响如下：</w:t>
      </w:r>
    </w:p>
    <w:p>
      <w:pPr>
        <w:spacing w:line="240" w:lineRule="auto" w:before="4"/>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670"/>
        <w:gridCol w:w="2506"/>
        <w:gridCol w:w="2174"/>
        <w:gridCol w:w="2182"/>
      </w:tblGrid>
      <w:tr>
        <w:trPr>
          <w:trHeight w:val="638" w:hRule="exact"/>
        </w:trPr>
        <w:tc>
          <w:tcPr>
            <w:tcW w:w="16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50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pacing w:val="9"/>
                <w:sz w:val="18"/>
                <w:szCs w:val="18"/>
              </w:rPr>
              <w:t>会计政策变更的内容及其</w:t>
            </w:r>
          </w:p>
        </w:tc>
        <w:tc>
          <w:tcPr>
            <w:tcW w:w="4356" w:type="dxa"/>
            <w:gridSpan w:val="2"/>
            <w:tcBorders>
              <w:top w:val="single" w:sz="6" w:space="0" w:color="000000"/>
              <w:left w:val="single" w:sz="6"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pacing w:val="2"/>
                <w:sz w:val="18"/>
                <w:szCs w:val="18"/>
              </w:rPr>
              <w:t>对</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年度相关财务报表项目的</w:t>
            </w:r>
          </w:p>
        </w:tc>
      </w:tr>
      <w:tr>
        <w:trPr>
          <w:trHeight w:val="631" w:hRule="exact"/>
        </w:trPr>
        <w:tc>
          <w:tcPr>
            <w:tcW w:w="1670" w:type="dxa"/>
            <w:tcBorders>
              <w:top w:val="nil" w:sz="6" w:space="0" w:color="auto"/>
              <w:left w:val="single" w:sz="6" w:space="0" w:color="000000"/>
              <w:bottom w:val="nil" w:sz="6" w:space="0" w:color="auto"/>
              <w:right w:val="single" w:sz="6" w:space="0" w:color="000000"/>
            </w:tcBorders>
          </w:tcPr>
          <w:p>
            <w:pPr/>
          </w:p>
        </w:tc>
        <w:tc>
          <w:tcPr>
            <w:tcW w:w="250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0" w:right="0"/>
              <w:jc w:val="left"/>
              <w:rPr>
                <w:rFonts w:ascii="宋体" w:hAnsi="宋体" w:cs="宋体" w:eastAsia="宋体" w:hint="default"/>
                <w:sz w:val="18"/>
                <w:szCs w:val="18"/>
              </w:rPr>
            </w:pPr>
            <w:r>
              <w:rPr>
                <w:rFonts w:ascii="宋体" w:hAnsi="宋体" w:cs="宋体" w:eastAsia="宋体" w:hint="default"/>
                <w:spacing w:val="-3"/>
                <w:sz w:val="18"/>
                <w:szCs w:val="18"/>
              </w:rPr>
              <w:t>对本公司的影响说明</w:t>
            </w:r>
          </w:p>
        </w:tc>
        <w:tc>
          <w:tcPr>
            <w:tcW w:w="4356" w:type="dxa"/>
            <w:gridSpan w:val="2"/>
            <w:tcBorders>
              <w:top w:val="nil" w:sz="6" w:space="0" w:color="auto"/>
              <w:left w:val="single" w:sz="6" w:space="0" w:color="000000"/>
              <w:bottom w:val="single" w:sz="12" w:space="0" w:color="000000"/>
              <w:right w:val="nil" w:sz="6" w:space="0" w:color="auto"/>
            </w:tcBorders>
          </w:tcPr>
          <w:p>
            <w:pPr>
              <w:pStyle w:val="TableParagraph"/>
              <w:spacing w:line="240" w:lineRule="auto" w:before="4"/>
              <w:ind w:left="6"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950" w:hRule="exact"/>
        </w:trPr>
        <w:tc>
          <w:tcPr>
            <w:tcW w:w="1670" w:type="dxa"/>
            <w:tcBorders>
              <w:top w:val="nil" w:sz="6" w:space="0" w:color="auto"/>
              <w:left w:val="single" w:sz="6" w:space="0" w:color="000000"/>
              <w:bottom w:val="single" w:sz="12" w:space="0" w:color="000000"/>
              <w:right w:val="single" w:sz="6" w:space="0" w:color="000000"/>
            </w:tcBorders>
          </w:tcPr>
          <w:p>
            <w:pPr/>
          </w:p>
        </w:tc>
        <w:tc>
          <w:tcPr>
            <w:tcW w:w="2506" w:type="dxa"/>
            <w:tcBorders>
              <w:top w:val="nil" w:sz="6" w:space="0" w:color="auto"/>
              <w:left w:val="single" w:sz="6" w:space="0" w:color="000000"/>
              <w:bottom w:val="single" w:sz="12" w:space="0" w:color="000000"/>
              <w:right w:val="single" w:sz="6" w:space="0" w:color="000000"/>
            </w:tcBorders>
          </w:tcPr>
          <w:p>
            <w:pP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633" w:hRule="exact"/>
        </w:trPr>
        <w:tc>
          <w:tcPr>
            <w:tcW w:w="167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《企业会计准则</w:t>
            </w:r>
          </w:p>
        </w:tc>
        <w:tc>
          <w:tcPr>
            <w:tcW w:w="250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pacing w:val="-5"/>
                <w:sz w:val="18"/>
                <w:szCs w:val="18"/>
              </w:rPr>
              <w:t>按照《企业会计准则第</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号</w:t>
            </w:r>
          </w:p>
        </w:tc>
        <w:tc>
          <w:tcPr>
            <w:tcW w:w="217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82"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758,333.33</w:t>
            </w:r>
          </w:p>
        </w:tc>
      </w:tr>
      <w:tr>
        <w:trPr>
          <w:trHeight w:val="317" w:hRule="exact"/>
        </w:trPr>
        <w:tc>
          <w:tcPr>
            <w:tcW w:w="167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1"/>
              <w:jc w:val="left"/>
              <w:rPr>
                <w:rFonts w:ascii="宋体" w:hAnsi="宋体" w:cs="宋体" w:eastAsia="宋体" w:hint="default"/>
                <w:sz w:val="18"/>
                <w:szCs w:val="18"/>
              </w:rPr>
            </w:pPr>
            <w:r>
              <w:rPr>
                <w:rFonts w:ascii="宋体" w:hAnsi="宋体" w:cs="宋体" w:eastAsia="宋体" w:hint="default"/>
                <w:spacing w:val="5"/>
                <w:sz w:val="18"/>
                <w:szCs w:val="18"/>
              </w:rPr>
              <w:t>第</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财务报表列</w:t>
            </w:r>
          </w:p>
        </w:tc>
        <w:tc>
          <w:tcPr>
            <w:tcW w:w="250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9" w:right="-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财务报表列报（</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年修</w:t>
            </w:r>
          </w:p>
        </w:tc>
        <w:tc>
          <w:tcPr>
            <w:tcW w:w="2174" w:type="dxa"/>
            <w:tcBorders>
              <w:top w:val="nil" w:sz="6" w:space="0" w:color="auto"/>
              <w:left w:val="single" w:sz="6" w:space="0" w:color="000000"/>
              <w:bottom w:val="single" w:sz="12" w:space="0" w:color="000000"/>
              <w:right w:val="single" w:sz="6" w:space="0" w:color="000000"/>
            </w:tcBorders>
          </w:tcPr>
          <w:p>
            <w:pPr/>
          </w:p>
        </w:tc>
        <w:tc>
          <w:tcPr>
            <w:tcW w:w="2182" w:type="dxa"/>
            <w:tcBorders>
              <w:top w:val="nil" w:sz="6" w:space="0" w:color="auto"/>
              <w:left w:val="single" w:sz="6" w:space="0" w:color="000000"/>
              <w:bottom w:val="single" w:sz="12" w:space="0" w:color="000000"/>
              <w:right w:val="nil" w:sz="6" w:space="0" w:color="auto"/>
            </w:tcBorders>
          </w:tcPr>
          <w:p>
            <w:pPr/>
          </w:p>
        </w:tc>
      </w:tr>
      <w:tr>
        <w:trPr>
          <w:trHeight w:val="955" w:hRule="exact"/>
        </w:trPr>
        <w:tc>
          <w:tcPr>
            <w:tcW w:w="167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w w:val="101"/>
                <w:sz w:val="18"/>
                <w:szCs w:val="18"/>
              </w:rPr>
              <w:t>报（</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4</w:t>
            </w:r>
            <w:r>
              <w:rPr>
                <w:rFonts w:ascii="宋体" w:hAnsi="宋体" w:cs="宋体" w:eastAsia="宋体" w:hint="default"/>
                <w:w w:val="101"/>
                <w:sz w:val="18"/>
                <w:szCs w:val="18"/>
              </w:rPr>
              <w:t>年</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250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w w:val="101"/>
                <w:sz w:val="18"/>
                <w:szCs w:val="18"/>
              </w:rPr>
              <w:t>订</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及</w:t>
            </w:r>
            <w:r>
              <w:rPr>
                <w:rFonts w:ascii="宋体" w:hAnsi="宋体" w:cs="宋体" w:eastAsia="宋体" w:hint="default"/>
                <w:spacing w:val="-5"/>
                <w:w w:val="101"/>
                <w:sz w:val="18"/>
                <w:szCs w:val="18"/>
              </w:rPr>
              <w:t>应</w:t>
            </w:r>
            <w:r>
              <w:rPr>
                <w:rFonts w:ascii="宋体" w:hAnsi="宋体" w:cs="宋体" w:eastAsia="宋体" w:hint="default"/>
                <w:w w:val="101"/>
                <w:sz w:val="18"/>
                <w:szCs w:val="18"/>
              </w:rPr>
              <w:t>用</w:t>
            </w:r>
            <w:r>
              <w:rPr>
                <w:rFonts w:ascii="宋体" w:hAnsi="宋体" w:cs="宋体" w:eastAsia="宋体" w:hint="default"/>
                <w:spacing w:val="-5"/>
                <w:w w:val="101"/>
                <w:sz w:val="18"/>
                <w:szCs w:val="18"/>
              </w:rPr>
              <w:t>指</w:t>
            </w:r>
            <w:r>
              <w:rPr>
                <w:rFonts w:ascii="宋体" w:hAnsi="宋体" w:cs="宋体" w:eastAsia="宋体" w:hint="default"/>
                <w:w w:val="101"/>
                <w:sz w:val="18"/>
                <w:szCs w:val="18"/>
              </w:rPr>
              <w:t>南</w:t>
            </w:r>
            <w:r>
              <w:rPr>
                <w:rFonts w:ascii="宋体" w:hAnsi="宋体" w:cs="宋体" w:eastAsia="宋体" w:hint="default"/>
                <w:spacing w:val="-5"/>
                <w:w w:val="101"/>
                <w:sz w:val="18"/>
                <w:szCs w:val="18"/>
              </w:rPr>
              <w:t>的</w:t>
            </w:r>
            <w:r>
              <w:rPr>
                <w:rFonts w:ascii="宋体" w:hAnsi="宋体" w:cs="宋体" w:eastAsia="宋体" w:hint="default"/>
                <w:w w:val="101"/>
                <w:sz w:val="18"/>
                <w:szCs w:val="18"/>
              </w:rPr>
              <w:t>相</w:t>
            </w:r>
            <w:r>
              <w:rPr>
                <w:rFonts w:ascii="宋体" w:hAnsi="宋体" w:cs="宋体" w:eastAsia="宋体" w:hint="default"/>
                <w:spacing w:val="-5"/>
                <w:w w:val="101"/>
                <w:sz w:val="18"/>
                <w:szCs w:val="18"/>
              </w:rPr>
              <w:t>关</w:t>
            </w:r>
            <w:r>
              <w:rPr>
                <w:rFonts w:ascii="宋体" w:hAnsi="宋体" w:cs="宋体" w:eastAsia="宋体" w:hint="default"/>
                <w:w w:val="101"/>
                <w:sz w:val="18"/>
                <w:szCs w:val="18"/>
              </w:rPr>
              <w:t>规定</w:t>
            </w:r>
            <w:r>
              <w:rPr>
                <w:rFonts w:ascii="宋体" w:hAnsi="宋体" w:cs="宋体" w:eastAsia="宋体" w:hint="default"/>
                <w:sz w:val="18"/>
                <w:szCs w:val="18"/>
              </w:rPr>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182"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69" w:right="0"/>
              <w:jc w:val="left"/>
              <w:rPr>
                <w:rFonts w:ascii="Times New Roman" w:hAnsi="Times New Roman" w:cs="Times New Roman" w:eastAsia="Times New Roman" w:hint="default"/>
                <w:sz w:val="18"/>
                <w:szCs w:val="18"/>
              </w:rPr>
            </w:pPr>
            <w:r>
              <w:rPr>
                <w:rFonts w:ascii="Times New Roman"/>
                <w:sz w:val="18"/>
              </w:rPr>
              <w:t>-758,333.33</w:t>
            </w:r>
          </w:p>
        </w:tc>
      </w:tr>
      <w:tr>
        <w:trPr>
          <w:trHeight w:val="950" w:hRule="exact"/>
        </w:trPr>
        <w:tc>
          <w:tcPr>
            <w:tcW w:w="16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《企业会计准则</w:t>
            </w:r>
          </w:p>
        </w:tc>
        <w:tc>
          <w:tcPr>
            <w:tcW w:w="2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4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670"/>
        <w:gridCol w:w="2506"/>
        <w:gridCol w:w="2174"/>
        <w:gridCol w:w="2182"/>
      </w:tblGrid>
      <w:tr>
        <w:trPr>
          <w:trHeight w:val="967" w:hRule="exact"/>
        </w:trPr>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4" w:right="-25"/>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长期股权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3"/>
                <w:w w:val="101"/>
                <w:sz w:val="18"/>
                <w:szCs w:val="18"/>
              </w:rPr>
              <w:t>投资（</w:t>
            </w:r>
            <w:r>
              <w:rPr>
                <w:rFonts w:ascii="Times New Roman" w:hAnsi="Times New Roman" w:cs="Times New Roman" w:eastAsia="Times New Roman" w:hint="default"/>
                <w:spacing w:val="-13"/>
                <w:w w:val="101"/>
                <w:sz w:val="18"/>
                <w:szCs w:val="18"/>
              </w:rPr>
              <w:t>2014</w:t>
            </w:r>
            <w:r>
              <w:rPr>
                <w:rFonts w:ascii="宋体" w:hAnsi="宋体" w:cs="宋体" w:eastAsia="宋体" w:hint="default"/>
                <w:spacing w:val="-13"/>
                <w:w w:val="101"/>
                <w:sz w:val="18"/>
                <w:szCs w:val="18"/>
              </w:rPr>
              <w:t>年修订）》</w:t>
            </w:r>
            <w:r>
              <w:rPr>
                <w:rFonts w:ascii="宋体" w:hAnsi="宋体" w:cs="宋体" w:eastAsia="宋体" w:hint="default"/>
                <w:sz w:val="18"/>
                <w:szCs w:val="18"/>
              </w:rPr>
            </w:r>
          </w:p>
        </w:tc>
        <w:tc>
          <w:tcPr>
            <w:tcW w:w="250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9" w:right="-5" w:hanging="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长期股权投资（</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订）》及应用指南的相关规定</w:t>
            </w:r>
            <w:r>
              <w:rPr>
                <w:rFonts w:ascii="宋体" w:hAnsi="宋体" w:cs="宋体" w:eastAsia="宋体" w:hint="default"/>
                <w:spacing w:val="-9"/>
                <w:sz w:val="18"/>
                <w:szCs w:val="18"/>
              </w:rPr>
            </w: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82"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9" w:right="0"/>
              <w:jc w:val="left"/>
              <w:rPr>
                <w:rFonts w:ascii="Times New Roman" w:hAnsi="Times New Roman" w:cs="Times New Roman" w:eastAsia="Times New Roman" w:hint="default"/>
                <w:sz w:val="18"/>
                <w:szCs w:val="18"/>
              </w:rPr>
            </w:pPr>
            <w:r>
              <w:rPr>
                <w:rFonts w:ascii="Times New Roman"/>
                <w:sz w:val="18"/>
              </w:rPr>
              <w:t>-3,000,000.00</w:t>
            </w:r>
          </w:p>
        </w:tc>
      </w:tr>
    </w:tbl>
    <w:p>
      <w:pPr>
        <w:spacing w:line="240" w:lineRule="auto" w:before="5"/>
        <w:rPr>
          <w:rFonts w:ascii="宋体" w:hAnsi="宋体" w:cs="宋体" w:eastAsia="宋体" w:hint="default"/>
          <w:sz w:val="20"/>
          <w:szCs w:val="20"/>
        </w:rPr>
      </w:pPr>
    </w:p>
    <w:p>
      <w:pPr>
        <w:pStyle w:val="BodyText"/>
        <w:spacing w:line="300" w:lineRule="auto" w:before="46"/>
        <w:ind w:right="0" w:firstLine="359"/>
        <w:jc w:val="left"/>
      </w:pPr>
      <w:r>
        <w:rPr>
          <w:spacing w:val="-4"/>
        </w:rPr>
        <w:t>本次会计政策变更，仅对上述财务报表项目列示产生影响，对公司</w:t>
      </w:r>
      <w:r>
        <w:rPr>
          <w:rFonts w:ascii="Times New Roman" w:hAnsi="Times New Roman" w:cs="Times New Roman" w:eastAsia="Times New Roman" w:hint="default"/>
          <w:spacing w:val="-4"/>
        </w:rPr>
        <w:t>2013</w:t>
      </w:r>
      <w:r>
        <w:rPr>
          <w:spacing w:val="-4"/>
        </w:rPr>
        <w:t>年末资产总额、负债总额和净资产以及</w:t>
      </w:r>
      <w:r>
        <w:rPr>
          <w:rFonts w:ascii="Times New Roman" w:hAnsi="Times New Roman" w:cs="Times New Roman" w:eastAsia="Times New Roman" w:hint="default"/>
          <w:spacing w:val="-4"/>
        </w:rPr>
        <w:t>2013</w:t>
      </w:r>
      <w:r>
        <w:rPr>
          <w:spacing w:val="-4"/>
        </w:rPr>
        <w:t>年度</w:t>
      </w:r>
      <w:r>
        <w:rPr>
          <w:w w:val="101"/>
        </w:rPr>
        <w:t> </w:t>
      </w:r>
      <w:r>
        <w:rPr>
          <w:spacing w:val="-3"/>
        </w:rPr>
        <w:t>净利润未产生影响。</w:t>
      </w:r>
    </w:p>
    <w:p>
      <w:pPr>
        <w:spacing w:line="240" w:lineRule="auto" w:before="1"/>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3"/>
        <w:spacing w:line="240" w:lineRule="auto"/>
        <w:ind w:right="0"/>
        <w:jc w:val="left"/>
      </w:pPr>
      <w:r>
        <w:rPr/>
        <w:t>六、税项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58" w:hRule="exact"/>
        </w:trPr>
        <w:tc>
          <w:tcPr>
            <w:tcW w:w="31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2" w:type="dxa"/>
            <w:vMerge w:val="restart"/>
            <w:tcBorders>
              <w:top w:val="single" w:sz="4" w:space="0" w:color="000000"/>
              <w:left w:val="single" w:sz="4" w:space="0" w:color="000000"/>
              <w:right w:val="single" w:sz="4" w:space="0" w:color="000000"/>
            </w:tcBorders>
          </w:tcPr>
          <w:p>
            <w:pPr>
              <w:pStyle w:val="TableParagraph"/>
              <w:spacing w:line="316" w:lineRule="auto" w:before="54"/>
              <w:ind w:left="23" w:right="94"/>
              <w:jc w:val="left"/>
              <w:rPr>
                <w:rFonts w:ascii="宋体" w:hAnsi="宋体" w:cs="宋体" w:eastAsia="宋体" w:hint="default"/>
                <w:sz w:val="18"/>
                <w:szCs w:val="18"/>
              </w:rPr>
            </w:pPr>
            <w:r>
              <w:rPr>
                <w:rFonts w:ascii="宋体" w:hAnsi="宋体" w:cs="宋体" w:eastAsia="宋体" w:hint="default"/>
                <w:spacing w:val="-3"/>
                <w:sz w:val="18"/>
                <w:szCs w:val="18"/>
              </w:rPr>
              <w:t>销售货物、应税劳务收入和应税服务收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入</w:t>
            </w:r>
          </w:p>
        </w:tc>
        <w:tc>
          <w:tcPr>
            <w:tcW w:w="31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1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vMerge/>
            <w:tcBorders>
              <w:left w:val="single" w:sz="4" w:space="0" w:color="000000"/>
              <w:right w:val="single" w:sz="4" w:space="0" w:color="000000"/>
            </w:tcBorders>
          </w:tcPr>
          <w:p>
            <w:pPr/>
          </w:p>
        </w:tc>
        <w:tc>
          <w:tcPr>
            <w:tcW w:w="3192" w:type="dxa"/>
            <w:vMerge/>
            <w:tcBorders>
              <w:left w:val="single" w:sz="4" w:space="0" w:color="000000"/>
              <w:right w:val="single" w:sz="4" w:space="0" w:color="000000"/>
            </w:tcBorders>
          </w:tcPr>
          <w:p>
            <w:pPr/>
          </w:p>
        </w:tc>
      </w:tr>
      <w:tr>
        <w:trPr>
          <w:trHeight w:val="158" w:hRule="exact"/>
        </w:trPr>
        <w:tc>
          <w:tcPr>
            <w:tcW w:w="3187"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2" w:type="dxa"/>
            <w:vMerge/>
            <w:tcBorders>
              <w:left w:val="single" w:sz="4" w:space="0" w:color="000000"/>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25.00%</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实益达科技（香港）有限公司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深圳市实益达照明有限公司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25.00%</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凯扬商贸（香港）有限公司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无锡实益达照明科技有限公司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深圳市前海实益达投资发展有限公司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46" w:firstLine="360"/>
        <w:jc w:val="both"/>
      </w:pPr>
      <w:r>
        <w:rPr>
          <w:spacing w:val="-4"/>
        </w:rPr>
        <w:t>《中华人民共和国企业所得税法》第二十八条规定，国家需要重点扶持的高新技术企业，减按</w:t>
      </w:r>
      <w:r>
        <w:rPr>
          <w:rFonts w:ascii="Times New Roman" w:hAnsi="Times New Roman" w:cs="Times New Roman" w:eastAsia="Times New Roman" w:hint="default"/>
          <w:spacing w:val="-4"/>
        </w:rPr>
        <w:t>15%</w:t>
      </w:r>
      <w:r>
        <w:rPr>
          <w:spacing w:val="-4"/>
        </w:rPr>
        <w:t>的税率征收企业所得</w:t>
      </w:r>
      <w:r>
        <w:rPr>
          <w:w w:val="101"/>
        </w:rPr>
        <w:t> </w:t>
      </w:r>
      <w:r>
        <w:rPr>
          <w:spacing w:val="-3"/>
        </w:rPr>
        <w:t>税。根据该规定，科技部、财政部、国家税务总局联合发布了国科发火〔</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172</w:t>
      </w:r>
      <w:r>
        <w:rPr>
          <w:spacing w:val="-3"/>
        </w:rPr>
        <w:t>号《高新技术企业认定管理办法》和国 </w:t>
      </w:r>
      <w:r>
        <w:rPr>
          <w:spacing w:val="-6"/>
          <w:w w:val="101"/>
        </w:rPr>
        <w:t>科发火〔</w:t>
      </w:r>
      <w:r>
        <w:rPr>
          <w:rFonts w:ascii="Times New Roman" w:hAnsi="Times New Roman" w:cs="Times New Roman" w:eastAsia="Times New Roman" w:hint="default"/>
          <w:spacing w:val="-6"/>
          <w:w w:val="101"/>
        </w:rPr>
        <w:t>2008</w:t>
      </w:r>
      <w:r>
        <w:rPr>
          <w:spacing w:val="-6"/>
          <w:w w:val="101"/>
        </w:rPr>
        <w:t>〕</w:t>
      </w:r>
      <w:r>
        <w:rPr>
          <w:rFonts w:ascii="Times New Roman" w:hAnsi="Times New Roman" w:cs="Times New Roman" w:eastAsia="Times New Roman" w:hint="default"/>
          <w:spacing w:val="-6"/>
          <w:w w:val="101"/>
        </w:rPr>
        <w:t>362</w:t>
      </w:r>
      <w:r>
        <w:rPr>
          <w:spacing w:val="-6"/>
          <w:w w:val="101"/>
        </w:rPr>
        <w:t>号《高新技术企业认定管理工作指引》，规定只要经过认定属于国家需要重点扶持的高新技术企业，都可</w:t>
      </w:r>
      <w:r>
        <w:rPr>
          <w:spacing w:val="-50"/>
          <w:w w:val="101"/>
        </w:rPr>
        <w:t> </w:t>
      </w:r>
      <w:r>
        <w:rPr>
          <w:spacing w:val="-50"/>
          <w:w w:val="101"/>
        </w:rPr>
      </w:r>
      <w:r>
        <w:rPr/>
        <w:t>以适用</w:t>
      </w:r>
      <w:r>
        <w:rPr>
          <w:rFonts w:ascii="Times New Roman" w:hAnsi="Times New Roman" w:cs="Times New Roman" w:eastAsia="Times New Roman" w:hint="default"/>
        </w:rPr>
        <w:t>15%</w:t>
      </w:r>
      <w:r>
        <w:rPr/>
        <w:t>的优惠税率。</w:t>
      </w:r>
    </w:p>
    <w:p>
      <w:pPr>
        <w:spacing w:after="0" w:line="300" w:lineRule="auto"/>
        <w:jc w:val="both"/>
        <w:sectPr>
          <w:pgSz w:w="11910" w:h="16840"/>
          <w:pgMar w:header="741" w:footer="979" w:top="1060" w:bottom="1160" w:left="980" w:right="980"/>
        </w:sectPr>
      </w:pPr>
    </w:p>
    <w:p>
      <w:pPr>
        <w:spacing w:line="240" w:lineRule="auto" w:before="1"/>
        <w:rPr>
          <w:rFonts w:ascii="宋体" w:hAnsi="宋体" w:cs="宋体" w:eastAsia="宋体" w:hint="default"/>
          <w:sz w:val="26"/>
          <w:szCs w:val="26"/>
        </w:rPr>
      </w:pPr>
    </w:p>
    <w:p>
      <w:pPr>
        <w:pStyle w:val="BodyText"/>
        <w:spacing w:line="300" w:lineRule="auto" w:before="46"/>
        <w:ind w:right="147" w:firstLine="359"/>
        <w:jc w:val="both"/>
      </w:pPr>
      <w:r>
        <w:rPr>
          <w:spacing w:val="-5"/>
        </w:rPr>
        <w:t>江苏省科学技术厅、江苏省财政厅、江苏省国家税务局和江苏省地方税务局于</w:t>
      </w:r>
      <w:r>
        <w:rPr>
          <w:rFonts w:ascii="Times New Roman" w:hAnsi="Times New Roman" w:cs="Times New Roman" w:eastAsia="Times New Roman" w:hint="default"/>
          <w:spacing w:val="-5"/>
        </w:rPr>
        <w:t>2012</w:t>
      </w:r>
      <w:r>
        <w:rPr>
          <w:spacing w:val="-5"/>
        </w:rPr>
        <w:t>年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 </w:t>
      </w:r>
      <w:r>
        <w:rPr>
          <w:spacing w:val="-3"/>
        </w:rPr>
        <w:t>日认定无锡实益达电子有</w:t>
      </w:r>
      <w:r>
        <w:rPr>
          <w:w w:val="101"/>
        </w:rPr>
        <w:t> </w:t>
      </w:r>
      <w:r>
        <w:rPr/>
        <w:t>限公司为高新技术企业，颁发</w:t>
      </w:r>
      <w:r>
        <w:rPr>
          <w:rFonts w:ascii="Times New Roman" w:hAnsi="Times New Roman" w:cs="Times New Roman" w:eastAsia="Times New Roman" w:hint="default"/>
        </w:rPr>
        <w:t>GR201232001577</w:t>
      </w:r>
      <w:r>
        <w:rPr/>
        <w:t>号证书，发证时间为</w:t>
      </w:r>
      <w:r>
        <w:rPr>
          <w:spacing w:val="1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13"/>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日，有效期三年。本年度适用</w:t>
      </w:r>
      <w:r>
        <w:rPr>
          <w:rFonts w:ascii="Times New Roman" w:hAnsi="Times New Roman" w:cs="Times New Roman" w:eastAsia="Times New Roman" w:hint="default"/>
        </w:rPr>
        <w:t>15%</w:t>
      </w:r>
      <w:r>
        <w:rPr/>
        <w:t>的</w:t>
      </w:r>
      <w:r>
        <w:rPr>
          <w:spacing w:val="-88"/>
        </w:rPr>
        <w:t> </w:t>
      </w:r>
      <w:r>
        <w:rPr/>
        <w:t>优惠税率。</w:t>
      </w:r>
    </w:p>
    <w:p>
      <w:pPr>
        <w:spacing w:line="240" w:lineRule="auto" w:before="2"/>
        <w:rPr>
          <w:rFonts w:ascii="宋体" w:hAnsi="宋体" w:cs="宋体" w:eastAsia="宋体" w:hint="default"/>
          <w:sz w:val="25"/>
          <w:szCs w:val="25"/>
        </w:rPr>
      </w:pPr>
    </w:p>
    <w:p>
      <w:pPr>
        <w:pStyle w:val="BodyText"/>
        <w:spacing w:line="300" w:lineRule="auto"/>
        <w:ind w:left="153" w:right="145" w:firstLine="359"/>
        <w:jc w:val="both"/>
      </w:pPr>
      <w:r>
        <w:rPr>
          <w:spacing w:val="-3"/>
        </w:rPr>
        <w:t>深圳市科技工贸和信息化委员会、深圳市财政委员会、深圳市国家税务局、深圳市地方税务局于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5</w:t>
      </w:r>
      <w:r>
        <w:rPr>
          <w:spacing w:val="-3"/>
        </w:rPr>
        <w:t>日认定深</w:t>
      </w:r>
      <w:r>
        <w:rPr>
          <w:w w:val="101"/>
        </w:rPr>
        <w:t> </w:t>
      </w:r>
      <w:r>
        <w:rPr>
          <w:spacing w:val="-4"/>
        </w:rPr>
        <w:t>圳市汇大光电科技有限公司为高新技术企业，颁发</w:t>
      </w:r>
      <w:r>
        <w:rPr>
          <w:rFonts w:ascii="Times New Roman" w:hAnsi="Times New Roman" w:cs="Times New Roman" w:eastAsia="Times New Roman" w:hint="default"/>
          <w:spacing w:val="-4"/>
        </w:rPr>
        <w:t>GR201244200490</w:t>
      </w:r>
      <w:r>
        <w:rPr>
          <w:spacing w:val="-4"/>
        </w:rPr>
        <w:t>号证书，发证时间为</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5</w:t>
      </w:r>
      <w:r>
        <w:rPr>
          <w:spacing w:val="-4"/>
        </w:rPr>
        <w:t>日，有效期三年。本年</w:t>
      </w:r>
      <w:r>
        <w:rPr>
          <w:spacing w:val="10"/>
        </w:rPr>
        <w:t> </w:t>
      </w:r>
      <w:r>
        <w:rPr>
          <w:spacing w:val="10"/>
        </w:rPr>
      </w:r>
      <w:r>
        <w:rPr/>
        <w:t>度适用</w:t>
      </w:r>
      <w:r>
        <w:rPr>
          <w:rFonts w:ascii="Times New Roman" w:hAnsi="Times New Roman" w:cs="Times New Roman" w:eastAsia="Times New Roman" w:hint="default"/>
        </w:rPr>
        <w:t>15%</w:t>
      </w:r>
      <w:r>
        <w:rPr/>
        <w:t>的优惠税率。</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588" w:lineRule="auto"/>
        <w:ind w:left="512" w:right="1226"/>
        <w:jc w:val="left"/>
      </w:pPr>
      <w:r>
        <w:rPr/>
        <w:t>（</w:t>
      </w:r>
      <w:r>
        <w:rPr>
          <w:rFonts w:ascii="Times New Roman" w:hAnsi="Times New Roman" w:cs="Times New Roman" w:eastAsia="Times New Roman" w:hint="default"/>
        </w:rPr>
        <w:t>1</w:t>
      </w:r>
      <w:r>
        <w:rPr/>
        <w:t>）房产税</w:t>
      </w:r>
      <w:r>
        <w:rPr>
          <w:spacing w:val="-87"/>
        </w:rPr>
        <w:t> </w:t>
      </w:r>
      <w:r>
        <w:rPr>
          <w:spacing w:val="-87"/>
        </w:rPr>
      </w:r>
      <w:r>
        <w:rPr>
          <w:spacing w:val="-3"/>
        </w:rPr>
        <w:t>房产税按照房产原值的</w:t>
      </w:r>
      <w:r>
        <w:rPr>
          <w:rFonts w:ascii="Times New Roman" w:hAnsi="Times New Roman" w:cs="Times New Roman" w:eastAsia="Times New Roman" w:hint="default"/>
          <w:spacing w:val="-3"/>
        </w:rPr>
        <w:t>70%</w:t>
      </w:r>
      <w:r>
        <w:rPr>
          <w:spacing w:val="-3"/>
        </w:rPr>
        <w:t>为纳税基准，税率为</w:t>
      </w:r>
      <w:r>
        <w:rPr>
          <w:rFonts w:ascii="Times New Roman" w:hAnsi="Times New Roman" w:cs="Times New Roman" w:eastAsia="Times New Roman" w:hint="default"/>
          <w:spacing w:val="-3"/>
        </w:rPr>
        <w:t>1.2%</w:t>
      </w:r>
      <w:r>
        <w:rPr>
          <w:spacing w:val="-3"/>
        </w:rPr>
        <w:t>，或以租金收入为纳税基准，税率为</w:t>
      </w:r>
      <w:r>
        <w:rPr>
          <w:rFonts w:ascii="Times New Roman" w:hAnsi="Times New Roman" w:cs="Times New Roman" w:eastAsia="Times New Roman" w:hint="default"/>
          <w:spacing w:val="-3"/>
        </w:rPr>
        <w:t>12%</w:t>
      </w:r>
      <w:r>
        <w:rPr>
          <w:spacing w:val="-3"/>
        </w:rPr>
        <w:t>。</w:t>
      </w:r>
    </w:p>
    <w:p>
      <w:pPr>
        <w:pStyle w:val="BodyText"/>
        <w:spacing w:line="588" w:lineRule="auto" w:before="76"/>
        <w:ind w:left="512" w:right="1730"/>
        <w:jc w:val="left"/>
      </w:pPr>
      <w:r>
        <w:rPr/>
        <w:t>（</w:t>
      </w:r>
      <w:r>
        <w:rPr>
          <w:rFonts w:ascii="Times New Roman" w:hAnsi="Times New Roman" w:cs="Times New Roman" w:eastAsia="Times New Roman" w:hint="default"/>
        </w:rPr>
        <w:t>2</w:t>
      </w:r>
      <w:r>
        <w:rPr/>
        <w:t>）个人所得税</w:t>
      </w:r>
      <w:r>
        <w:rPr>
          <w:spacing w:val="-87"/>
        </w:rPr>
        <w:t> </w:t>
      </w:r>
      <w:r>
        <w:rPr>
          <w:spacing w:val="-87"/>
        </w:rPr>
      </w:r>
      <w:r>
        <w:rPr>
          <w:spacing w:val="-3"/>
        </w:rPr>
        <w:t>员工个人所得税由本公司代扣代缴，独立董事津贴个人所得税由本公司代扣代缴。</w:t>
      </w:r>
    </w:p>
    <w:p>
      <w:pPr>
        <w:pStyle w:val="Heading3"/>
        <w:spacing w:line="240" w:lineRule="auto" w:before="62"/>
        <w:ind w:right="0"/>
        <w:jc w:val="left"/>
      </w:pPr>
      <w:r>
        <w:rPr/>
        <w:t>七、合并财务报表项目注释</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51,298.09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147,603.02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169,265,192.25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171,716,268.86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1,005,000.00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99,286,950.00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170,321,490.34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271,150,821.88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1,379,383.35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5,190,555.12</w:t>
            </w:r>
          </w:p>
        </w:tc>
      </w:tr>
    </w:tbl>
    <w:p>
      <w:pPr>
        <w:pStyle w:val="BodyText"/>
        <w:spacing w:line="240" w:lineRule="auto" w:before="54"/>
        <w:ind w:right="0"/>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left="575"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842"/>
        <w:gridCol w:w="2842"/>
        <w:gridCol w:w="2849"/>
      </w:tblGrid>
      <w:tr>
        <w:trPr>
          <w:trHeight w:val="353"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2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2842" w:type="dxa"/>
            <w:tcBorders>
              <w:top w:val="single" w:sz="12" w:space="0" w:color="000000"/>
              <w:left w:val="single" w:sz="6" w:space="0" w:color="000000"/>
              <w:bottom w:val="single" w:sz="12" w:space="0" w:color="000000"/>
              <w:right w:val="single" w:sz="6" w:space="0" w:color="000000"/>
            </w:tcBorders>
          </w:tcPr>
          <w:p>
            <w:pPr/>
          </w:p>
        </w:tc>
        <w:tc>
          <w:tcPr>
            <w:tcW w:w="28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4,785,000.00</w:t>
            </w:r>
          </w:p>
        </w:tc>
      </w:tr>
      <w:tr>
        <w:trPr>
          <w:trHeight w:val="355"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842" w:type="dxa"/>
            <w:tcBorders>
              <w:top w:val="single" w:sz="12" w:space="0" w:color="000000"/>
              <w:left w:val="single" w:sz="6" w:space="0" w:color="000000"/>
              <w:bottom w:val="single" w:sz="12" w:space="0" w:color="000000"/>
              <w:right w:val="single" w:sz="6" w:space="0" w:color="000000"/>
            </w:tcBorders>
          </w:tcPr>
          <w:p>
            <w:pPr/>
          </w:p>
        </w:tc>
        <w:tc>
          <w:tcPr>
            <w:tcW w:w="28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94,501,950.00</w:t>
            </w:r>
          </w:p>
        </w:tc>
      </w:tr>
      <w:tr>
        <w:trPr>
          <w:trHeight w:val="350"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1,005,000.00</w:t>
            </w:r>
          </w:p>
        </w:tc>
        <w:tc>
          <w:tcPr>
            <w:tcW w:w="2849"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2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1,005,000.00</w:t>
            </w:r>
          </w:p>
        </w:tc>
        <w:tc>
          <w:tcPr>
            <w:tcW w:w="28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99,286,950.00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2,971,717.62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2,527,394.57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2,971,717.62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2,527,394.57</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4,587,911.70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4,587,911.70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3840"/>
        <w:gridCol w:w="4094"/>
      </w:tblGrid>
      <w:tr>
        <w:trPr>
          <w:trHeight w:val="403"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403" w:hRule="exact"/>
        </w:trPr>
        <w:tc>
          <w:tcPr>
            <w:tcW w:w="16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0" w:hRule="exact"/>
        </w:trPr>
        <w:tc>
          <w:tcPr>
            <w:tcW w:w="163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8"/>
              <w:ind w:left="23"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28,751,2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08.36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15,493,8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13,257,31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29,391,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851.65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22.97%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15,437,93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13,953,915.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55</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23"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136,025,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744.27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7,924,29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128,101,4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49.89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98,546,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197.83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77.03%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5,660,757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92,885,440.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23"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229,916.1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165,236,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784.94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23,648,1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04.47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141,588,6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80.47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127,938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,049.48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21,098,69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106,839,35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5.62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pStyle w:val="BodyText"/>
        <w:spacing w:line="240" w:lineRule="auto" w:before="53"/>
        <w:ind w:right="0"/>
        <w:jc w:val="left"/>
      </w:pPr>
      <w:r>
        <w:rPr>
          <w:spacing w:val="-3"/>
        </w:rPr>
        <w:t>期末单项金额重大并单项计提坏账准备的应收账款：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296" w:space="4532"/>
            <w:col w:w="1122"/>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6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5"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561"/>
              <w:jc w:val="left"/>
              <w:rPr>
                <w:rFonts w:ascii="Times New Roman" w:hAnsi="Times New Roman" w:cs="Times New Roman" w:eastAsia="Times New Roman" w:hint="default"/>
                <w:sz w:val="18"/>
                <w:szCs w:val="18"/>
              </w:rPr>
            </w:pPr>
            <w:r>
              <w:rPr>
                <w:rFonts w:ascii="Times New Roman"/>
                <w:sz w:val="18"/>
              </w:rPr>
              <w:t>Perception</w:t>
            </w:r>
            <w:r>
              <w:rPr>
                <w:rFonts w:ascii="Times New Roman"/>
                <w:spacing w:val="1"/>
                <w:sz w:val="18"/>
              </w:rPr>
              <w:t> </w:t>
            </w:r>
            <w:r>
              <w:rPr>
                <w:rFonts w:ascii="Times New Roman"/>
                <w:sz w:val="18"/>
              </w:rPr>
              <w:t>Digital</w:t>
            </w:r>
            <w:r>
              <w:rPr>
                <w:rFonts w:ascii="Times New Roman"/>
                <w:w w:val="101"/>
                <w:sz w:val="18"/>
              </w:rPr>
              <w:t> </w:t>
            </w:r>
            <w:r>
              <w:rPr>
                <w:rFonts w:ascii="Times New Roman"/>
                <w:sz w:val="18"/>
              </w:rPr>
              <w:t>Limited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28,751,208.36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15,493,893.94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客户出现财务困难</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28,751,208.36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15,493,893.94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53"/>
        <w:ind w:right="0"/>
        <w:jc w:val="left"/>
      </w:pPr>
      <w:r>
        <w:rPr>
          <w:spacing w:val="-3"/>
        </w:rPr>
        <w:t>组合中，按账龄分析法计提坏账准备的应收账款：</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118" w:space="4709"/>
            <w:col w:w="1123"/>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134,821,001.30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6,741,050.07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18,646.56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3,729.31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13,162.82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6,581.41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1,172,933.59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1,172,933.59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136,025,744.27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7,924,294.38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5.83%</w:t>
            </w:r>
          </w:p>
        </w:tc>
      </w:tr>
    </w:tbl>
    <w:p>
      <w:pPr>
        <w:pStyle w:val="BodyText"/>
        <w:spacing w:line="360" w:lineRule="auto" w:before="53"/>
        <w:ind w:right="0"/>
        <w:jc w:val="left"/>
      </w:pPr>
      <w:r>
        <w:rPr>
          <w:spacing w:val="-3"/>
        </w:rPr>
        <w:t>确定该组合依据的说明：</w:t>
      </w:r>
      <w:r>
        <w:rPr>
          <w:spacing w:val="-56"/>
        </w:rPr>
        <w:t> </w:t>
      </w:r>
      <w:r>
        <w:rPr>
          <w:spacing w:val="-56"/>
        </w:rPr>
      </w:r>
      <w:r>
        <w:rPr>
          <w:spacing w:val="-3"/>
        </w:rPr>
        <w:t>本公司根据以往的历史经验对应收款项计提比例作出最佳估计，参考应收款项的账龄进行信用风险组合分类。</w:t>
      </w:r>
      <w:r>
        <w:rPr>
          <w:spacing w:val="49"/>
        </w:rPr>
        <w:t> </w:t>
      </w:r>
      <w:r>
        <w:rPr>
          <w:spacing w:val="49"/>
        </w:rPr>
      </w:r>
      <w:r>
        <w:rPr>
          <w:spacing w:val="-3"/>
        </w:rPr>
        <w:t>组合中，采用余额百分比法计提坏账准备的应收账款：</w:t>
      </w:r>
    </w:p>
    <w:p>
      <w:pPr>
        <w:pStyle w:val="BodyText"/>
        <w:spacing w:line="240" w:lineRule="auto" w:before="2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pStyle w:val="BodyText"/>
        <w:spacing w:line="343" w:lineRule="auto" w:before="46"/>
        <w:ind w:left="153" w:right="-8" w:hanging="1"/>
        <w:jc w:val="left"/>
      </w:pPr>
      <w:r>
        <w:rPr/>
        <w:t>本期计提坏账准备金额</w:t>
      </w:r>
      <w:r>
        <w:rPr>
          <w:spacing w:val="-35"/>
        </w:rPr>
        <w:t> </w:t>
      </w:r>
      <w:r>
        <w:rPr>
          <w:rFonts w:ascii="Times New Roman" w:hAnsi="Times New Roman" w:cs="Times New Roman" w:eastAsia="Times New Roman" w:hint="default"/>
        </w:rPr>
        <w:t>3,891,732.02</w:t>
      </w:r>
      <w:r>
        <w:rPr>
          <w:rFonts w:ascii="Times New Roman" w:hAnsi="Times New Roman" w:cs="Times New Roman" w:eastAsia="Times New Roman" w:hint="default"/>
          <w:spacing w:val="10"/>
        </w:rPr>
        <w:t> </w:t>
      </w:r>
      <w:r>
        <w:rPr>
          <w:spacing w:val="-3"/>
        </w:rPr>
        <w:t>元；本期收回或转回坏账准备金额</w:t>
      </w:r>
      <w:r>
        <w:rPr>
          <w:spacing w:val="-35"/>
        </w:rPr>
        <w:t> </w:t>
      </w:r>
      <w:r>
        <w:rPr>
          <w:rFonts w:ascii="Times New Roman" w:hAnsi="Times New Roman" w:cs="Times New Roman" w:eastAsia="Times New Roman" w:hint="default"/>
        </w:rPr>
        <w:t>1,165,458.12</w:t>
      </w:r>
      <w:r>
        <w:rPr>
          <w:rFonts w:ascii="Times New Roman" w:hAnsi="Times New Roman" w:cs="Times New Roman" w:eastAsia="Times New Roman" w:hint="default"/>
          <w:spacing w:val="10"/>
        </w:rPr>
        <w:t> </w:t>
      </w:r>
      <w:r>
        <w:rPr/>
        <w:t>元。</w:t>
      </w:r>
      <w:r>
        <w:rPr>
          <w:spacing w:val="-88"/>
        </w:rPr>
        <w:t> </w:t>
      </w:r>
      <w:r>
        <w:rPr>
          <w:spacing w:val="-3"/>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7090" w:space="1738"/>
            <w:col w:w="1122"/>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173,790.14</w:t>
            </w:r>
          </w:p>
        </w:tc>
      </w:tr>
    </w:tbl>
    <w:p>
      <w:pPr>
        <w:pStyle w:val="BodyText"/>
        <w:spacing w:line="240" w:lineRule="auto" w:before="54"/>
        <w:ind w:right="0"/>
        <w:jc w:val="left"/>
      </w:pPr>
      <w:r>
        <w:rPr>
          <w:spacing w:val="-3"/>
        </w:rPr>
        <w:t>其中重要的应收账款核销情况：</w:t>
      </w:r>
    </w:p>
    <w:p>
      <w:pPr>
        <w:pStyle w:val="BodyText"/>
        <w:spacing w:line="240" w:lineRule="auto" w:before="119"/>
        <w:ind w:left="0" w:right="145"/>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深圳三升高科技股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应收销售款项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确定无法收回的呆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2"/>
                <w:sz w:val="18"/>
                <w:szCs w:val="18"/>
              </w:rPr>
              <w:t>公司内部审批程序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107,150.00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4"/>
        <w:ind w:right="0"/>
        <w:jc w:val="left"/>
      </w:pPr>
      <w:r>
        <w:rPr>
          <w:spacing w:val="-3"/>
        </w:rPr>
        <w:t>应收账款核销说明：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3" w:type="dxa"/>
        <w:tblLayout w:type="fixed"/>
        <w:tblCellMar>
          <w:top w:w="0" w:type="dxa"/>
          <w:left w:w="0" w:type="dxa"/>
          <w:bottom w:w="0" w:type="dxa"/>
          <w:right w:w="0" w:type="dxa"/>
        </w:tblCellMar>
        <w:tblLook w:val="01E0"/>
      </w:tblPr>
      <w:tblGrid>
        <w:gridCol w:w="2942"/>
        <w:gridCol w:w="1987"/>
        <w:gridCol w:w="1555"/>
        <w:gridCol w:w="1990"/>
      </w:tblGrid>
      <w:tr>
        <w:trPr>
          <w:trHeight w:val="670" w:hRule="exact"/>
        </w:trPr>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78" w:right="41" w:hanging="22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占应收账款期末余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19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pacing w:val="-3"/>
                <w:sz w:val="18"/>
                <w:szCs w:val="18"/>
              </w:rPr>
              <w:t>已计提坏账准备</w:t>
            </w:r>
          </w:p>
        </w:tc>
      </w:tr>
      <w:tr>
        <w:trPr>
          <w:trHeight w:val="350" w:hRule="exact"/>
        </w:trPr>
        <w:tc>
          <w:tcPr>
            <w:tcW w:w="2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49,932,309.70</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30.22</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2,496,615.49</w:t>
            </w:r>
          </w:p>
        </w:tc>
      </w:tr>
      <w:tr>
        <w:trPr>
          <w:trHeight w:val="350" w:hRule="exact"/>
        </w:trPr>
        <w:tc>
          <w:tcPr>
            <w:tcW w:w="2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28,751,208.36</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17.40</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15,493,893.94</w:t>
            </w:r>
          </w:p>
        </w:tc>
      </w:tr>
      <w:tr>
        <w:trPr>
          <w:trHeight w:val="355" w:hRule="exact"/>
        </w:trPr>
        <w:tc>
          <w:tcPr>
            <w:tcW w:w="2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14,965,831.07</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z w:val="18"/>
              </w:rPr>
              <w:t>9.06</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748,291.55</w:t>
            </w:r>
          </w:p>
        </w:tc>
      </w:tr>
      <w:tr>
        <w:trPr>
          <w:trHeight w:val="350" w:hRule="exact"/>
        </w:trPr>
        <w:tc>
          <w:tcPr>
            <w:tcW w:w="2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12,028,128.64</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z w:val="18"/>
              </w:rPr>
              <w:t>7.28</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601,406.43</w:t>
            </w:r>
          </w:p>
        </w:tc>
      </w:tr>
      <w:tr>
        <w:trPr>
          <w:trHeight w:val="350" w:hRule="exact"/>
        </w:trPr>
        <w:tc>
          <w:tcPr>
            <w:tcW w:w="2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10,180,800.00</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z w:val="18"/>
              </w:rPr>
              <w:t>6.16</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509,040.00</w:t>
            </w:r>
          </w:p>
        </w:tc>
      </w:tr>
      <w:tr>
        <w:trPr>
          <w:trHeight w:val="355" w:hRule="exact"/>
        </w:trPr>
        <w:tc>
          <w:tcPr>
            <w:tcW w:w="29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115,858,277.77</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70.12</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19,849,247.41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4"/>
        <w:spacing w:line="335" w:lineRule="exact"/>
        <w:ind w:left="512" w:right="0" w:hanging="36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2" w:right="0"/>
        <w:jc w:val="left"/>
      </w:pPr>
      <w:r>
        <w:rPr>
          <w:spacing w:val="-3"/>
        </w:rPr>
        <w:t>期末无因金融资产转移而终止确认的应收款项。</w:t>
      </w:r>
    </w:p>
    <w:p>
      <w:pPr>
        <w:spacing w:after="0" w:line="240" w:lineRule="auto"/>
        <w:jc w:val="left"/>
        <w:sectPr>
          <w:type w:val="continuous"/>
          <w:pgSz w:w="11910" w:h="16840"/>
          <w:pgMar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561" w:lineRule="auto"/>
        <w:ind w:left="512" w:right="3926"/>
        <w:jc w:val="left"/>
        <w:rPr>
          <w:rFonts w:ascii="Microsoft JhengHei" w:hAnsi="Microsoft JhengHei" w:cs="Microsoft JhengHei" w:eastAsia="Microsoft JhengHei" w:hint="default"/>
        </w:rPr>
      </w:pPr>
      <w:r>
        <w:rPr>
          <w:spacing w:val="-3"/>
        </w:rPr>
        <w:t>期末无转移应收款项且继续涉入而形成的资产、负债的金额。</w:t>
      </w:r>
      <w:r>
        <w:rPr>
          <w:spacing w:val="-10"/>
        </w:rPr>
        <w:t> </w:t>
      </w:r>
      <w:r>
        <w:rPr>
          <w:spacing w:val="-10"/>
        </w:rPr>
      </w:r>
      <w:r>
        <w:rPr>
          <w:rFonts w:ascii="Microsoft JhengHei" w:hAnsi="Microsoft JhengHei" w:cs="Microsoft JhengHei" w:eastAsia="Microsoft JhengHei" w:hint="default"/>
          <w:b/>
          <w:bCs/>
        </w:rPr>
        <w:t>其他说明：</w:t>
      </w:r>
      <w:r>
        <w:rPr>
          <w:rFonts w:ascii="Microsoft JhengHei" w:hAnsi="Microsoft JhengHei" w:cs="Microsoft JhengHei" w:eastAsia="Microsoft JhengHei" w:hint="default"/>
        </w:rPr>
      </w:r>
    </w:p>
    <w:p>
      <w:pPr>
        <w:pStyle w:val="BodyText"/>
        <w:spacing w:line="240" w:lineRule="auto" w:before="37"/>
        <w:ind w:left="512" w:right="0"/>
        <w:jc w:val="left"/>
      </w:pPr>
      <w:r>
        <w:rPr>
          <w:spacing w:val="-3"/>
        </w:rPr>
        <w:t>本期无其他需要说明的事项。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398"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583,118.30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1,216,916.21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99.67%</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0.59%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683,118.30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1,220,916.21</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pStyle w:val="Heading4"/>
        <w:spacing w:line="240" w:lineRule="auto" w:before="9"/>
        <w:ind w:right="0"/>
        <w:jc w:val="left"/>
        <w:rPr>
          <w:b w:val="0"/>
          <w:bCs w:val="0"/>
        </w:rPr>
      </w:pPr>
      <w:r>
        <w:rPr/>
        <w:t>期末无账龄超过一年且金额重要的预付款项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3" w:type="dxa"/>
        <w:tblLayout w:type="fixed"/>
        <w:tblCellMar>
          <w:top w:w="0" w:type="dxa"/>
          <w:left w:w="0" w:type="dxa"/>
          <w:bottom w:w="0" w:type="dxa"/>
          <w:right w:w="0" w:type="dxa"/>
        </w:tblCellMar>
        <w:tblLook w:val="01E0"/>
      </w:tblPr>
      <w:tblGrid>
        <w:gridCol w:w="2458"/>
        <w:gridCol w:w="1277"/>
        <w:gridCol w:w="1478"/>
        <w:gridCol w:w="1272"/>
        <w:gridCol w:w="2047"/>
      </w:tblGrid>
      <w:tr>
        <w:trPr>
          <w:trHeight w:val="665" w:hRule="exact"/>
        </w:trPr>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417" w:right="2" w:hanging="40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占预付账款总额的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20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5"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无锡供电公司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148,631.89</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21.76</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20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2"/>
              <w:jc w:val="right"/>
              <w:rPr>
                <w:rFonts w:ascii="宋体" w:hAnsi="宋体" w:cs="宋体" w:eastAsia="宋体" w:hint="default"/>
                <w:sz w:val="18"/>
                <w:szCs w:val="18"/>
              </w:rPr>
            </w:pPr>
            <w:r>
              <w:rPr>
                <w:rFonts w:ascii="宋体" w:hAnsi="宋体" w:cs="宋体" w:eastAsia="宋体" w:hint="default"/>
                <w:spacing w:val="-2"/>
                <w:sz w:val="18"/>
                <w:szCs w:val="18"/>
              </w:rPr>
              <w:t>预付电费</w:t>
            </w:r>
          </w:p>
        </w:tc>
      </w:tr>
      <w:tr>
        <w:trPr>
          <w:trHeight w:val="66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4" w:right="151"/>
              <w:jc w:val="left"/>
              <w:rPr>
                <w:rFonts w:ascii="宋体" w:hAnsi="宋体" w:cs="宋体" w:eastAsia="宋体" w:hint="default"/>
                <w:sz w:val="18"/>
                <w:szCs w:val="18"/>
              </w:rPr>
            </w:pPr>
            <w:r>
              <w:rPr>
                <w:rFonts w:ascii="宋体" w:hAnsi="宋体" w:cs="宋体" w:eastAsia="宋体" w:hint="default"/>
                <w:spacing w:val="-3"/>
                <w:sz w:val="18"/>
                <w:szCs w:val="18"/>
              </w:rPr>
              <w:t>英飞特电子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股份有限公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145,515.00</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21.30</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20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pacing w:val="-2"/>
                <w:sz w:val="18"/>
                <w:szCs w:val="18"/>
              </w:rPr>
              <w:t>材料未到</w:t>
            </w:r>
          </w:p>
        </w:tc>
      </w:tr>
      <w:tr>
        <w:trPr>
          <w:trHeight w:val="350"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浙江天猫技术有限公司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80,000.00</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11.71</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20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pacing w:val="-2"/>
                <w:sz w:val="18"/>
                <w:szCs w:val="18"/>
              </w:rPr>
              <w:t>预付平台费</w:t>
            </w:r>
          </w:p>
        </w:tc>
      </w:tr>
      <w:tr>
        <w:trPr>
          <w:trHeight w:val="355"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万世威电子（香港）有限公司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74,426.62</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10.90</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20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2"/>
              <w:jc w:val="right"/>
              <w:rPr>
                <w:rFonts w:ascii="宋体" w:hAnsi="宋体" w:cs="宋体" w:eastAsia="宋体" w:hint="default"/>
                <w:sz w:val="18"/>
                <w:szCs w:val="18"/>
              </w:rPr>
            </w:pPr>
            <w:r>
              <w:rPr>
                <w:rFonts w:ascii="宋体" w:hAnsi="宋体" w:cs="宋体" w:eastAsia="宋体" w:hint="default"/>
                <w:spacing w:val="-2"/>
                <w:sz w:val="18"/>
                <w:szCs w:val="18"/>
              </w:rPr>
              <w:t>材料未到</w:t>
            </w:r>
          </w:p>
        </w:tc>
      </w:tr>
      <w:tr>
        <w:trPr>
          <w:trHeight w:val="350"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上海海关</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44,920.41</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6.58</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p>
        </w:tc>
        <w:tc>
          <w:tcPr>
            <w:tcW w:w="20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pacing w:val="-2"/>
                <w:sz w:val="18"/>
                <w:szCs w:val="18"/>
              </w:rPr>
              <w:t>预付进口税金</w:t>
            </w:r>
          </w:p>
        </w:tc>
      </w:tr>
      <w:tr>
        <w:trPr>
          <w:trHeight w:val="355"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493,493.92</w:t>
            </w:r>
          </w:p>
        </w:tc>
        <w:tc>
          <w:tcPr>
            <w:tcW w:w="14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72.25</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3"/>
                <w:sz w:val="18"/>
              </w:rPr>
              <w:t>---</w:t>
            </w:r>
          </w:p>
        </w:tc>
        <w:tc>
          <w:tcPr>
            <w:tcW w:w="204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3"/>
                <w:sz w:val="18"/>
              </w:rPr>
              <w:t>---</w:t>
            </w:r>
          </w:p>
        </w:tc>
      </w:tr>
    </w:tbl>
    <w:p>
      <w:pPr>
        <w:spacing w:line="240" w:lineRule="auto" w:before="6"/>
        <w:rPr>
          <w:rFonts w:ascii="Microsoft JhengHei" w:hAnsi="Microsoft JhengHei" w:cs="Microsoft JhengHei" w:eastAsia="Microsoft JhengHei" w:hint="default"/>
          <w:b/>
          <w:bCs/>
          <w:sz w:val="18"/>
          <w:szCs w:val="18"/>
        </w:rPr>
      </w:pPr>
    </w:p>
    <w:p>
      <w:pPr>
        <w:pStyle w:val="BodyText"/>
        <w:spacing w:line="352" w:lineRule="auto" w:before="46"/>
        <w:ind w:right="6788"/>
        <w:jc w:val="left"/>
      </w:pPr>
      <w:r>
        <w:rPr/>
        <w:t>其他说明：</w:t>
      </w:r>
      <w:r>
        <w:rPr>
          <w:w w:val="101"/>
        </w:rPr>
        <w:t> </w:t>
      </w:r>
      <w:r>
        <w:rPr>
          <w:spacing w:val="-3"/>
        </w:rPr>
        <w:t>本期无其他需要说明的事项</w:t>
      </w:r>
    </w:p>
    <w:p>
      <w:pPr>
        <w:spacing w:after="0" w:line="352" w:lineRule="auto"/>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保证金存款利息</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149,267.63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1,590,202.43</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结构性存款利息</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184,383.56</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2,887,155.74</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333,651.19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4,477,358.17</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352" w:lineRule="auto" w:before="53"/>
        <w:ind w:right="8882"/>
        <w:jc w:val="left"/>
      </w:pPr>
      <w:r>
        <w:rPr>
          <w:spacing w:val="-2"/>
        </w:rPr>
        <w:t>其他说明：</w:t>
      </w:r>
      <w:r>
        <w:rPr>
          <w:spacing w:val="-78"/>
        </w:rPr>
        <w:t> </w:t>
      </w:r>
      <w:r>
        <w:rPr>
          <w:spacing w:val="-78"/>
        </w:rPr>
      </w:r>
      <w:r>
        <w:rPr/>
        <w:t>无</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8"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3"/>
              <w:ind w:left="23"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11,353,9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07.15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11,195,70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1,695,3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93,893.35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1,601,449.4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66,613.5</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66,613.5</w:t>
            </w: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11,420,5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11,195,70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center"/>
              <w:rPr>
                <w:rFonts w:ascii="Times New Roman" w:hAnsi="Times New Roman" w:cs="Times New Roman" w:eastAsia="Times New Roman" w:hint="default"/>
                <w:sz w:val="18"/>
                <w:szCs w:val="18"/>
              </w:rPr>
            </w:pPr>
            <w:r>
              <w:rPr>
                <w:rFonts w:ascii="Times New Roman"/>
                <w:sz w:val="18"/>
              </w:rPr>
              <w:t>1,695,3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42.83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93,893.35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1,601,449.4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pStyle w:val="BodyText"/>
        <w:spacing w:line="240" w:lineRule="auto" w:before="53"/>
        <w:ind w:right="0"/>
        <w:jc w:val="left"/>
      </w:pPr>
      <w:r>
        <w:rPr>
          <w:spacing w:val="-3"/>
        </w:rPr>
        <w:t>期末单项金额重大并单项计提坏账准备的其他应收款：</w:t>
      </w:r>
    </w:p>
    <w:p>
      <w:pPr>
        <w:pStyle w:val="BodyText"/>
        <w:spacing w:line="338"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组合中，按账龄分析法计提坏账准备的其他应收款：</w:t>
      </w:r>
    </w:p>
    <w:p>
      <w:pPr>
        <w:pStyle w:val="BodyText"/>
        <w:spacing w:line="240" w:lineRule="auto" w:before="4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478" w:space="4349"/>
            <w:col w:w="1123"/>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796,055.90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39,802.79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410,703.38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82,140.68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16,010.00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16,010.00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1,263,269.28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158,203.47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12.52%</w:t>
            </w:r>
          </w:p>
        </w:tc>
      </w:tr>
    </w:tbl>
    <w:p>
      <w:pPr>
        <w:pStyle w:val="BodyText"/>
        <w:spacing w:line="362" w:lineRule="auto" w:before="53"/>
        <w:ind w:right="5308"/>
        <w:jc w:val="left"/>
      </w:pPr>
      <w:r>
        <w:rPr>
          <w:spacing w:val="-3"/>
        </w:rPr>
        <w:t>确定该组合依据的说明：</w:t>
      </w:r>
      <w:r>
        <w:rPr>
          <w:spacing w:val="-56"/>
        </w:rPr>
        <w:t> </w:t>
      </w:r>
      <w:r>
        <w:rPr>
          <w:spacing w:val="-56"/>
        </w:rPr>
      </w:r>
      <w:r>
        <w:rPr>
          <w:spacing w:val="-3"/>
        </w:rPr>
        <w:t>组合中，采用余额百分比法计提坏账准备的其他应收款：</w:t>
      </w:r>
    </w:p>
    <w:p>
      <w:pPr>
        <w:pStyle w:val="BodyText"/>
        <w:spacing w:line="338" w:lineRule="auto" w:before="23"/>
        <w:ind w:right="5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4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pStyle w:val="BodyText"/>
        <w:spacing w:line="338" w:lineRule="auto" w:before="46"/>
        <w:ind w:right="-9"/>
        <w:jc w:val="left"/>
      </w:pPr>
      <w:r>
        <w:rPr/>
        <w:t>本期计提坏账准备金额</w:t>
      </w:r>
      <w:r>
        <w:rPr>
          <w:spacing w:val="-35"/>
        </w:rPr>
        <w:t> </w:t>
      </w:r>
      <w:r>
        <w:rPr>
          <w:rFonts w:ascii="Times New Roman" w:hAnsi="Times New Roman" w:cs="Times New Roman" w:eastAsia="Times New Roman" w:hint="default"/>
        </w:rPr>
        <w:t>133,130.38</w:t>
      </w:r>
      <w:r>
        <w:rPr>
          <w:rFonts w:ascii="Times New Roman" w:hAnsi="Times New Roman" w:cs="Times New Roman" w:eastAsia="Times New Roman" w:hint="default"/>
          <w:spacing w:val="10"/>
        </w:rPr>
        <w:t> </w:t>
      </w:r>
      <w:r>
        <w:rPr>
          <w:spacing w:val="-3"/>
        </w:rPr>
        <w:t>元；本期收回或转回坏账准备金额</w:t>
      </w:r>
      <w:r>
        <w:rPr>
          <w:spacing w:val="-35"/>
        </w:rPr>
        <w:t> </w:t>
      </w:r>
      <w:r>
        <w:rPr>
          <w:rFonts w:ascii="Times New Roman" w:hAnsi="Times New Roman" w:cs="Times New Roman" w:eastAsia="Times New Roman" w:hint="default"/>
        </w:rPr>
        <w:t>2,206.61</w:t>
      </w:r>
      <w:r>
        <w:rPr>
          <w:rFonts w:ascii="Times New Roman" w:hAnsi="Times New Roman" w:cs="Times New Roman" w:eastAsia="Times New Roman" w:hint="default"/>
          <w:spacing w:val="10"/>
        </w:rPr>
        <w:t> </w:t>
      </w:r>
      <w:r>
        <w:rPr>
          <w:spacing w:val="-3"/>
        </w:rPr>
        <w:t>元。</w:t>
      </w:r>
      <w:r>
        <w:rPr>
          <w:spacing w:val="-88"/>
        </w:rPr>
        <w:t> </w:t>
      </w:r>
      <w:r>
        <w:rPr>
          <w:spacing w:val="-88"/>
        </w:rPr>
      </w:r>
      <w:r>
        <w:rPr>
          <w:spacing w:val="-3"/>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6633" w:space="2194"/>
            <w:col w:w="1123"/>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0"/>
        <w:jc w:val="left"/>
      </w:pPr>
      <w:r>
        <w:rPr>
          <w:spacing w:val="-3"/>
        </w:rPr>
        <w:t>其中重要的其他应收款核销情况：</w:t>
      </w:r>
    </w:p>
    <w:p>
      <w:pPr>
        <w:pStyle w:val="BodyText"/>
        <w:spacing w:line="240" w:lineRule="auto" w:before="119"/>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1"/>
        <w:gridCol w:w="1598"/>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t>其他应收款核销说明：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11,109,344.06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900,461.87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86,699.06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171,071.83</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44,877.00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53,488.70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3,938.81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357,547.07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175,661.74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212,773.36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11,420,520.67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1,695,342.83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4"/>
        <w:gridCol w:w="1598"/>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72" w:right="71"/>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pacing w:val="-2"/>
                <w:sz w:val="18"/>
                <w:szCs w:val="18"/>
              </w:rPr>
              <w:t>坏账准备期末余额</w:t>
            </w:r>
          </w:p>
        </w:tc>
      </w:tr>
      <w:tr>
        <w:trPr>
          <w:trHeight w:val="359"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无锡市新区鸿山街</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9"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道办事处土地资金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土地款保证金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87.56%</w:t>
            </w:r>
          </w:p>
        </w:tc>
        <w:tc>
          <w:tcPr>
            <w:tcW w:w="1594" w:type="dxa"/>
            <w:vMerge/>
            <w:tcBorders>
              <w:left w:val="single" w:sz="4" w:space="0" w:color="000000"/>
              <w:right w:val="single" w:sz="4" w:space="0" w:color="000000"/>
            </w:tcBorders>
          </w:tcPr>
          <w:p>
            <w:pPr/>
          </w:p>
        </w:tc>
      </w:tr>
      <w:tr>
        <w:trPr>
          <w:trHeight w:val="349"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管理办公室</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57"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无锡市人民政府新</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区管理委员会财政</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322,790.00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2.83%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pacing w:val="-1"/>
                <w:sz w:val="18"/>
              </w:rPr>
              <w:t>16,139.50</w:t>
            </w:r>
          </w:p>
        </w:tc>
      </w:tr>
      <w:tr>
        <w:trPr>
          <w:trHeight w:val="351"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局</w:t>
            </w:r>
            <w:r>
              <w:rPr>
                <w:rFonts w:ascii="宋体" w:hAnsi="宋体" w:cs="宋体" w:eastAsia="宋体" w:hint="default"/>
                <w:sz w:val="18"/>
                <w:szCs w:val="18"/>
              </w:rPr>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深圳市住房和建设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207,263.00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41,452.60</w:t>
            </w:r>
          </w:p>
        </w:tc>
      </w:tr>
      <w:tr>
        <w:trPr>
          <w:trHeight w:val="362"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新余久益投资管理</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合伙企业（有限合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106,000.00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5,300.00</w:t>
            </w:r>
          </w:p>
        </w:tc>
      </w:tr>
      <w:tr>
        <w:trPr>
          <w:trHeight w:val="346"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天猫商城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10,716,053.00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78,892.10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4"/>
        <w:rPr>
          <w:rFonts w:ascii="宋体" w:hAnsi="宋体" w:cs="宋体" w:eastAsia="宋体" w:hint="default"/>
          <w:sz w:val="5"/>
          <w:szCs w:val="5"/>
        </w:rPr>
      </w:pPr>
    </w:p>
    <w:p>
      <w:pPr>
        <w:pStyle w:val="Heading5"/>
        <w:spacing w:line="240" w:lineRule="auto" w:before="36"/>
        <w:ind w:right="0"/>
        <w:jc w:val="left"/>
      </w:pPr>
      <w:r>
        <w:rPr/>
        <w:t>期末无涉及政府补助的应收款项。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line="444" w:lineRule="auto" w:before="0"/>
        <w:ind w:left="152" w:right="122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）因金融资产转移而终止确认的其他应收款</w:t>
      </w:r>
      <w:r>
        <w:rPr>
          <w:rFonts w:ascii="Microsoft JhengHei" w:hAnsi="Microsoft JhengHei" w:cs="Microsoft JhengHei" w:eastAsia="Microsoft JhengHei" w:hint="default"/>
          <w:b/>
          <w:bCs/>
          <w:spacing w:val="-34"/>
          <w:sz w:val="21"/>
          <w:szCs w:val="21"/>
        </w:rPr>
        <w:t> </w:t>
      </w:r>
      <w:r>
        <w:rPr>
          <w:rFonts w:ascii="Microsoft JhengHei" w:hAnsi="Microsoft JhengHei" w:cs="Microsoft JhengHei" w:eastAsia="Microsoft JhengHei" w:hint="default"/>
          <w:b/>
          <w:bCs/>
          <w:spacing w:val="-34"/>
          <w:sz w:val="21"/>
          <w:szCs w:val="21"/>
        </w:rPr>
      </w:r>
      <w:r>
        <w:rPr>
          <w:rFonts w:ascii="宋体" w:hAnsi="宋体" w:cs="宋体" w:eastAsia="宋体" w:hint="default"/>
          <w:spacing w:val="-2"/>
          <w:sz w:val="21"/>
          <w:szCs w:val="21"/>
        </w:rPr>
        <w:t>期末无因金融资产转移而终止确认的其他应收款项情况。</w:t>
      </w:r>
    </w:p>
    <w:p>
      <w:pPr>
        <w:spacing w:after="0" w:line="444" w:lineRule="auto"/>
        <w:jc w:val="left"/>
        <w:rPr>
          <w:rFonts w:ascii="宋体" w:hAnsi="宋体" w:cs="宋体" w:eastAsia="宋体" w:hint="default"/>
          <w:sz w:val="21"/>
          <w:szCs w:val="21"/>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Heading5"/>
        <w:spacing w:line="240" w:lineRule="auto"/>
        <w:ind w:right="0"/>
        <w:jc w:val="left"/>
      </w:pPr>
      <w:r>
        <w:rPr/>
        <w:t>期末无转移其他应收款且继续涉入而形成的资产、负债的金额。</w:t>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其他说明：</w:t>
      </w:r>
    </w:p>
    <w:p>
      <w:pPr>
        <w:pStyle w:val="Heading5"/>
        <w:spacing w:line="240" w:lineRule="auto" w:before="84"/>
        <w:ind w:right="0"/>
        <w:jc w:val="left"/>
      </w:pPr>
      <w:r>
        <w:rPr/>
        <w:t>本期无其他需要说明的事项。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24,694,179.28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12,032,930.89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12,661,248.39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46,232,140.94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19,926,737.19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26,305,403.75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5,493,163.39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943,270.09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4,549,893.30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12,560,976.72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623,912.64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11,937,064.08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16,338,372.36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6,520,418.93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9,817,953.43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20,386,655.18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6,128,906.46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14,257,748.72</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300,875.45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300,875.45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399,818.94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399,818.94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46,826,590.48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19,496,619.91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27,329,970.57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79,579,591.78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26,679,556.29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52,900,035.49</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19,926,737.19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3,161,939.47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11,055,745.77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12,032,930.89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623,912.64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394,921.83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75,564.38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943,270.09</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6,128,906.46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5,676,903.34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5,285,390.87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6,520,418.93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26,679,556.29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9,233,764.64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16,416,701.02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19,496,619.91</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5"/>
        <w:spacing w:line="240" w:lineRule="auto"/>
        <w:ind w:right="0"/>
        <w:jc w:val="left"/>
      </w:pPr>
      <w:r>
        <w:rPr/>
        <w:t>存货期末余额不含有借款费用资本化金额。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4762;top:14;width:24;height:394" coordorigin="4762,14" coordsize="24,394">
              <v:shape style="position:absolute;left:4762;top:14;width:24;height:394" coordorigin="4762,14" coordsize="24,394" path="m4762,408l4786,408,4786,14,4762,14,4762,408xe" filled="true" fillcolor="#d3d3d3"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3d3d3" stroked="false">
                <v:path arrowok="t"/>
                <v:fill type="solid"/>
              </v:shape>
            </v:group>
            <v:group style="position:absolute;left:34;top:14;width:4728;height:394" coordorigin="34,14" coordsize="4728,394">
              <v:shape style="position:absolute;left:34;top:14;width:4728;height:394" coordorigin="34,14" coordsize="4728,394" path="m34,408l4762,408,4762,14,34,14,34,408xe" filled="true" fillcolor="#d3d3d3" stroked="false">
                <v:path arrowok="t"/>
                <v:fill type="solid"/>
              </v:shape>
            </v:group>
            <v:group style="position:absolute;left:4795;top:14;width:24;height:394" coordorigin="4795,14" coordsize="24,394">
              <v:shape style="position:absolute;left:4795;top:14;width:24;height:394" coordorigin="4795,14" coordsize="24,394" path="m4795,408l4819,408,4819,14,4795,14,4795,408xe" filled="true" fillcolor="#d3d3d3"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3d3d3" stroked="false">
                <v:path arrowok="t"/>
                <v:fill type="solid"/>
              </v:shape>
            </v:group>
            <v:group style="position:absolute;left:4819;top:14;width:4728;height:394" coordorigin="4819,14" coordsize="4728,394">
              <v:shape style="position:absolute;left:4819;top:14;width:4728;height:394" coordorigin="4819,14" coordsize="4728,394" path="m4819,408l9547,408,9547,14,4819,14,4819,408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8;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2,437,785.63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3,963,602.44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以抵销后净额列示的所得税预缴税额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未到期理财产品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2,437,785.63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107,971,602.44</w:t>
            </w:r>
          </w:p>
        </w:tc>
      </w:tr>
    </w:tbl>
    <w:p>
      <w:pPr>
        <w:pStyle w:val="BodyText"/>
        <w:spacing w:line="357" w:lineRule="auto" w:before="53"/>
        <w:ind w:right="8882"/>
        <w:jc w:val="left"/>
      </w:pPr>
      <w:r>
        <w:rPr>
          <w:spacing w:val="-2"/>
        </w:rPr>
        <w:t>其他说明：</w:t>
      </w:r>
      <w:r>
        <w:rPr>
          <w:spacing w:val="-78"/>
        </w:rPr>
        <w:t> </w:t>
      </w:r>
      <w:r>
        <w:rPr>
          <w:spacing w:val="-78"/>
        </w:rPr>
      </w:r>
      <w:r>
        <w:rPr/>
        <w:t>无</w:t>
      </w:r>
    </w:p>
    <w:p>
      <w:pPr>
        <w:spacing w:line="240" w:lineRule="auto" w:before="2"/>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2"/>
        <w:gridCol w:w="1195"/>
        <w:gridCol w:w="1195"/>
        <w:gridCol w:w="1195"/>
        <w:gridCol w:w="1248"/>
        <w:gridCol w:w="1368"/>
        <w:gridCol w:w="1368"/>
      </w:tblGrid>
      <w:tr>
        <w:trPr>
          <w:trHeight w:val="401" w:hRule="exact"/>
        </w:trPr>
        <w:tc>
          <w:tcPr>
            <w:tcW w:w="2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02"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26,769,812.94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center"/>
              <w:rPr>
                <w:rFonts w:ascii="Times New Roman" w:hAnsi="Times New Roman" w:cs="Times New Roman" w:eastAsia="Times New Roman" w:hint="default"/>
                <w:sz w:val="18"/>
                <w:szCs w:val="18"/>
              </w:rPr>
            </w:pPr>
            <w:r>
              <w:rPr>
                <w:rFonts w:ascii="Times New Roman"/>
                <w:sz w:val="18"/>
              </w:rPr>
              <w:t>13,769,812.94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center"/>
              <w:rPr>
                <w:rFonts w:ascii="Times New Roman" w:hAnsi="Times New Roman" w:cs="Times New Roman" w:eastAsia="Times New Roman" w:hint="default"/>
                <w:sz w:val="18"/>
                <w:szCs w:val="18"/>
              </w:rPr>
            </w:pPr>
            <w:r>
              <w:rPr>
                <w:rFonts w:ascii="Times New Roman"/>
                <w:sz w:val="18"/>
              </w:rPr>
              <w:t>13,000,000.00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17,159,253.63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14,159,253.63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8"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26,769,812.94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center"/>
              <w:rPr>
                <w:rFonts w:ascii="Times New Roman" w:hAnsi="Times New Roman" w:cs="Times New Roman" w:eastAsia="Times New Roman" w:hint="default"/>
                <w:sz w:val="18"/>
                <w:szCs w:val="18"/>
              </w:rPr>
            </w:pPr>
            <w:r>
              <w:rPr>
                <w:rFonts w:ascii="Times New Roman"/>
                <w:sz w:val="18"/>
              </w:rPr>
              <w:t>13,769,812.94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center"/>
              <w:rPr>
                <w:rFonts w:ascii="Times New Roman" w:hAnsi="Times New Roman" w:cs="Times New Roman" w:eastAsia="Times New Roman" w:hint="default"/>
                <w:sz w:val="18"/>
                <w:szCs w:val="18"/>
              </w:rPr>
            </w:pPr>
            <w:r>
              <w:rPr>
                <w:rFonts w:ascii="Times New Roman"/>
                <w:sz w:val="18"/>
              </w:rPr>
              <w:t>13,000,000.00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17,159,253.63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14,159,253.63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Times New Roman" w:hAnsi="Times New Roman" w:cs="Times New Roman" w:eastAsia="Times New Roman" w:hint="default"/>
                <w:sz w:val="18"/>
                <w:szCs w:val="18"/>
              </w:rPr>
            </w:pPr>
            <w:r>
              <w:rPr>
                <w:rFonts w:ascii="Times New Roman"/>
                <w:sz w:val="18"/>
              </w:rPr>
              <w:t>26,769,812.94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2" w:right="0"/>
              <w:jc w:val="center"/>
              <w:rPr>
                <w:rFonts w:ascii="Times New Roman" w:hAnsi="Times New Roman" w:cs="Times New Roman" w:eastAsia="Times New Roman" w:hint="default"/>
                <w:sz w:val="18"/>
                <w:szCs w:val="18"/>
              </w:rPr>
            </w:pPr>
            <w:r>
              <w:rPr>
                <w:rFonts w:ascii="Times New Roman"/>
                <w:sz w:val="18"/>
              </w:rPr>
              <w:t>13,769,812.94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center"/>
              <w:rPr>
                <w:rFonts w:ascii="Times New Roman" w:hAnsi="Times New Roman" w:cs="Times New Roman" w:eastAsia="Times New Roman" w:hint="default"/>
                <w:sz w:val="18"/>
                <w:szCs w:val="18"/>
              </w:rPr>
            </w:pPr>
            <w:r>
              <w:rPr>
                <w:rFonts w:ascii="Times New Roman"/>
                <w:sz w:val="18"/>
              </w:rPr>
              <w:t>13,000,000.00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17,159,253.63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14,159,253.63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1123"/>
        <w:gridCol w:w="1133"/>
        <w:gridCol w:w="989"/>
        <w:gridCol w:w="1138"/>
        <w:gridCol w:w="1133"/>
        <w:gridCol w:w="283"/>
        <w:gridCol w:w="994"/>
        <w:gridCol w:w="1133"/>
        <w:gridCol w:w="566"/>
        <w:gridCol w:w="206"/>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6" w:right="60"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43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4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94"/>
              <w:jc w:val="both"/>
              <w:rPr>
                <w:rFonts w:ascii="宋体" w:hAnsi="宋体" w:cs="宋体" w:eastAsia="宋体" w:hint="default"/>
                <w:sz w:val="18"/>
                <w:szCs w:val="18"/>
              </w:rPr>
            </w:pPr>
            <w:r>
              <w:rPr>
                <w:rFonts w:ascii="宋体" w:hAnsi="宋体" w:cs="宋体" w:eastAsia="宋体" w:hint="default"/>
                <w:sz w:val="18"/>
                <w:szCs w:val="18"/>
              </w:rPr>
              <w:t>在被</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单位</w:t>
            </w:r>
            <w:r>
              <w:rPr>
                <w:rFonts w:ascii="宋体" w:hAnsi="宋体" w:cs="宋体" w:eastAsia="宋体" w:hint="default"/>
                <w:spacing w:val="-86"/>
                <w:sz w:val="18"/>
                <w:szCs w:val="18"/>
              </w:rPr>
              <w:t> </w:t>
            </w: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20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24" w:right="-10"/>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现</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红</w:t>
            </w:r>
            <w:r>
              <w:rPr>
                <w:rFonts w:ascii="宋体" w:hAnsi="宋体" w:cs="宋体" w:eastAsia="宋体" w:hint="default"/>
                <w:spacing w:val="-88"/>
                <w:sz w:val="18"/>
                <w:szCs w:val="18"/>
              </w:rPr>
              <w:t> </w:t>
            </w:r>
            <w:r>
              <w:rPr>
                <w:rFonts w:ascii="宋体" w:hAnsi="宋体" w:cs="宋体" w:eastAsia="宋体" w:hint="default"/>
                <w:sz w:val="18"/>
                <w:szCs w:val="18"/>
              </w:rPr>
              <w:t>利</w:t>
            </w:r>
          </w:p>
        </w:tc>
      </w:tr>
      <w:tr>
        <w:trPr>
          <w:trHeight w:val="1560" w:hRule="exact"/>
        </w:trPr>
        <w:tc>
          <w:tcPr>
            <w:tcW w:w="864"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8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8" w:right="41"/>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增</w:t>
            </w:r>
            <w:r>
              <w:rPr>
                <w:rFonts w:ascii="宋体" w:hAnsi="宋体" w:cs="宋体" w:eastAsia="宋体" w:hint="default"/>
                <w:spacing w:val="-88"/>
                <w:sz w:val="18"/>
                <w:szCs w:val="18"/>
              </w:rPr>
              <w:t> </w:t>
            </w:r>
            <w:r>
              <w:rPr>
                <w:rFonts w:ascii="宋体" w:hAnsi="宋体" w:cs="宋体" w:eastAsia="宋体" w:hint="default"/>
                <w:sz w:val="18"/>
                <w:szCs w:val="18"/>
              </w:rPr>
              <w:t>加</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vMerge/>
            <w:tcBorders>
              <w:left w:val="single" w:sz="4" w:space="0" w:color="000000"/>
              <w:bottom w:val="single" w:sz="4" w:space="0" w:color="000000"/>
              <w:right w:val="single" w:sz="4" w:space="0" w:color="000000"/>
            </w:tcBorders>
            <w:shd w:val="clear" w:color="auto" w:fill="D3D3D3"/>
          </w:tcPr>
          <w:p>
            <w:pPr/>
          </w:p>
        </w:tc>
        <w:tc>
          <w:tcPr>
            <w:tcW w:w="206" w:type="dxa"/>
            <w:vMerge/>
            <w:tcBorders>
              <w:left w:val="single" w:sz="4" w:space="0" w:color="000000"/>
              <w:bottom w:val="single" w:sz="4" w:space="0" w:color="000000"/>
              <w:right w:val="single" w:sz="4" w:space="0" w:color="000000"/>
            </w:tcBorders>
            <w:shd w:val="clear" w:color="auto" w:fill="D3D3D3"/>
          </w:tcPr>
          <w:p>
            <w:pPr/>
          </w:p>
        </w:tc>
      </w:tr>
      <w:tr>
        <w:trPr>
          <w:trHeight w:val="10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C2</w:t>
            </w:r>
          </w:p>
          <w:p>
            <w:pPr>
              <w:pStyle w:val="TableParagraph"/>
              <w:spacing w:line="367" w:lineRule="auto" w:before="100"/>
              <w:ind w:left="23" w:right="27"/>
              <w:jc w:val="left"/>
              <w:rPr>
                <w:rFonts w:ascii="Times New Roman" w:hAnsi="Times New Roman" w:cs="Times New Roman" w:eastAsia="Times New Roman" w:hint="default"/>
                <w:sz w:val="18"/>
                <w:szCs w:val="18"/>
              </w:rPr>
            </w:pPr>
            <w:r>
              <w:rPr>
                <w:rFonts w:ascii="Times New Roman"/>
                <w:spacing w:val="-2"/>
                <w:sz w:val="18"/>
              </w:rPr>
              <w:t>Microsyste</w:t>
            </w:r>
            <w:r>
              <w:rPr>
                <w:rFonts w:ascii="Times New Roman"/>
                <w:spacing w:val="-27"/>
                <w:sz w:val="18"/>
              </w:rPr>
              <w:t> </w:t>
            </w:r>
            <w:r>
              <w:rPr>
                <w:rFonts w:ascii="Times New Roman"/>
                <w:spacing w:val="-27"/>
                <w:sz w:val="18"/>
              </w:rPr>
            </w:r>
            <w:r>
              <w:rPr>
                <w:rFonts w:ascii="Times New Roman"/>
                <w:sz w:val="18"/>
              </w:rPr>
              <w:t>m</w:t>
            </w:r>
            <w:r>
              <w:rPr>
                <w:rFonts w:ascii="Times New Roman"/>
                <w:spacing w:val="6"/>
                <w:sz w:val="18"/>
              </w:rPr>
              <w:t> </w:t>
            </w:r>
            <w:r>
              <w:rPr>
                <w:rFonts w:ascii="Times New Roman"/>
                <w:spacing w:val="-3"/>
                <w:sz w:val="18"/>
              </w:rPr>
              <w:t>Inc</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14,159,253.63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389,440.69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13,769,812.94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14,159,253.63</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389,440.69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13,769,812.94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1.39%</w:t>
            </w:r>
          </w:p>
        </w:tc>
        <w:tc>
          <w:tcPr>
            <w:tcW w:w="20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3"/>
              <w:jc w:val="both"/>
              <w:rPr>
                <w:rFonts w:ascii="宋体" w:hAnsi="宋体" w:cs="宋体" w:eastAsia="宋体" w:hint="default"/>
                <w:sz w:val="18"/>
                <w:szCs w:val="18"/>
              </w:rPr>
            </w:pPr>
            <w:r>
              <w:rPr>
                <w:rFonts w:ascii="宋体" w:hAnsi="宋体" w:cs="宋体" w:eastAsia="宋体" w:hint="default"/>
                <w:sz w:val="18"/>
                <w:szCs w:val="18"/>
              </w:rPr>
              <w:t>深圳市电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明科技有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1123"/>
        <w:gridCol w:w="1133"/>
        <w:gridCol w:w="989"/>
        <w:gridCol w:w="1138"/>
        <w:gridCol w:w="1133"/>
        <w:gridCol w:w="283"/>
        <w:gridCol w:w="994"/>
        <w:gridCol w:w="1133"/>
        <w:gridCol w:w="566"/>
        <w:gridCol w:w="206"/>
      </w:tblGrid>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厦门萤火</w:t>
            </w:r>
          </w:p>
        </w:tc>
        <w:tc>
          <w:tcPr>
            <w:tcW w:w="1123" w:type="dxa"/>
            <w:vMerge w:val="restart"/>
            <w:tcBorders>
              <w:top w:val="single" w:sz="4" w:space="0" w:color="000000"/>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206" w:type="dxa"/>
            <w:vMerge w:val="restart"/>
            <w:tcBorders>
              <w:top w:val="single" w:sz="4" w:space="0" w:color="000000"/>
              <w:left w:val="single" w:sz="4" w:space="0" w:color="000000"/>
              <w:right w:val="single" w:sz="4" w:space="0" w:color="000000"/>
            </w:tcBorders>
          </w:tcPr>
          <w:p>
            <w:pPr/>
          </w:p>
        </w:tc>
      </w:tr>
      <w:tr>
        <w:trPr>
          <w:trHeight w:val="624"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03"/>
              <w:jc w:val="left"/>
              <w:rPr>
                <w:rFonts w:ascii="宋体" w:hAnsi="宋体" w:cs="宋体" w:eastAsia="宋体" w:hint="default"/>
                <w:sz w:val="18"/>
                <w:szCs w:val="18"/>
              </w:rPr>
            </w:pPr>
            <w:r>
              <w:rPr>
                <w:rFonts w:ascii="宋体" w:hAnsi="宋体" w:cs="宋体" w:eastAsia="宋体" w:hint="default"/>
                <w:sz w:val="18"/>
                <w:szCs w:val="18"/>
              </w:rPr>
              <w:t>虫节能科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p>
        </w:tc>
        <w:tc>
          <w:tcPr>
            <w:tcW w:w="1123"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10,000,000.00</w:t>
            </w:r>
          </w:p>
        </w:tc>
        <w:tc>
          <w:tcPr>
            <w:tcW w:w="989"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10,000,000.00</w:t>
            </w:r>
          </w:p>
        </w:tc>
        <w:tc>
          <w:tcPr>
            <w:tcW w:w="1133"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2.44%</w:t>
            </w:r>
          </w:p>
        </w:tc>
        <w:tc>
          <w:tcPr>
            <w:tcW w:w="206" w:type="dxa"/>
            <w:vMerge/>
            <w:tcBorders>
              <w:left w:val="single" w:sz="4" w:space="0" w:color="000000"/>
              <w:right w:val="single" w:sz="4" w:space="0" w:color="000000"/>
            </w:tcBorders>
          </w:tcPr>
          <w:p>
            <w:pPr/>
          </w:p>
        </w:tc>
      </w:tr>
      <w:tr>
        <w:trPr>
          <w:trHeight w:val="358"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123"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206" w:type="dxa"/>
            <w:vMerge/>
            <w:tcBorders>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17,159,253.63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389,440.69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center"/>
              <w:rPr>
                <w:rFonts w:ascii="Times New Roman" w:hAnsi="Times New Roman" w:cs="Times New Roman" w:eastAsia="Times New Roman" w:hint="default"/>
                <w:sz w:val="18"/>
                <w:szCs w:val="18"/>
              </w:rPr>
            </w:pPr>
            <w:r>
              <w:rPr>
                <w:rFonts w:ascii="Times New Roman"/>
                <w:sz w:val="18"/>
              </w:rPr>
              <w:t>26,769,812.94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14,159,253.63</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389,440.69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13,769,812.94</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2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3"/>
        <w:gridCol w:w="1325"/>
        <w:gridCol w:w="1330"/>
        <w:gridCol w:w="1330"/>
        <w:gridCol w:w="1325"/>
        <w:gridCol w:w="1330"/>
        <w:gridCol w:w="1325"/>
      </w:tblGrid>
      <w:tr>
        <w:trPr>
          <w:trHeight w:val="715"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614" w:right="71" w:hanging="538"/>
              <w:jc w:val="left"/>
              <w:rPr>
                <w:rFonts w:ascii="宋体" w:hAnsi="宋体" w:cs="宋体" w:eastAsia="宋体" w:hint="default"/>
                <w:sz w:val="18"/>
                <w:szCs w:val="18"/>
              </w:rPr>
            </w:pPr>
            <w:r>
              <w:rPr>
                <w:rFonts w:ascii="宋体" w:hAnsi="宋体" w:cs="宋体" w:eastAsia="宋体" w:hint="default"/>
                <w:spacing w:val="-2"/>
                <w:sz w:val="18"/>
                <w:szCs w:val="18"/>
              </w:rPr>
              <w:t>可供出售金融资产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分类</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480" w:right="22" w:hanging="452"/>
              <w:jc w:val="left"/>
              <w:rPr>
                <w:rFonts w:ascii="宋体" w:hAnsi="宋体" w:cs="宋体" w:eastAsia="宋体" w:hint="default"/>
                <w:sz w:val="18"/>
                <w:szCs w:val="18"/>
              </w:rPr>
            </w:pPr>
            <w:r>
              <w:rPr>
                <w:rFonts w:ascii="宋体" w:hAnsi="宋体" w:cs="宋体" w:eastAsia="宋体" w:hint="default"/>
                <w:spacing w:val="-3"/>
                <w:sz w:val="18"/>
                <w:szCs w:val="18"/>
              </w:rPr>
              <w:t>期初已计提减值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211" w:right="26" w:hanging="183"/>
              <w:jc w:val="left"/>
              <w:rPr>
                <w:rFonts w:ascii="宋体" w:hAnsi="宋体" w:cs="宋体" w:eastAsia="宋体" w:hint="default"/>
                <w:sz w:val="18"/>
                <w:szCs w:val="18"/>
              </w:rPr>
            </w:pPr>
            <w:r>
              <w:rPr>
                <w:rFonts w:ascii="宋体" w:hAnsi="宋体" w:cs="宋体" w:eastAsia="宋体" w:hint="default"/>
                <w:spacing w:val="-3"/>
                <w:sz w:val="18"/>
                <w:szCs w:val="18"/>
              </w:rPr>
              <w:t>其中：从其他综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合收益转入</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119" w:right="26" w:hanging="92"/>
              <w:jc w:val="left"/>
              <w:rPr>
                <w:rFonts w:ascii="宋体" w:hAnsi="宋体" w:cs="宋体" w:eastAsia="宋体" w:hint="default"/>
                <w:sz w:val="18"/>
                <w:szCs w:val="18"/>
              </w:rPr>
            </w:pPr>
            <w:r>
              <w:rPr>
                <w:rFonts w:ascii="宋体" w:hAnsi="宋体" w:cs="宋体" w:eastAsia="宋体" w:hint="default"/>
                <w:spacing w:val="-3"/>
                <w:sz w:val="18"/>
                <w:szCs w:val="18"/>
              </w:rPr>
              <w:t>其中：期后公允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价值回升转回</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1" w:lineRule="auto" w:before="54"/>
              <w:ind w:left="480" w:right="23" w:hanging="452"/>
              <w:jc w:val="left"/>
              <w:rPr>
                <w:rFonts w:ascii="宋体" w:hAnsi="宋体" w:cs="宋体" w:eastAsia="宋体" w:hint="default"/>
                <w:sz w:val="18"/>
                <w:szCs w:val="18"/>
              </w:rPr>
            </w:pPr>
            <w:r>
              <w:rPr>
                <w:rFonts w:ascii="宋体" w:hAnsi="宋体" w:cs="宋体" w:eastAsia="宋体" w:hint="default"/>
                <w:spacing w:val="-3"/>
                <w:sz w:val="18"/>
                <w:szCs w:val="18"/>
              </w:rPr>
              <w:t>期末已计提减值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余额</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14,159,253.63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389,440.69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13,769,812.94</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14,159,253.63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389,440.69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13,769,812.94</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422"/>
        <w:gridCol w:w="994"/>
        <w:gridCol w:w="530"/>
        <w:gridCol w:w="1030"/>
        <w:gridCol w:w="533"/>
        <w:gridCol w:w="178"/>
        <w:gridCol w:w="619"/>
        <w:gridCol w:w="797"/>
        <w:gridCol w:w="797"/>
        <w:gridCol w:w="802"/>
        <w:gridCol w:w="797"/>
        <w:gridCol w:w="158"/>
        <w:gridCol w:w="638"/>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8" w:right="1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627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422"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95" w:right="58"/>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79" w:right="36"/>
              <w:jc w:val="center"/>
              <w:rPr>
                <w:rFonts w:ascii="宋体" w:hAnsi="宋体" w:cs="宋体" w:eastAsia="宋体" w:hint="default"/>
                <w:sz w:val="18"/>
                <w:szCs w:val="18"/>
              </w:rPr>
            </w:pPr>
            <w:r>
              <w:rPr>
                <w:rFonts w:ascii="宋体" w:hAnsi="宋体" w:cs="宋体" w:eastAsia="宋体" w:hint="default"/>
                <w:spacing w:val="-2"/>
                <w:sz w:val="18"/>
                <w:szCs w:val="18"/>
              </w:rPr>
              <w:t>权益法下确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认的投资损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81" w:right="74"/>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16" w:right="26"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新余久益投资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800,000.00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-149,836.33</w:t>
            </w: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650,163.67</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650,163.67</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800,000.00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-149,836.33</w:t>
            </w:r>
          </w:p>
        </w:tc>
        <w:tc>
          <w:tcPr>
            <w:tcW w:w="533" w:type="dxa"/>
            <w:tcBorders>
              <w:top w:val="single" w:sz="4" w:space="0" w:color="000000"/>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650,163.67</w:t>
            </w:r>
          </w:p>
        </w:tc>
        <w:tc>
          <w:tcPr>
            <w:tcW w:w="6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45"/>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78,762,268.09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78,762,268.09</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78,762,268.09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78,762,268.09</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78,762,268.09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78,762,268.09</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13,017,593.37</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13,017,593.37</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3,005,165.40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3,005,165.40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10,012,427.97</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10,012,427.97</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13,017,593.37</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13,017,593.37</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65,744,674.72</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65,744,674.72</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9"/>
        <w:rPr>
          <w:rFonts w:ascii="Times New Roman" w:hAnsi="Times New Roman" w:cs="Times New Roman" w:eastAsia="Times New Roman" w:hint="default"/>
          <w:sz w:val="28"/>
          <w:szCs w:val="28"/>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21" w:right="0"/>
              <w:jc w:val="left"/>
              <w:rPr>
                <w:rFonts w:ascii="Times New Roman" w:hAnsi="Times New Roman" w:cs="Times New Roman" w:eastAsia="Times New Roman" w:hint="default"/>
                <w:sz w:val="18"/>
                <w:szCs w:val="18"/>
              </w:rPr>
            </w:pPr>
            <w:r>
              <w:rPr>
                <w:rFonts w:ascii="Times New Roman"/>
                <w:sz w:val="18"/>
              </w:rPr>
              <w:t>39,192,026.32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352" w:lineRule="auto" w:before="54"/>
        <w:ind w:right="9052"/>
        <w:jc w:val="left"/>
      </w:pPr>
      <w:r>
        <w:rPr/>
        <w:t>其他说明</w:t>
      </w:r>
      <w:r>
        <w:rPr>
          <w:spacing w:val="-86"/>
        </w:rPr>
        <w:t> </w:t>
      </w:r>
      <w:r>
        <w:rPr>
          <w:spacing w:val="-86"/>
        </w:rPr>
      </w:r>
      <w:r>
        <w:rPr/>
        <w:t>无</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1"/>
        <w:gridCol w:w="1195"/>
        <w:gridCol w:w="1200"/>
        <w:gridCol w:w="1195"/>
        <w:gridCol w:w="1195"/>
        <w:gridCol w:w="1286"/>
        <w:gridCol w:w="1363"/>
      </w:tblGrid>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45"/>
              <w:jc w:val="right"/>
              <w:rPr>
                <w:rFonts w:ascii="宋体" w:hAnsi="宋体" w:cs="宋体" w:eastAsia="宋体" w:hint="default"/>
                <w:sz w:val="18"/>
                <w:szCs w:val="18"/>
              </w:rPr>
            </w:pPr>
            <w:r>
              <w:rPr>
                <w:rFonts w:ascii="宋体" w:hAnsi="宋体" w:cs="宋体" w:eastAsia="宋体" w:hint="default"/>
                <w:spacing w:val="-2"/>
                <w:sz w:val="18"/>
                <w:szCs w:val="18"/>
              </w:rPr>
              <w:t>房屋及建筑物</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121,336,721.33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234,597,098.63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38,178,905.15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9,730,607.41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403,843,332.52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39,973,610.40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823,372.55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543,517.82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41,345,500.77</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823,372.55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543,517.82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1,371,890.37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21"/>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39,973,610.40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39,973,610.40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21"/>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78,762,268.09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657,636.99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1,607,585.82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131,463.25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81,158,854.15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657,636.99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1,607,585.82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131,463.25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2,396,586.06</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78,762,268.09</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78,762,268.09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82,548,063.64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234,767,934.19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37,114,837.15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9,599,144.16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364,029,979.14</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22,199,312.18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124,110,928.84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27,492,756.82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6,795,648.25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180,598,646.09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2,480,241.93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7,617,837.23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3,697,028.53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746,258.85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14,541,366.54</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2,480,241.93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7,617,837.23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3,697,028.53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746,258.85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14,541,366.54</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10,012,427.97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407,777.03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1,100,275.69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115,171.09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11,635,651.78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407,777.03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1,100,275.69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115,171.09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1,623,223.81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10,012,427.97</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10,012,427.97</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14,667,126.14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131,320,989.04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30,089,509.66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7,426,736.01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183,504,360.85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55,992,750.44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65,638.99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56,058,389.43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1"/>
        <w:gridCol w:w="1195"/>
        <w:gridCol w:w="1200"/>
        <w:gridCol w:w="1195"/>
        <w:gridCol w:w="1195"/>
        <w:gridCol w:w="1286"/>
        <w:gridCol w:w="1363"/>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817,607.28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6,258.71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823,865.99</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817,607.28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6,258.71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823,865.99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56,810,357.72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71,897.70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56,882,255.42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center"/>
              <w:rPr>
                <w:rFonts w:ascii="Times New Roman" w:hAnsi="Times New Roman" w:cs="Times New Roman" w:eastAsia="Times New Roman" w:hint="default"/>
                <w:sz w:val="18"/>
                <w:szCs w:val="18"/>
              </w:rPr>
            </w:pPr>
            <w:r>
              <w:rPr>
                <w:rFonts w:ascii="Times New Roman"/>
                <w:sz w:val="18"/>
              </w:rPr>
              <w:t>67,880,937.50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46,636,587.43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6,953,429.79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2,172,408.15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123,643,362.87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center"/>
              <w:rPr>
                <w:rFonts w:ascii="Times New Roman" w:hAnsi="Times New Roman" w:cs="Times New Roman" w:eastAsia="Times New Roman" w:hint="default"/>
                <w:sz w:val="18"/>
                <w:szCs w:val="18"/>
              </w:rPr>
            </w:pPr>
            <w:r>
              <w:rPr>
                <w:rFonts w:ascii="Times New Roman"/>
                <w:sz w:val="18"/>
              </w:rPr>
              <w:t>99,137,409.15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54,493,419.35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10,620,509.34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2,934,959.16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167,186,297.00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100,738,108.78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67,854,875.57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20,010,745.63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12,872,487.58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995,328.08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806,042.05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170,427.91</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宝龙工业城锦龙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厂房项目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32,634,861.04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32,634,861.04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无锡鸿山厂房项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885,940.05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885,940.05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746,140.05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746,140.05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885,940.05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885,940.05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33,381,001.09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33,381,001.09</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706"/>
        <w:gridCol w:w="710"/>
        <w:gridCol w:w="850"/>
        <w:gridCol w:w="710"/>
        <w:gridCol w:w="442"/>
        <w:gridCol w:w="739"/>
        <w:gridCol w:w="734"/>
        <w:gridCol w:w="734"/>
        <w:gridCol w:w="739"/>
        <w:gridCol w:w="734"/>
        <w:gridCol w:w="734"/>
        <w:gridCol w:w="739"/>
      </w:tblGrid>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59" w:right="7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39" w:right="50" w:hanging="178"/>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81" w:right="7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38" w:right="26"/>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95"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24"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6"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bl>
    <w:p>
      <w:pPr>
        <w:spacing w:after="0" w:line="324"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706"/>
        <w:gridCol w:w="710"/>
        <w:gridCol w:w="850"/>
        <w:gridCol w:w="710"/>
        <w:gridCol w:w="442"/>
        <w:gridCol w:w="739"/>
        <w:gridCol w:w="734"/>
        <w:gridCol w:w="734"/>
        <w:gridCol w:w="739"/>
        <w:gridCol w:w="734"/>
        <w:gridCol w:w="734"/>
        <w:gridCol w:w="739"/>
      </w:tblGrid>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5"/>
              <w:jc w:val="both"/>
              <w:rPr>
                <w:rFonts w:ascii="宋体" w:hAnsi="宋体" w:cs="宋体" w:eastAsia="宋体" w:hint="default"/>
                <w:sz w:val="18"/>
                <w:szCs w:val="18"/>
              </w:rPr>
            </w:pPr>
            <w:r>
              <w:rPr>
                <w:rFonts w:ascii="宋体" w:hAnsi="宋体" w:cs="宋体" w:eastAsia="宋体" w:hint="default"/>
                <w:spacing w:val="-2"/>
                <w:sz w:val="18"/>
                <w:szCs w:val="18"/>
              </w:rPr>
              <w:t>宝龙工业城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锦龙厂房项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29,510,0</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32,634,8</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61.04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7,338,749.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39,973,6</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10.40</w:t>
            </w:r>
          </w:p>
        </w:tc>
        <w:tc>
          <w:tcPr>
            <w:tcW w:w="44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135.46%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7" w:hRule="exact"/>
        </w:trPr>
        <w:tc>
          <w:tcPr>
            <w:tcW w:w="994"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主体工</w:t>
            </w: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24" w:lineRule="auto"/>
              <w:ind w:left="23" w:right="55"/>
              <w:jc w:val="left"/>
              <w:rPr>
                <w:rFonts w:ascii="宋体" w:hAnsi="宋体" w:cs="宋体" w:eastAsia="宋体" w:hint="default"/>
                <w:sz w:val="18"/>
                <w:szCs w:val="18"/>
              </w:rPr>
            </w:pPr>
            <w:r>
              <w:rPr>
                <w:rFonts w:ascii="宋体" w:hAnsi="宋体" w:cs="宋体" w:eastAsia="宋体" w:hint="default"/>
                <w:spacing w:val="-2"/>
                <w:sz w:val="18"/>
                <w:szCs w:val="18"/>
              </w:rPr>
              <w:t>无锡鸿山厂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房项目</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10"/>
              <w:ind w:left="167" w:right="0"/>
              <w:jc w:val="center"/>
              <w:rPr>
                <w:rFonts w:ascii="Times New Roman" w:hAnsi="Times New Roman" w:cs="Times New Roman" w:eastAsia="Times New Roman" w:hint="default"/>
                <w:sz w:val="18"/>
                <w:szCs w:val="18"/>
              </w:rPr>
            </w:pPr>
            <w:r>
              <w:rPr>
                <w:rFonts w:ascii="Times New Roman"/>
                <w:sz w:val="18"/>
              </w:rPr>
              <w:t>000.00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746,140.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139,800.0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0"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885,940.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pacing w:val="-1"/>
                <w:sz w:val="18"/>
              </w:rPr>
              <w:t>0.74%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2"/>
              <w:jc w:val="left"/>
              <w:rPr>
                <w:rFonts w:ascii="宋体" w:hAnsi="宋体" w:cs="宋体" w:eastAsia="宋体" w:hint="default"/>
                <w:sz w:val="18"/>
                <w:szCs w:val="18"/>
              </w:rPr>
            </w:pPr>
            <w:r>
              <w:rPr>
                <w:rFonts w:ascii="宋体" w:hAnsi="宋体" w:cs="宋体" w:eastAsia="宋体" w:hint="default"/>
                <w:sz w:val="18"/>
                <w:szCs w:val="18"/>
              </w:rPr>
              <w:t>程尚未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开工，已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签署施</w:t>
            </w: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4" w:hRule="exact"/>
        </w:trPr>
        <w:tc>
          <w:tcPr>
            <w:tcW w:w="994"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工合同</w:t>
            </w: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149,510,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33,381,0</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01.09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7,478,549.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39,973,6</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10.40</w:t>
            </w:r>
          </w:p>
        </w:tc>
        <w:tc>
          <w:tcPr>
            <w:tcW w:w="44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885,940.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pacing w:val="-2"/>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2"/>
        <w:gridCol w:w="1579"/>
      </w:tblGrid>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111,367,313.52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4,734,174.37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116,101,487.89</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58,718.45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58,718.45</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58,718.45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58,718.45</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111,367,313.52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4,792,892.82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116,160,206.34</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10,124,069.20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1,750,159.69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11,874,228.89</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2,229,529.11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472,496.96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2,702,026.07</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2,229,529.11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472,496.96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2,702,026.07</w:t>
            </w: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12,353,598.31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2,222,656.65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14,576,254.96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2"/>
        <w:gridCol w:w="1579"/>
      </w:tblGrid>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84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84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84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99,013,715.21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2,570,236.17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101,583,951.38</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84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101,243,244.32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2,984,014.68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104,227,259.00</w:t>
            </w:r>
          </w:p>
        </w:tc>
      </w:tr>
    </w:tbl>
    <w:p>
      <w:pPr>
        <w:pStyle w:val="BodyText"/>
        <w:spacing w:line="240" w:lineRule="auto" w:before="54"/>
        <w:ind w:right="0"/>
        <w:jc w:val="left"/>
      </w:pPr>
      <w:r>
        <w:rPr>
          <w:spacing w:val="-3"/>
        </w:rPr>
        <w:t>本期末通过公司内部研发形成的无形资产占无形资产余额的比例</w:t>
      </w:r>
      <w:r>
        <w:rPr>
          <w:spacing w:val="35"/>
        </w:rPr>
        <w:t> </w:t>
      </w:r>
      <w:r>
        <w:rPr>
          <w:rFonts w:ascii="Times New Roman" w:hAnsi="Times New Roman" w:cs="Times New Roman" w:eastAsia="Times New Roman" w:hint="default"/>
        </w:rPr>
        <w:t>0.00%</w:t>
      </w:r>
      <w:r>
        <w:rPr/>
        <w:t>。</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3"/>
        <w:ind w:right="0"/>
        <w:jc w:val="left"/>
      </w:pPr>
      <w:r>
        <w:rPr/>
        <w:t>其他说明：</w:t>
      </w:r>
    </w:p>
    <w:p>
      <w:pPr>
        <w:pStyle w:val="Heading5"/>
        <w:spacing w:line="240" w:lineRule="auto" w:before="89"/>
        <w:ind w:right="0"/>
        <w:jc w:val="left"/>
      </w:pPr>
      <w:r>
        <w:rPr/>
        <w:t>期末无未办妥产权证书的土地使用权情况。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560"/>
        <w:gridCol w:w="1416"/>
        <w:gridCol w:w="710"/>
        <w:gridCol w:w="850"/>
        <w:gridCol w:w="830"/>
        <w:gridCol w:w="1368"/>
      </w:tblGrid>
      <w:tr>
        <w:trPr>
          <w:trHeight w:val="403" w:hRule="exact"/>
        </w:trPr>
        <w:tc>
          <w:tcPr>
            <w:tcW w:w="28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837"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6"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10,451,398.91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10,451,398.91</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10,451,398.91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10,451,398.91</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416"/>
        <w:gridCol w:w="994"/>
        <w:gridCol w:w="989"/>
        <w:gridCol w:w="1138"/>
        <w:gridCol w:w="830"/>
        <w:gridCol w:w="1368"/>
      </w:tblGrid>
      <w:tr>
        <w:trPr>
          <w:trHeight w:val="398" w:hRule="exact"/>
        </w:trPr>
        <w:tc>
          <w:tcPr>
            <w:tcW w:w="28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37"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深圳市汇大光电科技有限公司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10,451,398.91</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10,451,398.91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37"/>
        <w:gridCol w:w="1416"/>
        <w:gridCol w:w="994"/>
        <w:gridCol w:w="989"/>
        <w:gridCol w:w="1138"/>
        <w:gridCol w:w="830"/>
        <w:gridCol w:w="1368"/>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10,451,398.91</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10,451,398.91</w:t>
            </w:r>
          </w:p>
        </w:tc>
      </w:tr>
    </w:tbl>
    <w:p>
      <w:pPr>
        <w:pStyle w:val="BodyText"/>
        <w:spacing w:line="240" w:lineRule="auto" w:before="54"/>
        <w:ind w:right="0"/>
        <w:jc w:val="left"/>
      </w:pPr>
      <w:r>
        <w:rPr>
          <w:spacing w:val="-3"/>
        </w:rPr>
        <w:t>说明商誉减值测试过程、参数及商誉减值损失的确认方法：</w:t>
      </w:r>
    </w:p>
    <w:p>
      <w:pPr>
        <w:pStyle w:val="BodyText"/>
        <w:spacing w:line="300" w:lineRule="auto" w:before="110"/>
        <w:ind w:right="0"/>
        <w:jc w:val="left"/>
      </w:pPr>
      <w:r>
        <w:rPr>
          <w:spacing w:val="-2"/>
        </w:rPr>
        <w:t>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月收购汇大光电产生商誉</w:t>
      </w:r>
      <w:r>
        <w:rPr>
          <w:rFonts w:ascii="Times New Roman" w:hAnsi="Times New Roman" w:cs="Times New Roman" w:eastAsia="Times New Roman" w:hint="default"/>
          <w:spacing w:val="-2"/>
        </w:rPr>
        <w:t>10,451,398.91</w:t>
      </w:r>
      <w:r>
        <w:rPr>
          <w:spacing w:val="-2"/>
        </w:rPr>
        <w:t>元，由于汇大光电经营情况未达到预期且行业竞争加剧。公司于</w:t>
      </w:r>
      <w:r>
        <w:rPr>
          <w:rFonts w:ascii="Times New Roman" w:hAnsi="Times New Roman" w:cs="Times New Roman" w:eastAsia="Times New Roman" w:hint="default"/>
          <w:spacing w:val="-2"/>
        </w:rPr>
        <w:t>2013</w:t>
      </w:r>
      <w:r>
        <w:rPr>
          <w:spacing w:val="-2"/>
        </w:rPr>
        <w:t>年</w:t>
      </w:r>
      <w:r>
        <w:rPr>
          <w:spacing w:val="37"/>
        </w:rPr>
        <w:t> </w:t>
      </w:r>
      <w:r>
        <w:rPr>
          <w:spacing w:val="-3"/>
        </w:rPr>
        <w:t>进行减值测试，认定商誉需全额计提减值准备。</w:t>
      </w:r>
    </w:p>
    <w:p>
      <w:pPr>
        <w:spacing w:line="240" w:lineRule="auto" w:before="0"/>
        <w:rPr>
          <w:rFonts w:ascii="宋体" w:hAnsi="宋体" w:cs="宋体" w:eastAsia="宋体" w:hint="default"/>
          <w:sz w:val="18"/>
          <w:szCs w:val="18"/>
        </w:rPr>
      </w:pPr>
    </w:p>
    <w:p>
      <w:pPr>
        <w:pStyle w:val="BodyText"/>
        <w:spacing w:line="357" w:lineRule="auto" w:before="151"/>
        <w:ind w:right="9052"/>
        <w:jc w:val="left"/>
      </w:pPr>
      <w:r>
        <w:rPr/>
        <w:t>其他说明</w:t>
      </w:r>
      <w:r>
        <w:rPr>
          <w:spacing w:val="-86"/>
        </w:rPr>
        <w:t> </w:t>
      </w:r>
      <w:r>
        <w:rPr>
          <w:spacing w:val="-86"/>
        </w:rPr>
      </w:r>
      <w:r>
        <w:rPr/>
        <w:t>无</w:t>
      </w:r>
    </w:p>
    <w:p>
      <w:pPr>
        <w:spacing w:line="240" w:lineRule="auto" w:before="2"/>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3,270,086.20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946,917.56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2,672,646.74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1,544,357.02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3,270,086.20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946,917.56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2,672,646.74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1,544,357.02</w:t>
            </w:r>
          </w:p>
        </w:tc>
      </w:tr>
    </w:tbl>
    <w:p>
      <w:pPr>
        <w:pStyle w:val="BodyText"/>
        <w:spacing w:line="357" w:lineRule="auto" w:before="54"/>
        <w:ind w:right="9052"/>
        <w:jc w:val="left"/>
      </w:pPr>
      <w:r>
        <w:rPr/>
        <w:t>其他说明</w:t>
      </w:r>
      <w:r>
        <w:rPr>
          <w:spacing w:val="-86"/>
        </w:rPr>
        <w:t> </w:t>
      </w:r>
      <w:r>
        <w:rPr>
          <w:spacing w:val="-86"/>
        </w:rPr>
      </w:r>
      <w:r>
        <w:rPr/>
        <w:t>无</w:t>
      </w:r>
    </w:p>
    <w:p>
      <w:pPr>
        <w:spacing w:line="240" w:lineRule="auto" w:before="2"/>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352" w:lineRule="auto" w:before="53"/>
        <w:ind w:right="8882"/>
        <w:jc w:val="left"/>
      </w:pPr>
      <w:r>
        <w:rPr>
          <w:spacing w:val="-2"/>
        </w:rPr>
        <w:t>其他说明：</w:t>
      </w:r>
      <w:r>
        <w:rPr>
          <w:spacing w:val="-78"/>
        </w:rPr>
        <w:t> </w:t>
      </w:r>
      <w:r>
        <w:rPr>
          <w:spacing w:val="-78"/>
        </w:rPr>
      </w:r>
      <w:r>
        <w:rPr/>
        <w:t>无</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179,320,971.98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6,119,000.00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23,168,220.00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6,119,000.00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202,489,191.98</w:t>
            </w:r>
          </w:p>
        </w:tc>
      </w:tr>
    </w:tbl>
    <w:p>
      <w:pPr>
        <w:pStyle w:val="BodyText"/>
        <w:spacing w:line="240" w:lineRule="auto" w:before="54"/>
        <w:ind w:right="0"/>
        <w:jc w:val="left"/>
      </w:pPr>
      <w:r>
        <w:rPr/>
        <w:t>短期借款分类的说明：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421" w:right="0"/>
        <w:jc w:val="left"/>
      </w:pPr>
      <w:r>
        <w:rPr>
          <w:spacing w:val="-3"/>
        </w:rPr>
        <w:t>本期末已逾期未偿还的短期借款总额为 </w:t>
      </w:r>
      <w:r>
        <w:rPr>
          <w:rFonts w:ascii="Times New Roman" w:hAnsi="Times New Roman" w:cs="Times New Roman" w:eastAsia="Times New Roman" w:hint="default"/>
        </w:rPr>
        <w:t>0.00 </w:t>
      </w:r>
      <w:r>
        <w:rPr>
          <w:rFonts w:ascii="Times New Roman" w:hAnsi="Times New Roman" w:cs="Times New Roman" w:eastAsia="Times New Roman" w:hint="default"/>
          <w:spacing w:val="31"/>
        </w:rPr>
        <w:t> </w:t>
      </w:r>
      <w:r>
        <w:rPr>
          <w:spacing w:val="-3"/>
        </w:rPr>
        <w:t>元，其中重要的已逾期未偿还的短期借款情况如下：</w:t>
      </w:r>
    </w:p>
    <w:p>
      <w:pPr>
        <w:spacing w:after="0" w:line="240" w:lineRule="auto"/>
        <w:jc w:val="left"/>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3"/>
        <w:ind w:right="0"/>
        <w:jc w:val="left"/>
      </w:pPr>
      <w:r>
        <w:rPr/>
        <w:t>其他说明：</w:t>
      </w:r>
    </w:p>
    <w:p>
      <w:pPr>
        <w:pStyle w:val="BodyText"/>
        <w:spacing w:line="240" w:lineRule="auto" w:before="115"/>
        <w:ind w:left="575" w:right="0"/>
        <w:jc w:val="left"/>
      </w:pPr>
      <w:r>
        <w:rPr>
          <w:spacing w:val="-3"/>
        </w:rPr>
        <w:t>（</w:t>
      </w:r>
      <w:r>
        <w:rPr>
          <w:rFonts w:ascii="Times New Roman" w:hAnsi="Times New Roman" w:cs="Times New Roman" w:eastAsia="Times New Roman" w:hint="default"/>
          <w:spacing w:val="-3"/>
        </w:rPr>
        <w:t>A</w:t>
      </w:r>
      <w:r>
        <w:rPr>
          <w:spacing w:val="-3"/>
        </w:rPr>
        <w:t>）金额较大的短期借款情况如下：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699"/>
        <w:gridCol w:w="869"/>
        <w:gridCol w:w="1075"/>
        <w:gridCol w:w="749"/>
        <w:gridCol w:w="1080"/>
        <w:gridCol w:w="965"/>
        <w:gridCol w:w="970"/>
        <w:gridCol w:w="1123"/>
      </w:tblGrid>
      <w:tr>
        <w:trPr>
          <w:trHeight w:val="65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40" w:right="65" w:hanging="274"/>
              <w:jc w:val="left"/>
              <w:rPr>
                <w:rFonts w:ascii="宋体" w:hAnsi="宋体" w:cs="宋体" w:eastAsia="宋体" w:hint="default"/>
                <w:sz w:val="18"/>
                <w:szCs w:val="18"/>
              </w:rPr>
            </w:pPr>
            <w:r>
              <w:rPr>
                <w:rFonts w:ascii="宋体" w:hAnsi="宋体" w:cs="宋体" w:eastAsia="宋体" w:hint="default"/>
                <w:sz w:val="18"/>
                <w:szCs w:val="18"/>
              </w:rPr>
              <w:t>借款起始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
              <w:jc w:val="right"/>
              <w:rPr>
                <w:rFonts w:ascii="宋体" w:hAnsi="宋体" w:cs="宋体" w:eastAsia="宋体" w:hint="default"/>
                <w:sz w:val="18"/>
                <w:szCs w:val="18"/>
              </w:rPr>
            </w:pPr>
            <w:r>
              <w:rPr>
                <w:rFonts w:ascii="宋体" w:hAnsi="宋体" w:cs="宋体" w:eastAsia="宋体" w:hint="default"/>
                <w:spacing w:val="-2"/>
                <w:sz w:val="18"/>
                <w:szCs w:val="18"/>
              </w:rPr>
              <w:t>利率（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兴业银行龙岗支行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9" w:right="0"/>
              <w:jc w:val="left"/>
              <w:rPr>
                <w:rFonts w:ascii="Times New Roman" w:hAnsi="Times New Roman" w:cs="Times New Roman" w:eastAsia="Times New Roman" w:hint="default"/>
                <w:sz w:val="18"/>
                <w:szCs w:val="18"/>
              </w:rPr>
            </w:pPr>
            <w:r>
              <w:rPr>
                <w:rFonts w:ascii="Times New Roman"/>
                <w:spacing w:val="-2"/>
                <w:sz w:val="18"/>
              </w:rPr>
              <w:t>2014/11/3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2" w:right="-1"/>
              <w:jc w:val="left"/>
              <w:rPr>
                <w:rFonts w:ascii="Times New Roman" w:hAnsi="Times New Roman" w:cs="Times New Roman" w:eastAsia="Times New Roman" w:hint="default"/>
                <w:sz w:val="18"/>
                <w:szCs w:val="18"/>
              </w:rPr>
            </w:pPr>
            <w:r>
              <w:rPr>
                <w:rFonts w:ascii="Times New Roman"/>
                <w:sz w:val="18"/>
              </w:rPr>
              <w:t>2015/2/1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4" w:right="0"/>
              <w:jc w:val="left"/>
              <w:rPr>
                <w:rFonts w:ascii="Times New Roman" w:hAnsi="Times New Roman" w:cs="Times New Roman" w:eastAsia="Times New Roman" w:hint="default"/>
                <w:sz w:val="18"/>
                <w:szCs w:val="18"/>
              </w:rPr>
            </w:pPr>
            <w:r>
              <w:rPr>
                <w:rFonts w:ascii="Times New Roman"/>
                <w:sz w:val="18"/>
              </w:rPr>
              <w:t>USD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0" w:right="-1"/>
              <w:jc w:val="left"/>
              <w:rPr>
                <w:rFonts w:ascii="Times New Roman" w:hAnsi="Times New Roman" w:cs="Times New Roman" w:eastAsia="Times New Roman" w:hint="default"/>
                <w:sz w:val="18"/>
                <w:szCs w:val="18"/>
              </w:rPr>
            </w:pPr>
            <w:r>
              <w:rPr>
                <w:rFonts w:ascii="Times New Roman"/>
                <w:spacing w:val="-1"/>
                <w:sz w:val="18"/>
              </w:rPr>
              <w:t>1,000,000.00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0" w:right="0"/>
              <w:jc w:val="left"/>
              <w:rPr>
                <w:rFonts w:ascii="Times New Roman" w:hAnsi="Times New Roman" w:cs="Times New Roman" w:eastAsia="Times New Roman" w:hint="default"/>
                <w:sz w:val="18"/>
                <w:szCs w:val="18"/>
              </w:rPr>
            </w:pPr>
            <w:r>
              <w:rPr>
                <w:rFonts w:ascii="Times New Roman"/>
                <w:spacing w:val="-2"/>
                <w:sz w:val="18"/>
              </w:rPr>
              <w:t>6.1190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3.80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pacing w:val="-2"/>
                <w:sz w:val="18"/>
              </w:rPr>
              <w:t>6,119,000.00</w:t>
            </w:r>
          </w:p>
        </w:tc>
      </w:tr>
      <w:tr>
        <w:trPr>
          <w:trHeight w:val="346"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0" w:right="-1"/>
              <w:jc w:val="left"/>
              <w:rPr>
                <w:rFonts w:ascii="Times New Roman" w:hAnsi="Times New Roman" w:cs="Times New Roman" w:eastAsia="Times New Roman" w:hint="default"/>
                <w:sz w:val="18"/>
                <w:szCs w:val="18"/>
              </w:rPr>
            </w:pPr>
            <w:r>
              <w:rPr>
                <w:rFonts w:ascii="Times New Roman"/>
                <w:spacing w:val="-1"/>
                <w:sz w:val="18"/>
              </w:rPr>
              <w:t>1,000,000.00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pacing w:val="-2"/>
                <w:sz w:val="18"/>
              </w:rPr>
              <w:t>6,119,000.00</w:t>
            </w:r>
          </w:p>
        </w:tc>
      </w:tr>
    </w:tbl>
    <w:p>
      <w:pPr>
        <w:pStyle w:val="BodyText"/>
        <w:spacing w:line="240" w:lineRule="auto" w:before="10"/>
        <w:ind w:right="0"/>
        <w:jc w:val="left"/>
      </w:pPr>
      <w:r>
        <w:rPr/>
        <w:t>（</w:t>
      </w:r>
      <w:r>
        <w:rPr>
          <w:rFonts w:ascii="Times New Roman" w:hAnsi="Times New Roman" w:cs="Times New Roman" w:eastAsia="Times New Roman" w:hint="default"/>
        </w:rPr>
        <w:t>B</w:t>
      </w:r>
      <w:r>
        <w:rPr/>
        <w:t>）资产负债表日后已偿还金额</w:t>
      </w:r>
      <w:r>
        <w:rPr>
          <w:rFonts w:ascii="Times New Roman" w:hAnsi="Times New Roman" w:cs="Times New Roman" w:eastAsia="Times New Roman" w:hint="default"/>
        </w:rPr>
        <w:t>1,000,000.00</w:t>
      </w:r>
      <w:r>
        <w:rPr/>
        <w:t>美元。</w:t>
      </w:r>
    </w:p>
    <w:p>
      <w:pPr>
        <w:pStyle w:val="BodyText"/>
        <w:spacing w:line="240" w:lineRule="auto" w:before="63"/>
        <w:ind w:right="0"/>
        <w:jc w:val="left"/>
      </w:pPr>
      <w:r>
        <w:rPr>
          <w:w w:val="101"/>
        </w:rPr>
        <w:t>（</w:t>
      </w:r>
      <w:r>
        <w:rPr>
          <w:rFonts w:ascii="Times New Roman" w:hAnsi="Times New Roman" w:cs="Times New Roman" w:eastAsia="Times New Roman" w:hint="default"/>
          <w:spacing w:val="-2"/>
          <w:w w:val="101"/>
        </w:rPr>
        <w:t>C</w:t>
      </w:r>
      <w:r>
        <w:rPr>
          <w:spacing w:val="-5"/>
          <w:w w:val="101"/>
        </w:rPr>
        <w:t>）</w:t>
      </w:r>
      <w:r>
        <w:rPr>
          <w:w w:val="101"/>
        </w:rPr>
        <w:t>期</w:t>
      </w:r>
      <w:r>
        <w:rPr>
          <w:spacing w:val="-5"/>
          <w:w w:val="101"/>
        </w:rPr>
        <w:t>末</w:t>
      </w:r>
      <w:r>
        <w:rPr>
          <w:w w:val="101"/>
        </w:rPr>
        <w:t>与</w:t>
      </w:r>
      <w:r>
        <w:rPr>
          <w:spacing w:val="-5"/>
          <w:w w:val="101"/>
        </w:rPr>
        <w:t>保</w:t>
      </w:r>
      <w:r>
        <w:rPr>
          <w:w w:val="101"/>
        </w:rPr>
        <w:t>证</w:t>
      </w:r>
      <w:r>
        <w:rPr>
          <w:spacing w:val="-5"/>
          <w:w w:val="101"/>
        </w:rPr>
        <w:t>借</w:t>
      </w:r>
      <w:r>
        <w:rPr>
          <w:w w:val="101"/>
        </w:rPr>
        <w:t>款</w:t>
      </w:r>
      <w:r>
        <w:rPr>
          <w:spacing w:val="-5"/>
          <w:w w:val="101"/>
        </w:rPr>
        <w:t>相</w:t>
      </w:r>
      <w:r>
        <w:rPr>
          <w:w w:val="101"/>
        </w:rPr>
        <w:t>关</w:t>
      </w:r>
      <w:r>
        <w:rPr>
          <w:spacing w:val="-5"/>
          <w:w w:val="101"/>
        </w:rPr>
        <w:t>的</w:t>
      </w:r>
      <w:r>
        <w:rPr>
          <w:w w:val="101"/>
        </w:rPr>
        <w:t>保</w:t>
      </w:r>
      <w:r>
        <w:rPr>
          <w:spacing w:val="-5"/>
          <w:w w:val="101"/>
        </w:rPr>
        <w:t>证</w:t>
      </w:r>
      <w:r>
        <w:rPr>
          <w:w w:val="101"/>
        </w:rPr>
        <w:t>情</w:t>
      </w:r>
      <w:r>
        <w:rPr>
          <w:spacing w:val="-5"/>
          <w:w w:val="101"/>
        </w:rPr>
        <w:t>况</w:t>
      </w:r>
      <w:r>
        <w:rPr>
          <w:w w:val="101"/>
        </w:rPr>
        <w:t>，</w:t>
      </w:r>
      <w:r>
        <w:rPr>
          <w:spacing w:val="-5"/>
          <w:w w:val="101"/>
        </w:rPr>
        <w:t>详</w:t>
      </w:r>
      <w:r>
        <w:rPr>
          <w:w w:val="101"/>
        </w:rPr>
        <w:t>见</w:t>
      </w:r>
      <w:r>
        <w:rPr>
          <w:spacing w:val="-5"/>
          <w:w w:val="101"/>
        </w:rPr>
        <w:t>本</w:t>
      </w:r>
      <w:r>
        <w:rPr>
          <w:w w:val="101"/>
        </w:rPr>
        <w:t>附</w:t>
      </w:r>
      <w:r>
        <w:rPr>
          <w:spacing w:val="-5"/>
          <w:w w:val="101"/>
        </w:rPr>
        <w:t>注</w:t>
      </w:r>
      <w:r>
        <w:rPr>
          <w:w w:val="101"/>
        </w:rPr>
        <w:t>十</w:t>
      </w:r>
      <w:r>
        <w:rPr>
          <w:spacing w:val="-5"/>
          <w:w w:val="101"/>
        </w:rPr>
        <w:t>（</w:t>
      </w:r>
      <w:r>
        <w:rPr>
          <w:w w:val="101"/>
        </w:rPr>
        <w:t>五</w:t>
      </w:r>
      <w:r>
        <w:rPr>
          <w:spacing w:val="-92"/>
          <w:w w:val="101"/>
        </w:rPr>
        <w:t>）</w:t>
      </w: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3,380,991.17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3,380,991.17</w:t>
            </w:r>
          </w:p>
        </w:tc>
      </w:tr>
    </w:tbl>
    <w:p>
      <w:pPr>
        <w:pStyle w:val="BodyText"/>
        <w:spacing w:line="240" w:lineRule="auto" w:before="53"/>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t>元。</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104,438,379.44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121,456,917.93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104,438,379.44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121,456,917.93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Perception Digital</w:t>
            </w:r>
            <w:r>
              <w:rPr>
                <w:rFonts w:ascii="Times New Roman"/>
                <w:spacing w:val="1"/>
                <w:sz w:val="18"/>
              </w:rPr>
              <w:t> </w:t>
            </w:r>
            <w:r>
              <w:rPr>
                <w:rFonts w:ascii="Times New Roman"/>
                <w:sz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6,694,574.80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存在未决诉讼</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6,694,574.80</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53"/>
        <w:ind w:right="8882"/>
        <w:jc w:val="left"/>
      </w:pPr>
      <w:r>
        <w:rPr>
          <w:spacing w:val="-2"/>
        </w:rPr>
        <w:t>其他说明：</w:t>
      </w:r>
      <w:r>
        <w:rPr>
          <w:spacing w:val="-78"/>
        </w:rPr>
        <w:t> </w:t>
      </w:r>
      <w:r>
        <w:rPr>
          <w:spacing w:val="-78"/>
        </w:rPr>
      </w:r>
      <w:r>
        <w:rPr/>
        <w:t>无</w:t>
      </w:r>
    </w:p>
    <w:p>
      <w:pPr>
        <w:spacing w:after="0" w:line="352" w:lineRule="auto"/>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2,784,760.55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3,737,732.23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2,784,760.55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3,737,732.23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7,479,910.10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62,525,056.89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61,669,756.46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8,335,210.53</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982.79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2,500,193.63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2,501,176.42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7,480,892.89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65,025,250.52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64,170,932.88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8,335,210.53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3"/>
              <w:ind w:left="23"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5,974,445.29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58,372,472.50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57,430,375.07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6,916,542.72</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2,734,437.01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2,734,437.01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1,096,638.48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1,096,638.48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850,480.85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850,480.85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7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152,760.09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152,760.09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7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93,397.54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93,397.54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321,508.90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321,508.90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53"/>
              <w:ind w:left="23"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1,505,464.81</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86,797.00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1,418,667.81</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7,479,910.10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62,525,056.89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61,669,756.46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8,335,210.53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after="0" w:line="240" w:lineRule="auto"/>
        <w:jc w:val="righ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982.79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2,262,393.81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2,263,376.60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237,799.82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237,799.82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982.79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2,500,193.63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2,501,176.42</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278,857.63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583,373.26</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186,991.46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323,462.52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12,476,727.14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12,351,343.95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78,430.77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73,874.66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356,190.53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680,843.93</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530,213.73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301,503.59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254,421.78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486,317.07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120,921.99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263,476.81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23,863.90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14,282,755.03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15,088,059.69</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38,107.79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879,780.19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38,107.79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879,780.19</w:t>
            </w:r>
          </w:p>
        </w:tc>
      </w:tr>
    </w:tbl>
    <w:p>
      <w:pPr>
        <w:pStyle w:val="BodyText"/>
        <w:spacing w:line="240" w:lineRule="auto" w:before="54"/>
        <w:ind w:right="0"/>
        <w:jc w:val="left"/>
      </w:pPr>
      <w:r>
        <w:rPr>
          <w:spacing w:val="-3"/>
        </w:rPr>
        <w:t>重要的已逾期未支付的利息情况：</w:t>
      </w:r>
    </w:p>
    <w:p>
      <w:pPr>
        <w:pStyle w:val="BodyText"/>
        <w:spacing w:line="240" w:lineRule="auto" w:before="115"/>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after="0" w:line="240" w:lineRule="auto"/>
        <w:jc w:val="righ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4,137,267.33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5,535,085.43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2,448,340.27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1,795,763.37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403,234.89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559,829.06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5,663,400.00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2,225,169.82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2,701,152.77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14,877,412.31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10,591,830.63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年的重要其他应付款</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湖州致远科技股份有限公司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深圳先进微电子科技有限公司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521,057.50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迈思豪餐饮实业有限公司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食堂押金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2,121,057.50</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54"/>
        <w:ind w:right="9052"/>
        <w:jc w:val="left"/>
      </w:pPr>
      <w:r>
        <w:rPr/>
        <w:t>其他说明</w:t>
      </w:r>
      <w:r>
        <w:rPr>
          <w:spacing w:val="-86"/>
        </w:rPr>
        <w:t> </w:t>
      </w:r>
      <w:r>
        <w:rPr>
          <w:spacing w:val="-86"/>
        </w:rPr>
      </w:r>
      <w:r>
        <w:rPr/>
        <w:t>无</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26</w:t>
      </w:r>
      <w:r>
        <w:rPr/>
        <w:t>、预计负债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57" w:hRule="exact"/>
        </w:trPr>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公司与客户因产品质量产生</w:t>
            </w:r>
          </w:p>
        </w:tc>
      </w:tr>
      <w:tr>
        <w:trPr>
          <w:trHeight w:val="629"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945,597.80</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945,597.80</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2"/>
              <w:jc w:val="left"/>
              <w:rPr>
                <w:rFonts w:ascii="宋体" w:hAnsi="宋体" w:cs="宋体" w:eastAsia="宋体" w:hint="default"/>
                <w:sz w:val="18"/>
                <w:szCs w:val="18"/>
              </w:rPr>
            </w:pPr>
            <w:r>
              <w:rPr>
                <w:rFonts w:ascii="宋体" w:hAnsi="宋体" w:cs="宋体" w:eastAsia="宋体" w:hint="default"/>
                <w:spacing w:val="-3"/>
                <w:sz w:val="18"/>
                <w:szCs w:val="18"/>
              </w:rPr>
              <w:t>纠纷，基于协议约定和最佳估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计值，计提 </w:t>
            </w:r>
            <w:r>
              <w:rPr>
                <w:rFonts w:ascii="Times New Roman" w:hAnsi="Times New Roman" w:cs="Times New Roman" w:eastAsia="Times New Roman" w:hint="default"/>
                <w:sz w:val="18"/>
                <w:szCs w:val="18"/>
              </w:rPr>
              <w:t>RMB945,597.80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w:t>
            </w:r>
          </w:p>
        </w:tc>
      </w:tr>
      <w:tr>
        <w:trPr>
          <w:trHeight w:val="353" w:hRule="exact"/>
        </w:trPr>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r>
      <w:tr>
        <w:trPr>
          <w:trHeight w:val="357" w:hRule="exact"/>
        </w:trPr>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公司与专利提供商因专利费</w:t>
            </w:r>
          </w:p>
        </w:tc>
      </w:tr>
      <w:tr>
        <w:trPr>
          <w:trHeight w:val="310"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产生纠纷，基于协议约定和最</w:t>
            </w:r>
          </w:p>
        </w:tc>
      </w:tr>
      <w:tr>
        <w:trPr>
          <w:trHeight w:val="319"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18"/>
                <w:szCs w:val="18"/>
              </w:rPr>
            </w:pPr>
            <w:r>
              <w:rPr>
                <w:rFonts w:ascii="Times New Roman"/>
                <w:spacing w:val="-1"/>
                <w:sz w:val="18"/>
              </w:rPr>
              <w:t>1,576,288.37</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2"/>
              <w:jc w:val="right"/>
              <w:rPr>
                <w:rFonts w:ascii="Times New Roman" w:hAnsi="Times New Roman" w:cs="Times New Roman" w:eastAsia="Times New Roman" w:hint="default"/>
                <w:sz w:val="18"/>
                <w:szCs w:val="18"/>
              </w:rPr>
            </w:pPr>
            <w:r>
              <w:rPr>
                <w:rFonts w:ascii="Times New Roman"/>
                <w:spacing w:val="-1"/>
                <w:sz w:val="18"/>
              </w:rPr>
              <w:t>8,554,318.79</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佳估计值，计提</w:t>
            </w:r>
          </w:p>
        </w:tc>
      </w:tr>
      <w:tr>
        <w:trPr>
          <w:trHeight w:val="312" w:hRule="exact"/>
        </w:trPr>
        <w:tc>
          <w:tcPr>
            <w:tcW w:w="2390" w:type="dxa"/>
            <w:tcBorders>
              <w:top w:val="nil" w:sz="6" w:space="0" w:color="auto"/>
              <w:left w:val="single" w:sz="4" w:space="0" w:color="000000"/>
              <w:bottom w:val="nil" w:sz="6" w:space="0" w:color="auto"/>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RMB1,576,288.37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元预计负</w:t>
            </w:r>
          </w:p>
        </w:tc>
      </w:tr>
      <w:tr>
        <w:trPr>
          <w:trHeight w:val="349" w:hRule="exact"/>
        </w:trPr>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债。</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2,521,886.17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9,499,916.59</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3"/>
        <w:ind w:left="512" w:right="141" w:hanging="361"/>
        <w:jc w:val="left"/>
      </w:pPr>
      <w:r>
        <w:rPr>
          <w:spacing w:val="-3"/>
        </w:rPr>
        <w:t>其他说明，包括重要预计负债的相关重要假设、估计说明：</w:t>
      </w:r>
      <w:r>
        <w:rPr>
          <w:spacing w:val="-10"/>
        </w:rPr>
        <w:t> </w:t>
      </w:r>
      <w:r>
        <w:rPr>
          <w:spacing w:val="-10"/>
        </w:rPr>
      </w:r>
      <w:r>
        <w:rPr>
          <w:spacing w:val="-3"/>
        </w:rPr>
        <w:t>公司上期末针对专利纠纷事项计提预计负债，其中已经达成和解部分上期计提人民币 </w:t>
      </w:r>
      <w:r>
        <w:rPr>
          <w:rFonts w:ascii="Times New Roman" w:hAnsi="Times New Roman" w:cs="Times New Roman" w:eastAsia="Times New Roman" w:hint="default"/>
        </w:rPr>
        <w:t>8,486,232.43 </w:t>
      </w:r>
      <w:r>
        <w:rPr>
          <w:rFonts w:ascii="Times New Roman" w:hAnsi="Times New Roman" w:cs="Times New Roman" w:eastAsia="Times New Roman" w:hint="default"/>
          <w:spacing w:val="25"/>
        </w:rPr>
        <w:t> </w:t>
      </w:r>
      <w:r>
        <w:rPr>
          <w:spacing w:val="-5"/>
        </w:rPr>
        <w:t>元；本期支付赔偿款</w:t>
      </w:r>
    </w:p>
    <w:p>
      <w:pPr>
        <w:pStyle w:val="BodyText"/>
        <w:spacing w:line="214" w:lineRule="exact"/>
        <w:ind w:right="0"/>
        <w:jc w:val="left"/>
      </w:pPr>
      <w:r>
        <w:rPr/>
        <w:t>人民币 </w:t>
      </w:r>
      <w:r>
        <w:rPr>
          <w:rFonts w:ascii="Times New Roman" w:hAnsi="Times New Roman" w:cs="Times New Roman" w:eastAsia="Times New Roman" w:hint="default"/>
        </w:rPr>
        <w:t>2,403,135.80 </w:t>
      </w:r>
      <w:r>
        <w:rPr>
          <w:spacing w:val="-3"/>
        </w:rPr>
        <w:t>元；本期针对上期剩余预计负债 </w:t>
      </w:r>
      <w:r>
        <w:rPr>
          <w:rFonts w:ascii="Times New Roman" w:hAnsi="Times New Roman" w:cs="Times New Roman" w:eastAsia="Times New Roman" w:hint="default"/>
        </w:rPr>
        <w:t>6,083,096.63</w:t>
      </w:r>
      <w:r>
        <w:rPr>
          <w:rFonts w:ascii="Times New Roman" w:hAnsi="Times New Roman" w:cs="Times New Roman" w:eastAsia="Times New Roman" w:hint="default"/>
          <w:spacing w:val="1"/>
        </w:rPr>
        <w:t> </w:t>
      </w:r>
      <w:r>
        <w:rPr>
          <w:spacing w:val="-3"/>
        </w:rPr>
        <w:t>元部分，予以转回，计入营业外收入。</w:t>
      </w:r>
    </w:p>
    <w:p>
      <w:pPr>
        <w:spacing w:after="0" w:line="214" w:lineRule="exact"/>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658,333.37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center"/>
              <w:rPr>
                <w:rFonts w:ascii="宋体" w:hAnsi="宋体" w:cs="宋体" w:eastAsia="宋体" w:hint="default"/>
                <w:sz w:val="18"/>
                <w:szCs w:val="18"/>
              </w:rPr>
            </w:pPr>
            <w:r>
              <w:rPr>
                <w:rFonts w:ascii="宋体" w:hAnsi="宋体" w:cs="宋体" w:eastAsia="宋体" w:hint="default"/>
                <w:sz w:val="18"/>
                <w:szCs w:val="18"/>
              </w:rPr>
              <w:t>项目专项补助资金</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658,333.37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t>涉及政府补助的项目：</w:t>
      </w:r>
    </w:p>
    <w:p>
      <w:pPr>
        <w:pStyle w:val="BodyText"/>
        <w:spacing w:line="240" w:lineRule="auto" w:before="119"/>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本期新增补助金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本期计入营业外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收入金额</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6"/>
              <w:ind w:left="407" w:right="17" w:hanging="38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w:t>
            </w:r>
            <w:r>
              <w:rPr>
                <w:rFonts w:ascii="宋体" w:hAnsi="宋体" w:cs="宋体" w:eastAsia="宋体" w:hint="default"/>
                <w:spacing w:val="-71"/>
                <w:sz w:val="18"/>
                <w:szCs w:val="18"/>
              </w:rPr>
              <w:t> </w:t>
            </w:r>
            <w:r>
              <w:rPr>
                <w:rFonts w:ascii="宋体" w:hAnsi="宋体" w:cs="宋体" w:eastAsia="宋体" w:hint="default"/>
                <w:sz w:val="18"/>
                <w:szCs w:val="18"/>
              </w:rPr>
              <w:t>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MP4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数字录放机</w:t>
            </w:r>
            <w:r>
              <w:rPr>
                <w:rFonts w:ascii="宋体" w:hAnsi="宋体" w:cs="宋体" w:eastAsia="宋体" w:hint="default"/>
                <w:w w:val="101"/>
                <w:sz w:val="18"/>
                <w:szCs w:val="18"/>
              </w:rPr>
              <w:t> </w:t>
            </w:r>
            <w:r>
              <w:rPr>
                <w:rFonts w:ascii="宋体" w:hAnsi="宋体" w:cs="宋体" w:eastAsia="宋体" w:hint="default"/>
                <w:spacing w:val="-3"/>
                <w:sz w:val="18"/>
                <w:szCs w:val="18"/>
              </w:rPr>
              <w:t>生产线改造的政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府补助款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758,333.33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99,999.96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658,333.37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758,333.33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99,999.96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658,333.37</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4"/>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6"/>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401"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458,410,600.00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2,500,000.00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2,500,000.00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460,910,600.00</w:t>
            </w:r>
          </w:p>
        </w:tc>
      </w:tr>
    </w:tbl>
    <w:p>
      <w:pPr>
        <w:pStyle w:val="BodyText"/>
        <w:spacing w:line="240" w:lineRule="auto" w:before="53"/>
        <w:ind w:right="0"/>
        <w:jc w:val="left"/>
      </w:pPr>
      <w:r>
        <w:rPr/>
        <w:t>其他说明：</w:t>
      </w:r>
    </w:p>
    <w:p>
      <w:pPr>
        <w:pStyle w:val="BodyText"/>
        <w:spacing w:line="240" w:lineRule="auto" w:before="115"/>
        <w:ind w:left="604" w:right="0"/>
        <w:jc w:val="left"/>
      </w:pPr>
      <w:r>
        <w:rPr>
          <w:spacing w:val="-3"/>
        </w:rPr>
        <w:t>报告期内公司股本变动情况，详见本附注一</w:t>
      </w:r>
      <w:r>
        <w:rPr>
          <w:rFonts w:ascii="Times New Roman" w:hAnsi="Times New Roman" w:cs="Times New Roman" w:eastAsia="Times New Roman" w:hint="default"/>
          <w:spacing w:val="-3"/>
        </w:rPr>
        <w:t>“</w:t>
      </w:r>
      <w:r>
        <w:rPr>
          <w:spacing w:val="-3"/>
        </w:rPr>
        <w:t>公司基本情况</w:t>
      </w:r>
      <w:r>
        <w:rPr>
          <w:rFonts w:ascii="Times New Roman" w:hAnsi="Times New Roman" w:cs="Times New Roman" w:eastAsia="Times New Roman" w:hint="default"/>
          <w:spacing w:val="-3"/>
        </w:rPr>
        <w:t>”</w:t>
      </w:r>
      <w:r>
        <w:rPr>
          <w:spacing w:val="-3"/>
        </w:rPr>
        <w:t>，以上股本业经大华会计师事务所出具的大华验字</w:t>
      </w:r>
    </w:p>
    <w:p>
      <w:pPr>
        <w:pStyle w:val="BodyText"/>
        <w:spacing w:line="240" w:lineRule="auto" w:before="67"/>
        <w:ind w:right="0"/>
        <w:jc w:val="left"/>
      </w:pPr>
      <w:r>
        <w:rPr>
          <w:rFonts w:ascii="Times New Roman" w:hAnsi="Times New Roman" w:cs="Times New Roman" w:eastAsia="Times New Roman" w:hint="default"/>
        </w:rPr>
        <w:t>[2014]010041</w:t>
      </w:r>
      <w:r>
        <w:rPr/>
        <w:t>号验资报告审验。</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105,340,668.28</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270,080.79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107,699,452.51</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261,219.98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2,628,865.02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261,219.98</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105,601,888.26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2,628,865.02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270,080.79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107,960,672.49</w:t>
            </w:r>
          </w:p>
        </w:tc>
      </w:tr>
    </w:tbl>
    <w:p>
      <w:pPr>
        <w:pStyle w:val="BodyText"/>
        <w:spacing w:line="240" w:lineRule="auto" w:before="53"/>
        <w:ind w:right="0"/>
        <w:jc w:val="left"/>
      </w:pPr>
      <w:r>
        <w:rPr>
          <w:spacing w:val="-3"/>
        </w:rPr>
        <w:t>其他说明，包括本期增减变动情况、变动原因说明：</w:t>
      </w:r>
    </w:p>
    <w:p>
      <w:pPr>
        <w:pStyle w:val="Heading5"/>
        <w:spacing w:line="240" w:lineRule="auto" w:before="89"/>
        <w:ind w:right="0"/>
        <w:jc w:val="left"/>
      </w:pPr>
      <w:r>
        <w:rPr/>
        <w:t>（</w:t>
      </w:r>
      <w:r>
        <w:rPr>
          <w:rFonts w:ascii="Times New Roman" w:hAnsi="Times New Roman" w:cs="Times New Roman" w:eastAsia="Times New Roman" w:hint="default"/>
        </w:rPr>
        <w:t>1</w:t>
      </w:r>
      <w:r>
        <w:rPr/>
        <w:t>）本期公司因实施股权激励事项，确认当期应计提的股权激励费用，增加资本公积</w:t>
      </w:r>
      <w:r>
        <w:rPr>
          <w:rFonts w:ascii="Times New Roman" w:hAnsi="Times New Roman" w:cs="Times New Roman" w:eastAsia="Times New Roman" w:hint="default"/>
        </w:rPr>
        <w:t>2,628,865.02</w:t>
      </w:r>
      <w:r>
        <w:rPr/>
        <w:t>元。</w:t>
      </w:r>
    </w:p>
    <w:p>
      <w:pPr>
        <w:pStyle w:val="Heading5"/>
        <w:spacing w:line="240" w:lineRule="auto" w:before="21"/>
        <w:ind w:right="0"/>
        <w:jc w:val="left"/>
      </w:pPr>
      <w:r>
        <w:rPr/>
        <w:t>（</w:t>
      </w:r>
      <w:r>
        <w:rPr>
          <w:rFonts w:ascii="Times New Roman" w:hAnsi="Times New Roman" w:cs="Times New Roman" w:eastAsia="Times New Roman" w:hint="default"/>
        </w:rPr>
        <w:t>2</w:t>
      </w:r>
      <w:r>
        <w:rPr/>
        <w:t>）本期计提中介费，减少资本公积</w:t>
      </w:r>
      <w:r>
        <w:rPr>
          <w:rFonts w:ascii="Times New Roman" w:hAnsi="Times New Roman" w:cs="Times New Roman" w:eastAsia="Times New Roman" w:hint="default"/>
        </w:rPr>
        <w:t>270,080.79</w:t>
      </w:r>
      <w:r>
        <w:rPr/>
        <w:t>元。</w:t>
      </w:r>
    </w:p>
    <w:p>
      <w:pPr>
        <w:spacing w:after="0" w:line="240" w:lineRule="auto"/>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30</w:t>
      </w:r>
      <w:r>
        <w:rPr/>
        <w:t>、库存股</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实行股权激励</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w:t>
            </w:r>
          </w:p>
        </w:tc>
      </w:tr>
    </w:tbl>
    <w:p>
      <w:pPr>
        <w:pStyle w:val="BodyText"/>
        <w:spacing w:line="240" w:lineRule="auto" w:before="53"/>
        <w:ind w:right="0"/>
        <w:jc w:val="left"/>
      </w:pPr>
      <w:r>
        <w:rPr>
          <w:spacing w:val="-3"/>
        </w:rPr>
        <w:t>其他说明，包括本期增减变动情况、变动原因说明：</w:t>
      </w:r>
    </w:p>
    <w:p>
      <w:pPr>
        <w:pStyle w:val="Heading5"/>
        <w:spacing w:line="240" w:lineRule="auto" w:before="89"/>
        <w:ind w:left="575" w:right="0"/>
        <w:jc w:val="left"/>
      </w:pPr>
      <w:r>
        <w:rPr/>
        <w:t>本期公司库存股变动情况，详见本附注一</w:t>
      </w:r>
      <w:r>
        <w:rPr>
          <w:rFonts w:ascii="Times New Roman" w:hAnsi="Times New Roman" w:cs="Times New Roman" w:eastAsia="Times New Roman" w:hint="default"/>
        </w:rPr>
        <w:t>“</w:t>
      </w:r>
      <w:r>
        <w:rPr/>
        <w:t>公司基本情况</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31</w:t>
      </w:r>
      <w:r>
        <w:rPr/>
        <w:t>、其他综合收益</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08"/>
        <w:gridCol w:w="1070"/>
        <w:gridCol w:w="936"/>
        <w:gridCol w:w="1152"/>
        <w:gridCol w:w="936"/>
        <w:gridCol w:w="936"/>
        <w:gridCol w:w="667"/>
        <w:gridCol w:w="1061"/>
      </w:tblGrid>
      <w:tr>
        <w:trPr>
          <w:trHeight w:val="401" w:hRule="exact"/>
        </w:trPr>
        <w:tc>
          <w:tcPr>
            <w:tcW w:w="2808" w:type="dxa"/>
            <w:vMerge w:val="restart"/>
            <w:tcBorders>
              <w:top w:val="single" w:sz="4" w:space="0" w:color="000000"/>
              <w:left w:val="single" w:sz="4" w:space="0" w:color="000000"/>
              <w:right w:val="single" w:sz="4" w:space="0" w:color="000000"/>
            </w:tcBorders>
            <w:shd w:val="clear" w:color="auto" w:fill="D3D3D3"/>
          </w:tcPr>
          <w:p>
            <w:pPr/>
          </w:p>
        </w:tc>
        <w:tc>
          <w:tcPr>
            <w:tcW w:w="10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2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08" w:type="dxa"/>
            <w:vMerge/>
            <w:tcBorders>
              <w:left w:val="single" w:sz="4" w:space="0" w:color="000000"/>
              <w:bottom w:val="nil" w:sz="6" w:space="0" w:color="auto"/>
              <w:right w:val="single" w:sz="4" w:space="0" w:color="000000"/>
            </w:tcBorders>
            <w:shd w:val="clear" w:color="auto" w:fill="D3D3D3"/>
          </w:tcPr>
          <w:p>
            <w:pPr/>
          </w:p>
        </w:tc>
        <w:tc>
          <w:tcPr>
            <w:tcW w:w="1070" w:type="dxa"/>
            <w:vMerge/>
            <w:tcBorders>
              <w:left w:val="single" w:sz="4" w:space="0" w:color="000000"/>
              <w:right w:val="single" w:sz="4" w:space="0" w:color="000000"/>
            </w:tcBorders>
            <w:shd w:val="clear" w:color="auto" w:fill="D3D3D3"/>
          </w:tcPr>
          <w:p>
            <w:pP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6"/>
              <w:ind w:left="100" w:right="98"/>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税前发生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6"/>
              <w:ind w:left="28" w:right="26"/>
              <w:jc w:val="both"/>
              <w:rPr>
                <w:rFonts w:ascii="宋体" w:hAnsi="宋体" w:cs="宋体" w:eastAsia="宋体" w:hint="default"/>
                <w:sz w:val="18"/>
                <w:szCs w:val="18"/>
              </w:rPr>
            </w:pPr>
            <w:r>
              <w:rPr>
                <w:rFonts w:ascii="宋体" w:hAnsi="宋体" w:cs="宋体" w:eastAsia="宋体" w:hint="default"/>
                <w:spacing w:val="-2"/>
                <w:sz w:val="18"/>
                <w:szCs w:val="18"/>
              </w:rPr>
              <w:t>减：前期计入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其他综合收益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当期转入损益</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83" w:right="17" w:hanging="260"/>
              <w:jc w:val="left"/>
              <w:rPr>
                <w:rFonts w:ascii="宋体" w:hAnsi="宋体" w:cs="宋体" w:eastAsia="宋体" w:hint="default"/>
                <w:sz w:val="18"/>
                <w:szCs w:val="18"/>
              </w:rPr>
            </w:pPr>
            <w:r>
              <w:rPr>
                <w:rFonts w:ascii="宋体" w:hAnsi="宋体" w:cs="宋体" w:eastAsia="宋体" w:hint="default"/>
                <w:spacing w:val="-6"/>
                <w:sz w:val="18"/>
                <w:szCs w:val="18"/>
              </w:rPr>
              <w:t>减：所得税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6"/>
              <w:ind w:left="62" w:right="50"/>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1061" w:type="dxa"/>
            <w:vMerge/>
            <w:tcBorders>
              <w:left w:val="single" w:sz="4" w:space="0" w:color="000000"/>
              <w:right w:val="single" w:sz="4" w:space="0" w:color="000000"/>
            </w:tcBorders>
            <w:shd w:val="clear" w:color="auto" w:fill="D3D3D3"/>
          </w:tcPr>
          <w:p>
            <w:pPr/>
          </w:p>
        </w:tc>
      </w:tr>
      <w:tr>
        <w:trPr>
          <w:trHeight w:val="389" w:hRule="exact"/>
        </w:trPr>
        <w:tc>
          <w:tcPr>
            <w:tcW w:w="2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667" w:type="dxa"/>
            <w:vMerge/>
            <w:tcBorders>
              <w:left w:val="single" w:sz="4" w:space="0" w:color="000000"/>
              <w:right w:val="single" w:sz="4" w:space="0" w:color="000000"/>
            </w:tcBorders>
            <w:shd w:val="clear" w:color="auto" w:fill="D3D3D3"/>
          </w:tcPr>
          <w:p>
            <w:pPr/>
          </w:p>
        </w:tc>
        <w:tc>
          <w:tcPr>
            <w:tcW w:w="1061" w:type="dxa"/>
            <w:vMerge/>
            <w:tcBorders>
              <w:left w:val="single" w:sz="4" w:space="0" w:color="000000"/>
              <w:right w:val="single" w:sz="4" w:space="0" w:color="000000"/>
            </w:tcBorders>
            <w:shd w:val="clear" w:color="auto" w:fill="D3D3D3"/>
          </w:tcPr>
          <w:p>
            <w:pPr/>
          </w:p>
        </w:tc>
      </w:tr>
      <w:tr>
        <w:trPr>
          <w:trHeight w:val="518" w:hRule="exact"/>
        </w:trPr>
        <w:tc>
          <w:tcPr>
            <w:tcW w:w="28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0"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二、以后将重分类进损益的其他综</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合收益</w:t>
            </w:r>
          </w:p>
        </w:tc>
        <w:tc>
          <w:tcPr>
            <w:tcW w:w="10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-291,451.81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-145,138.84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-145,138.84</w:t>
            </w:r>
          </w:p>
        </w:tc>
        <w:tc>
          <w:tcPr>
            <w:tcW w:w="6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-436,590.65</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-291,451.81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-145,138.84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-145,138.84</w:t>
            </w:r>
          </w:p>
        </w:tc>
        <w:tc>
          <w:tcPr>
            <w:tcW w:w="6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-436,590.65</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-291,451.81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-145,138.84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-145,138.84</w:t>
            </w:r>
          </w:p>
        </w:tc>
        <w:tc>
          <w:tcPr>
            <w:tcW w:w="6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-436,590.65</w:t>
            </w:r>
          </w:p>
        </w:tc>
      </w:tr>
    </w:tbl>
    <w:p>
      <w:pPr>
        <w:pStyle w:val="BodyText"/>
        <w:spacing w:line="240" w:lineRule="auto" w:before="53"/>
        <w:ind w:right="0"/>
        <w:jc w:val="left"/>
      </w:pPr>
      <w:r>
        <w:rPr>
          <w:spacing w:val="-3"/>
        </w:rPr>
        <w:t>其他说明，包括对现金流量套期损益的有效部分转为被套期项目初始确认金额调整：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15,188,942.04</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15,188,942.04</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15,188,942.04</w:t>
            </w:r>
          </w:p>
        </w:tc>
      </w:tr>
    </w:tbl>
    <w:p>
      <w:pPr>
        <w:pStyle w:val="BodyText"/>
        <w:spacing w:line="240" w:lineRule="auto" w:before="54"/>
        <w:ind w:right="0"/>
        <w:jc w:val="left"/>
      </w:pPr>
      <w:r>
        <w:rPr>
          <w:spacing w:val="-3"/>
        </w:rPr>
        <w:t>盈余公积说明，包括本期增减变动情况、变动原因说明：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-95,227,399.15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98,590,856.96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-95,227,399.15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98,590,856.96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14,276,265.68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-187,575,136.11</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减：应付普通股股利</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6,243,120.00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95" w:right="0"/>
              <w:jc w:val="left"/>
              <w:rPr>
                <w:rFonts w:ascii="Times New Roman" w:hAnsi="Times New Roman" w:cs="Times New Roman" w:eastAsia="Times New Roman" w:hint="default"/>
                <w:sz w:val="18"/>
                <w:szCs w:val="18"/>
              </w:rPr>
            </w:pPr>
            <w:r>
              <w:rPr>
                <w:rFonts w:ascii="Times New Roman"/>
                <w:sz w:val="18"/>
              </w:rPr>
              <w:t>-80,951,133.47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90" w:right="0"/>
              <w:jc w:val="left"/>
              <w:rPr>
                <w:rFonts w:ascii="Times New Roman" w:hAnsi="Times New Roman" w:cs="Times New Roman" w:eastAsia="Times New Roman" w:hint="default"/>
                <w:sz w:val="18"/>
                <w:szCs w:val="18"/>
              </w:rPr>
            </w:pPr>
            <w:r>
              <w:rPr>
                <w:rFonts w:ascii="Times New Roman"/>
                <w:sz w:val="18"/>
              </w:rPr>
              <w:t>-95,227,399.15</w:t>
            </w:r>
          </w:p>
        </w:tc>
      </w:tr>
    </w:tbl>
    <w:p>
      <w:pPr>
        <w:pStyle w:val="BodyText"/>
        <w:spacing w:line="240" w:lineRule="auto" w:before="54"/>
        <w:ind w:right="0"/>
        <w:jc w:val="left"/>
      </w:pPr>
      <w:r>
        <w:rPr>
          <w:spacing w:val="-3"/>
        </w:rPr>
        <w:t>调整期初未分配利润明细：</w:t>
      </w:r>
    </w:p>
    <w:p>
      <w:pPr>
        <w:pStyle w:val="BodyText"/>
        <w:spacing w:line="240" w:lineRule="auto" w:before="115"/>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3"/>
        </w:rPr>
        <w:t>元。</w:t>
      </w:r>
    </w:p>
    <w:p>
      <w:pPr>
        <w:pStyle w:val="BodyText"/>
        <w:spacing w:line="240" w:lineRule="auto" w:before="106"/>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1"/>
        </w:rPr>
        <w:t> </w:t>
      </w:r>
      <w:r>
        <w:rPr/>
        <w:t>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7"/>
        </w:rPr>
        <w:t> </w:t>
      </w:r>
      <w:r>
        <w:rPr/>
        <w:t>元。</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39"/>
        </w:rPr>
        <w:t> </w:t>
      </w:r>
      <w:r>
        <w:rPr/>
        <w:t>元。</w:t>
      </w:r>
    </w:p>
    <w:p>
      <w:pPr>
        <w:pStyle w:val="BodyText"/>
        <w:spacing w:line="240" w:lineRule="auto" w:before="106"/>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517,324,959.04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449,157,064.11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597,701,726.37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582,763,011.61</w:t>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29,192,762.96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21,520,135.04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20,946,204.54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20,610,466.48</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546,517,722.00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470,677,199.15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618,647,930.91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603,373,478.09</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338,240.75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87,294.29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1,755,045.58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1,502,919.21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1,253,524.45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1,073,388.71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1,633.64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29,184.37</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3,348,444.42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2,692,786.58</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员工薪酬保险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8,486,628.51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10,858,689.06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办公通讯费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486,222.40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568,323.33</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快递及运杂费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1,986,370.84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2,411,068.62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1,470,137.98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1,918,666.04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水电及租赁费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843,783.03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1,267,899.60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252,120.50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436,401.26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1,416,075.99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3,105,008.25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149,564.91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104,646.56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1,035,753.34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1,183,024.78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351,804.11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1,910,627.46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1,533,360.66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1,308,802.11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18,011,822.27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25,073,157.07</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员工薪酬保险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13,469,724.47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16,213,663.75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738,454.05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2,339,565.81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13,584,600.35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23,904,512.90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差旅费及汽车支出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1,556,481.13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2,004,021.15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383,669.70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3,889,960.93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5,379,061.88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3,659,209.35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物料消耗及维修费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601,016.23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715,762.76</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保险及招聘费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532,390.65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707,514.14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水电及租赁费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808,273.74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712,069.28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2,367,203.69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2,296,498.80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中介及审核服务费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1,726,686.02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5,664,773.06</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1,322,067.93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1,572,870.51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42,469,629.84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63,680,422.44</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1,649,382.89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4,262,007.41</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7,331,482.01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3,402,861.58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-511,279.50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1,989,017.29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32,633.62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291,947.29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-6,160,745.00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3,140,110.41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2,857,197.67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11,142,623.11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9,233,764.64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26,579,488.97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2,817,783.95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823,865.99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56,058,389.43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10,451,398.91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12,914,828.30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107,049,684.37</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1"/>
        <w:gridCol w:w="3187"/>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-149,836.33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1,303,331.76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4,317,499.57</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1,153,495.43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4,317,499.57</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270,363.60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1,692,806.67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270,363.60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无需支付的款项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524,349.28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524,349.28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6,122,963.31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114,538.45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6,122,963.31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6,917,676.19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1,807,345.12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6,917,676.19</w:t>
            </w:r>
          </w:p>
        </w:tc>
      </w:tr>
    </w:tbl>
    <w:p>
      <w:pPr>
        <w:pStyle w:val="BodyText"/>
        <w:spacing w:line="240" w:lineRule="auto" w:before="53"/>
        <w:ind w:right="0"/>
        <w:jc w:val="left"/>
      </w:pPr>
      <w:r>
        <w:rPr>
          <w:spacing w:val="-3"/>
        </w:rPr>
        <w:t>计入当期损益的政府补助：</w:t>
      </w:r>
    </w:p>
    <w:p>
      <w:pPr>
        <w:pStyle w:val="BodyText"/>
        <w:spacing w:line="240" w:lineRule="auto" w:before="115"/>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spacing w:val="-3"/>
                <w:sz w:val="18"/>
                <w:szCs w:val="18"/>
              </w:rPr>
              <w:t>与资产相关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进出保险费补助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284,157.00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信息化专项补助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优化出口结构补助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57,483.00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企业技术改造扶持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99,999.60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241,666.67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技术创新项目扶持</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研究生工作站</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年的出口增长奖励基金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中小企业开拓市场资金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企业创新能力建设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中信保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Q4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保费资助款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89,564.00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财政委拨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年资助款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无锡市第二批专利资助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无锡新区管委会财政局：省中</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小企业国际市场开拓资金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90"/>
              <w:jc w:val="left"/>
              <w:rPr>
                <w:rFonts w:ascii="宋体" w:hAnsi="宋体" w:cs="宋体" w:eastAsia="宋体" w:hint="default"/>
                <w:sz w:val="18"/>
                <w:szCs w:val="18"/>
              </w:rPr>
            </w:pPr>
            <w:r>
              <w:rPr>
                <w:rFonts w:ascii="宋体" w:hAnsi="宋体" w:cs="宋体" w:eastAsia="宋体" w:hint="default"/>
                <w:spacing w:val="-3"/>
                <w:sz w:val="18"/>
                <w:szCs w:val="18"/>
              </w:rPr>
              <w:t>无锡新区管委会财政局专利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270,363.60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1,692,806.67</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488,288.18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75,083.94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488,288.18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488,288.18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75,083.94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488,288.18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4,611,205.03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488,288.18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4,886,288.97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488,288.18</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84,280.05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146,296.85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5,494,241.12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84,280.05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5,640,537.97</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6"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12,839,426.46</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3,209,856.62</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336,087.81</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2,686,833.86</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-4,903,553.30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-1,244,944.94</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84,280.05</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44</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8,588,033.25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3,814,948.37</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170,364.00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1,451,140.00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6,330,810.37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2,670,032.29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15,089,207.62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7,936,120.66</w:t>
            </w:r>
          </w:p>
        </w:tc>
      </w:tr>
    </w:tbl>
    <w:p>
      <w:pPr>
        <w:pStyle w:val="BodyText"/>
        <w:spacing w:line="240" w:lineRule="auto" w:before="53"/>
        <w:ind w:right="0"/>
        <w:jc w:val="left"/>
      </w:pPr>
      <w:r>
        <w:rPr>
          <w:spacing w:val="-3"/>
        </w:rPr>
        <w:t>收到的其他与经营活动有关的现金说明：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16,973,088.04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30,567,798.19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9,509,737.20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4,772,767.12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26,482,825.24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35,540,565.31</w:t>
            </w:r>
          </w:p>
        </w:tc>
      </w:tr>
    </w:tbl>
    <w:p>
      <w:pPr>
        <w:pStyle w:val="BodyText"/>
        <w:spacing w:line="240" w:lineRule="auto" w:before="53"/>
        <w:ind w:right="0"/>
        <w:jc w:val="left"/>
      </w:pPr>
      <w:r>
        <w:rPr>
          <w:spacing w:val="-3"/>
        </w:rPr>
        <w:t>支付的其他与经营活动有关的现金说明：</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赎回银行理财产品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104,008,000.00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104,008,000.00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54"/>
        <w:ind w:right="0"/>
        <w:jc w:val="left"/>
      </w:pPr>
      <w:r>
        <w:rPr>
          <w:spacing w:val="-3"/>
        </w:rPr>
        <w:t>收到的其他与投资活动有关的现金说明：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104,008,000.00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104,008,000.00</w:t>
            </w:r>
          </w:p>
        </w:tc>
      </w:tr>
    </w:tbl>
    <w:p>
      <w:pPr>
        <w:pStyle w:val="BodyText"/>
        <w:spacing w:line="240" w:lineRule="auto" w:before="53"/>
        <w:ind w:right="0"/>
        <w:jc w:val="left"/>
      </w:pPr>
      <w:r>
        <w:rPr>
          <w:spacing w:val="-3"/>
        </w:rPr>
        <w:t>支付的其他与投资活动有关的现金说明：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98,281,950.00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121,052,274.34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98,281,950.00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121,052,274.34</w:t>
            </w:r>
          </w:p>
        </w:tc>
      </w:tr>
    </w:tbl>
    <w:p>
      <w:pPr>
        <w:pStyle w:val="BodyText"/>
        <w:spacing w:line="240" w:lineRule="auto" w:before="53"/>
        <w:ind w:right="0"/>
        <w:jc w:val="left"/>
      </w:pPr>
      <w:r>
        <w:rPr>
          <w:spacing w:val="-3"/>
        </w:rPr>
        <w:t>收到的其他与筹资活动有关的现金说明：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支付的发行费用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326,967.60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942,000.00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148,869,308.79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326,967.60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149,811,308.79</w:t>
            </w:r>
          </w:p>
        </w:tc>
      </w:tr>
    </w:tbl>
    <w:p>
      <w:pPr>
        <w:pStyle w:val="BodyText"/>
        <w:spacing w:line="240" w:lineRule="auto" w:before="53"/>
        <w:ind w:right="0"/>
        <w:jc w:val="left"/>
      </w:pPr>
      <w:r>
        <w:rPr>
          <w:spacing w:val="-3"/>
        </w:rPr>
        <w:t>支付的其他与筹资活动有关的现金说明：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after="0" w:line="240" w:lineRule="auto"/>
        <w:jc w:val="righ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r>
        <w:rPr/>
        <w:pict>
          <v:group style="position:absolute;margin-left:223.199997pt;margin-top:304.799988pt;width:152.4pt;height:19.45pt;mso-position-horizontal-relative:page;mso-position-vertical-relative:page;z-index:-821056" coordorigin="4464,6096" coordsize="3048,389">
            <v:group style="position:absolute;left:7488;top:6096;width:24;height:389" coordorigin="7488,6096" coordsize="24,389">
              <v:shape style="position:absolute;left:7488;top:6096;width:24;height:389" coordorigin="7488,6096" coordsize="24,389" path="m7488,6485l7512,6485,7512,6096,7488,6096,7488,6485xe" filled="true" fillcolor="#ffffff" stroked="false">
                <v:path arrowok="t"/>
                <v:fill type="solid"/>
              </v:shape>
            </v:group>
            <v:group style="position:absolute;left:4464;top:6096;width:24;height:389" coordorigin="4464,6096" coordsize="24,389">
              <v:shape style="position:absolute;left:4464;top:6096;width:24;height:389" coordorigin="4464,6096" coordsize="24,389" path="m4464,6485l4488,6485,4488,6096,4464,6096,4464,6485xe" filled="true" fillcolor="#ffffff" stroked="false">
                <v:path arrowok="t"/>
                <v:fill type="solid"/>
              </v:shape>
            </v:group>
            <v:group style="position:absolute;left:4488;top:6096;width:3000;height:389" coordorigin="4488,6096" coordsize="3000,389">
              <v:shape style="position:absolute;left:4488;top:6096;width:3000;height:389" coordorigin="4488,6096" coordsize="3000,389" path="m4488,6485l7488,6485,7488,6096,4488,6096,4488,6485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12,755,146.41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-190,763,690.30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12,914,828.30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107,049,684.37</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物资产折旧</w:t>
            </w:r>
          </w:p>
        </w:tc>
        <w:tc>
          <w:tcPr>
            <w:tcW w:w="305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17,546,531.94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31,939,576.82</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2,702,026.07</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2,639,746.65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2,672,646.74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1,000,154.55</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488,288.18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75,083.94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1,138,103.39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4,262,007.41</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-1,153,495.43</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-4,317,499.57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5"/>
                <w:sz w:val="18"/>
                <w:szCs w:val="18"/>
              </w:rPr>
              <w:t>递延所得税资产减少（增加以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5,494,241.12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32,753,001.30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26,993,398.46</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65"/>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-41,622,166.80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63,702,206.05</w:t>
            </w:r>
          </w:p>
        </w:tc>
      </w:tr>
      <w:tr>
        <w:trPr>
          <w:trHeight w:val="710"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4"/>
              <w:ind w:left="23" w:right="65"/>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-35,897,867.07</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-73,211,030.78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4,297,043.03</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-25,136,121.28</w:t>
            </w:r>
          </w:p>
        </w:tc>
      </w:tr>
      <w:tr>
        <w:trPr>
          <w:trHeight w:val="163"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304" w:lineRule="auto" w:before="53"/>
              <w:ind w:left="23" w:right="13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89"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r>
        <w:trPr>
          <w:trHeight w:val="163"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169,316,490.34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171,863,871.88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171,863,871.88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110,877,572.12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-2,547,381.54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60,986,299.76</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169,316,490.34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171,863,871.88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51,298.09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147,603.02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169,265,192.25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171,716,268.86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169,316,490.34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171,863,871.88</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46</w:t>
      </w:r>
      <w:r>
        <w:rPr/>
        <w:t>、所有权或使用权受到限制的资产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1,005,000.00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1,005,000.00</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47</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6"/>
        <w:gridCol w:w="2294"/>
        <w:gridCol w:w="2386"/>
        <w:gridCol w:w="2390"/>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3,693,185.51</w:t>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598,975.39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6.11900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3,665,129.60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7.45560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1,863.90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27,249.42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0.78887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21,496.26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86,525.07</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0.05137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4,444.88</w:t>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5.01740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250.87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51,743,182.51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8,456,150.10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6.11900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51,743,182.51</w:t>
            </w:r>
          </w:p>
        </w:tc>
      </w:tr>
    </w:tbl>
    <w:p>
      <w:pPr>
        <w:pStyle w:val="BodyText"/>
        <w:spacing w:line="240" w:lineRule="auto" w:before="54"/>
        <w:ind w:right="0"/>
        <w:jc w:val="left"/>
      </w:pPr>
      <w:r>
        <w:rPr/>
        <w:t>其他说明：</w:t>
      </w:r>
    </w:p>
    <w:p>
      <w:pPr>
        <w:spacing w:line="240" w:lineRule="auto" w:before="4"/>
        <w:rPr>
          <w:rFonts w:ascii="宋体" w:hAnsi="宋体" w:cs="宋体" w:eastAsia="宋体" w:hint="default"/>
          <w:sz w:val="24"/>
          <w:szCs w:val="24"/>
        </w:rPr>
      </w:pPr>
    </w:p>
    <w:p>
      <w:pPr>
        <w:pStyle w:val="Heading3"/>
        <w:spacing w:line="240" w:lineRule="auto"/>
        <w:ind w:right="0"/>
        <w:jc w:val="left"/>
      </w:pPr>
      <w:r>
        <w:rPr/>
        <w:t>八、合并范围的变更</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309" w:lineRule="auto" w:before="115"/>
        <w:ind w:left="153" w:right="155" w:firstLine="359"/>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日，由深圳市实益达科技股份有限公司及无锡实益达电子有限公司分别投资</w:t>
      </w:r>
      <w:r>
        <w:rPr>
          <w:rFonts w:ascii="Times New Roman" w:hAnsi="Times New Roman" w:cs="Times New Roman" w:eastAsia="Times New Roman" w:hint="default"/>
          <w:spacing w:val="-2"/>
        </w:rPr>
        <w:t>800.00</w:t>
      </w:r>
      <w:r>
        <w:rPr>
          <w:spacing w:val="-2"/>
        </w:rPr>
        <w:t>万元、</w:t>
      </w:r>
      <w:r>
        <w:rPr>
          <w:rFonts w:ascii="Times New Roman" w:hAnsi="Times New Roman" w:cs="Times New Roman" w:eastAsia="Times New Roman" w:hint="default"/>
          <w:spacing w:val="-2"/>
        </w:rPr>
        <w:t>200.00</w:t>
      </w:r>
      <w:r>
        <w:rPr>
          <w:spacing w:val="-2"/>
        </w:rPr>
        <w:t>万元</w:t>
      </w:r>
      <w:r>
        <w:rPr>
          <w:w w:val="101"/>
        </w:rPr>
        <w:t> </w:t>
      </w:r>
      <w:r>
        <w:rPr>
          <w:spacing w:val="-3"/>
        </w:rPr>
        <w:t>人民币，于无锡市新区新设立无锡实益达照明科技有限公司，2014年5月21日公司向其增资，增资后的无锡实益达照明的注</w:t>
      </w:r>
      <w:r>
        <w:rPr>
          <w:spacing w:val="79"/>
        </w:rPr>
        <w:t> </w:t>
      </w:r>
      <w:r>
        <w:rPr>
          <w:spacing w:val="79"/>
        </w:rPr>
      </w:r>
      <w:r>
        <w:rPr>
          <w:spacing w:val="-3"/>
        </w:rPr>
        <w:t>册资本为</w:t>
      </w:r>
      <w:r>
        <w:rPr>
          <w:rFonts w:ascii="Times New Roman" w:hAnsi="Times New Roman" w:cs="Times New Roman" w:eastAsia="Times New Roman" w:hint="default"/>
          <w:spacing w:val="-3"/>
        </w:rPr>
        <w:t>2,600.00</w:t>
      </w:r>
      <w:r>
        <w:rPr>
          <w:spacing w:val="-3"/>
        </w:rPr>
        <w:t>万元人民币，公司持股比例及表决权比例均为</w:t>
      </w:r>
      <w:r>
        <w:rPr>
          <w:rFonts w:ascii="Times New Roman" w:hAnsi="Times New Roman" w:cs="Times New Roman" w:eastAsia="Times New Roman" w:hint="default"/>
          <w:spacing w:val="-3"/>
        </w:rPr>
        <w:t>100%</w:t>
      </w:r>
      <w:r>
        <w:rPr>
          <w:spacing w:val="-3"/>
        </w:rPr>
        <w:t>，本期新纳入合并范围。</w:t>
      </w:r>
    </w:p>
    <w:p>
      <w:pPr>
        <w:pStyle w:val="BodyText"/>
        <w:spacing w:line="300" w:lineRule="auto" w:before="5"/>
        <w:ind w:left="153" w:right="0" w:firstLine="359"/>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22</w:t>
      </w:r>
      <w:r>
        <w:rPr>
          <w:spacing w:val="-3"/>
        </w:rPr>
        <w:t>日，由深圳市实益达科技股份有限公司及深圳前海知了投资管理有限公司分别投资</w:t>
      </w:r>
      <w:r>
        <w:rPr>
          <w:rFonts w:ascii="Times New Roman" w:hAnsi="Times New Roman" w:cs="Times New Roman" w:eastAsia="Times New Roman" w:hint="default"/>
          <w:spacing w:val="-3"/>
        </w:rPr>
        <w:t>750.00</w:t>
      </w:r>
      <w:r>
        <w:rPr>
          <w:spacing w:val="-3"/>
        </w:rPr>
        <w:t>万元、</w:t>
      </w:r>
      <w:r>
        <w:rPr>
          <w:rFonts w:ascii="Times New Roman" w:hAnsi="Times New Roman" w:cs="Times New Roman" w:eastAsia="Times New Roman" w:hint="default"/>
          <w:spacing w:val="-3"/>
        </w:rPr>
        <w:t>250</w:t>
      </w:r>
      <w:r>
        <w:rPr>
          <w:rFonts w:ascii="Times New Roman" w:hAnsi="Times New Roman" w:cs="Times New Roman" w:eastAsia="Times New Roman" w:hint="default"/>
          <w:w w:val="101"/>
        </w:rPr>
        <w:t> </w:t>
      </w:r>
      <w:r>
        <w:rPr>
          <w:spacing w:val="-3"/>
        </w:rPr>
        <w:t>万元人民币，于深圳市前海深港合作区新设立深圳前海实益达投资发展有限公司，注册资本为</w:t>
      </w:r>
      <w:r>
        <w:rPr>
          <w:rFonts w:ascii="Times New Roman" w:hAnsi="Times New Roman" w:cs="Times New Roman" w:eastAsia="Times New Roman" w:hint="default"/>
          <w:spacing w:val="-3"/>
        </w:rPr>
        <w:t>1,000.00</w:t>
      </w:r>
      <w:r>
        <w:rPr>
          <w:spacing w:val="-3"/>
        </w:rPr>
        <w:t>万元人民币，公司持</w:t>
      </w:r>
      <w:r>
        <w:rPr>
          <w:spacing w:val="80"/>
        </w:rPr>
        <w:t> </w:t>
      </w:r>
      <w:r>
        <w:rPr>
          <w:spacing w:val="80"/>
        </w:rPr>
      </w:r>
      <w:r>
        <w:rPr>
          <w:spacing w:val="-3"/>
        </w:rPr>
        <w:t>股比例及表决权比例均为</w:t>
      </w:r>
      <w:r>
        <w:rPr>
          <w:rFonts w:ascii="Times New Roman" w:hAnsi="Times New Roman" w:cs="Times New Roman" w:eastAsia="Times New Roman" w:hint="default"/>
          <w:spacing w:val="-3"/>
        </w:rPr>
        <w:t>75%</w:t>
      </w:r>
      <w:r>
        <w:rPr>
          <w:spacing w:val="-3"/>
        </w:rPr>
        <w:t>，本期新纳入合并范围。</w:t>
      </w:r>
    </w:p>
    <w:p>
      <w:pPr>
        <w:spacing w:after="0" w:line="300" w:lineRule="auto"/>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Heading3"/>
        <w:spacing w:line="240" w:lineRule="auto" w:before="26"/>
        <w:ind w:right="0"/>
        <w:jc w:val="left"/>
      </w:pPr>
      <w:r>
        <w:rPr/>
        <w:t>九、在其他主体中的权益</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3"/>
        <w:gridCol w:w="1368"/>
        <w:gridCol w:w="1368"/>
        <w:gridCol w:w="1368"/>
        <w:gridCol w:w="1363"/>
        <w:gridCol w:w="1368"/>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3D3D3"/>
          </w:tcPr>
          <w:p>
            <w:pPr/>
          </w:p>
        </w:tc>
        <w:tc>
          <w:tcPr>
            <w:tcW w:w="1363"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无锡实益达电子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深圳市汇大光电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实益达科技（香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港）有限公司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深圳市实益达照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明有限公司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pacing w:val="-7"/>
                <w:sz w:val="18"/>
                <w:szCs w:val="18"/>
              </w:rPr>
              <w:t>凯扬商贸（香港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3"/>
                <w:sz w:val="18"/>
                <w:szCs w:val="18"/>
              </w:rPr>
              <w:t>无锡实益达照明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4"/>
              <w:jc w:val="both"/>
              <w:rPr>
                <w:rFonts w:ascii="宋体" w:hAnsi="宋体" w:cs="宋体" w:eastAsia="宋体" w:hint="default"/>
                <w:sz w:val="18"/>
                <w:szCs w:val="18"/>
              </w:rPr>
            </w:pPr>
            <w:r>
              <w:rPr>
                <w:rFonts w:ascii="宋体" w:hAnsi="宋体" w:cs="宋体" w:eastAsia="宋体" w:hint="default"/>
                <w:spacing w:val="-3"/>
                <w:sz w:val="18"/>
                <w:szCs w:val="18"/>
              </w:rPr>
              <w:t>深圳市前海实益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达投资发展有限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54"/>
        <w:ind w:right="0"/>
        <w:jc w:val="left"/>
      </w:pPr>
      <w:r>
        <w:rPr/>
        <w:pict>
          <v:group style="position:absolute;margin-left:125.519997pt;margin-top:-122.632607pt;width:67.95pt;height:35.3pt;mso-position-horizontal-relative:page;mso-position-vertical-relative:paragraph;z-index:-821032" coordorigin="2510,-2453" coordsize="1359,706">
            <v:group style="position:absolute;left:2510;top:-2453;width:1359;height:706" coordorigin="2510,-2453" coordsize="1359,706">
              <v:shape style="position:absolute;left:2510;top:-2453;width:1359;height:706" coordorigin="2510,-2453" coordsize="1359,706" path="m2510,-1747l3869,-1747,3869,-2453,2510,-2453,2510,-1747xe" filled="true" fillcolor="#ffffff" stroked="false">
                <v:path arrowok="t"/>
                <v:fill type="solid"/>
              </v:shape>
            </v:group>
            <v:group style="position:absolute;left:2534;top:-2299;width:1311;height:394" coordorigin="2534,-2299" coordsize="1311,394">
              <v:shape style="position:absolute;left:2534;top:-2299;width:1311;height:394" coordorigin="2534,-2299" coordsize="1311,394" path="m2534,-1905l3845,-1905,3845,-2299,2534,-2299,2534,-1905xe" filled="true" fillcolor="#ffffff" stroked="false">
                <v:path arrowok="t"/>
                <v:fill type="solid"/>
              </v:shape>
            </v:group>
            <w10:wrap type="none"/>
          </v:group>
        </w:pict>
      </w:r>
      <w:r>
        <w:rPr>
          <w:spacing w:val="-3"/>
        </w:rPr>
        <w:t>在子公司的持股比例不同于表决权比例的说明：</w:t>
      </w:r>
    </w:p>
    <w:p>
      <w:pPr>
        <w:pStyle w:val="BodyText"/>
        <w:spacing w:line="300" w:lineRule="auto" w:before="115"/>
        <w:ind w:right="145" w:firstLine="422"/>
        <w:jc w:val="both"/>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w:t>
      </w:r>
      <w:r>
        <w:rPr>
          <w:spacing w:val="-3"/>
        </w:rPr>
        <w:t>日，本公司与深圳市汇大光电科技有限公司（以下简称</w:t>
      </w:r>
      <w:r>
        <w:rPr>
          <w:rFonts w:ascii="Times New Roman" w:hAnsi="Times New Roman" w:cs="Times New Roman" w:eastAsia="Times New Roman" w:hint="default"/>
          <w:spacing w:val="-3"/>
        </w:rPr>
        <w:t>“</w:t>
      </w:r>
      <w:r>
        <w:rPr>
          <w:spacing w:val="-3"/>
        </w:rPr>
        <w:t>汇大公司</w:t>
      </w:r>
      <w:r>
        <w:rPr>
          <w:rFonts w:ascii="Times New Roman" w:hAnsi="Times New Roman" w:cs="Times New Roman" w:eastAsia="Times New Roman" w:hint="default"/>
          <w:spacing w:val="-3"/>
        </w:rPr>
        <w:t>”</w:t>
      </w:r>
      <w:r>
        <w:rPr>
          <w:spacing w:val="-3"/>
        </w:rPr>
        <w:t>）股东王诗畅、潘东平签订《关于深圳</w:t>
      </w:r>
      <w:r>
        <w:rPr>
          <w:w w:val="101"/>
        </w:rPr>
        <w:t> </w:t>
      </w:r>
      <w:r>
        <w:rPr>
          <w:spacing w:val="-3"/>
        </w:rPr>
        <w:t>市汇大光电科技有限公司之股权转让协议》，公司以自有资金人民币</w:t>
      </w:r>
      <w:r>
        <w:rPr>
          <w:rFonts w:ascii="Times New Roman" w:hAnsi="Times New Roman" w:cs="Times New Roman" w:eastAsia="Times New Roman" w:hint="default"/>
          <w:spacing w:val="-3"/>
        </w:rPr>
        <w:t>720</w:t>
      </w:r>
      <w:r>
        <w:rPr>
          <w:spacing w:val="-3"/>
        </w:rPr>
        <w:t>万元收购汇大公司</w:t>
      </w:r>
      <w:r>
        <w:rPr>
          <w:rFonts w:ascii="Times New Roman" w:hAnsi="Times New Roman" w:cs="Times New Roman" w:eastAsia="Times New Roman" w:hint="default"/>
          <w:spacing w:val="-3"/>
        </w:rPr>
        <w:t>20%</w:t>
      </w:r>
      <w:r>
        <w:rPr>
          <w:spacing w:val="-3"/>
        </w:rPr>
        <w:t>的股权，其中王诗畅出让其</w:t>
      </w:r>
      <w:r>
        <w:rPr>
          <w:spacing w:val="70"/>
        </w:rPr>
        <w:t> </w:t>
      </w:r>
      <w:r>
        <w:rPr>
          <w:spacing w:val="70"/>
        </w:rPr>
      </w:r>
      <w:r>
        <w:rPr>
          <w:spacing w:val="-4"/>
        </w:rPr>
        <w:t>持有的汇大公司</w:t>
      </w:r>
      <w:r>
        <w:rPr>
          <w:rFonts w:ascii="Times New Roman" w:hAnsi="Times New Roman" w:cs="Times New Roman" w:eastAsia="Times New Roman" w:hint="default"/>
          <w:spacing w:val="-4"/>
        </w:rPr>
        <w:t>10%</w:t>
      </w:r>
      <w:r>
        <w:rPr>
          <w:spacing w:val="-4"/>
        </w:rPr>
        <w:t>股权，潘东平出让其持有的汇大公司</w:t>
      </w:r>
      <w:r>
        <w:rPr>
          <w:rFonts w:ascii="Times New Roman" w:hAnsi="Times New Roman" w:cs="Times New Roman" w:eastAsia="Times New Roman" w:hint="default"/>
          <w:spacing w:val="-4"/>
        </w:rPr>
        <w:t>10%</w:t>
      </w:r>
      <w:r>
        <w:rPr>
          <w:spacing w:val="-4"/>
        </w:rPr>
        <w:t>股权。股权转让完毕后，公司以自有资金人民币</w:t>
      </w:r>
      <w:r>
        <w:rPr>
          <w:rFonts w:ascii="Times New Roman" w:hAnsi="Times New Roman" w:cs="Times New Roman" w:eastAsia="Times New Roman" w:hint="default"/>
          <w:spacing w:val="-4"/>
        </w:rPr>
        <w:t>1,530</w:t>
      </w:r>
      <w:r>
        <w:rPr>
          <w:spacing w:val="-4"/>
        </w:rPr>
        <w:t>万元的价</w:t>
      </w:r>
      <w:r>
        <w:rPr>
          <w:spacing w:val="72"/>
        </w:rPr>
        <w:t> </w:t>
      </w:r>
      <w:r>
        <w:rPr>
          <w:spacing w:val="72"/>
        </w:rPr>
      </w:r>
      <w:r>
        <w:rPr>
          <w:spacing w:val="-4"/>
        </w:rPr>
        <w:t>款向汇大公司单方认购新增加的</w:t>
      </w:r>
      <w:r>
        <w:rPr>
          <w:rFonts w:ascii="Times New Roman" w:hAnsi="Times New Roman" w:cs="Times New Roman" w:eastAsia="Times New Roman" w:hint="default"/>
          <w:spacing w:val="-4"/>
        </w:rPr>
        <w:t>340</w:t>
      </w:r>
      <w:r>
        <w:rPr>
          <w:spacing w:val="-4"/>
        </w:rPr>
        <w:t>万元实收资本，其中人民币</w:t>
      </w:r>
      <w:r>
        <w:rPr>
          <w:rFonts w:ascii="Times New Roman" w:hAnsi="Times New Roman" w:cs="Times New Roman" w:eastAsia="Times New Roman" w:hint="default"/>
          <w:spacing w:val="-4"/>
        </w:rPr>
        <w:t>340</w:t>
      </w:r>
      <w:r>
        <w:rPr>
          <w:spacing w:val="-4"/>
        </w:rPr>
        <w:t>万元为新增实收资本，其余全部进入资本公积，汇大公司</w:t>
      </w:r>
      <w:r>
        <w:rPr>
          <w:spacing w:val="54"/>
        </w:rPr>
        <w:t> </w:t>
      </w:r>
      <w:r>
        <w:rPr>
          <w:spacing w:val="54"/>
        </w:rPr>
      </w:r>
      <w:r>
        <w:rPr>
          <w:spacing w:val="-3"/>
        </w:rPr>
        <w:t>注册资本由人民币</w:t>
      </w:r>
      <w:r>
        <w:rPr>
          <w:rFonts w:ascii="Times New Roman" w:hAnsi="Times New Roman" w:cs="Times New Roman" w:eastAsia="Times New Roman" w:hint="default"/>
          <w:spacing w:val="-3"/>
        </w:rPr>
        <w:t>800</w:t>
      </w:r>
      <w:r>
        <w:rPr>
          <w:spacing w:val="-3"/>
        </w:rPr>
        <w:t>万元增加至人民币</w:t>
      </w:r>
      <w:r>
        <w:rPr>
          <w:rFonts w:ascii="Times New Roman" w:hAnsi="Times New Roman" w:cs="Times New Roman" w:eastAsia="Times New Roman" w:hint="default"/>
          <w:spacing w:val="-3"/>
        </w:rPr>
        <w:t>1,140</w:t>
      </w:r>
      <w:r>
        <w:rPr>
          <w:spacing w:val="-3"/>
        </w:rPr>
        <w:t>万元。本次收购并增资后，公司对汇大公司的持股比例为</w:t>
      </w:r>
      <w:r>
        <w:rPr>
          <w:rFonts w:ascii="Times New Roman" w:hAnsi="Times New Roman" w:cs="Times New Roman" w:eastAsia="Times New Roman" w:hint="default"/>
          <w:spacing w:val="-3"/>
        </w:rPr>
        <w:t>43.86%</w:t>
      </w:r>
      <w:r>
        <w:rPr>
          <w:spacing w:val="-3"/>
        </w:rPr>
        <w:t>。</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spacing w:val="8"/>
        </w:rPr>
        <w:t> </w:t>
      </w:r>
      <w:r>
        <w:rPr>
          <w:rFonts w:ascii="Times New Roman" w:hAnsi="Times New Roman" w:cs="Times New Roman" w:eastAsia="Times New Roman" w:hint="default"/>
          <w:spacing w:val="-4"/>
        </w:rPr>
        <w:t>30</w:t>
      </w:r>
      <w:r>
        <w:rPr>
          <w:spacing w:val="-4"/>
        </w:rPr>
        <w:t>日，汇大公司股东潘东平、王诗畅与本公司签订股份表决权转让确认书，自愿将其分别持有的全部股份表决权的</w:t>
      </w:r>
      <w:r>
        <w:rPr>
          <w:rFonts w:ascii="Times New Roman" w:hAnsi="Times New Roman" w:cs="Times New Roman" w:eastAsia="Times New Roman" w:hint="default"/>
          <w:spacing w:val="-4"/>
        </w:rPr>
        <w:t>10%</w:t>
      </w:r>
      <w:r>
        <w:rPr>
          <w:spacing w:val="-4"/>
        </w:rPr>
        <w:t>转让</w:t>
      </w:r>
      <w:r>
        <w:rPr>
          <w:spacing w:val="75"/>
        </w:rPr>
        <w:t> </w:t>
      </w:r>
      <w:r>
        <w:rPr>
          <w:spacing w:val="75"/>
        </w:rPr>
      </w:r>
      <w:r>
        <w:rPr>
          <w:spacing w:val="-4"/>
        </w:rPr>
        <w:t>给本公司（自本公司实际拥有汇大公司股份超过</w:t>
      </w:r>
      <w:r>
        <w:rPr>
          <w:rFonts w:ascii="Times New Roman" w:hAnsi="Times New Roman" w:cs="Times New Roman" w:eastAsia="Times New Roman" w:hint="default"/>
          <w:spacing w:val="-4"/>
        </w:rPr>
        <w:t>50%</w:t>
      </w:r>
      <w:r>
        <w:rPr>
          <w:spacing w:val="-4"/>
        </w:rPr>
        <w:t>起失效），转让完成后本公司对汇大公司表决权比例为</w:t>
      </w:r>
      <w:r>
        <w:rPr>
          <w:rFonts w:ascii="Times New Roman" w:hAnsi="Times New Roman" w:cs="Times New Roman" w:eastAsia="Times New Roman" w:hint="default"/>
          <w:spacing w:val="-4"/>
        </w:rPr>
        <w:t>63.86%</w:t>
      </w:r>
      <w:r>
        <w:rPr>
          <w:spacing w:val="-4"/>
        </w:rPr>
        <w:t>。汇大公</w:t>
      </w:r>
      <w:r>
        <w:rPr>
          <w:spacing w:val="65"/>
        </w:rPr>
        <w:t> </w:t>
      </w:r>
      <w:r>
        <w:rPr>
          <w:spacing w:val="65"/>
        </w:rPr>
      </w:r>
      <w:r>
        <w:rPr>
          <w:spacing w:val="-3"/>
        </w:rPr>
        <w:t>司作为本公司控股子公司，纳入合并报表范围。</w:t>
      </w:r>
    </w:p>
    <w:p>
      <w:pPr>
        <w:spacing w:line="240" w:lineRule="auto" w:before="0"/>
        <w:rPr>
          <w:rFonts w:ascii="宋体" w:hAnsi="宋体" w:cs="宋体" w:eastAsia="宋体" w:hint="default"/>
          <w:sz w:val="18"/>
          <w:szCs w:val="18"/>
        </w:rPr>
      </w:pPr>
    </w:p>
    <w:p>
      <w:pPr>
        <w:pStyle w:val="BodyText"/>
        <w:spacing w:line="357" w:lineRule="auto" w:before="151"/>
        <w:ind w:right="0"/>
        <w:jc w:val="left"/>
      </w:pPr>
      <w:r>
        <w:rPr>
          <w:spacing w:val="-3"/>
        </w:rPr>
        <w:t>持有半数或以下表决权但仍控制被投资单位、以及持有半数以上表决权但不控制被投资单位的依据：</w:t>
      </w:r>
      <w:r>
        <w:rPr>
          <w:spacing w:val="37"/>
        </w:rPr>
        <w:t> </w:t>
      </w:r>
      <w:r>
        <w:rPr>
          <w:spacing w:val="37"/>
        </w:rPr>
      </w:r>
      <w:r>
        <w:rPr>
          <w:spacing w:val="-3"/>
        </w:rPr>
        <w:t>对于纳入合并范围的重要的结构化主体，控制的依据：</w:t>
      </w:r>
    </w:p>
    <w:p>
      <w:pPr>
        <w:pStyle w:val="BodyText"/>
        <w:spacing w:line="357" w:lineRule="auto" w:before="31"/>
        <w:ind w:right="6409"/>
        <w:jc w:val="left"/>
      </w:pPr>
      <w:r>
        <w:rPr>
          <w:spacing w:val="-3"/>
        </w:rPr>
        <w:t>确定公司是代理人还是委托人的依据：</w:t>
      </w:r>
      <w:r>
        <w:rPr>
          <w:spacing w:val="-39"/>
        </w:rPr>
        <w:t> </w:t>
      </w:r>
      <w:r>
        <w:rPr>
          <w:spacing w:val="-39"/>
        </w:rPr>
      </w:r>
      <w:r>
        <w:rPr/>
        <w:t>其他说明：</w:t>
      </w:r>
    </w:p>
    <w:p>
      <w:pPr>
        <w:spacing w:line="240" w:lineRule="auto" w:before="5"/>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47"/>
        <w:jc w:val="right"/>
      </w:pPr>
      <w:r>
        <w:rPr/>
        <w:t>单位：</w:t>
      </w:r>
      <w:r>
        <w:rPr>
          <w:spacing w:val="5"/>
        </w:rPr>
        <w:t> </w:t>
      </w:r>
      <w:r>
        <w:rPr/>
        <w:t>元</w:t>
      </w:r>
    </w:p>
    <w:p>
      <w:pPr>
        <w:spacing w:after="0" w:line="240" w:lineRule="auto"/>
        <w:jc w:val="right"/>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5"/>
        <w:gridCol w:w="1910"/>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77"/>
              <w:ind w:left="772"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深圳市汇大光电科技有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-1,484,526.75</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9,222,824.43</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4"/>
              <w:jc w:val="left"/>
              <w:rPr>
                <w:rFonts w:ascii="宋体" w:hAnsi="宋体" w:cs="宋体" w:eastAsia="宋体" w:hint="default"/>
                <w:sz w:val="18"/>
                <w:szCs w:val="18"/>
              </w:rPr>
            </w:pPr>
            <w:r>
              <w:rPr>
                <w:rFonts w:ascii="宋体" w:hAnsi="宋体" w:cs="宋体" w:eastAsia="宋体" w:hint="default"/>
                <w:spacing w:val="-2"/>
                <w:sz w:val="18"/>
                <w:szCs w:val="18"/>
              </w:rPr>
              <w:t>深圳市前海实益达投资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-36,592.52</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-36,592.52</w:t>
            </w:r>
          </w:p>
        </w:tc>
      </w:tr>
    </w:tbl>
    <w:p>
      <w:pPr>
        <w:pStyle w:val="BodyText"/>
        <w:spacing w:line="357" w:lineRule="auto" w:before="54"/>
        <w:ind w:left="421" w:right="5308" w:hanging="269"/>
        <w:jc w:val="left"/>
      </w:pPr>
      <w:r>
        <w:rPr>
          <w:spacing w:val="-3"/>
        </w:rPr>
        <w:t>子公司少数股东的持股比例不同于表决权比例的说明：</w:t>
      </w:r>
      <w:r>
        <w:rPr>
          <w:spacing w:val="-16"/>
        </w:rPr>
        <w:t> </w:t>
      </w:r>
      <w:r>
        <w:rPr>
          <w:spacing w:val="-16"/>
        </w:rPr>
      </w:r>
      <w:r>
        <w:rPr>
          <w:spacing w:val="-3"/>
        </w:rPr>
        <w:t>详见本附注九（一）</w:t>
      </w:r>
      <w:r>
        <w:rPr>
          <w:rFonts w:ascii="Times New Roman" w:hAnsi="Times New Roman" w:cs="Times New Roman" w:eastAsia="Times New Roman" w:hint="default"/>
          <w:spacing w:val="-3"/>
        </w:rPr>
        <w:t>1“</w:t>
      </w:r>
      <w:r>
        <w:rPr>
          <w:spacing w:val="-3"/>
        </w:rPr>
        <w:t>企业集团的构成</w:t>
      </w:r>
      <w:r>
        <w:rPr>
          <w:rFonts w:ascii="Times New Roman" w:hAnsi="Times New Roman" w:cs="Times New Roman" w:eastAsia="Times New Roman" w:hint="default"/>
          <w:spacing w:val="-3"/>
        </w:rPr>
        <w:t>”</w:t>
      </w:r>
      <w:r>
        <w:rPr>
          <w:spacing w:val="-3"/>
        </w:rPr>
        <w:t>。</w:t>
      </w:r>
    </w:p>
    <w:p>
      <w:pPr>
        <w:pStyle w:val="BodyText"/>
        <w:spacing w:line="240" w:lineRule="auto" w:before="8"/>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9"/>
        <w:gridCol w:w="734"/>
        <w:gridCol w:w="734"/>
        <w:gridCol w:w="739"/>
        <w:gridCol w:w="734"/>
        <w:gridCol w:w="734"/>
        <w:gridCol w:w="734"/>
        <w:gridCol w:w="734"/>
        <w:gridCol w:w="734"/>
        <w:gridCol w:w="739"/>
        <w:gridCol w:w="734"/>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324"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3D3D3"/>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56"/>
              <w:jc w:val="both"/>
              <w:rPr>
                <w:rFonts w:ascii="宋体" w:hAnsi="宋体" w:cs="宋体" w:eastAsia="宋体" w:hint="default"/>
                <w:sz w:val="18"/>
                <w:szCs w:val="18"/>
              </w:rPr>
            </w:pPr>
            <w:r>
              <w:rPr>
                <w:rFonts w:ascii="宋体" w:hAnsi="宋体" w:cs="宋体" w:eastAsia="宋体" w:hint="default"/>
                <w:sz w:val="18"/>
                <w:szCs w:val="18"/>
              </w:rPr>
              <w:t>汇大光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14,592,0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05.74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10,073,3</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94.62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24,665,4</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00.36</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8,237,14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1.66</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8,237,14</w:t>
            </w:r>
          </w:p>
          <w:p>
            <w:pPr>
              <w:pStyle w:val="TableParagraph"/>
              <w:spacing w:line="240" w:lineRule="auto" w:before="110"/>
              <w:ind w:left="384" w:right="0"/>
              <w:jc w:val="left"/>
              <w:rPr>
                <w:rFonts w:ascii="Times New Roman" w:hAnsi="Times New Roman" w:cs="Times New Roman" w:eastAsia="Times New Roman" w:hint="default"/>
                <w:sz w:val="18"/>
                <w:szCs w:val="18"/>
              </w:rPr>
            </w:pPr>
            <w:r>
              <w:rPr>
                <w:rFonts w:ascii="Times New Roman"/>
                <w:sz w:val="18"/>
              </w:rPr>
              <w:t>1.66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16,951,2</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54.71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14,425,1</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36.67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31,376,3</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91.38</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12,303,8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02.88</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12,303,8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02.88</w:t>
            </w:r>
          </w:p>
        </w:tc>
      </w:tr>
      <w:tr>
        <w:trPr>
          <w:trHeight w:val="358"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10"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前海实</w:t>
            </w: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19"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益达投</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18"/>
                <w:szCs w:val="18"/>
              </w:rPr>
            </w:pPr>
            <w:r>
              <w:rPr>
                <w:rFonts w:ascii="Times New Roman"/>
                <w:spacing w:val="-1"/>
                <w:sz w:val="18"/>
              </w:rPr>
              <w:t>6,703,46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18"/>
                <w:szCs w:val="18"/>
              </w:rPr>
            </w:pPr>
            <w:r>
              <w:rPr>
                <w:rFonts w:ascii="Times New Roman"/>
                <w:spacing w:val="-1"/>
                <w:sz w:val="18"/>
              </w:rPr>
              <w:t>650,163.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2"/>
              <w:jc w:val="right"/>
              <w:rPr>
                <w:rFonts w:ascii="Times New Roman" w:hAnsi="Times New Roman" w:cs="Times New Roman" w:eastAsia="Times New Roman" w:hint="default"/>
                <w:sz w:val="18"/>
                <w:szCs w:val="18"/>
              </w:rPr>
            </w:pPr>
            <w:r>
              <w:rPr>
                <w:rFonts w:ascii="Times New Roman"/>
                <w:spacing w:val="-1"/>
                <w:sz w:val="18"/>
              </w:rPr>
              <w:t>7,353,62</w:t>
            </w: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资发展</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6.27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z w:val="18"/>
              </w:rPr>
              <w:t>67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z w:val="18"/>
              </w:rPr>
              <w:t>9.94</w:t>
            </w: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0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3"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pStyle w:val="BodyText"/>
        <w:spacing w:line="240" w:lineRule="auto" w:before="54"/>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0"/>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36" w:right="74"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59"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436" w:right="70"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63"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2"/>
              <w:jc w:val="both"/>
              <w:rPr>
                <w:rFonts w:ascii="宋体" w:hAnsi="宋体" w:cs="宋体" w:eastAsia="宋体" w:hint="default"/>
                <w:sz w:val="18"/>
                <w:szCs w:val="18"/>
              </w:rPr>
            </w:pPr>
            <w:r>
              <w:rPr>
                <w:rFonts w:ascii="宋体" w:hAnsi="宋体" w:cs="宋体" w:eastAsia="宋体" w:hint="default"/>
                <w:spacing w:val="-2"/>
                <w:sz w:val="18"/>
                <w:szCs w:val="18"/>
              </w:rPr>
              <w:t>深圳市汇大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光电科技有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22,724,543.0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-2,644,329.80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-2,644,329.80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1,369,367.92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31,348,098.8</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-5,679,647.65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-5,679,647.65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-146,846.53</w:t>
            </w:r>
          </w:p>
        </w:tc>
      </w:tr>
      <w:tr>
        <w:trPr>
          <w:trHeight w:val="359"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深圳市前海</w:t>
            </w:r>
          </w:p>
        </w:tc>
        <w:tc>
          <w:tcPr>
            <w:tcW w:w="1061"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r>
      <w:tr>
        <w:trPr>
          <w:trHeight w:val="62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22"/>
              <w:jc w:val="left"/>
              <w:rPr>
                <w:rFonts w:ascii="宋体" w:hAnsi="宋体" w:cs="宋体" w:eastAsia="宋体" w:hint="default"/>
                <w:sz w:val="18"/>
                <w:szCs w:val="18"/>
              </w:rPr>
            </w:pPr>
            <w:r>
              <w:rPr>
                <w:rFonts w:ascii="宋体" w:hAnsi="宋体" w:cs="宋体" w:eastAsia="宋体" w:hint="default"/>
                <w:spacing w:val="-2"/>
                <w:sz w:val="18"/>
                <w:szCs w:val="18"/>
              </w:rPr>
              <w:t>实益达投资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发展有限公</w:t>
            </w:r>
          </w:p>
        </w:tc>
        <w:tc>
          <w:tcPr>
            <w:tcW w:w="1061"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-146,370.06</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-146,370.06</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-13,466.27</w:t>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r>
      <w:tr>
        <w:trPr>
          <w:trHeight w:val="354"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61"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335" w:lineRule="exact"/>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）重要合营企业的主要财务信息</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）不重要的合营企业和联营企业</w:t>
      </w:r>
      <w:r>
        <w:rPr>
          <w:b w:val="0"/>
          <w:bCs w:val="0"/>
        </w:rPr>
      </w:r>
    </w:p>
    <w:p>
      <w:pPr>
        <w:spacing w:line="240" w:lineRule="auto" w:before="14"/>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2366"/>
        <w:gridCol w:w="1046"/>
        <w:gridCol w:w="902"/>
        <w:gridCol w:w="902"/>
        <w:gridCol w:w="1162"/>
        <w:gridCol w:w="1277"/>
        <w:gridCol w:w="1906"/>
      </w:tblGrid>
      <w:tr>
        <w:trPr>
          <w:trHeight w:val="326" w:hRule="exact"/>
        </w:trPr>
        <w:tc>
          <w:tcPr>
            <w:tcW w:w="23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left="638"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10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left="7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0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left="17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02"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
              <w:ind w:left="263" w:right="262"/>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86"/>
                <w:sz w:val="18"/>
                <w:szCs w:val="18"/>
              </w:rPr>
              <w:t> </w:t>
            </w:r>
            <w:r>
              <w:rPr>
                <w:rFonts w:ascii="宋体" w:hAnsi="宋体" w:cs="宋体" w:eastAsia="宋体" w:hint="default"/>
                <w:sz w:val="18"/>
                <w:szCs w:val="18"/>
              </w:rPr>
              <w:t>性质</w:t>
            </w:r>
          </w:p>
        </w:tc>
        <w:tc>
          <w:tcPr>
            <w:tcW w:w="243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9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left="407" w:right="0"/>
              <w:jc w:val="left"/>
              <w:rPr>
                <w:rFonts w:ascii="宋体" w:hAnsi="宋体" w:cs="宋体" w:eastAsia="宋体" w:hint="default"/>
                <w:sz w:val="18"/>
                <w:szCs w:val="18"/>
              </w:rPr>
            </w:pPr>
            <w:r>
              <w:rPr>
                <w:rFonts w:ascii="宋体" w:hAnsi="宋体" w:cs="宋体" w:eastAsia="宋体" w:hint="default"/>
                <w:sz w:val="18"/>
                <w:szCs w:val="18"/>
              </w:rPr>
              <w:t>会计处理方法</w:t>
            </w:r>
          </w:p>
        </w:tc>
      </w:tr>
      <w:tr>
        <w:trPr>
          <w:trHeight w:val="341" w:hRule="exact"/>
        </w:trPr>
        <w:tc>
          <w:tcPr>
            <w:tcW w:w="2366" w:type="dxa"/>
            <w:vMerge/>
            <w:tcBorders>
              <w:left w:val="single" w:sz="4" w:space="0" w:color="000000"/>
              <w:bottom w:val="single" w:sz="4" w:space="0" w:color="000000"/>
              <w:right w:val="single" w:sz="4" w:space="0" w:color="000000"/>
            </w:tcBorders>
            <w:shd w:val="clear" w:color="auto" w:fill="D9D9D9"/>
          </w:tcPr>
          <w:p>
            <w:pPr/>
          </w:p>
        </w:tc>
        <w:tc>
          <w:tcPr>
            <w:tcW w:w="1046" w:type="dxa"/>
            <w:vMerge/>
            <w:tcBorders>
              <w:left w:val="single" w:sz="4" w:space="0" w:color="000000"/>
              <w:bottom w:val="single" w:sz="4" w:space="0" w:color="000000"/>
              <w:right w:val="single" w:sz="4" w:space="0" w:color="000000"/>
            </w:tcBorders>
            <w:shd w:val="clear" w:color="auto" w:fill="D9D9D9"/>
          </w:tcPr>
          <w:p>
            <w:pPr/>
          </w:p>
        </w:tc>
        <w:tc>
          <w:tcPr>
            <w:tcW w:w="902" w:type="dxa"/>
            <w:vMerge/>
            <w:tcBorders>
              <w:left w:val="single" w:sz="4" w:space="0" w:color="000000"/>
              <w:bottom w:val="single" w:sz="4" w:space="0" w:color="000000"/>
              <w:right w:val="single" w:sz="4" w:space="0" w:color="000000"/>
            </w:tcBorders>
            <w:shd w:val="clear" w:color="auto" w:fill="D9D9D9"/>
          </w:tcPr>
          <w:p>
            <w:pPr/>
          </w:p>
        </w:tc>
        <w:tc>
          <w:tcPr>
            <w:tcW w:w="902" w:type="dxa"/>
            <w:vMerge/>
            <w:tcBorders>
              <w:left w:val="single" w:sz="4" w:space="0" w:color="000000"/>
              <w:bottom w:val="single" w:sz="4" w:space="0" w:color="000000"/>
              <w:right w:val="single" w:sz="4" w:space="0" w:color="000000"/>
            </w:tcBorders>
            <w:shd w:val="clear" w:color="auto" w:fill="D9D9D9"/>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906" w:type="dxa"/>
            <w:vMerge/>
            <w:tcBorders>
              <w:left w:val="single" w:sz="4" w:space="0" w:color="000000"/>
              <w:bottom w:val="single" w:sz="4" w:space="0" w:color="000000"/>
              <w:right w:val="single" w:sz="4" w:space="0" w:color="000000"/>
            </w:tcBorders>
            <w:shd w:val="clear" w:color="auto" w:fill="D9D9D9"/>
          </w:tcPr>
          <w:p>
            <w:pPr/>
          </w:p>
        </w:tc>
      </w:tr>
      <w:tr>
        <w:trPr>
          <w:trHeight w:val="658"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新余久益投资管理合伙企业</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0"/>
        <w:rPr>
          <w:rFonts w:ascii="Microsoft JhengHei" w:hAnsi="Microsoft JhengHei" w:cs="Microsoft JhengHei" w:eastAsia="Microsoft JhengHei" w:hint="default"/>
          <w:b/>
          <w:bCs/>
          <w:sz w:val="20"/>
          <w:szCs w:val="20"/>
        </w:rPr>
      </w:pPr>
    </w:p>
    <w:p>
      <w:pPr>
        <w:pStyle w:val="BodyText"/>
        <w:spacing w:line="240" w:lineRule="auto" w:before="46"/>
        <w:ind w:right="0"/>
        <w:jc w:val="left"/>
      </w:pPr>
      <w:r>
        <w:rPr/>
        <w:t>其他说明</w:t>
      </w:r>
    </w:p>
    <w:p>
      <w:pPr>
        <w:spacing w:line="240" w:lineRule="auto" w:before="4"/>
        <w:rPr>
          <w:rFonts w:ascii="宋体" w:hAnsi="宋体" w:cs="宋体" w:eastAsia="宋体" w:hint="default"/>
          <w:sz w:val="24"/>
          <w:szCs w:val="24"/>
        </w:rPr>
      </w:pPr>
    </w:p>
    <w:p>
      <w:pPr>
        <w:pStyle w:val="Heading3"/>
        <w:spacing w:line="240" w:lineRule="auto"/>
        <w:ind w:right="0"/>
        <w:jc w:val="left"/>
      </w:pPr>
      <w:r>
        <w:rPr/>
        <w:t>十、关联方及关联交易</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8"/>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425"/>
              <w:jc w:val="right"/>
              <w:rPr>
                <w:rFonts w:ascii="宋体" w:hAnsi="宋体" w:cs="宋体" w:eastAsia="宋体" w:hint="default"/>
                <w:sz w:val="18"/>
                <w:szCs w:val="18"/>
              </w:rPr>
            </w:pPr>
            <w:r>
              <w:rPr>
                <w:rFonts w:ascii="宋体" w:hAnsi="宋体" w:cs="宋体" w:eastAsia="宋体" w:hint="default"/>
                <w:spacing w:val="-2"/>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432" w:right="65" w:hanging="361"/>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天道酬勤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30"/>
              <w:jc w:val="right"/>
              <w:rPr>
                <w:rFonts w:ascii="Times New Roman" w:hAnsi="Times New Roman" w:cs="Times New Roman" w:eastAsia="Times New Roman" w:hint="default"/>
                <w:sz w:val="18"/>
                <w:szCs w:val="18"/>
              </w:rPr>
            </w:pPr>
            <w:r>
              <w:rPr>
                <w:rFonts w:ascii="Times New Roman"/>
                <w:spacing w:val="-2"/>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47.24%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47.24%</w:t>
            </w:r>
          </w:p>
        </w:tc>
      </w:tr>
    </w:tbl>
    <w:p>
      <w:pPr>
        <w:pStyle w:val="BodyText"/>
        <w:spacing w:line="360" w:lineRule="auto" w:before="53"/>
        <w:ind w:right="6409"/>
        <w:jc w:val="left"/>
      </w:pPr>
      <w:r>
        <w:rPr>
          <w:spacing w:val="-3"/>
        </w:rPr>
        <w:t>本企业的母公司情况的说明</w:t>
      </w:r>
      <w:r>
        <w:rPr>
          <w:spacing w:val="-51"/>
        </w:rPr>
        <w:t> </w:t>
      </w:r>
      <w:r>
        <w:rPr>
          <w:spacing w:val="-51"/>
        </w:rPr>
      </w:r>
      <w:r>
        <w:rPr>
          <w:spacing w:val="-3"/>
        </w:rPr>
        <w:t>天道酬勤的实际控制人是陈亚妹与乔昕。</w:t>
      </w:r>
      <w:r>
        <w:rPr>
          <w:spacing w:val="-33"/>
        </w:rPr>
        <w:t> </w:t>
      </w:r>
      <w:r>
        <w:rPr>
          <w:spacing w:val="-33"/>
        </w:rPr>
      </w:r>
      <w:r>
        <w:rPr/>
        <w:t>本企业最终控制方是。</w:t>
      </w:r>
    </w:p>
    <w:p>
      <w:pPr>
        <w:pStyle w:val="BodyText"/>
        <w:spacing w:line="240" w:lineRule="auto" w:before="25"/>
        <w:ind w:right="0"/>
        <w:jc w:val="left"/>
      </w:pPr>
      <w:r>
        <w:rPr/>
        <w:t>其他说明：</w:t>
      </w:r>
    </w:p>
    <w:p>
      <w:pPr>
        <w:spacing w:line="240" w:lineRule="auto" w:before="7"/>
        <w:rPr>
          <w:rFonts w:ascii="宋体" w:hAnsi="宋体" w:cs="宋体" w:eastAsia="宋体" w:hint="default"/>
          <w:sz w:val="21"/>
          <w:szCs w:val="21"/>
        </w:rPr>
      </w:pPr>
    </w:p>
    <w:p>
      <w:pPr>
        <w:spacing w:line="480" w:lineRule="auto" w:before="0"/>
        <w:ind w:left="152" w:right="392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0"/>
          <w:sz w:val="21"/>
          <w:szCs w:val="21"/>
        </w:rPr>
        <w:t> </w:t>
      </w:r>
      <w:r>
        <w:rPr>
          <w:rFonts w:ascii="宋体" w:hAnsi="宋体" w:cs="宋体" w:eastAsia="宋体" w:hint="default"/>
          <w:spacing w:val="-3"/>
          <w:sz w:val="18"/>
          <w:szCs w:val="18"/>
        </w:rPr>
        <w:t>本企业子公司的情况详见附注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九、在其他主体中的权益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7"/>
          <w:sz w:val="18"/>
          <w:szCs w:val="18"/>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pStyle w:val="BodyText"/>
        <w:spacing w:line="338" w:lineRule="auto" w:before="66"/>
        <w:ind w:right="0"/>
        <w:jc w:val="left"/>
      </w:pPr>
      <w:r>
        <w:rPr>
          <w:spacing w:val="-3"/>
        </w:rPr>
        <w:t>本企业重要的合营或联营企业详见附注</w:t>
      </w:r>
      <w:r>
        <w:rPr>
          <w:rFonts w:ascii="Times New Roman" w:hAnsi="Times New Roman" w:cs="Times New Roman" w:eastAsia="Times New Roman" w:hint="default"/>
          <w:spacing w:val="-3"/>
        </w:rPr>
        <w:t>”</w:t>
      </w:r>
      <w:r>
        <w:rPr>
          <w:spacing w:val="-3"/>
        </w:rPr>
        <w:t>九、在其他主体中的权益</w:t>
      </w:r>
      <w:r>
        <w:rPr>
          <w:rFonts w:ascii="Times New Roman" w:hAnsi="Times New Roman" w:cs="Times New Roman" w:eastAsia="Times New Roman" w:hint="default"/>
          <w:spacing w:val="-3"/>
        </w:rPr>
        <w:t>“</w:t>
      </w:r>
      <w:r>
        <w:rPr>
          <w:spacing w:val="-3"/>
        </w:rPr>
        <w:t>。</w:t>
      </w:r>
      <w:r>
        <w:rPr>
          <w:spacing w:val="-2"/>
        </w:rPr>
        <w:t> </w:t>
      </w:r>
      <w:r>
        <w:rPr>
          <w:spacing w:val="-3"/>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新余久益投资管理合伙企业（有限合伙）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4"/>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3"/>
        <w:rPr>
          <w:rFonts w:ascii="Microsoft JhengHei" w:hAnsi="Microsoft JhengHei" w:cs="Microsoft JhengHei" w:eastAsia="Microsoft JhengHei" w:hint="default"/>
          <w:b/>
          <w:bCs/>
          <w:sz w:val="18"/>
          <w:szCs w:val="18"/>
        </w:rPr>
      </w:pPr>
    </w:p>
    <w:p>
      <w:pPr>
        <w:spacing w:line="417"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8.8pt;height:20.9pt;mso-position-horizontal-relative:char;mso-position-vertical-relative:line" coordorigin="0,0" coordsize="9576,418">
            <v:group style="position:absolute;left:4762;top:14;width:20;height:389" coordorigin="4762,14" coordsize="20,389">
              <v:shape style="position:absolute;left:4762;top:14;width:20;height:389" coordorigin="4762,14" coordsize="20,389" path="m4762,403l4781,403,4781,14,4762,14,4762,403xe" filled="true" fillcolor="#d3d3d3" stroked="false">
                <v:path arrowok="t"/>
                <v:fill type="solid"/>
              </v:shape>
            </v:group>
            <v:group style="position:absolute;left:10;top:14;width:24;height:389" coordorigin="10,14" coordsize="24,389">
              <v:shape style="position:absolute;left:10;top:14;width:24;height:389" coordorigin="10,14" coordsize="24,389" path="m10,403l34,403,34,14,10,14,10,403xe" filled="true" fillcolor="#d3d3d3" stroked="false">
                <v:path arrowok="t"/>
                <v:fill type="solid"/>
              </v:shape>
            </v:group>
            <v:group style="position:absolute;left:34;top:14;width:4728;height:389" coordorigin="34,14" coordsize="4728,389">
              <v:shape style="position:absolute;left:34;top:14;width:4728;height:389" coordorigin="34,14" coordsize="4728,389" path="m34,403l4762,403,4762,14,34,14,34,403xe" filled="true" fillcolor="#d3d3d3" stroked="false">
                <v:path arrowok="t"/>
                <v:fill type="solid"/>
              </v:shape>
            </v:group>
            <v:group style="position:absolute;left:4795;top:14;width:20;height:389" coordorigin="4795,14" coordsize="20,389">
              <v:shape style="position:absolute;left:4795;top:14;width:20;height:389" coordorigin="4795,14" coordsize="20,389" path="m4795,403l4814,403,4814,14,4795,14,4795,403xe" filled="true" fillcolor="#d3d3d3" stroked="false">
                <v:path arrowok="t"/>
                <v:fill type="solid"/>
              </v:shape>
            </v:group>
            <v:group style="position:absolute;left:9547;top:14;width:24;height:389" coordorigin="9547,14" coordsize="24,389">
              <v:shape style="position:absolute;left:9547;top:14;width:24;height:389" coordorigin="9547,14" coordsize="24,389" path="m9547,403l9571,403,9571,14,9547,14,9547,403xe" filled="true" fillcolor="#d3d3d3" stroked="false">
                <v:path arrowok="t"/>
                <v:fill type="solid"/>
              </v:shape>
            </v:group>
            <v:group style="position:absolute;left:4814;top:14;width:4733;height:389" coordorigin="4814,14" coordsize="4733,389">
              <v:shape style="position:absolute;left:4814;top:14;width:4733;height:389" coordorigin="4814,14" coordsize="4733,389" path="m4814,403l9547,403,9547,14,4814,14,4814,403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08" coordorigin="5,5" coordsize="2,408">
              <v:shape style="position:absolute;left:5;top:5;width:2;height:408" coordorigin="5,5" coordsize="0,408" path="m5,5l5,413e" filled="false" stroked="true" strokeweight=".48pt" strokecolor="#000000">
                <v:path arrowok="t"/>
              </v:shape>
            </v:group>
            <v:group style="position:absolute;left:10;top:408;width:4772;height:2" coordorigin="10,408" coordsize="4772,2">
              <v:shape style="position:absolute;left:10;top:408;width:4772;height:2" coordorigin="10,408" coordsize="4772,0" path="m10,408l4781,408e" filled="false" stroked="true" strokeweight=".48pt" strokecolor="#000000">
                <v:path arrowok="t"/>
              </v:shape>
            </v:group>
            <v:group style="position:absolute;left:4786;top:5;width:2;height:408" coordorigin="4786,5" coordsize="2,408">
              <v:shape style="position:absolute;left:4786;top:5;width:2;height:408" coordorigin="4786,5" coordsize="0,408" path="m4786,5l4786,413e" filled="false" stroked="true" strokeweight=".48pt" strokecolor="#000000">
                <v:path arrowok="t"/>
              </v:shape>
            </v:group>
            <v:group style="position:absolute;left:4790;top:408;width:4776;height:2" coordorigin="4790,408" coordsize="4776,2">
              <v:shape style="position:absolute;left:4790;top:408;width:4776;height:2" coordorigin="4790,408" coordsize="4776,0" path="m4790,408l9566,408e" filled="false" stroked="true" strokeweight=".48pt" strokecolor="#000000">
                <v:path arrowok="t"/>
              </v:shape>
            </v:group>
            <v:group style="position:absolute;left:9571;top:5;width:2;height:408" coordorigin="9571,5" coordsize="2,408">
              <v:shape style="position:absolute;left:9571;top:5;width:2;height:408" coordorigin="9571,5" coordsize="0,408" path="m9571,5l9571,413e" filled="false" stroked="true" strokeweight=".48pt" strokecolor="#000000">
                <v:path arrowok="t"/>
              </v:shape>
              <v:shape style="position:absolute;left:5;top:10;width:4781;height:399"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xbxContent>
                </v:textbox>
                <w10:wrap type="none"/>
              </v:shape>
              <v:shape style="position:absolute;left:4786;top:10;width:4786;height:399" type="#_x0000_t202" filled="false" stroked="false">
                <v:textbox inset="0,0,0,0">
                  <w:txbxContent>
                    <w:p>
                      <w:pPr>
                        <w:spacing w:before="58"/>
                        <w:ind w:left="1401"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xbxContent>
                </v:textbox>
                <w10:wrap type="none"/>
              </v:shape>
            </v:group>
          </v:group>
        </w:pict>
      </w:r>
      <w:r>
        <w:rPr>
          <w:rFonts w:ascii="Microsoft JhengHei" w:hAnsi="Microsoft JhengHei" w:cs="Microsoft JhengHei" w:eastAsia="Microsoft JhengHei" w:hint="default"/>
          <w:position w:val="-7"/>
          <w:sz w:val="20"/>
          <w:szCs w:val="20"/>
        </w:rPr>
      </w:r>
    </w:p>
    <w:p>
      <w:pPr>
        <w:spacing w:after="0" w:line="417" w:lineRule="exact"/>
        <w:rPr>
          <w:rFonts w:ascii="Microsoft JhengHei" w:hAnsi="Microsoft JhengHei" w:cs="Microsoft JhengHei" w:eastAsia="Microsoft JhengHei" w:hint="default"/>
          <w:sz w:val="20"/>
          <w:szCs w:val="20"/>
        </w:rPr>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深圳市电明科技有限责任公司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拉萨市冠德成科技发展有限公司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同一控制人控制的企业</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厦门萤火虫节能科技有限公司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公司董事、副总裁、财务总监</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唐忠诚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洪兵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胡宜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陶向南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陈晓燕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副总裁、董事会秘书</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深圳前海知了投资管理有限公司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公司高管持有的企业</w:t>
            </w:r>
          </w:p>
        </w:tc>
      </w:tr>
    </w:tbl>
    <w:p>
      <w:pPr>
        <w:pStyle w:val="BodyText"/>
        <w:spacing w:line="240" w:lineRule="auto" w:before="53"/>
        <w:ind w:right="0"/>
        <w:jc w:val="left"/>
      </w:pP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5"/>
        <w:gridCol w:w="2261"/>
        <w:gridCol w:w="2261"/>
        <w:gridCol w:w="2650"/>
      </w:tblGrid>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5"/>
        <w:gridCol w:w="2261"/>
        <w:gridCol w:w="2261"/>
        <w:gridCol w:w="2650"/>
      </w:tblGrid>
      <w:tr>
        <w:trPr>
          <w:trHeight w:val="398"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深圳市电明科技有限责任公司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681,508.06</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5" w:right="0"/>
              <w:jc w:val="left"/>
              <w:rPr>
                <w:rFonts w:ascii="Times New Roman" w:hAnsi="Times New Roman" w:cs="Times New Roman" w:eastAsia="Times New Roman" w:hint="default"/>
                <w:sz w:val="18"/>
                <w:szCs w:val="18"/>
              </w:rPr>
            </w:pPr>
            <w:r>
              <w:rPr>
                <w:rFonts w:ascii="Times New Roman"/>
                <w:sz w:val="18"/>
              </w:rPr>
              <w:t>3,524,579.33</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厦门萤火虫节能科技有限公司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354,356.21</w:t>
            </w:r>
          </w:p>
        </w:tc>
        <w:tc>
          <w:tcPr>
            <w:tcW w:w="26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购销商品、提供和接受劳务的关联交易说明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t>本公司作为担保方</w:t>
      </w:r>
    </w:p>
    <w:p>
      <w:pPr>
        <w:pStyle w:val="BodyText"/>
        <w:spacing w:line="240" w:lineRule="auto" w:before="115"/>
        <w:ind w:left="0" w:right="145"/>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4"/>
        <w:ind w:right="0"/>
        <w:jc w:val="left"/>
      </w:pPr>
      <w:r>
        <w:rPr>
          <w:spacing w:val="-3"/>
        </w:rPr>
        <w:t>本公司作为被担保方</w:t>
      </w:r>
    </w:p>
    <w:p>
      <w:pPr>
        <w:pStyle w:val="BodyText"/>
        <w:spacing w:line="240" w:lineRule="auto" w:before="119"/>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357" w:hRule="exact"/>
        </w:trPr>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深圳市恒顺昌投资发展</w:t>
            </w:r>
          </w:p>
        </w:tc>
        <w:tc>
          <w:tcPr>
            <w:tcW w:w="1915" w:type="dxa"/>
            <w:tcBorders>
              <w:top w:val="single" w:sz="4" w:space="0" w:color="000000"/>
              <w:left w:val="single" w:sz="4" w:space="0" w:color="000000"/>
              <w:bottom w:val="nil" w:sz="6" w:space="0" w:color="auto"/>
              <w:right w:val="single" w:sz="4" w:space="0" w:color="000000"/>
            </w:tcBorders>
          </w:tcPr>
          <w:p>
            <w:pPr/>
          </w:p>
        </w:tc>
        <w:tc>
          <w:tcPr>
            <w:tcW w:w="1910"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有限公司、拉萨市冠德</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576" w:right="0"/>
              <w:jc w:val="left"/>
              <w:rPr>
                <w:rFonts w:ascii="Times New Roman" w:hAnsi="Times New Roman" w:cs="Times New Roman" w:eastAsia="Times New Roman" w:hint="default"/>
                <w:sz w:val="18"/>
                <w:szCs w:val="18"/>
              </w:rPr>
            </w:pPr>
            <w:r>
              <w:rPr>
                <w:rFonts w:ascii="Times New Roman"/>
                <w:sz w:val="18"/>
              </w:rPr>
              <w:t>USD3,000,000.00</w:t>
            </w:r>
          </w:p>
        </w:tc>
        <w:tc>
          <w:tcPr>
            <w:tcW w:w="1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51" w:hRule="exact"/>
        </w:trPr>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成科技发展有限公司</w:t>
            </w:r>
          </w:p>
        </w:tc>
        <w:tc>
          <w:tcPr>
            <w:tcW w:w="1915" w:type="dxa"/>
            <w:tcBorders>
              <w:top w:val="nil" w:sz="6" w:space="0" w:color="auto"/>
              <w:left w:val="single" w:sz="4" w:space="0" w:color="000000"/>
              <w:bottom w:val="single" w:sz="4" w:space="0" w:color="000000"/>
              <w:right w:val="single" w:sz="4" w:space="0" w:color="000000"/>
            </w:tcBorders>
          </w:tcPr>
          <w:p>
            <w:pPr/>
          </w:p>
        </w:tc>
        <w:tc>
          <w:tcPr>
            <w:tcW w:w="1910"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r>
    </w:tbl>
    <w:p>
      <w:pPr>
        <w:pStyle w:val="BodyText"/>
        <w:spacing w:line="352" w:lineRule="auto" w:before="53"/>
        <w:ind w:left="421" w:right="0" w:hanging="269"/>
        <w:jc w:val="left"/>
      </w:pPr>
      <w:r>
        <w:rPr/>
        <w:t>关联担保情况说明</w:t>
      </w:r>
      <w:r>
        <w:rPr>
          <w:spacing w:val="-86"/>
        </w:rPr>
        <w:t> </w:t>
      </w:r>
      <w:r>
        <w:rPr>
          <w:spacing w:val="-86"/>
        </w:rPr>
      </w:r>
      <w:r>
        <w:rPr>
          <w:spacing w:val="-4"/>
          <w:w w:val="101"/>
        </w:rPr>
        <w:t>公司于</w:t>
      </w:r>
      <w:r>
        <w:rPr>
          <w:rFonts w:ascii="Times New Roman" w:hAnsi="Times New Roman" w:cs="Times New Roman" w:eastAsia="Times New Roman" w:hint="default"/>
          <w:spacing w:val="-4"/>
          <w:w w:val="101"/>
        </w:rPr>
        <w:t>2013</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10</w:t>
      </w:r>
      <w:r>
        <w:rPr>
          <w:spacing w:val="-4"/>
          <w:w w:val="101"/>
        </w:rPr>
        <w:t>日取得兴业银行股份有限公司深圳分行</w:t>
      </w:r>
      <w:r>
        <w:rPr>
          <w:rFonts w:ascii="Times New Roman" w:hAnsi="Times New Roman" w:cs="Times New Roman" w:eastAsia="Times New Roman" w:hint="default"/>
          <w:spacing w:val="-4"/>
          <w:w w:val="101"/>
        </w:rPr>
        <w:t>3,000.00</w:t>
      </w:r>
      <w:r>
        <w:rPr>
          <w:spacing w:val="-4"/>
          <w:w w:val="101"/>
        </w:rPr>
        <w:t>万美元或等额人民币授信额度，该授信额度的取得由</w:t>
      </w:r>
      <w:r>
        <w:rPr>
          <w:spacing w:val="-4"/>
        </w:rPr>
      </w:r>
    </w:p>
    <w:p>
      <w:pPr>
        <w:pStyle w:val="BodyText"/>
        <w:spacing w:line="218" w:lineRule="exact"/>
        <w:ind w:left="153" w:right="0"/>
        <w:jc w:val="left"/>
        <w:rPr>
          <w:rFonts w:ascii="Times New Roman" w:hAnsi="Times New Roman" w:cs="Times New Roman" w:eastAsia="Times New Roman" w:hint="default"/>
        </w:rPr>
      </w:pPr>
      <w:r>
        <w:rPr>
          <w:spacing w:val="-3"/>
        </w:rPr>
        <w:t>拉萨市冠德成科技发展有限公司、深圳市恒顺昌投资发展有限公司提供连带保证担保，担保期限从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日至</w:t>
      </w:r>
      <w:r>
        <w:rPr>
          <w:rFonts w:ascii="Times New Roman" w:hAnsi="Times New Roman" w:cs="Times New Roman" w:eastAsia="Times New Roman" w:hint="default"/>
          <w:spacing w:val="-3"/>
        </w:rPr>
        <w:t>2014</w:t>
      </w:r>
    </w:p>
    <w:p>
      <w:pPr>
        <w:pStyle w:val="BodyText"/>
        <w:spacing w:line="240" w:lineRule="auto" w:before="63"/>
        <w:ind w:left="153" w:right="0"/>
        <w:jc w:val="left"/>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日止。截止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日，公司在该授信额度下取得的短期借款余额为</w:t>
      </w:r>
      <w:r>
        <w:rPr>
          <w:rFonts w:ascii="Times New Roman" w:hAnsi="Times New Roman" w:cs="Times New Roman" w:eastAsia="Times New Roman" w:hint="default"/>
          <w:spacing w:val="-2"/>
        </w:rPr>
        <w:t>100.00</w:t>
      </w:r>
      <w:r>
        <w:rPr>
          <w:spacing w:val="-2"/>
        </w:rPr>
        <w:t>万美元。</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94" w:type="dxa"/>
            <w:vMerge/>
            <w:tcBorders>
              <w:left w:val="single" w:sz="4" w:space="0" w:color="000000"/>
              <w:bottom w:val="single" w:sz="4" w:space="0" w:color="000000"/>
              <w:right w:val="single" w:sz="4" w:space="0" w:color="000000"/>
            </w:tcBorders>
            <w:shd w:val="clear" w:color="auto" w:fill="D3D3D3"/>
          </w:tcPr>
          <w:p>
            <w:pPr/>
          </w:p>
        </w:tc>
        <w:tc>
          <w:tcPr>
            <w:tcW w:w="1598"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深圳市电明科技有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406,421.55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1,411,601.20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70,580.06</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新余久益投资管理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合伙企业（有限合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before="26"/>
        <w:ind w:right="0"/>
        <w:jc w:val="left"/>
      </w:pPr>
      <w:r>
        <w:rPr/>
        <w:t>十一、股份支付</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3"/>
        <w:gridCol w:w="4114"/>
      </w:tblGrid>
      <w:tr>
        <w:trPr>
          <w:trHeight w:val="398" w:hRule="exact"/>
        </w:trPr>
        <w:tc>
          <w:tcPr>
            <w:tcW w:w="5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5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4"/>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45"/>
        <w:jc w:val="right"/>
      </w:pPr>
      <w:r>
        <w:rPr/>
        <w:t>单位：</w:t>
      </w:r>
      <w:r>
        <w:rPr>
          <w:spacing w:val="5"/>
        </w:rPr>
        <w:t> </w:t>
      </w:r>
      <w:r>
        <w:rPr/>
        <w:t>元</w:t>
      </w:r>
    </w:p>
    <w:p>
      <w:pPr>
        <w:spacing w:line="240" w:lineRule="auto" w:before="3"/>
        <w:rPr>
          <w:rFonts w:ascii="宋体" w:hAnsi="宋体" w:cs="宋体" w:eastAsia="宋体" w:hint="default"/>
          <w:sz w:val="7"/>
          <w:szCs w:val="7"/>
        </w:rPr>
      </w:pPr>
    </w:p>
    <w:p>
      <w:pPr>
        <w:spacing w:line="1358" w:lineRule="exact"/>
        <w:ind w:left="148"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81.95pt;height:67.95pt;mso-position-horizontal-relative:char;mso-position-vertical-relative:line" coordorigin="0,0" coordsize="9639,1359">
            <v:group style="position:absolute;left:10;top:14;width:4973;height:471" coordorigin="10,14" coordsize="4973,471">
              <v:shape style="position:absolute;left:10;top:14;width:4973;height:471" coordorigin="10,14" coordsize="4973,471" path="m10,485l4982,485,4982,14,10,14,10,485xe" filled="true" fillcolor="#d3d3d3" stroked="false">
                <v:path arrowok="t"/>
                <v:fill type="solid"/>
              </v:shape>
            </v:group>
            <v:group style="position:absolute;left:10;top:878;width:4973;height:466" coordorigin="10,878" coordsize="4973,466">
              <v:shape style="position:absolute;left:10;top:878;width:4973;height:466" coordorigin="10,878" coordsize="4973,466" path="m10,1344l4982,1344,4982,878,10,878,10,1344xe" filled="true" fillcolor="#d3d3d3" stroked="false">
                <v:path arrowok="t"/>
                <v:fill type="solid"/>
              </v:shape>
            </v:group>
            <v:group style="position:absolute;left:34;top:485;width:4930;height:394" coordorigin="34,485" coordsize="4930,394">
              <v:shape style="position:absolute;left:34;top:485;width:4930;height:394" coordorigin="34,485" coordsize="4930,394" path="m34,878l4963,878,4963,485,34,485,34,878xe" filled="true" fillcolor="#d3d3d3"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8pt" strokecolor="#000000">
                <v:path arrowok="t"/>
              </v:shape>
            </v:group>
            <v:group style="position:absolute;left:4992;top:10;width:4575;height:2" coordorigin="4992,10" coordsize="4575,2">
              <v:shape style="position:absolute;left:4992;top:10;width:4575;height:2" coordorigin="4992,10" coordsize="4575,0" path="m4992,10l9566,10e" filled="false" stroked="true" strokeweight=".48pt" strokecolor="#000000">
                <v:path arrowok="t"/>
              </v:shape>
            </v:group>
            <v:group style="position:absolute;left:5;top:5;width:2;height:1349" coordorigin="5,5" coordsize="2,1349">
              <v:shape style="position:absolute;left:5;top:5;width:2;height:1349" coordorigin="5,5" coordsize="0,1349" path="m5,5l5,1354e" filled="false" stroked="true" strokeweight=".48pt" strokecolor="#000000">
                <v:path arrowok="t"/>
              </v:shape>
            </v:group>
            <v:group style="position:absolute;left:10;top:1349;width:4973;height:2" coordorigin="10,1349" coordsize="4973,2">
              <v:shape style="position:absolute;left:10;top:1349;width:4973;height:2" coordorigin="10,1349" coordsize="4973,0" path="m10,1349l4982,1349e" filled="false" stroked="true" strokeweight=".48pt" strokecolor="#000000">
                <v:path arrowok="t"/>
              </v:shape>
            </v:group>
            <v:group style="position:absolute;left:4987;top:5;width:2;height:1349" coordorigin="4987,5" coordsize="2,1349">
              <v:shape style="position:absolute;left:4987;top:5;width:2;height:1349" coordorigin="4987,5" coordsize="0,1349" path="m4987,5l4987,1354e" filled="false" stroked="true" strokeweight=".48pt" strokecolor="#000000">
                <v:path arrowok="t"/>
              </v:shape>
            </v:group>
            <v:group style="position:absolute;left:4992;top:1349;width:4575;height:2" coordorigin="4992,1349" coordsize="4575,2">
              <v:shape style="position:absolute;left:4992;top:1349;width:4575;height:2" coordorigin="4992,1349" coordsize="4575,0" path="m4992,1349l9566,1349e" filled="false" stroked="true" strokeweight=".48pt" strokecolor="#000000">
                <v:path arrowok="t"/>
              </v:shape>
            </v:group>
            <v:group style="position:absolute;left:9571;top:5;width:2;height:1349" coordorigin="9571,5" coordsize="2,1349">
              <v:shape style="position:absolute;left:9571;top:5;width:2;height:1349" coordorigin="9571,5" coordsize="0,1349" path="m9571,5l9571,1354e" filled="false" stroked="true" strokeweight=".48pt" strokecolor="#000000">
                <v:path arrowok="t"/>
              </v:shape>
              <v:shape style="position:absolute;left:5;top:10;width:4983;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xbxContent>
                </v:textbox>
                <w10:wrap type="none"/>
              </v:shape>
              <v:shape style="position:absolute;left:4987;top:10;width:4584;height:1340" type="#_x0000_t202" filled="false" stroked="false">
                <v:textbox inset="0,0,0,0">
                  <w:txbxContent>
                    <w:p>
                      <w:pPr>
                        <w:spacing w:line="300" w:lineRule="auto" w:before="58"/>
                        <w:ind w:left="28" w:right="108" w:firstLine="0"/>
                        <w:jc w:val="left"/>
                        <w:rPr>
                          <w:rFonts w:ascii="宋体" w:hAnsi="宋体" w:cs="宋体" w:eastAsia="宋体" w:hint="default"/>
                          <w:sz w:val="18"/>
                          <w:szCs w:val="18"/>
                        </w:rPr>
                      </w:pPr>
                      <w:r>
                        <w:rPr>
                          <w:rFonts w:ascii="宋体" w:hAnsi="宋体" w:cs="宋体" w:eastAsia="宋体" w:hint="default"/>
                          <w:spacing w:val="-7"/>
                          <w:sz w:val="18"/>
                          <w:szCs w:val="18"/>
                        </w:rPr>
                        <w:t>公司采用授予日市价减去买入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卖出认沽（购）期权价格差</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限制性股票授予价格的方法确定限制性股票的公允价值</w:t>
                      </w:r>
                    </w:p>
                    <w:p>
                      <w:pPr>
                        <w:spacing w:line="304" w:lineRule="auto" w:before="31"/>
                        <w:ind w:left="28" w:right="22" w:firstLine="0"/>
                        <w:jc w:val="left"/>
                        <w:rPr>
                          <w:rFonts w:ascii="宋体" w:hAnsi="宋体" w:cs="宋体" w:eastAsia="宋体" w:hint="default"/>
                          <w:sz w:val="18"/>
                          <w:szCs w:val="18"/>
                        </w:rPr>
                      </w:pPr>
                      <w:r>
                        <w:rPr>
                          <w:rFonts w:ascii="宋体" w:hAnsi="宋体" w:cs="宋体" w:eastAsia="宋体" w:hint="default"/>
                          <w:spacing w:val="-10"/>
                          <w:sz w:val="18"/>
                          <w:szCs w:val="18"/>
                        </w:rPr>
                        <w:t>（即限制性股票成本）。认沽（购）期权价值经</w:t>
                      </w:r>
                      <w:r>
                        <w:rPr>
                          <w:rFonts w:ascii="宋体" w:hAnsi="宋体" w:cs="宋体" w:eastAsia="宋体" w:hint="default"/>
                          <w:spacing w:val="-18"/>
                          <w:sz w:val="18"/>
                          <w:szCs w:val="18"/>
                        </w:rPr>
                        <w:t> </w:t>
                      </w:r>
                      <w:r>
                        <w:rPr>
                          <w:rFonts w:ascii="Times New Roman" w:hAnsi="Times New Roman" w:cs="Times New Roman" w:eastAsia="Times New Roman" w:hint="default"/>
                          <w:spacing w:val="-2"/>
                          <w:sz w:val="18"/>
                          <w:szCs w:val="18"/>
                        </w:rPr>
                        <w:t>B-S</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模型估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算确定。</w:t>
                      </w:r>
                    </w:p>
                  </w:txbxContent>
                </v:textbox>
                <w10:wrap type="none"/>
              </v:shape>
              <v:shape style="position:absolute;left:9456;top:122;width:18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6"/>
          <w:sz w:val="20"/>
          <w:szCs w:val="20"/>
        </w:rPr>
      </w:r>
    </w:p>
    <w:p>
      <w:pPr>
        <w:spacing w:after="0" w:line="1358" w:lineRule="exact"/>
        <w:rPr>
          <w:rFonts w:ascii="宋体" w:hAnsi="宋体" w:cs="宋体" w:eastAsia="宋体" w:hint="default"/>
          <w:sz w:val="20"/>
          <w:szCs w:val="20"/>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2"/>
        <w:gridCol w:w="4584"/>
      </w:tblGrid>
      <w:tr>
        <w:trPr>
          <w:trHeight w:val="1027"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公司根据《深圳市实益达科技股份有限公司限制性股票激</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15"/>
                <w:w w:val="101"/>
                <w:sz w:val="18"/>
                <w:szCs w:val="18"/>
              </w:rPr>
              <w:t>励计划（草案）》、《深圳市实益达科技股份有限公司股权激</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励计划实施考核管理办法》确定。</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2,628,865.02</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2,628,865.02</w:t>
            </w:r>
          </w:p>
        </w:tc>
      </w:tr>
    </w:tbl>
    <w:p>
      <w:pPr>
        <w:pStyle w:val="BodyText"/>
        <w:spacing w:line="240" w:lineRule="auto" w:before="54"/>
        <w:ind w:right="173"/>
        <w:jc w:val="left"/>
      </w:pPr>
      <w:r>
        <w:rPr/>
        <w:t>其他说明</w:t>
      </w:r>
    </w:p>
    <w:p>
      <w:pPr>
        <w:spacing w:line="240" w:lineRule="auto" w:before="4"/>
        <w:rPr>
          <w:rFonts w:ascii="宋体" w:hAnsi="宋体" w:cs="宋体" w:eastAsia="宋体" w:hint="default"/>
          <w:sz w:val="24"/>
          <w:szCs w:val="24"/>
        </w:rPr>
      </w:pPr>
    </w:p>
    <w:p>
      <w:pPr>
        <w:pStyle w:val="Heading3"/>
        <w:spacing w:line="240" w:lineRule="auto"/>
        <w:ind w:right="173"/>
        <w:jc w:val="left"/>
      </w:pPr>
      <w:r>
        <w:rPr/>
        <w:t>十二、承诺及或有事项</w:t>
      </w:r>
    </w:p>
    <w:p>
      <w:pPr>
        <w:spacing w:line="240" w:lineRule="auto" w:before="2"/>
        <w:rPr>
          <w:rFonts w:ascii="宋体" w:hAnsi="宋体" w:cs="宋体" w:eastAsia="宋体" w:hint="default"/>
          <w:sz w:val="20"/>
          <w:szCs w:val="20"/>
        </w:rPr>
      </w:pPr>
    </w:p>
    <w:p>
      <w:pPr>
        <w:pStyle w:val="Heading4"/>
        <w:spacing w:line="240" w:lineRule="auto"/>
        <w:ind w:right="17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352" w:lineRule="auto"/>
        <w:ind w:right="5505"/>
        <w:jc w:val="left"/>
      </w:pPr>
      <w:r>
        <w:rPr>
          <w:spacing w:val="-3"/>
        </w:rPr>
        <w:t>资产负债表日存在的重要承诺</w:t>
      </w:r>
      <w:r>
        <w:rPr>
          <w:spacing w:val="-50"/>
        </w:rPr>
        <w:t> </w:t>
      </w:r>
      <w:r>
        <w:rPr>
          <w:spacing w:val="-50"/>
        </w:rPr>
      </w:r>
      <w:r>
        <w:rPr>
          <w:spacing w:val="-3"/>
        </w:rPr>
        <w:t>本报告期内不存在需要披露的承诺事项。</w:t>
      </w:r>
    </w:p>
    <w:p>
      <w:pPr>
        <w:spacing w:line="240" w:lineRule="auto" w:before="6"/>
        <w:rPr>
          <w:rFonts w:ascii="宋体" w:hAnsi="宋体" w:cs="宋体" w:eastAsia="宋体" w:hint="default"/>
          <w:sz w:val="15"/>
          <w:szCs w:val="15"/>
        </w:rPr>
      </w:pPr>
    </w:p>
    <w:p>
      <w:pPr>
        <w:pStyle w:val="Heading4"/>
        <w:spacing w:line="240" w:lineRule="auto"/>
        <w:ind w:right="17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17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1987"/>
        <w:gridCol w:w="1733"/>
        <w:gridCol w:w="1502"/>
        <w:gridCol w:w="1296"/>
        <w:gridCol w:w="1450"/>
        <w:gridCol w:w="1478"/>
      </w:tblGrid>
      <w:tr>
        <w:trPr>
          <w:trHeight w:val="341"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受理法院</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标的额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159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66"/>
              <w:jc w:val="left"/>
              <w:rPr>
                <w:rFonts w:ascii="宋体" w:hAnsi="宋体" w:cs="宋体" w:eastAsia="宋体" w:hint="default"/>
                <w:sz w:val="18"/>
                <w:szCs w:val="18"/>
              </w:rPr>
            </w:pPr>
            <w:r>
              <w:rPr>
                <w:rFonts w:ascii="宋体" w:hAnsi="宋体" w:cs="宋体" w:eastAsia="宋体" w:hint="default"/>
                <w:spacing w:val="-2"/>
                <w:sz w:val="18"/>
                <w:szCs w:val="18"/>
              </w:rPr>
              <w:t>深圳市实益达科技股份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2"/>
              <w:ind w:left="4" w:right="277"/>
              <w:jc w:val="left"/>
              <w:rPr>
                <w:rFonts w:ascii="Times New Roman" w:hAnsi="Times New Roman" w:cs="Times New Roman" w:eastAsia="Times New Roman" w:hint="default"/>
                <w:sz w:val="18"/>
                <w:szCs w:val="18"/>
              </w:rPr>
            </w:pPr>
            <w:r>
              <w:rPr>
                <w:rFonts w:ascii="Times New Roman"/>
                <w:sz w:val="18"/>
              </w:rPr>
              <w:t>PERCEPTION</w:t>
            </w:r>
            <w:r>
              <w:rPr>
                <w:rFonts w:ascii="Times New Roman"/>
                <w:w w:val="101"/>
                <w:sz w:val="18"/>
              </w:rPr>
              <w:t> </w:t>
            </w:r>
            <w:r>
              <w:rPr>
                <w:rFonts w:ascii="Times New Roman"/>
                <w:sz w:val="18"/>
              </w:rPr>
              <w:t>DIGITAL</w:t>
            </w:r>
            <w:r>
              <w:rPr>
                <w:rFonts w:ascii="Times New Roman"/>
                <w:w w:val="101"/>
                <w:sz w:val="18"/>
              </w:rPr>
              <w:t> </w:t>
            </w:r>
            <w:r>
              <w:rPr>
                <w:rFonts w:ascii="Times New Roman"/>
                <w:sz w:val="18"/>
              </w:rPr>
              <w:t>LIMITED/PD</w:t>
            </w:r>
            <w:r>
              <w:rPr>
                <w:rFonts w:ascii="Times New Roman"/>
                <w:w w:val="101"/>
                <w:sz w:val="18"/>
              </w:rPr>
              <w:t> </w:t>
            </w:r>
            <w:r>
              <w:rPr>
                <w:rFonts w:ascii="Times New Roman"/>
                <w:sz w:val="18"/>
              </w:rPr>
              <w:t>TRADING (HONG</w:t>
            </w:r>
            <w:r>
              <w:rPr>
                <w:rFonts w:ascii="Times New Roman"/>
                <w:w w:val="101"/>
                <w:sz w:val="18"/>
              </w:rPr>
              <w:t> </w:t>
            </w:r>
            <w:r>
              <w:rPr>
                <w:rFonts w:ascii="Times New Roman"/>
                <w:sz w:val="18"/>
              </w:rPr>
              <w:t>KONG)</w:t>
            </w:r>
            <w:r>
              <w:rPr>
                <w:rFonts w:ascii="Times New Roman"/>
                <w:spacing w:val="16"/>
                <w:sz w:val="18"/>
              </w:rPr>
              <w:t> </w:t>
            </w:r>
            <w:r>
              <w:rPr>
                <w:rFonts w:ascii="Times New Roman"/>
                <w:spacing w:val="-3"/>
                <w:sz w:val="18"/>
              </w:rPr>
              <w:t>LIMITED</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香港高等法院</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USD292.31</w:t>
            </w:r>
            <w:r>
              <w:rPr>
                <w:rFonts w:ascii="宋体" w:hAnsi="宋体" w:cs="宋体" w:eastAsia="宋体" w:hint="default"/>
                <w:spacing w:val="-1"/>
                <w:sz w:val="18"/>
                <w:szCs w:val="18"/>
              </w:rPr>
              <w:t>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正在审理中</w:t>
            </w:r>
          </w:p>
        </w:tc>
      </w:tr>
      <w:tr>
        <w:trPr>
          <w:trHeight w:val="65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66"/>
              <w:jc w:val="left"/>
              <w:rPr>
                <w:rFonts w:ascii="宋体" w:hAnsi="宋体" w:cs="宋体" w:eastAsia="宋体" w:hint="default"/>
                <w:sz w:val="18"/>
                <w:szCs w:val="18"/>
              </w:rPr>
            </w:pPr>
            <w:r>
              <w:rPr>
                <w:rFonts w:ascii="宋体" w:hAnsi="宋体" w:cs="宋体" w:eastAsia="宋体" w:hint="default"/>
                <w:spacing w:val="-2"/>
                <w:sz w:val="18"/>
                <w:szCs w:val="18"/>
              </w:rPr>
              <w:t>深圳市盟世奇商贸有限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95"/>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7"/>
              <w:jc w:val="left"/>
              <w:rPr>
                <w:rFonts w:ascii="宋体" w:hAnsi="宋体" w:cs="宋体" w:eastAsia="宋体" w:hint="default"/>
                <w:sz w:val="18"/>
                <w:szCs w:val="18"/>
              </w:rPr>
            </w:pPr>
            <w:r>
              <w:rPr>
                <w:rFonts w:ascii="宋体" w:hAnsi="宋体" w:cs="宋体" w:eastAsia="宋体" w:hint="default"/>
                <w:spacing w:val="-3"/>
                <w:sz w:val="18"/>
                <w:szCs w:val="18"/>
              </w:rPr>
              <w:t>深圳市龙岗区人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民法院</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171.17</w:t>
            </w:r>
            <w:r>
              <w:rPr>
                <w:rFonts w:ascii="宋体" w:hAnsi="宋体" w:cs="宋体" w:eastAsia="宋体" w:hint="default"/>
                <w:spacing w:val="-1"/>
                <w:sz w:val="18"/>
                <w:szCs w:val="18"/>
              </w:rPr>
              <w:t>万元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处于司法鉴定阶段</w:t>
            </w:r>
          </w:p>
        </w:tc>
      </w:tr>
      <w:tr>
        <w:trPr>
          <w:trHeight w:val="331" w:hRule="exact"/>
        </w:trPr>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湖南快乐阳光互动娱乐</w:t>
            </w:r>
          </w:p>
        </w:tc>
        <w:tc>
          <w:tcPr>
            <w:tcW w:w="17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深圳市实益达科技股</w:t>
            </w:r>
          </w:p>
        </w:tc>
        <w:tc>
          <w:tcPr>
            <w:tcW w:w="15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版权诉讼</w:t>
            </w:r>
          </w:p>
        </w:tc>
        <w:tc>
          <w:tcPr>
            <w:tcW w:w="1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北京市朝阳区法</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68.00</w:t>
            </w:r>
            <w:r>
              <w:rPr>
                <w:rFonts w:ascii="宋体" w:hAnsi="宋体" w:cs="宋体" w:eastAsia="宋体" w:hint="default"/>
                <w:spacing w:val="-2"/>
                <w:sz w:val="18"/>
                <w:szCs w:val="18"/>
              </w:rPr>
              <w:t>万元</w:t>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处于司法鉴定阶段</w:t>
            </w:r>
          </w:p>
        </w:tc>
      </w:tr>
      <w:tr>
        <w:trPr>
          <w:trHeight w:val="307" w:hRule="exact"/>
        </w:trPr>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4"/>
                <w:sz w:val="18"/>
                <w:szCs w:val="18"/>
              </w:rPr>
              <w:t>传媒有限公司、北京盛世</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50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w w:val="101"/>
                <w:sz w:val="18"/>
                <w:szCs w:val="18"/>
              </w:rPr>
              <w:t>院</w:t>
            </w:r>
            <w:r>
              <w:rPr>
                <w:rFonts w:ascii="宋体" w:hAnsi="宋体" w:cs="宋体" w:eastAsia="宋体" w:hint="default"/>
                <w:sz w:val="18"/>
                <w:szCs w:val="18"/>
              </w:rPr>
            </w:r>
          </w:p>
        </w:tc>
        <w:tc>
          <w:tcPr>
            <w:tcW w:w="1450"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15"/>
              <w:jc w:val="left"/>
              <w:rPr>
                <w:rFonts w:ascii="宋体" w:hAnsi="宋体" w:cs="宋体" w:eastAsia="宋体" w:hint="default"/>
                <w:sz w:val="18"/>
                <w:szCs w:val="18"/>
              </w:rPr>
            </w:pPr>
            <w:r>
              <w:rPr>
                <w:rFonts w:ascii="宋体" w:hAnsi="宋体" w:cs="宋体" w:eastAsia="宋体" w:hint="default"/>
                <w:spacing w:val="-2"/>
                <w:sz w:val="18"/>
                <w:szCs w:val="18"/>
              </w:rPr>
              <w:t>骄阳文化传播有限公司、</w:t>
            </w:r>
          </w:p>
        </w:tc>
        <w:tc>
          <w:tcPr>
            <w:tcW w:w="1733"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深圳市迅雷网络技术有</w:t>
            </w:r>
          </w:p>
        </w:tc>
        <w:tc>
          <w:tcPr>
            <w:tcW w:w="1733" w:type="dxa"/>
            <w:tcBorders>
              <w:top w:val="nil" w:sz="6" w:space="0" w:color="auto"/>
              <w:left w:val="single" w:sz="4" w:space="0" w:color="000000"/>
              <w:bottom w:val="nil" w:sz="6" w:space="0" w:color="auto"/>
              <w:right w:val="single" w:sz="4" w:space="0" w:color="000000"/>
            </w:tcBorders>
          </w:tcPr>
          <w:p>
            <w:pPr/>
          </w:p>
        </w:tc>
        <w:tc>
          <w:tcPr>
            <w:tcW w:w="150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33" w:type="dxa"/>
            <w:tcBorders>
              <w:top w:val="nil" w:sz="6" w:space="0" w:color="auto"/>
              <w:left w:val="single" w:sz="4" w:space="0" w:color="000000"/>
              <w:bottom w:val="single" w:sz="4" w:space="0" w:color="000000"/>
              <w:right w:val="single" w:sz="4" w:space="0" w:color="000000"/>
            </w:tcBorders>
          </w:tcPr>
          <w:p>
            <w:pPr/>
          </w:p>
        </w:tc>
        <w:tc>
          <w:tcPr>
            <w:tcW w:w="1502"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r>
      <w:tr>
        <w:trPr>
          <w:trHeight w:val="331" w:hRule="exact"/>
        </w:trPr>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深圳市实益达照明有限</w:t>
            </w:r>
          </w:p>
        </w:tc>
        <w:tc>
          <w:tcPr>
            <w:tcW w:w="17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深圳市威赛照明有限</w:t>
            </w:r>
          </w:p>
        </w:tc>
        <w:tc>
          <w:tcPr>
            <w:tcW w:w="15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1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深圳市龙岗区人</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50.99</w:t>
            </w:r>
            <w:r>
              <w:rPr>
                <w:rFonts w:ascii="宋体" w:hAnsi="宋体" w:cs="宋体" w:eastAsia="宋体" w:hint="default"/>
                <w:spacing w:val="-2"/>
                <w:sz w:val="18"/>
                <w:szCs w:val="18"/>
              </w:rPr>
              <w:t>万元</w:t>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处于司法鉴定阶段</w:t>
            </w:r>
          </w:p>
        </w:tc>
      </w:tr>
      <w:tr>
        <w:trPr>
          <w:trHeight w:val="322" w:hRule="exact"/>
        </w:trPr>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2"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民法院</w:t>
            </w:r>
          </w:p>
        </w:tc>
        <w:tc>
          <w:tcPr>
            <w:tcW w:w="1450"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r>
    </w:tbl>
    <w:p>
      <w:pPr>
        <w:spacing w:line="240" w:lineRule="auto" w:before="15"/>
        <w:rPr>
          <w:rFonts w:ascii="Microsoft JhengHei" w:hAnsi="Microsoft JhengHei" w:cs="Microsoft JhengHei" w:eastAsia="Microsoft JhengHei" w:hint="default"/>
          <w:b/>
          <w:bCs/>
          <w:sz w:val="15"/>
          <w:szCs w:val="15"/>
        </w:rPr>
      </w:pPr>
    </w:p>
    <w:p>
      <w:pPr>
        <w:pStyle w:val="BodyText"/>
        <w:spacing w:line="240" w:lineRule="auto" w:before="46"/>
        <w:ind w:left="512" w:right="108"/>
        <w:jc w:val="left"/>
      </w:pPr>
      <w:r>
        <w:rPr>
          <w:rFonts w:ascii="Times New Roman" w:hAnsi="Times New Roman" w:cs="Times New Roman" w:eastAsia="Times New Roman" w:hint="default"/>
        </w:rPr>
        <w:t>1</w:t>
      </w:r>
      <w:r>
        <w:rPr/>
        <w:t>）因客户</w:t>
      </w:r>
      <w:r>
        <w:rPr>
          <w:rFonts w:ascii="Times New Roman" w:hAnsi="Times New Roman" w:cs="Times New Roman" w:eastAsia="Times New Roman" w:hint="default"/>
        </w:rPr>
        <w:t>PERCEPTION DIGITAL LIMITED/PD TRADING (HONG KONG)</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LIMITED</w:t>
      </w:r>
      <w:r>
        <w:rPr>
          <w:spacing w:val="-3"/>
        </w:rPr>
        <w:t>逾期支付货款，经公司多次索要无</w:t>
      </w:r>
    </w:p>
    <w:p>
      <w:pPr>
        <w:pStyle w:val="BodyText"/>
        <w:spacing w:line="300" w:lineRule="auto" w:before="63"/>
        <w:ind w:left="153" w:right="173" w:hanging="1"/>
        <w:jc w:val="left"/>
      </w:pPr>
      <w:r>
        <w:rPr>
          <w:spacing w:val="-3"/>
        </w:rPr>
        <w:t>果，本公司于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日向香港高等法院提交《申索陈述书》，并于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日正式向香港高等法院提交简易程序</w:t>
      </w:r>
      <w:r>
        <w:rPr>
          <w:spacing w:val="3"/>
        </w:rPr>
        <w:t> </w:t>
      </w:r>
      <w:r>
        <w:rPr>
          <w:spacing w:val="3"/>
        </w:rPr>
      </w:r>
      <w:r>
        <w:rPr>
          <w:spacing w:val="-3"/>
        </w:rPr>
        <w:t>申请，索偿货款及业务往来过程中的各项款项合计</w:t>
      </w:r>
      <w:r>
        <w:rPr>
          <w:rFonts w:ascii="Times New Roman" w:hAnsi="Times New Roman" w:cs="Times New Roman" w:eastAsia="Times New Roman" w:hint="default"/>
          <w:spacing w:val="-3"/>
        </w:rPr>
        <w:t>USD292.31</w:t>
      </w:r>
      <w:r>
        <w:rPr>
          <w:spacing w:val="-3"/>
        </w:rPr>
        <w:t>万元，截止本报告报出之日，本案件正在审理中。</w:t>
      </w:r>
    </w:p>
    <w:p>
      <w:pPr>
        <w:pStyle w:val="BodyText"/>
        <w:spacing w:line="300" w:lineRule="auto" w:before="13"/>
        <w:ind w:left="153" w:right="190" w:firstLine="359"/>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7</w:t>
      </w:r>
      <w:r>
        <w:rPr>
          <w:spacing w:val="-4"/>
        </w:rPr>
        <w:t>日，深圳市盟世奇商贸有限公司（以下简称</w:t>
      </w:r>
      <w:r>
        <w:rPr>
          <w:rFonts w:ascii="Times New Roman" w:hAnsi="Times New Roman" w:cs="Times New Roman" w:eastAsia="Times New Roman" w:hint="default"/>
          <w:spacing w:val="-4"/>
        </w:rPr>
        <w:t>“</w:t>
      </w:r>
      <w:r>
        <w:rPr>
          <w:spacing w:val="-4"/>
        </w:rPr>
        <w:t>盟世奇</w:t>
      </w:r>
      <w:r>
        <w:rPr>
          <w:rFonts w:ascii="Times New Roman" w:hAnsi="Times New Roman" w:cs="Times New Roman" w:eastAsia="Times New Roman" w:hint="default"/>
          <w:spacing w:val="-4"/>
        </w:rPr>
        <w:t>”</w:t>
      </w:r>
      <w:r>
        <w:rPr>
          <w:spacing w:val="-4"/>
        </w:rPr>
        <w:t>）以合同纠纷为案由，向深圳市龙岗区人民法院提</w:t>
      </w:r>
      <w:r>
        <w:rPr>
          <w:w w:val="101"/>
        </w:rPr>
        <w:t> </w:t>
      </w:r>
      <w:r>
        <w:rPr>
          <w:spacing w:val="-3"/>
        </w:rPr>
        <w:t>起针对本公司的诉讼，要求解除双方签署的《项目合作协议书，并要求公司返还研发费、模具费及货款共计</w:t>
      </w:r>
      <w:r>
        <w:rPr>
          <w:rFonts w:ascii="Times New Roman" w:hAnsi="Times New Roman" w:cs="Times New Roman" w:eastAsia="Times New Roman" w:hint="default"/>
          <w:spacing w:val="-3"/>
        </w:rPr>
        <w:t>99.29</w:t>
      </w:r>
      <w:r>
        <w:rPr>
          <w:spacing w:val="-3"/>
        </w:rPr>
        <w:t>万元及利</w:t>
      </w:r>
      <w:r>
        <w:rPr>
          <w:spacing w:val="72"/>
        </w:rPr>
        <w:t> </w:t>
      </w:r>
      <w:r>
        <w:rPr>
          <w:spacing w:val="72"/>
        </w:rPr>
      </w:r>
      <w:r>
        <w:rPr>
          <w:spacing w:val="-3"/>
        </w:rPr>
        <w:t>息、双倍返还定金</w:t>
      </w:r>
      <w:r>
        <w:rPr>
          <w:rFonts w:ascii="Times New Roman" w:hAnsi="Times New Roman" w:cs="Times New Roman" w:eastAsia="Times New Roman" w:hint="default"/>
          <w:spacing w:val="-3"/>
        </w:rPr>
        <w:t>67.56</w:t>
      </w:r>
      <w:r>
        <w:rPr>
          <w:spacing w:val="-3"/>
        </w:rPr>
        <w:t>万元、赔偿各项认证费及改造费共计</w:t>
      </w:r>
      <w:r>
        <w:rPr>
          <w:rFonts w:ascii="Times New Roman" w:hAnsi="Times New Roman" w:cs="Times New Roman" w:eastAsia="Times New Roman" w:hint="default"/>
          <w:spacing w:val="-3"/>
        </w:rPr>
        <w:t>4.33</w:t>
      </w:r>
      <w:r>
        <w:rPr>
          <w:spacing w:val="-3"/>
        </w:rPr>
        <w:t>万元及利息。</w:t>
      </w:r>
    </w:p>
    <w:p>
      <w:pPr>
        <w:pStyle w:val="BodyText"/>
        <w:spacing w:line="300" w:lineRule="auto" w:before="13"/>
        <w:ind w:left="153" w:right="184" w:firstLine="359"/>
        <w:jc w:val="both"/>
      </w:pPr>
      <w:r>
        <w:rPr>
          <w:spacing w:val="-4"/>
        </w:rPr>
        <w:t>本公司在收到盟世奇起诉状后积极应诉，并于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25</w:t>
      </w:r>
      <w:r>
        <w:rPr>
          <w:spacing w:val="-4"/>
        </w:rPr>
        <w:t>日提起反诉，诉请继续履行《项目合作协议》，并要求盟世</w:t>
      </w:r>
      <w:r>
        <w:rPr>
          <w:w w:val="101"/>
        </w:rPr>
        <w:t> </w:t>
      </w:r>
      <w:r>
        <w:rPr>
          <w:spacing w:val="-3"/>
        </w:rPr>
        <w:t>奇支付剩余货款</w:t>
      </w:r>
      <w:r>
        <w:rPr>
          <w:rFonts w:ascii="Times New Roman" w:hAnsi="Times New Roman" w:cs="Times New Roman" w:eastAsia="Times New Roman" w:hint="default"/>
          <w:spacing w:val="-3"/>
        </w:rPr>
        <w:t>48.49</w:t>
      </w:r>
      <w:r>
        <w:rPr>
          <w:spacing w:val="-3"/>
        </w:rPr>
        <w:t>万元、支付研发费用</w:t>
      </w:r>
      <w:r>
        <w:rPr>
          <w:rFonts w:ascii="Times New Roman" w:hAnsi="Times New Roman" w:cs="Times New Roman" w:eastAsia="Times New Roman" w:hint="default"/>
          <w:spacing w:val="-3"/>
        </w:rPr>
        <w:t>1.05</w:t>
      </w:r>
      <w:r>
        <w:rPr>
          <w:spacing w:val="-3"/>
        </w:rPr>
        <w:t>万美元及利息和支付货物保管费用</w:t>
      </w:r>
      <w:r>
        <w:rPr>
          <w:rFonts w:ascii="Times New Roman" w:hAnsi="Times New Roman" w:cs="Times New Roman" w:eastAsia="Times New Roman" w:hint="default"/>
          <w:spacing w:val="-3"/>
        </w:rPr>
        <w:t>700.00</w:t>
      </w:r>
      <w:r>
        <w:rPr>
          <w:spacing w:val="-3"/>
        </w:rPr>
        <w:t>元。</w:t>
      </w:r>
    </w:p>
    <w:p>
      <w:pPr>
        <w:pStyle w:val="BodyText"/>
        <w:spacing w:line="240" w:lineRule="auto" w:before="13"/>
        <w:ind w:left="514" w:right="173"/>
        <w:jc w:val="left"/>
      </w:pPr>
      <w:r>
        <w:rPr>
          <w:spacing w:val="-3"/>
        </w:rPr>
        <w:t>截止本报告报出之日，本案件已经一审开庭审理，本公司及盟世奇均提出司法鉴定申请，目前正处于司法鉴定程序中。</w:t>
      </w:r>
    </w:p>
    <w:p>
      <w:pPr>
        <w:spacing w:after="0" w:line="240" w:lineRule="auto"/>
        <w:jc w:val="left"/>
        <w:sectPr>
          <w:pgSz w:w="11910" w:h="16840"/>
          <w:pgMar w:header="741" w:footer="979" w:top="1060" w:bottom="1160" w:left="980" w:right="940"/>
        </w:sectPr>
      </w:pPr>
    </w:p>
    <w:p>
      <w:pPr>
        <w:spacing w:line="240" w:lineRule="auto" w:before="1"/>
        <w:rPr>
          <w:rFonts w:ascii="宋体" w:hAnsi="宋体" w:cs="宋体" w:eastAsia="宋体" w:hint="default"/>
          <w:sz w:val="26"/>
          <w:szCs w:val="26"/>
        </w:rPr>
      </w:pPr>
    </w:p>
    <w:p>
      <w:pPr>
        <w:pStyle w:val="BodyText"/>
        <w:spacing w:line="300" w:lineRule="auto" w:before="46"/>
        <w:ind w:right="210" w:firstLine="359"/>
        <w:jc w:val="both"/>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24</w:t>
      </w:r>
      <w:r>
        <w:rPr>
          <w:spacing w:val="-3"/>
        </w:rPr>
        <w:t>日，公司收到湖南快乐阳光互动娱乐传媒有限公司（以下简称</w:t>
      </w:r>
      <w:r>
        <w:rPr>
          <w:rFonts w:ascii="Times New Roman" w:hAnsi="Times New Roman" w:cs="Times New Roman" w:eastAsia="Times New Roman" w:hint="default"/>
          <w:spacing w:val="-3"/>
        </w:rPr>
        <w:t>“</w:t>
      </w:r>
      <w:r>
        <w:rPr>
          <w:spacing w:val="-3"/>
        </w:rPr>
        <w:t>快乐阳光</w:t>
      </w:r>
      <w:r>
        <w:rPr>
          <w:rFonts w:ascii="Times New Roman" w:hAnsi="Times New Roman" w:cs="Times New Roman" w:eastAsia="Times New Roman" w:hint="default"/>
          <w:spacing w:val="-3"/>
        </w:rPr>
        <w:t>”</w:t>
      </w:r>
      <w:r>
        <w:rPr>
          <w:spacing w:val="-3"/>
        </w:rPr>
        <w:t>）提起的</w:t>
      </w:r>
      <w:r>
        <w:rPr>
          <w:rFonts w:ascii="Times New Roman" w:hAnsi="Times New Roman" w:cs="Times New Roman" w:eastAsia="Times New Roman" w:hint="default"/>
          <w:spacing w:val="-3"/>
        </w:rPr>
        <w:t>4</w:t>
      </w:r>
      <w:r>
        <w:rPr>
          <w:spacing w:val="-3"/>
        </w:rPr>
        <w:t>宗著作权侵权纠纷</w:t>
      </w:r>
      <w:r>
        <w:rPr>
          <w:w w:val="101"/>
        </w:rPr>
        <w:t> </w:t>
      </w:r>
      <w:r>
        <w:rPr>
          <w:spacing w:val="-4"/>
        </w:rPr>
        <w:t>案件，快乐阳光以公司</w:t>
      </w:r>
      <w:r>
        <w:rPr>
          <w:rFonts w:ascii="Times New Roman" w:hAnsi="Times New Roman" w:cs="Times New Roman" w:eastAsia="Times New Roman" w:hint="default"/>
          <w:spacing w:val="-4"/>
        </w:rPr>
        <w:t>“S610E</w:t>
      </w:r>
      <w:r>
        <w:rPr>
          <w:spacing w:val="-4"/>
        </w:rPr>
        <w:t>云视频</w:t>
      </w:r>
      <w:r>
        <w:rPr>
          <w:rFonts w:ascii="Times New Roman" w:hAnsi="Times New Roman" w:cs="Times New Roman" w:eastAsia="Times New Roman" w:hint="default"/>
          <w:spacing w:val="-4"/>
        </w:rPr>
        <w:t>3D</w:t>
      </w:r>
      <w:r>
        <w:rPr>
          <w:spacing w:val="-4"/>
        </w:rPr>
        <w:t>蓝光播放机</w:t>
      </w:r>
      <w:r>
        <w:rPr>
          <w:rFonts w:ascii="Times New Roman" w:hAnsi="Times New Roman" w:cs="Times New Roman" w:eastAsia="Times New Roman" w:hint="default"/>
          <w:spacing w:val="-4"/>
        </w:rPr>
        <w:t>”</w:t>
      </w:r>
      <w:r>
        <w:rPr>
          <w:spacing w:val="-4"/>
        </w:rPr>
        <w:t>在线播放其《快乐大本营》、《天天向上》、《血色湘西》和《丑女无</w:t>
      </w:r>
      <w:r>
        <w:rPr>
          <w:spacing w:val="6"/>
        </w:rPr>
        <w:t> </w:t>
      </w:r>
      <w:r>
        <w:rPr>
          <w:spacing w:val="6"/>
        </w:rPr>
      </w:r>
      <w:r>
        <w:rPr/>
        <w:t>敌完美季》为由，向公司索偿损失</w:t>
      </w:r>
      <w:r>
        <w:rPr>
          <w:rFonts w:ascii="Times New Roman" w:hAnsi="Times New Roman" w:cs="Times New Roman" w:eastAsia="Times New Roman" w:hint="default"/>
        </w:rPr>
        <w:t>18</w:t>
      </w:r>
      <w:r>
        <w:rPr/>
        <w:t>万元</w:t>
      </w:r>
      <w:r>
        <w:rPr>
          <w:rFonts w:ascii="Times New Roman" w:hAnsi="Times New Roman" w:cs="Times New Roman" w:eastAsia="Times New Roman" w:hint="default"/>
        </w:rPr>
        <w:t>;</w:t>
      </w:r>
    </w:p>
    <w:p>
      <w:pPr>
        <w:pStyle w:val="BodyText"/>
        <w:spacing w:line="300" w:lineRule="auto" w:before="13"/>
        <w:ind w:right="0"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日，公司收到北京盛世骄阳文化传播有限公司（以下简称</w:t>
      </w:r>
      <w:r>
        <w:rPr>
          <w:rFonts w:ascii="Times New Roman" w:hAnsi="Times New Roman" w:cs="Times New Roman" w:eastAsia="Times New Roman" w:hint="default"/>
          <w:spacing w:val="-3"/>
        </w:rPr>
        <w:t>“</w:t>
      </w:r>
      <w:r>
        <w:rPr>
          <w:spacing w:val="-3"/>
        </w:rPr>
        <w:t>盛世骄阳</w:t>
      </w:r>
      <w:r>
        <w:rPr>
          <w:rFonts w:ascii="Times New Roman" w:hAnsi="Times New Roman" w:cs="Times New Roman" w:eastAsia="Times New Roman" w:hint="default"/>
          <w:spacing w:val="-3"/>
        </w:rPr>
        <w:t>”</w:t>
      </w:r>
      <w:r>
        <w:rPr>
          <w:spacing w:val="-3"/>
        </w:rPr>
        <w:t>）提起的</w:t>
      </w:r>
      <w:r>
        <w:rPr>
          <w:rFonts w:ascii="Times New Roman" w:hAnsi="Times New Roman" w:cs="Times New Roman" w:eastAsia="Times New Roman" w:hint="default"/>
          <w:spacing w:val="-3"/>
        </w:rPr>
        <w:t>10</w:t>
      </w:r>
      <w:r>
        <w:rPr>
          <w:spacing w:val="-3"/>
        </w:rPr>
        <w:t>宗著作权侵权纠纷案件，</w:t>
      </w:r>
      <w:r>
        <w:rPr>
          <w:w w:val="101"/>
        </w:rPr>
        <w:t> </w:t>
      </w:r>
      <w:r>
        <w:rPr>
          <w:spacing w:val="-4"/>
        </w:rPr>
        <w:t>盛世骄阳以公司</w:t>
      </w:r>
      <w:r>
        <w:rPr>
          <w:rFonts w:ascii="Times New Roman" w:hAnsi="Times New Roman" w:cs="Times New Roman" w:eastAsia="Times New Roman" w:hint="default"/>
          <w:spacing w:val="-4"/>
        </w:rPr>
        <w:t>“S610E</w:t>
      </w:r>
      <w:r>
        <w:rPr>
          <w:spacing w:val="-4"/>
        </w:rPr>
        <w:t>云视频</w:t>
      </w:r>
      <w:r>
        <w:rPr>
          <w:rFonts w:ascii="Times New Roman" w:hAnsi="Times New Roman" w:cs="Times New Roman" w:eastAsia="Times New Roman" w:hint="default"/>
          <w:spacing w:val="-4"/>
        </w:rPr>
        <w:t>3D</w:t>
      </w:r>
      <w:r>
        <w:rPr>
          <w:spacing w:val="-4"/>
        </w:rPr>
        <w:t>蓝光播放机</w:t>
      </w:r>
      <w:r>
        <w:rPr>
          <w:rFonts w:ascii="Times New Roman" w:hAnsi="Times New Roman" w:cs="Times New Roman" w:eastAsia="Times New Roman" w:hint="default"/>
          <w:spacing w:val="-4"/>
        </w:rPr>
        <w:t>”</w:t>
      </w:r>
      <w:r>
        <w:rPr>
          <w:spacing w:val="-4"/>
        </w:rPr>
        <w:t>在线播放其《岁月》、《十二生肖传奇》、《我的野蛮女友</w:t>
      </w:r>
      <w:r>
        <w:rPr>
          <w:rFonts w:ascii="Times New Roman" w:hAnsi="Times New Roman" w:cs="Times New Roman" w:eastAsia="Times New Roman" w:hint="default"/>
          <w:spacing w:val="-4"/>
        </w:rPr>
        <w:t>2</w:t>
      </w:r>
      <w:r>
        <w:rPr>
          <w:spacing w:val="-4"/>
        </w:rPr>
        <w:t>》、《黎明之前》</w:t>
      </w:r>
      <w:r>
        <w:rPr>
          <w:spacing w:val="10"/>
        </w:rPr>
        <w:t> </w:t>
      </w:r>
      <w:r>
        <w:rPr>
          <w:spacing w:val="10"/>
        </w:rPr>
      </w:r>
      <w:r>
        <w:rPr/>
        <w:t>等</w:t>
      </w:r>
      <w:r>
        <w:rPr>
          <w:rFonts w:ascii="Times New Roman" w:hAnsi="Times New Roman" w:cs="Times New Roman" w:eastAsia="Times New Roman" w:hint="default"/>
        </w:rPr>
        <w:t>10</w:t>
      </w:r>
      <w:r>
        <w:rPr/>
        <w:t>部影片为由，向公司索偿损失</w:t>
      </w:r>
      <w:r>
        <w:rPr>
          <w:rFonts w:ascii="Times New Roman" w:hAnsi="Times New Roman" w:cs="Times New Roman" w:eastAsia="Times New Roman" w:hint="default"/>
        </w:rPr>
        <w:t>40</w:t>
      </w:r>
      <w:r>
        <w:rPr/>
        <w:t>万元</w:t>
      </w:r>
      <w:r>
        <w:rPr>
          <w:rFonts w:ascii="Times New Roman" w:hAnsi="Times New Roman" w:cs="Times New Roman" w:eastAsia="Times New Roman" w:hint="default"/>
        </w:rPr>
        <w:t>;</w:t>
      </w:r>
    </w:p>
    <w:p>
      <w:pPr>
        <w:pStyle w:val="BodyText"/>
        <w:spacing w:line="300" w:lineRule="auto" w:before="13"/>
        <w:ind w:right="205" w:firstLine="360"/>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4</w:t>
      </w:r>
      <w:r>
        <w:rPr>
          <w:spacing w:val="-4"/>
        </w:rPr>
        <w:t>日，公司收到深圳市迅雷网络技术有限公司（以下简称</w:t>
      </w:r>
      <w:r>
        <w:rPr>
          <w:rFonts w:ascii="Times New Roman" w:hAnsi="Times New Roman" w:cs="Times New Roman" w:eastAsia="Times New Roman" w:hint="default"/>
          <w:spacing w:val="-4"/>
        </w:rPr>
        <w:t>“</w:t>
      </w:r>
      <w:r>
        <w:rPr>
          <w:spacing w:val="-4"/>
        </w:rPr>
        <w:t>迅雷</w:t>
      </w:r>
      <w:r>
        <w:rPr>
          <w:rFonts w:ascii="Times New Roman" w:hAnsi="Times New Roman" w:cs="Times New Roman" w:eastAsia="Times New Roman" w:hint="default"/>
          <w:spacing w:val="-4"/>
        </w:rPr>
        <w:t>”</w:t>
      </w:r>
      <w:r>
        <w:rPr>
          <w:spacing w:val="-4"/>
        </w:rPr>
        <w:t>）提起的</w:t>
      </w:r>
      <w:r>
        <w:rPr>
          <w:rFonts w:ascii="Times New Roman" w:hAnsi="Times New Roman" w:cs="Times New Roman" w:eastAsia="Times New Roman" w:hint="default"/>
          <w:spacing w:val="-4"/>
        </w:rPr>
        <w:t>10</w:t>
      </w:r>
      <w:r>
        <w:rPr>
          <w:spacing w:val="-4"/>
        </w:rPr>
        <w:t>宗著作权侵权纠纷案件，迅雷以公</w:t>
      </w:r>
      <w:r>
        <w:rPr>
          <w:w w:val="101"/>
        </w:rPr>
        <w:t> </w:t>
      </w:r>
      <w:r>
        <w:rPr>
          <w:spacing w:val="-3"/>
        </w:rPr>
        <w:t>司</w:t>
      </w:r>
      <w:r>
        <w:rPr>
          <w:rFonts w:ascii="Times New Roman" w:hAnsi="Times New Roman" w:cs="Times New Roman" w:eastAsia="Times New Roman" w:hint="default"/>
          <w:spacing w:val="-3"/>
        </w:rPr>
        <w:t>“S610E</w:t>
      </w:r>
      <w:r>
        <w:rPr>
          <w:spacing w:val="-3"/>
        </w:rPr>
        <w:t>云视频</w:t>
      </w:r>
      <w:r>
        <w:rPr>
          <w:rFonts w:ascii="Times New Roman" w:hAnsi="Times New Roman" w:cs="Times New Roman" w:eastAsia="Times New Roman" w:hint="default"/>
          <w:spacing w:val="-3"/>
        </w:rPr>
        <w:t>3D</w:t>
      </w:r>
      <w:r>
        <w:rPr>
          <w:spacing w:val="-3"/>
        </w:rPr>
        <w:t>蓝光播放机</w:t>
      </w:r>
      <w:r>
        <w:rPr>
          <w:rFonts w:ascii="Times New Roman" w:hAnsi="Times New Roman" w:cs="Times New Roman" w:eastAsia="Times New Roman" w:hint="default"/>
          <w:spacing w:val="-3"/>
        </w:rPr>
        <w:t>”</w:t>
      </w:r>
      <w:r>
        <w:rPr>
          <w:spacing w:val="-3"/>
        </w:rPr>
        <w:t>在线播放其《午夜心跳》、《车在囧途》、《武侠》等</w:t>
      </w:r>
      <w:r>
        <w:rPr>
          <w:rFonts w:ascii="Times New Roman" w:hAnsi="Times New Roman" w:cs="Times New Roman" w:eastAsia="Times New Roman" w:hint="default"/>
          <w:spacing w:val="-3"/>
        </w:rPr>
        <w:t>10</w:t>
      </w:r>
      <w:r>
        <w:rPr>
          <w:spacing w:val="-3"/>
        </w:rPr>
        <w:t>部影片为由，向公司索偿损失</w:t>
      </w:r>
      <w:r>
        <w:rPr>
          <w:rFonts w:ascii="Times New Roman" w:hAnsi="Times New Roman" w:cs="Times New Roman" w:eastAsia="Times New Roman" w:hint="default"/>
          <w:spacing w:val="-3"/>
        </w:rPr>
        <w:t>30</w:t>
      </w:r>
      <w:r>
        <w:rPr>
          <w:spacing w:val="-3"/>
        </w:rPr>
        <w:t>万</w:t>
      </w:r>
      <w:r>
        <w:rPr>
          <w:spacing w:val="44"/>
        </w:rPr>
        <w:t> </w:t>
      </w:r>
      <w:r>
        <w:rPr/>
        <w:t>元。</w:t>
      </w:r>
    </w:p>
    <w:p>
      <w:pPr>
        <w:pStyle w:val="BodyText"/>
        <w:spacing w:line="300" w:lineRule="auto" w:before="31"/>
        <w:ind w:left="153" w:right="215" w:firstLine="359"/>
        <w:jc w:val="both"/>
      </w:pPr>
      <w:r>
        <w:rPr>
          <w:rFonts w:ascii="Times New Roman" w:hAnsi="Times New Roman" w:cs="Times New Roman" w:eastAsia="Times New Roman" w:hint="default"/>
          <w:spacing w:val="-3"/>
        </w:rPr>
        <w:t>4</w:t>
      </w:r>
      <w:r>
        <w:rPr>
          <w:spacing w:val="-3"/>
        </w:rPr>
        <w:t>）因供应商深圳市威赛照明有限公司提供的产品出现品质问题，</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27</w:t>
      </w:r>
      <w:r>
        <w:rPr>
          <w:spacing w:val="-3"/>
        </w:rPr>
        <w:t>日，深圳市实益达照明有限公司以买卖</w:t>
      </w:r>
      <w:r>
        <w:rPr>
          <w:w w:val="101"/>
        </w:rPr>
        <w:t> </w:t>
      </w:r>
      <w:r>
        <w:rPr>
          <w:spacing w:val="-3"/>
        </w:rPr>
        <w:t>合同纠纷为案由，向深圳市龙岗区人民法院提起诉讼，要求威赛照明退还货款并赔偿，金额合计</w:t>
      </w:r>
      <w:r>
        <w:rPr>
          <w:rFonts w:ascii="Times New Roman" w:hAnsi="Times New Roman" w:cs="Times New Roman" w:eastAsia="Times New Roman" w:hint="default"/>
          <w:spacing w:val="-3"/>
        </w:rPr>
        <w:t>50.99</w:t>
      </w:r>
      <w:r>
        <w:rPr>
          <w:spacing w:val="-3"/>
        </w:rPr>
        <w:t>万元，目前处于司法</w:t>
      </w:r>
      <w:r>
        <w:rPr>
          <w:spacing w:val="71"/>
        </w:rPr>
        <w:t> </w:t>
      </w:r>
      <w:r>
        <w:rPr>
          <w:spacing w:val="71"/>
        </w:rPr>
      </w:r>
      <w:r>
        <w:rPr/>
        <w:t>鉴定中。</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公司不存在需要披露的重要或有事项。</w:t>
      </w:r>
    </w:p>
    <w:p>
      <w:pPr>
        <w:spacing w:line="240" w:lineRule="auto" w:before="4"/>
        <w:rPr>
          <w:rFonts w:ascii="宋体" w:hAnsi="宋体" w:cs="宋体" w:eastAsia="宋体" w:hint="default"/>
          <w:sz w:val="24"/>
          <w:szCs w:val="24"/>
        </w:rPr>
      </w:pPr>
    </w:p>
    <w:p>
      <w:pPr>
        <w:pStyle w:val="Heading3"/>
        <w:spacing w:line="240" w:lineRule="auto"/>
        <w:ind w:right="0"/>
        <w:jc w:val="left"/>
      </w:pPr>
      <w:r>
        <w:rPr/>
        <w:t>十三、资产负债表日后事项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ind w:left="0" w:right="20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2"/>
        <w:gridCol w:w="4584"/>
      </w:tblGrid>
      <w:tr>
        <w:trPr>
          <w:trHeight w:val="398"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12" w:right="0" w:hanging="361"/>
        <w:jc w:val="left"/>
      </w:pPr>
      <w:r>
        <w:rPr>
          <w:rFonts w:ascii="Times New Roman" w:hAnsi="Times New Roman" w:cs="Times New Roman" w:eastAsia="Times New Roman" w:hint="default"/>
        </w:rPr>
        <w:t>1</w:t>
      </w:r>
      <w:r>
        <w:rPr/>
        <w:t>、控股股东变更：</w:t>
      </w:r>
      <w:r>
        <w:rPr>
          <w:spacing w:val="-85"/>
        </w:rPr>
        <w:t> </w:t>
      </w:r>
      <w:r>
        <w:rPr>
          <w:spacing w:val="-85"/>
        </w:rPr>
      </w:r>
      <w:r>
        <w:rPr>
          <w:spacing w:val="-4"/>
        </w:rPr>
        <w:t>公司实际控制人陈亚妹女士于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日与天道酬勤签署了《股份转让协议书》，天道酬勤将其持有的实益达全部</w:t>
      </w:r>
    </w:p>
    <w:p>
      <w:pPr>
        <w:pStyle w:val="BodyText"/>
        <w:spacing w:line="307" w:lineRule="auto" w:before="13"/>
        <w:ind w:left="153" w:right="0" w:hanging="1"/>
        <w:jc w:val="left"/>
      </w:pPr>
      <w:r>
        <w:rPr>
          <w:spacing w:val="-4"/>
        </w:rPr>
        <w:t>股份</w:t>
      </w:r>
      <w:r>
        <w:rPr>
          <w:rFonts w:ascii="Times New Roman" w:hAnsi="Times New Roman" w:cs="Times New Roman" w:eastAsia="Times New Roman" w:hint="default"/>
          <w:spacing w:val="-4"/>
        </w:rPr>
        <w:t>217,741,121</w:t>
      </w:r>
      <w:r>
        <w:rPr>
          <w:spacing w:val="-4"/>
        </w:rPr>
        <w:t>股协议转让给陈亚妹女士，详见公司于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11</w:t>
      </w:r>
      <w:r>
        <w:rPr>
          <w:spacing w:val="-4"/>
        </w:rPr>
        <w:t>日刊载于巨潮资讯网的《关于实际控制人协议受让控股 </w:t>
      </w:r>
      <w:r>
        <w:rPr>
          <w:spacing w:val="-3"/>
        </w:rPr>
        <w:t>股东股份暨提出豁免要约收购申请的提示性公告》、《收购报告书（摘要）》及《简式权益变动报告书》。</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5</w:t>
      </w:r>
      <w:r>
        <w:rPr>
          <w:spacing w:val="-3"/>
        </w:rPr>
        <w:t>日，</w:t>
      </w:r>
      <w:r>
        <w:rPr>
          <w:spacing w:val="74"/>
        </w:rPr>
        <w:t> </w:t>
      </w:r>
      <w:r>
        <w:rPr>
          <w:spacing w:val="74"/>
        </w:rPr>
      </w:r>
      <w:r>
        <w:rPr>
          <w:spacing w:val="-4"/>
        </w:rPr>
        <w:t>中国证券监督管理委员会下发了《关于核准豁免陈亚妹要约收购深圳市实益达科技股份有限公司股份义务的批复》（证监许</w:t>
      </w:r>
      <w:r>
        <w:rPr>
          <w:spacing w:val="42"/>
        </w:rPr>
        <w:t> </w:t>
      </w:r>
      <w:r>
        <w:rPr>
          <w:spacing w:val="42"/>
        </w:rPr>
      </w:r>
      <w:r>
        <w:rPr>
          <w:spacing w:val="-3"/>
        </w:rPr>
        <w:t>可</w:t>
      </w:r>
      <w:r>
        <w:rPr>
          <w:rFonts w:ascii="Times New Roman" w:hAnsi="Times New Roman" w:cs="Times New Roman" w:eastAsia="Times New Roman" w:hint="default"/>
          <w:spacing w:val="-3"/>
        </w:rPr>
        <w:t>[2015]35</w:t>
      </w:r>
      <w:r>
        <w:rPr>
          <w:spacing w:val="-3"/>
        </w:rPr>
        <w:t>号）。</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日本次股份转让的过户登记手续完成，中国证券登记结算有限责任公司深圳分公司于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7"/>
        </w:rPr>
        <w:t> </w:t>
      </w:r>
      <w:r>
        <w:rPr>
          <w:spacing w:val="-3"/>
        </w:rPr>
        <w:t>月</w:t>
      </w:r>
      <w:r>
        <w:rPr>
          <w:rFonts w:ascii="Times New Roman" w:hAnsi="Times New Roman" w:cs="Times New Roman" w:eastAsia="Times New Roman" w:hint="default"/>
          <w:spacing w:val="-3"/>
        </w:rPr>
        <w:t>21</w:t>
      </w:r>
      <w:r>
        <w:rPr>
          <w:spacing w:val="-3"/>
        </w:rPr>
        <w:t>日出具了《证券过户登记确认书》，详见公司于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日刊载于巨潮资讯网的《关于实际控制人协议受让控股股</w:t>
      </w:r>
      <w:r>
        <w:rPr>
          <w:spacing w:val="81"/>
        </w:rPr>
        <w:t> </w:t>
      </w:r>
      <w:r>
        <w:rPr>
          <w:spacing w:val="81"/>
        </w:rPr>
      </w:r>
      <w:r>
        <w:rPr>
          <w:spacing w:val="-6"/>
        </w:rPr>
        <w:t>东股份之股份过户完成的公告》。因天道酬勤系陈亚妹女士所控制的公司，本次转让系同一控制下的转让，本次转让完成后，</w:t>
      </w:r>
      <w:r>
        <w:rPr>
          <w:spacing w:val="62"/>
        </w:rPr>
        <w:t> </w:t>
      </w:r>
      <w:r>
        <w:rPr>
          <w:spacing w:val="62"/>
        </w:rPr>
      </w:r>
      <w:r>
        <w:rPr>
          <w:spacing w:val="-3"/>
        </w:rPr>
        <w:t>天道酬勤不再是公司控股股东，但公司实际控制人未发生变化，仍为陈亚妹女士和乔昕先生。</w:t>
      </w:r>
    </w:p>
    <w:p>
      <w:pPr>
        <w:pStyle w:val="BodyText"/>
        <w:spacing w:line="300" w:lineRule="auto" w:before="26"/>
        <w:ind w:left="513" w:right="0" w:hanging="361"/>
        <w:jc w:val="left"/>
      </w:pPr>
      <w:r>
        <w:rPr>
          <w:rFonts w:ascii="Times New Roman" w:hAnsi="Times New Roman" w:cs="Times New Roman" w:eastAsia="Times New Roman" w:hint="default"/>
        </w:rPr>
        <w:t>2</w:t>
      </w:r>
      <w:r>
        <w:rPr/>
        <w:t>、员工持股计划</w:t>
      </w:r>
      <w:r>
        <w:rPr>
          <w:spacing w:val="-87"/>
        </w:rPr>
        <w:t> </w:t>
      </w:r>
      <w:r>
        <w:rPr>
          <w:spacing w:val="-87"/>
        </w:rPr>
      </w:r>
      <w:r>
        <w:rPr>
          <w:spacing w:val="-5"/>
        </w:rPr>
        <w:t>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13</w:t>
      </w:r>
      <w:r>
        <w:rPr>
          <w:spacing w:val="-5"/>
        </w:rPr>
        <w:t>日召开第四届董事会第九次会议审议通过了《关于</w:t>
      </w:r>
      <w:r>
        <w:rPr>
          <w:rFonts w:ascii="Times New Roman" w:hAnsi="Times New Roman" w:cs="Times New Roman" w:eastAsia="Times New Roman" w:hint="default"/>
          <w:spacing w:val="-5"/>
        </w:rPr>
        <w:t>&lt;</w:t>
      </w:r>
      <w:r>
        <w:rPr>
          <w:spacing w:val="-5"/>
        </w:rPr>
        <w:t>公司首期员工持股计划（草案）</w:t>
      </w:r>
      <w:r>
        <w:rPr>
          <w:rFonts w:ascii="Times New Roman" w:hAnsi="Times New Roman" w:cs="Times New Roman" w:eastAsia="Times New Roman" w:hint="default"/>
          <w:spacing w:val="-5"/>
        </w:rPr>
        <w:t>&gt;</w:t>
      </w:r>
      <w:r>
        <w:rPr>
          <w:spacing w:val="-5"/>
        </w:rPr>
        <w:t>及摘要的议案》</w:t>
      </w:r>
    </w:p>
    <w:p>
      <w:pPr>
        <w:pStyle w:val="BodyText"/>
        <w:spacing w:line="300" w:lineRule="auto" w:before="13"/>
        <w:ind w:left="154" w:right="0" w:hanging="1"/>
        <w:jc w:val="left"/>
      </w:pPr>
      <w:r>
        <w:rPr>
          <w:spacing w:val="-3"/>
        </w:rPr>
        <w:t>等相关议案，并经公司</w:t>
      </w:r>
      <w:r>
        <w:rPr>
          <w:rFonts w:ascii="Times New Roman" w:hAnsi="Times New Roman" w:cs="Times New Roman" w:eastAsia="Times New Roman" w:hint="default"/>
          <w:spacing w:val="-3"/>
        </w:rPr>
        <w:t>2015</w:t>
      </w:r>
      <w:r>
        <w:rPr>
          <w:spacing w:val="-3"/>
        </w:rPr>
        <w:t>年度第一次临时股东大会审议通过。截至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日，公司首期持股计划已通过证券交易所 </w:t>
      </w:r>
      <w:r>
        <w:rPr>
          <w:spacing w:val="-2"/>
        </w:rPr>
        <w:t>证券交易系统购买了公司股票</w:t>
      </w:r>
      <w:r>
        <w:rPr>
          <w:rFonts w:ascii="Times New Roman" w:hAnsi="Times New Roman" w:cs="Times New Roman" w:eastAsia="Times New Roman" w:hint="default"/>
          <w:spacing w:val="-2"/>
        </w:rPr>
        <w:t>2,138,167</w:t>
      </w:r>
      <w:r>
        <w:rPr>
          <w:spacing w:val="-2"/>
        </w:rPr>
        <w:t>股，成交金额合计</w:t>
      </w:r>
      <w:r>
        <w:rPr>
          <w:rFonts w:ascii="Times New Roman" w:hAnsi="Times New Roman" w:cs="Times New Roman" w:eastAsia="Times New Roman" w:hint="default"/>
          <w:spacing w:val="-2"/>
        </w:rPr>
        <w:t>16,642,294.40</w:t>
      </w:r>
      <w:r>
        <w:rPr>
          <w:spacing w:val="-2"/>
        </w:rPr>
        <w:t>元，交易均价为</w:t>
      </w:r>
      <w:r>
        <w:rPr>
          <w:rFonts w:ascii="Times New Roman" w:hAnsi="Times New Roman" w:cs="Times New Roman" w:eastAsia="Times New Roman" w:hint="default"/>
          <w:spacing w:val="-2"/>
        </w:rPr>
        <w:t>7.7834</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w:t>
      </w:r>
      <w:r>
        <w:rPr>
          <w:spacing w:val="-2"/>
        </w:rPr>
        <w:t>占公司总股本的比例为</w:t>
      </w:r>
      <w:r>
        <w:rPr>
          <w:spacing w:val="45"/>
        </w:rPr>
        <w:t> </w:t>
      </w:r>
      <w:r>
        <w:rPr>
          <w:spacing w:val="45"/>
        </w:rPr>
      </w:r>
      <w:r>
        <w:rPr>
          <w:rFonts w:ascii="Times New Roman" w:hAnsi="Times New Roman" w:cs="Times New Roman" w:eastAsia="Times New Roman" w:hint="default"/>
          <w:spacing w:val="-3"/>
        </w:rPr>
        <w:t>0.46%</w:t>
      </w:r>
      <w:r>
        <w:rPr>
          <w:spacing w:val="-3"/>
        </w:rPr>
        <w:t>（详见公司于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w:t>
      </w:r>
      <w:r>
        <w:rPr>
          <w:spacing w:val="-3"/>
        </w:rPr>
        <w:t>日刊载于证券时报、中国证券报和巨潮资讯网的《关于公司首期员工持股计划实施的进展公</w:t>
      </w:r>
      <w:r>
        <w:rPr>
          <w:spacing w:val="77"/>
        </w:rPr>
        <w:t> </w:t>
      </w:r>
      <w:r>
        <w:rPr>
          <w:spacing w:val="77"/>
        </w:rPr>
      </w:r>
      <w:r>
        <w:rPr>
          <w:spacing w:val="-3"/>
        </w:rPr>
        <w:t>告》。</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13</w:t>
      </w:r>
      <w:r>
        <w:rPr>
          <w:spacing w:val="-3"/>
        </w:rPr>
        <w:t>日公司召开第四届董事会第十次会议，在股东大会的授权范围内审议通过了《关于公司首期员工持股计</w:t>
      </w:r>
      <w:r>
        <w:rPr>
          <w:spacing w:val="78"/>
        </w:rPr>
        <w:t> </w:t>
      </w:r>
      <w:r>
        <w:rPr>
          <w:spacing w:val="78"/>
        </w:rPr>
      </w:r>
      <w:r>
        <w:rPr>
          <w:spacing w:val="-3"/>
        </w:rPr>
        <w:t>划方案调整的议案》，调整后公司首期员工持股计划全额认购的国联实益达</w:t>
      </w:r>
      <w:r>
        <w:rPr>
          <w:rFonts w:ascii="Times New Roman" w:hAnsi="Times New Roman" w:cs="Times New Roman" w:eastAsia="Times New Roman" w:hint="default"/>
          <w:spacing w:val="-3"/>
        </w:rPr>
        <w:t>1</w:t>
      </w:r>
      <w:r>
        <w:rPr>
          <w:spacing w:val="-3"/>
        </w:rPr>
        <w:t>号集合资产管理计划份额上限为</w:t>
      </w:r>
      <w:r>
        <w:rPr>
          <w:rFonts w:ascii="Times New Roman" w:hAnsi="Times New Roman" w:cs="Times New Roman" w:eastAsia="Times New Roman" w:hint="default"/>
          <w:spacing w:val="-3"/>
        </w:rPr>
        <w:t>1750</w:t>
      </w:r>
      <w:r>
        <w:rPr>
          <w:spacing w:val="-3"/>
        </w:rPr>
        <w:t>万份，购</w:t>
      </w:r>
    </w:p>
    <w:p>
      <w:pPr>
        <w:spacing w:after="0" w:line="300" w:lineRule="auto"/>
        <w:jc w:val="left"/>
        <w:sectPr>
          <w:pgSz w:w="11910" w:h="16840"/>
          <w:pgMar w:header="741" w:footer="979" w:top="1060" w:bottom="1160" w:left="980" w:right="920"/>
        </w:sectPr>
      </w:pPr>
    </w:p>
    <w:p>
      <w:pPr>
        <w:spacing w:line="240" w:lineRule="auto" w:before="1"/>
        <w:rPr>
          <w:rFonts w:ascii="宋体" w:hAnsi="宋体" w:cs="宋体" w:eastAsia="宋体" w:hint="default"/>
          <w:sz w:val="26"/>
          <w:szCs w:val="26"/>
        </w:rPr>
      </w:pPr>
    </w:p>
    <w:p>
      <w:pPr>
        <w:pStyle w:val="BodyText"/>
        <w:spacing w:line="300" w:lineRule="auto" w:before="46"/>
        <w:ind w:left="153" w:right="145" w:hanging="1"/>
        <w:jc w:val="both"/>
      </w:pPr>
      <w:r>
        <w:rPr>
          <w:spacing w:val="-3"/>
        </w:rPr>
        <w:t>买实益达股票的上限为</w:t>
      </w:r>
      <w:r>
        <w:rPr>
          <w:rFonts w:ascii="Times New Roman" w:hAnsi="Times New Roman" w:cs="Times New Roman" w:eastAsia="Times New Roman" w:hint="default"/>
          <w:spacing w:val="-3"/>
        </w:rPr>
        <w:t>2,138,167</w:t>
      </w:r>
      <w:r>
        <w:rPr>
          <w:spacing w:val="-3"/>
        </w:rPr>
        <w:t>股，详见公司于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spacing w:val="-3"/>
        </w:rPr>
        <w:t>日刊载于证券时报、中国证券报和巨潮资讯网的《关于对公司</w:t>
      </w:r>
      <w:r>
        <w:rPr>
          <w:spacing w:val="6"/>
        </w:rPr>
        <w:t> </w:t>
      </w:r>
      <w:r>
        <w:rPr>
          <w:spacing w:val="6"/>
        </w:rPr>
      </w:r>
      <w:r>
        <w:rPr>
          <w:spacing w:val="-3"/>
        </w:rPr>
        <w:t>首期员工持股计划进行调整的公告》。公司首期员工持股计划于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13</w:t>
      </w:r>
      <w:r>
        <w:rPr>
          <w:spacing w:val="-3"/>
        </w:rPr>
        <w:t>日全部实施完毕，首期员工持股计划所购买的</w:t>
      </w:r>
      <w:r>
        <w:rPr>
          <w:spacing w:val="78"/>
        </w:rPr>
        <w:t> </w:t>
      </w:r>
      <w:r>
        <w:rPr>
          <w:spacing w:val="78"/>
        </w:rPr>
      </w:r>
      <w:r>
        <w:rPr>
          <w:spacing w:val="-4"/>
        </w:rPr>
        <w:t>股票自</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14</w:t>
      </w:r>
      <w:r>
        <w:rPr>
          <w:spacing w:val="-4"/>
        </w:rPr>
        <w:t>日起锁定</w:t>
      </w:r>
      <w:r>
        <w:rPr>
          <w:rFonts w:ascii="Times New Roman" w:hAnsi="Times New Roman" w:cs="Times New Roman" w:eastAsia="Times New Roman" w:hint="default"/>
          <w:spacing w:val="-4"/>
        </w:rPr>
        <w:t>12</w:t>
      </w:r>
      <w:r>
        <w:rPr>
          <w:spacing w:val="-4"/>
        </w:rPr>
        <w:t>个月，详见公司于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14</w:t>
      </w:r>
      <w:r>
        <w:rPr>
          <w:spacing w:val="-4"/>
        </w:rPr>
        <w:t>日刊载于证券时报、中国证券报和巨潮资讯网的《关于公司首</w:t>
      </w:r>
      <w:r>
        <w:rPr>
          <w:spacing w:val="74"/>
        </w:rPr>
        <w:t> </w:t>
      </w:r>
      <w:r>
        <w:rPr>
          <w:spacing w:val="74"/>
        </w:rPr>
      </w:r>
      <w:r>
        <w:rPr>
          <w:spacing w:val="-3"/>
        </w:rPr>
        <w:t>期员工持股计划完成股票购买的公告》。</w:t>
      </w:r>
    </w:p>
    <w:p>
      <w:pPr>
        <w:spacing w:line="240" w:lineRule="auto" w:before="3"/>
        <w:rPr>
          <w:rFonts w:ascii="宋体" w:hAnsi="宋体" w:cs="宋体" w:eastAsia="宋体" w:hint="default"/>
          <w:sz w:val="21"/>
          <w:szCs w:val="21"/>
        </w:rPr>
      </w:pPr>
    </w:p>
    <w:p>
      <w:pPr>
        <w:pStyle w:val="Heading3"/>
        <w:spacing w:line="240" w:lineRule="auto"/>
        <w:ind w:right="0"/>
        <w:jc w:val="both"/>
      </w:pPr>
      <w:r>
        <w:rPr/>
        <w:t>十四、其他重要事项</w:t>
      </w:r>
    </w:p>
    <w:p>
      <w:pPr>
        <w:spacing w:line="240" w:lineRule="auto" w:before="10"/>
        <w:rPr>
          <w:rFonts w:ascii="宋体" w:hAnsi="宋体" w:cs="宋体" w:eastAsia="宋体" w:hint="default"/>
          <w:sz w:val="19"/>
          <w:szCs w:val="19"/>
        </w:rPr>
      </w:pPr>
    </w:p>
    <w:p>
      <w:pPr>
        <w:spacing w:line="446" w:lineRule="auto" w:before="0"/>
        <w:ind w:left="152" w:right="64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pacing w:val="-2"/>
          <w:sz w:val="21"/>
          <w:szCs w:val="21"/>
        </w:rPr>
        <w:t>实际控制人及高管股权质押事项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6"/>
        <w:ind w:left="0" w:right="1206"/>
        <w:jc w:val="right"/>
      </w:pPr>
      <w:r>
        <w:rPr/>
        <w:pict>
          <v:shape style="position:absolute;margin-left:56.400002pt;margin-top:-30.395937pt;width:427.2pt;height:131.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6"/>
                    <w:gridCol w:w="1584"/>
                    <w:gridCol w:w="1272"/>
                    <w:gridCol w:w="1138"/>
                    <w:gridCol w:w="2765"/>
                    <w:gridCol w:w="835"/>
                  </w:tblGrid>
                  <w:tr>
                    <w:trPr>
                      <w:trHeight w:val="326" w:hRule="exact"/>
                    </w:trPr>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质押股份</w:t>
                        </w: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质押日期</w:t>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质押期限</w:t>
                        </w:r>
                      </w:p>
                    </w:tc>
                    <w:tc>
                      <w:tcPr>
                        <w:tcW w:w="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52" w:right="0"/>
                          <w:jc w:val="left"/>
                          <w:rPr>
                            <w:rFonts w:ascii="宋体" w:hAnsi="宋体" w:cs="宋体" w:eastAsia="宋体" w:hint="default"/>
                            <w:sz w:val="18"/>
                            <w:szCs w:val="18"/>
                          </w:rPr>
                        </w:pPr>
                        <w:r>
                          <w:rPr>
                            <w:rFonts w:ascii="宋体" w:hAnsi="宋体" w:cs="宋体" w:eastAsia="宋体" w:hint="default"/>
                            <w:sz w:val="18"/>
                            <w:szCs w:val="18"/>
                          </w:rPr>
                          <w:t>占公司股</w:t>
                        </w:r>
                      </w:p>
                    </w:tc>
                  </w:tr>
                  <w:tr>
                    <w:trPr>
                      <w:trHeight w:val="312" w:hRule="exact"/>
                    </w:trPr>
                    <w:tc>
                      <w:tcPr>
                        <w:tcW w:w="936"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38" w:type="dxa"/>
                        <w:tcBorders>
                          <w:top w:val="nil" w:sz="6" w:space="0" w:color="auto"/>
                          <w:left w:val="single" w:sz="4" w:space="0" w:color="000000"/>
                          <w:bottom w:val="nil" w:sz="6" w:space="0" w:color="auto"/>
                          <w:right w:val="single" w:sz="4" w:space="0" w:color="000000"/>
                        </w:tcBorders>
                      </w:tcPr>
                      <w:p>
                        <w:pPr/>
                      </w:p>
                    </w:tc>
                    <w:tc>
                      <w:tcPr>
                        <w:tcW w:w="2765"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52" w:right="0"/>
                          <w:jc w:val="left"/>
                          <w:rPr>
                            <w:rFonts w:ascii="宋体" w:hAnsi="宋体" w:cs="宋体" w:eastAsia="宋体" w:hint="default"/>
                            <w:sz w:val="18"/>
                            <w:szCs w:val="18"/>
                          </w:rPr>
                        </w:pPr>
                        <w:r>
                          <w:rPr>
                            <w:rFonts w:ascii="宋体" w:hAnsi="宋体" w:cs="宋体" w:eastAsia="宋体" w:hint="default"/>
                            <w:sz w:val="18"/>
                            <w:szCs w:val="18"/>
                          </w:rPr>
                          <w:t>份总额的</w:t>
                        </w:r>
                      </w:p>
                    </w:tc>
                  </w:tr>
                  <w:tr>
                    <w:trPr>
                      <w:trHeight w:val="327" w:hRule="exact"/>
                    </w:trPr>
                    <w:tc>
                      <w:tcPr>
                        <w:tcW w:w="936"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2765" w:type="dxa"/>
                        <w:tcBorders>
                          <w:top w:val="nil" w:sz="6" w:space="0" w:color="auto"/>
                          <w:left w:val="single" w:sz="4" w:space="0" w:color="000000"/>
                          <w:bottom w:val="single" w:sz="4" w:space="0" w:color="000000"/>
                          <w:right w:val="single" w:sz="4" w:space="0" w:color="000000"/>
                        </w:tcBorders>
                      </w:tcPr>
                      <w:p>
                        <w:pPr/>
                      </w:p>
                    </w:tc>
                    <w:tc>
                      <w:tcPr>
                        <w:tcW w:w="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31" w:hRule="exact"/>
                    </w:trPr>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12"/>
                            <w:sz w:val="18"/>
                            <w:szCs w:val="18"/>
                          </w:rPr>
                          <w:t>国信证券股份有限</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225" w:right="-5"/>
                          <w:jc w:val="left"/>
                          <w:rPr>
                            <w:rFonts w:ascii="Times New Roman" w:hAnsi="Times New Roman" w:cs="Times New Roman" w:eastAsia="Times New Roman" w:hint="default"/>
                            <w:sz w:val="18"/>
                            <w:szCs w:val="18"/>
                          </w:rPr>
                        </w:pPr>
                        <w:r>
                          <w:rPr>
                            <w:rFonts w:ascii="Times New Roman"/>
                            <w:spacing w:val="-1"/>
                            <w:sz w:val="18"/>
                          </w:rPr>
                          <w:t>34,300,000.00</w:t>
                        </w: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9" w:right="0"/>
                          <w:jc w:val="left"/>
                          <w:rPr>
                            <w:rFonts w:ascii="Times New Roman" w:hAnsi="Times New Roman" w:cs="Times New Roman" w:eastAsia="Times New Roman" w:hint="default"/>
                            <w:sz w:val="18"/>
                            <w:szCs w:val="18"/>
                          </w:rPr>
                        </w:pPr>
                        <w:r>
                          <w:rPr>
                            <w:rFonts w:ascii="Times New Roman"/>
                            <w:sz w:val="18"/>
                          </w:rPr>
                          <w:t>2014-12-01</w:t>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pacing w:val="-64"/>
                            <w:sz w:val="18"/>
                            <w:szCs w:val="18"/>
                          </w:rPr>
                          <w:t> </w:t>
                        </w:r>
                        <w:r>
                          <w:rPr>
                            <w:rFonts w:ascii="宋体" w:hAnsi="宋体" w:cs="宋体" w:eastAsia="宋体" w:hint="default"/>
                            <w:sz w:val="18"/>
                            <w:szCs w:val="18"/>
                          </w:rPr>
                          <w:t>押</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4"/>
                            <w:sz w:val="18"/>
                            <w:szCs w:val="18"/>
                          </w:rPr>
                          <w:t> </w:t>
                        </w:r>
                        <w:r>
                          <w:rPr>
                            <w:rFonts w:ascii="宋体" w:hAnsi="宋体" w:cs="宋体" w:eastAsia="宋体" w:hint="default"/>
                            <w:sz w:val="18"/>
                            <w:szCs w:val="18"/>
                          </w:rPr>
                          <w:t>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r>
                          <w:rPr>
                            <w:rFonts w:ascii="宋体" w:hAnsi="宋体" w:cs="宋体" w:eastAsia="宋体" w:hint="default"/>
                            <w:spacing w:val="-64"/>
                            <w:sz w:val="18"/>
                            <w:szCs w:val="18"/>
                          </w:rPr>
                          <w:t> </w:t>
                        </w:r>
                        <w:r>
                          <w:rPr>
                            <w:rFonts w:ascii="宋体" w:hAnsi="宋体" w:cs="宋体" w:eastAsia="宋体" w:hint="default"/>
                            <w:sz w:val="18"/>
                            <w:szCs w:val="18"/>
                          </w:rPr>
                          <w:t>起</w:t>
                        </w:r>
                        <w:r>
                          <w:rPr>
                            <w:rFonts w:ascii="宋体" w:hAnsi="宋体" w:cs="宋体" w:eastAsia="宋体" w:hint="default"/>
                            <w:spacing w:val="-64"/>
                            <w:sz w:val="18"/>
                            <w:szCs w:val="18"/>
                          </w:rPr>
                          <w:t> </w:t>
                        </w:r>
                        <w:r>
                          <w:rPr>
                            <w:rFonts w:ascii="宋体" w:hAnsi="宋体" w:cs="宋体" w:eastAsia="宋体" w:hint="default"/>
                            <w:sz w:val="18"/>
                            <w:szCs w:val="18"/>
                          </w:rPr>
                          <w:t>至</w:t>
                        </w:r>
                      </w:p>
                    </w:tc>
                    <w:tc>
                      <w:tcPr>
                        <w:tcW w:w="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7.45</w:t>
                        </w:r>
                      </w:p>
                    </w:tc>
                  </w:tr>
                  <w:tr>
                    <w:trPr>
                      <w:trHeight w:val="327" w:hRule="exact"/>
                    </w:trPr>
                    <w:tc>
                      <w:tcPr>
                        <w:tcW w:w="936"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2"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27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日止</w:t>
                        </w:r>
                      </w:p>
                    </w:tc>
                    <w:tc>
                      <w:tcPr>
                        <w:tcW w:w="835" w:type="dxa"/>
                        <w:tcBorders>
                          <w:top w:val="nil" w:sz="6" w:space="0" w:color="auto"/>
                          <w:left w:val="single" w:sz="4" w:space="0" w:color="000000"/>
                          <w:bottom w:val="single" w:sz="4" w:space="0" w:color="000000"/>
                          <w:right w:val="single" w:sz="4" w:space="0" w:color="000000"/>
                        </w:tcBorders>
                      </w:tcPr>
                      <w:p>
                        <w:pPr/>
                      </w:p>
                    </w:tc>
                  </w:tr>
                  <w:tr>
                    <w:trPr>
                      <w:trHeight w:val="331" w:hRule="exact"/>
                    </w:trPr>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12"/>
                            <w:sz w:val="18"/>
                            <w:szCs w:val="18"/>
                          </w:rPr>
                          <w:t>国信证券股份有限</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316" w:right="-5"/>
                          <w:jc w:val="left"/>
                          <w:rPr>
                            <w:rFonts w:ascii="Times New Roman" w:hAnsi="Times New Roman" w:cs="Times New Roman" w:eastAsia="Times New Roman" w:hint="default"/>
                            <w:sz w:val="18"/>
                            <w:szCs w:val="18"/>
                          </w:rPr>
                        </w:pPr>
                        <w:r>
                          <w:rPr>
                            <w:rFonts w:ascii="Times New Roman"/>
                            <w:spacing w:val="-1"/>
                            <w:sz w:val="18"/>
                          </w:rPr>
                          <w:t>9,000,000.00</w:t>
                        </w: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9" w:right="0"/>
                          <w:jc w:val="left"/>
                          <w:rPr>
                            <w:rFonts w:ascii="Times New Roman" w:hAnsi="Times New Roman" w:cs="Times New Roman" w:eastAsia="Times New Roman" w:hint="default"/>
                            <w:sz w:val="18"/>
                            <w:szCs w:val="18"/>
                          </w:rPr>
                        </w:pPr>
                        <w:r>
                          <w:rPr>
                            <w:rFonts w:ascii="Times New Roman"/>
                            <w:sz w:val="18"/>
                          </w:rPr>
                          <w:t>2014-12-23</w:t>
                        </w:r>
                      </w:p>
                    </w:tc>
                    <w:tc>
                      <w:tcPr>
                        <w:tcW w:w="2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hAnsi="宋体" w:cs="宋体" w:eastAsia="宋体" w:hint="default"/>
                            <w:spacing w:val="12"/>
                            <w:sz w:val="18"/>
                            <w:szCs w:val="18"/>
                          </w:rPr>
                          <w:t>质押期限为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23</w:t>
                        </w:r>
                        <w:r>
                          <w:rPr>
                            <w:rFonts w:ascii="宋体" w:hAnsi="宋体" w:cs="宋体" w:eastAsia="宋体" w:hint="default"/>
                            <w:spacing w:val="9"/>
                            <w:sz w:val="18"/>
                            <w:szCs w:val="18"/>
                          </w:rPr>
                          <w:t>日起至</w:t>
                        </w:r>
                      </w:p>
                    </w:tc>
                    <w:tc>
                      <w:tcPr>
                        <w:tcW w:w="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1.95</w:t>
                        </w:r>
                      </w:p>
                    </w:tc>
                  </w:tr>
                  <w:tr>
                    <w:trPr>
                      <w:trHeight w:val="322" w:hRule="exact"/>
                    </w:trPr>
                    <w:tc>
                      <w:tcPr>
                        <w:tcW w:w="936"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2"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27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日止</w:t>
                        </w:r>
                      </w:p>
                    </w:tc>
                    <w:tc>
                      <w:tcPr>
                        <w:tcW w:w="835" w:type="dxa"/>
                        <w:tcBorders>
                          <w:top w:val="nil" w:sz="6" w:space="0" w:color="auto"/>
                          <w:left w:val="single" w:sz="4" w:space="0" w:color="000000"/>
                          <w:bottom w:val="single" w:sz="4" w:space="0" w:color="000000"/>
                          <w:right w:val="single" w:sz="4" w:space="0" w:color="000000"/>
                        </w:tcBorders>
                      </w:tcPr>
                      <w:p>
                        <w:pPr/>
                      </w:p>
                    </w:tc>
                  </w:tr>
                  <w:tr>
                    <w:trPr>
                      <w:trHeight w:val="341"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5" w:right="-5"/>
                          <w:jc w:val="left"/>
                          <w:rPr>
                            <w:rFonts w:ascii="Times New Roman" w:hAnsi="Times New Roman" w:cs="Times New Roman" w:eastAsia="Times New Roman" w:hint="default"/>
                            <w:sz w:val="18"/>
                            <w:szCs w:val="18"/>
                          </w:rPr>
                        </w:pPr>
                        <w:r>
                          <w:rPr>
                            <w:rFonts w:ascii="Times New Roman"/>
                            <w:spacing w:val="-1"/>
                            <w:sz w:val="18"/>
                          </w:rPr>
                          <w:t>43,300,000.00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9.40</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26"/>
        <w:ind w:right="0"/>
        <w:jc w:val="left"/>
      </w:pPr>
      <w:r>
        <w:rPr/>
        <w:t>十五、母公司财务报表主要项目注释</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8"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28,751,2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08.36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27.40%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15,493,8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13,257,31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29,391,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851.65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67.86%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15,437,93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13,953,915.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55</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4"/>
              <w:ind w:left="23"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76,189,4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68.05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72.60%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3,804,50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72,384,96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13,919,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054.55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32.14%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700,994.9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13,218,059.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104,940,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676.41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19,298,3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85,642,28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2.41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43,310,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906.20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16,138,93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27,171,975.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1" w:top="1060" w:bottom="1160" w:left="980" w:right="980"/>
          <w:pgNumType w:start="149"/>
        </w:sectPr>
      </w:pPr>
    </w:p>
    <w:p>
      <w:pPr>
        <w:pStyle w:val="BodyText"/>
        <w:spacing w:line="240" w:lineRule="auto" w:before="53"/>
        <w:ind w:right="0"/>
        <w:jc w:val="left"/>
      </w:pPr>
      <w:r>
        <w:rPr>
          <w:spacing w:val="-3"/>
        </w:rPr>
        <w:t>期末单项金额重大并单项计提坏账准备的应收账款：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296" w:space="4532"/>
            <w:col w:w="1122"/>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5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Perception Digital</w:t>
            </w:r>
            <w:r>
              <w:rPr>
                <w:rFonts w:ascii="Times New Roman"/>
                <w:spacing w:val="1"/>
                <w:sz w:val="18"/>
              </w:rPr>
              <w:t> </w:t>
            </w:r>
            <w:r>
              <w:rPr>
                <w:rFonts w:ascii="Times New Roman"/>
                <w:sz w:val="18"/>
              </w:rPr>
              <w:t>Limited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28,751,208.36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15,493,893.94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客户出现财务困难</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28,751,208.36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15,493,893.94</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pStyle w:val="BodyText"/>
        <w:spacing w:line="240" w:lineRule="auto" w:before="53"/>
        <w:ind w:right="0"/>
        <w:jc w:val="left"/>
      </w:pPr>
      <w:r>
        <w:rPr>
          <w:spacing w:val="-3"/>
        </w:rPr>
        <w:t>组合中，按账龄分析法计提坏账准备的应收账款：</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118" w:space="4709"/>
            <w:col w:w="1123"/>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298"/>
        <w:gridCol w:w="2386"/>
        <w:gridCol w:w="2390"/>
      </w:tblGrid>
      <w:tr>
        <w:trPr>
          <w:trHeight w:val="206" w:hRule="exact"/>
        </w:trPr>
        <w:tc>
          <w:tcPr>
            <w:tcW w:w="24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2" w:type="dxa"/>
            <w:vMerge/>
            <w:tcBorders>
              <w:left w:val="single" w:sz="4" w:space="0" w:color="000000"/>
              <w:bottom w:val="nil" w:sz="6" w:space="0" w:color="auto"/>
              <w:right w:val="single" w:sz="4" w:space="0" w:color="000000"/>
            </w:tcBorders>
            <w:shd w:val="clear" w:color="auto" w:fill="D3D3D3"/>
          </w:tcPr>
          <w:p>
            <w:pPr/>
          </w:p>
        </w:tc>
        <w:tc>
          <w:tcPr>
            <w:tcW w:w="22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8" w:type="dxa"/>
            <w:vMerge/>
            <w:tcBorders>
              <w:left w:val="single" w:sz="4" w:space="0" w:color="000000"/>
              <w:bottom w:val="single" w:sz="4" w:space="0" w:color="000000"/>
              <w:right w:val="single" w:sz="4" w:space="0" w:color="000000"/>
            </w:tcBorders>
            <w:shd w:val="clear" w:color="auto" w:fill="D3D3D3"/>
          </w:tcPr>
          <w:p>
            <w:pPr/>
          </w:p>
        </w:tc>
        <w:tc>
          <w:tcPr>
            <w:tcW w:w="2386"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98"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76,027,578.92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3,801,378.95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11,934.75</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2,386.95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1,468.32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734.16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76,040,981.99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3,804,500.06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r>
    </w:tbl>
    <w:p>
      <w:pPr>
        <w:pStyle w:val="BodyText"/>
        <w:spacing w:line="357" w:lineRule="auto" w:before="53"/>
        <w:ind w:right="5308"/>
        <w:jc w:val="left"/>
      </w:pPr>
      <w:r>
        <w:rPr>
          <w:spacing w:val="-3"/>
        </w:rPr>
        <w:t>确定该组合依据的说明：</w:t>
      </w:r>
      <w:r>
        <w:rPr>
          <w:spacing w:val="-56"/>
        </w:rPr>
        <w:t> </w:t>
      </w:r>
      <w:r>
        <w:rPr>
          <w:spacing w:val="-56"/>
        </w:rPr>
      </w:r>
      <w:r>
        <w:rPr>
          <w:spacing w:val="-3"/>
        </w:rPr>
        <w:t>组合中，采用余额百分比法计提坏账准备的应收账款：</w:t>
      </w:r>
    </w:p>
    <w:p>
      <w:pPr>
        <w:pStyle w:val="BodyText"/>
        <w:spacing w:line="338" w:lineRule="auto" w:before="31"/>
        <w:ind w:right="5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type w:val="continuous"/>
          <w:pgSz w:w="11910" w:h="16840"/>
          <w:pgMar w:top="1060" w:bottom="1160" w:left="980" w:right="980"/>
        </w:sectPr>
      </w:pPr>
    </w:p>
    <w:p>
      <w:pPr>
        <w:pStyle w:val="BodyText"/>
        <w:spacing w:line="343" w:lineRule="auto" w:before="46"/>
        <w:ind w:left="153" w:right="-10" w:hanging="1"/>
        <w:jc w:val="left"/>
      </w:pPr>
      <w:r>
        <w:rPr/>
        <w:t>本期计提坏账准备金额</w:t>
      </w:r>
      <w:r>
        <w:rPr>
          <w:spacing w:val="-34"/>
        </w:rPr>
        <w:t> </w:t>
      </w:r>
      <w:r>
        <w:rPr>
          <w:rFonts w:ascii="Times New Roman" w:hAnsi="Times New Roman" w:cs="Times New Roman" w:eastAsia="Times New Roman" w:hint="default"/>
        </w:rPr>
        <w:t>3,159,462.97</w:t>
      </w:r>
      <w:r>
        <w:rPr>
          <w:rFonts w:ascii="Times New Roman" w:hAnsi="Times New Roman" w:cs="Times New Roman" w:eastAsia="Times New Roman" w:hint="default"/>
          <w:spacing w:val="11"/>
        </w:rPr>
        <w:t> </w:t>
      </w:r>
      <w:r>
        <w:rPr>
          <w:spacing w:val="-3"/>
        </w:rPr>
        <w:t>元；本期收回或转回坏账准备金额</w:t>
      </w:r>
      <w:r>
        <w:rPr>
          <w:spacing w:val="-3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spacing w:val="-3"/>
        </w:rPr>
        <w:t>元。</w:t>
      </w:r>
      <w:r>
        <w:rPr>
          <w:spacing w:val="-88"/>
        </w:rPr>
        <w:t> </w:t>
      </w:r>
      <w:r>
        <w:rPr>
          <w:spacing w:val="-88"/>
        </w:rPr>
      </w:r>
      <w:r>
        <w:rPr>
          <w:spacing w:val="-3"/>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6456" w:space="2371"/>
            <w:col w:w="1123"/>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spacing w:val="-3"/>
        </w:rPr>
        <w:t>本报告期内无实际核销的应收账款。</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942"/>
        <w:gridCol w:w="1987"/>
        <w:gridCol w:w="1555"/>
        <w:gridCol w:w="1987"/>
      </w:tblGrid>
      <w:tr>
        <w:trPr>
          <w:trHeight w:val="65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78" w:right="46" w:hanging="22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占应收账款期末余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pacing w:val="-3"/>
                <w:sz w:val="18"/>
                <w:szCs w:val="18"/>
              </w:rPr>
              <w:t>已计提坏账准备</w:t>
            </w:r>
          </w:p>
        </w:tc>
      </w:tr>
      <w:tr>
        <w:trPr>
          <w:trHeight w:val="341"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49,932,309.70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47.58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2,496,615.49</w:t>
            </w:r>
          </w:p>
        </w:tc>
      </w:tr>
      <w:tr>
        <w:trPr>
          <w:trHeight w:val="341"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28,751,208.36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27.40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15,493,893.94</w:t>
            </w:r>
          </w:p>
        </w:tc>
      </w:tr>
      <w:tr>
        <w:trPr>
          <w:trHeight w:val="346"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10,180,800.00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9.70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509,040.00</w:t>
            </w:r>
          </w:p>
        </w:tc>
      </w:tr>
      <w:tr>
        <w:trPr>
          <w:trHeight w:val="341"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6,690,605.88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6.38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334,530.29</w:t>
            </w:r>
          </w:p>
        </w:tc>
      </w:tr>
      <w:tr>
        <w:trPr>
          <w:trHeight w:val="341"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5,314,811.83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5.06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265,740.59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942"/>
        <w:gridCol w:w="1987"/>
        <w:gridCol w:w="1555"/>
        <w:gridCol w:w="1987"/>
      </w:tblGrid>
      <w:tr>
        <w:trPr>
          <w:trHeight w:val="341"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44" w:right="0"/>
              <w:jc w:val="left"/>
              <w:rPr>
                <w:rFonts w:ascii="Times New Roman" w:hAnsi="Times New Roman" w:cs="Times New Roman" w:eastAsia="Times New Roman" w:hint="default"/>
                <w:sz w:val="18"/>
                <w:szCs w:val="18"/>
              </w:rPr>
            </w:pPr>
            <w:r>
              <w:rPr>
                <w:rFonts w:ascii="Times New Roman"/>
                <w:spacing w:val="-1"/>
                <w:sz w:val="18"/>
              </w:rPr>
              <w:t>100,869,735.77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96.12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35" w:right="0"/>
              <w:jc w:val="left"/>
              <w:rPr>
                <w:rFonts w:ascii="Times New Roman" w:hAnsi="Times New Roman" w:cs="Times New Roman" w:eastAsia="Times New Roman" w:hint="default"/>
                <w:sz w:val="18"/>
                <w:szCs w:val="18"/>
              </w:rPr>
            </w:pPr>
            <w:r>
              <w:rPr>
                <w:rFonts w:ascii="Times New Roman"/>
                <w:spacing w:val="-1"/>
                <w:sz w:val="18"/>
              </w:rPr>
              <w:t>19,099,820.31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4"/>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4"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23"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57,749,7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48.86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57,621,96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7,908,7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30.85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49,118.26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7,859,612.5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57,749,7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48.86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57,621,96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center"/>
              <w:rPr>
                <w:rFonts w:ascii="Times New Roman" w:hAnsi="Times New Roman" w:cs="Times New Roman" w:eastAsia="Times New Roman" w:hint="default"/>
                <w:sz w:val="18"/>
                <w:szCs w:val="18"/>
              </w:rPr>
            </w:pPr>
            <w:r>
              <w:rPr>
                <w:rFonts w:ascii="Times New Roman"/>
                <w:sz w:val="18"/>
              </w:rPr>
              <w:t>7,908,7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30.85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49,118.26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7,859,612.5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pStyle w:val="BodyText"/>
        <w:spacing w:line="240" w:lineRule="auto" w:before="53"/>
        <w:ind w:right="0"/>
        <w:jc w:val="left"/>
      </w:pPr>
      <w:r>
        <w:rPr>
          <w:spacing w:val="-3"/>
        </w:rPr>
        <w:t>期末单项金额重大并单项计提坏账准备的其他应收款：</w:t>
      </w:r>
    </w:p>
    <w:p>
      <w:pPr>
        <w:pStyle w:val="BodyText"/>
        <w:spacing w:line="343"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组合中，按账龄分析法计提坏账准备的其他应收款：</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980"/>
          <w:cols w:num="2" w:equalWidth="0">
            <w:col w:w="4478" w:space="4349"/>
            <w:col w:w="1123"/>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202" w:hRule="exact"/>
        </w:trPr>
        <w:tc>
          <w:tcPr>
            <w:tcW w:w="24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1" w:type="dxa"/>
            <w:vMerge/>
            <w:tcBorders>
              <w:left w:val="single" w:sz="4" w:space="0" w:color="000000"/>
              <w:bottom w:val="nil" w:sz="6" w:space="0" w:color="auto"/>
              <w:right w:val="single" w:sz="4" w:space="0" w:color="000000"/>
            </w:tcBorders>
            <w:shd w:val="clear" w:color="auto" w:fill="D3D3D3"/>
          </w:tcPr>
          <w:p>
            <w:pPr/>
          </w:p>
        </w:tc>
        <w:tc>
          <w:tcPr>
            <w:tcW w:w="22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1"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9" w:type="dxa"/>
            <w:vMerge/>
            <w:tcBorders>
              <w:left w:val="single" w:sz="4" w:space="0" w:color="000000"/>
              <w:bottom w:val="single" w:sz="4" w:space="0" w:color="000000"/>
              <w:right w:val="single" w:sz="4" w:space="0" w:color="000000"/>
            </w:tcBorders>
            <w:shd w:val="clear" w:color="auto" w:fill="D3D3D3"/>
          </w:tcPr>
          <w:p>
            <w:pPr/>
          </w:p>
        </w:tc>
        <w:tc>
          <w:tcPr>
            <w:tcW w:w="2386"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310,287.90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15,514.39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410,703.38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82,140.68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10,130.00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771,121.28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127,785.07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16.57%</w:t>
            </w:r>
          </w:p>
        </w:tc>
      </w:tr>
    </w:tbl>
    <w:p>
      <w:pPr>
        <w:pStyle w:val="BodyText"/>
        <w:spacing w:line="357" w:lineRule="auto" w:before="54"/>
        <w:ind w:right="5308"/>
        <w:jc w:val="left"/>
      </w:pPr>
      <w:r>
        <w:rPr>
          <w:spacing w:val="-3"/>
        </w:rPr>
        <w:t>确定该组合依据的说明：</w:t>
      </w:r>
      <w:r>
        <w:rPr>
          <w:spacing w:val="-56"/>
        </w:rPr>
        <w:t> </w:t>
      </w:r>
      <w:r>
        <w:rPr>
          <w:spacing w:val="-56"/>
        </w:rPr>
      </w:r>
      <w:r>
        <w:rPr>
          <w:spacing w:val="-3"/>
        </w:rPr>
        <w:t>组合中，采用余额百分比法计提坏账准备的其他应收款：</w:t>
      </w:r>
    </w:p>
    <w:p>
      <w:pPr>
        <w:pStyle w:val="BodyText"/>
        <w:spacing w:line="338" w:lineRule="auto" w:before="31"/>
        <w:ind w:right="5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2"/>
        </w:rPr>
        <w:t> </w:t>
      </w:r>
      <w:r>
        <w:rPr>
          <w:rFonts w:ascii="Times New Roman" w:hAnsi="Times New Roman" w:cs="Times New Roman" w:eastAsia="Times New Roman" w:hint="default"/>
        </w:rPr>
        <w:t>78,666.81</w:t>
      </w:r>
      <w:r>
        <w:rPr>
          <w:rFonts w:ascii="Times New Roman" w:hAnsi="Times New Roman" w:cs="Times New Roman" w:eastAsia="Times New Roman" w:hint="default"/>
          <w:spacing w:val="-3"/>
        </w:rPr>
        <w:t> </w:t>
      </w:r>
      <w:r>
        <w:rPr/>
        <w:t>元；本期收回或转回坏账准备金额</w:t>
      </w:r>
      <w:r>
        <w:rPr>
          <w:spacing w:val="-4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其中本期坏账准备转回或收回金额重要的：</w:t>
      </w:r>
    </w:p>
    <w:p>
      <w:pPr>
        <w:pStyle w:val="BodyText"/>
        <w:spacing w:line="240" w:lineRule="auto" w:before="115"/>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39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16"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3"/>
        <w:ind w:right="0"/>
        <w:jc w:val="left"/>
      </w:pPr>
      <w:r>
        <w:rPr>
          <w:spacing w:val="-3"/>
        </w:rPr>
        <w:t>本报告期无实际核销的其他应收款。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335" w:right="0"/>
        <w:jc w:val="left"/>
      </w:pPr>
      <w:r>
        <w:rPr>
          <w:spacing w:val="-3"/>
        </w:rPr>
        <w:t>本报告期无实际核销的其他应收款。</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558,352.54</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531,994.20</w:t>
            </w:r>
          </w:p>
        </w:tc>
      </w:tr>
      <w:tr>
        <w:trPr>
          <w:trHeight w:val="39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51,095.30</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163,952.75</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37,107.00</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11,591.04</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329,622.70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56,927,532.28</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6,753,621.21</w:t>
            </w:r>
          </w:p>
        </w:tc>
      </w:tr>
      <w:tr>
        <w:trPr>
          <w:trHeight w:val="39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175,661.74</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117,948.95</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57,749,748.86</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7,908,730.85</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0"/>
        <w:gridCol w:w="1555"/>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3"/>
              <w:ind w:left="81" w:right="74"/>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26"/>
              <w:jc w:val="left"/>
              <w:rPr>
                <w:rFonts w:ascii="宋体" w:hAnsi="宋体" w:cs="宋体" w:eastAsia="宋体" w:hint="default"/>
                <w:sz w:val="18"/>
                <w:szCs w:val="18"/>
              </w:rPr>
            </w:pPr>
            <w:r>
              <w:rPr>
                <w:rFonts w:ascii="宋体" w:hAnsi="宋体" w:cs="宋体" w:eastAsia="宋体" w:hint="default"/>
                <w:spacing w:val="-3"/>
                <w:sz w:val="18"/>
                <w:szCs w:val="18"/>
              </w:rPr>
              <w:t>实益达科技（香港）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39,323,815.28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68.09%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26"/>
              <w:jc w:val="left"/>
              <w:rPr>
                <w:rFonts w:ascii="宋体" w:hAnsi="宋体" w:cs="宋体" w:eastAsia="宋体" w:hint="default"/>
                <w:sz w:val="18"/>
                <w:szCs w:val="18"/>
              </w:rPr>
            </w:pPr>
            <w:r>
              <w:rPr>
                <w:rFonts w:ascii="宋体" w:hAnsi="宋体" w:cs="宋体" w:eastAsia="宋体" w:hint="default"/>
                <w:spacing w:val="-3"/>
                <w:sz w:val="18"/>
                <w:szCs w:val="18"/>
              </w:rPr>
              <w:t>凯扬商贸（香港）有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13,433,021.44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23.26%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6"/>
              <w:jc w:val="left"/>
              <w:rPr>
                <w:rFonts w:ascii="宋体" w:hAnsi="宋体" w:cs="宋体" w:eastAsia="宋体" w:hint="default"/>
                <w:sz w:val="18"/>
                <w:szCs w:val="18"/>
              </w:rPr>
            </w:pPr>
            <w:r>
              <w:rPr>
                <w:rFonts w:ascii="宋体" w:hAnsi="宋体" w:cs="宋体" w:eastAsia="宋体" w:hint="default"/>
                <w:spacing w:val="-3"/>
                <w:sz w:val="18"/>
                <w:szCs w:val="18"/>
              </w:rPr>
              <w:t>深圳市实益达照明有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4,170,695.56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7.22%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深圳市住房和建设局</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207,263.00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0.36%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41,452.60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26"/>
              <w:jc w:val="left"/>
              <w:rPr>
                <w:rFonts w:ascii="宋体" w:hAnsi="宋体" w:cs="宋体" w:eastAsia="宋体" w:hint="default"/>
                <w:sz w:val="18"/>
                <w:szCs w:val="18"/>
              </w:rPr>
            </w:pPr>
            <w:r>
              <w:rPr>
                <w:rFonts w:ascii="宋体" w:hAnsi="宋体" w:cs="宋体" w:eastAsia="宋体" w:hint="default"/>
                <w:spacing w:val="-3"/>
                <w:sz w:val="18"/>
                <w:szCs w:val="18"/>
              </w:rPr>
              <w:t>新余久益投资管理合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伙企业（有限合伙）</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106,000.00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57,240,795.28</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99.11%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46,752.60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6"/>
        <w:gridCol w:w="1867"/>
        <w:gridCol w:w="1867"/>
        <w:gridCol w:w="1867"/>
        <w:gridCol w:w="1944"/>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4"/>
              <w:ind w:left="695" w:right="60" w:hanging="629"/>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pStyle w:val="BodyText"/>
        <w:spacing w:line="240" w:lineRule="auto" w:before="10"/>
        <w:ind w:left="335" w:right="0"/>
        <w:jc w:val="left"/>
      </w:pPr>
      <w:r>
        <w:rPr>
          <w:spacing w:val="-3"/>
        </w:rPr>
        <w:t>本报告期期末无涉及政府补助的应收款项。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335" w:right="0"/>
        <w:jc w:val="left"/>
      </w:pPr>
      <w:r>
        <w:rPr>
          <w:spacing w:val="-3"/>
        </w:rPr>
        <w:t>期末无因金融资产转移而终止确认的其他应收款项情况。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pStyle w:val="BodyText"/>
        <w:spacing w:line="658" w:lineRule="exact" w:before="29"/>
        <w:ind w:right="3926"/>
        <w:jc w:val="left"/>
      </w:pPr>
      <w:r>
        <w:rPr>
          <w:spacing w:val="-3"/>
        </w:rPr>
        <w:t>期末无转移其他应收款且继续涉入而形成的资产、负债的金额</w:t>
      </w:r>
      <w:r>
        <w:rPr>
          <w:spacing w:val="-3"/>
          <w:sz w:val="21"/>
          <w:szCs w:val="21"/>
        </w:rPr>
        <w:t>。</w:t>
      </w:r>
      <w:r>
        <w:rPr>
          <w:spacing w:val="-25"/>
          <w:sz w:val="21"/>
          <w:szCs w:val="21"/>
        </w:rPr>
        <w:t> </w:t>
      </w:r>
      <w:r>
        <w:rPr>
          <w:spacing w:val="-25"/>
          <w:sz w:val="21"/>
          <w:szCs w:val="21"/>
        </w:rPr>
      </w:r>
      <w:r>
        <w:rPr/>
        <w:t>其他说明：</w:t>
      </w:r>
    </w:p>
    <w:p>
      <w:pPr>
        <w:pStyle w:val="BodyText"/>
        <w:spacing w:line="240" w:lineRule="auto" w:before="8"/>
        <w:ind w:right="0"/>
        <w:jc w:val="left"/>
      </w:pPr>
      <w:r>
        <w:rPr>
          <w:spacing w:val="-3"/>
        </w:rPr>
        <w:t>本期无其他需要说明的事项。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306,218,021.68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10,451,398.91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295,766,622.77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274,670,739.46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10,451,398.91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264,219,340.55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306,218,021.68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10,451,398.91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295,766,622.77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274,670,739.46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10,451,398.91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264,219,340.55</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5"/>
        <w:gridCol w:w="1339"/>
        <w:gridCol w:w="1334"/>
        <w:gridCol w:w="1334"/>
        <w:gridCol w:w="1334"/>
        <w:gridCol w:w="1392"/>
        <w:gridCol w:w="1387"/>
      </w:tblGrid>
      <w:tr>
        <w:trPr>
          <w:trHeight w:val="713" w:hRule="exact"/>
        </w:trPr>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6"/>
              <w:ind w:left="599" w:right="50"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46"/>
              <w:jc w:val="left"/>
              <w:rPr>
                <w:rFonts w:ascii="宋体" w:hAnsi="宋体" w:cs="宋体" w:eastAsia="宋体" w:hint="default"/>
                <w:sz w:val="18"/>
                <w:szCs w:val="18"/>
              </w:rPr>
            </w:pPr>
            <w:r>
              <w:rPr>
                <w:rFonts w:ascii="宋体" w:hAnsi="宋体" w:cs="宋体" w:eastAsia="宋体" w:hint="default"/>
                <w:spacing w:val="-3"/>
                <w:sz w:val="18"/>
                <w:szCs w:val="18"/>
              </w:rPr>
              <w:t>无锡实益达电子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251,254,493.46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251,254,493.46</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6"/>
              <w:jc w:val="left"/>
              <w:rPr>
                <w:rFonts w:ascii="宋体" w:hAnsi="宋体" w:cs="宋体" w:eastAsia="宋体" w:hint="default"/>
                <w:sz w:val="18"/>
                <w:szCs w:val="18"/>
              </w:rPr>
            </w:pPr>
            <w:r>
              <w:rPr>
                <w:rFonts w:ascii="宋体" w:hAnsi="宋体" w:cs="宋体" w:eastAsia="宋体" w:hint="default"/>
                <w:spacing w:val="-3"/>
                <w:sz w:val="18"/>
                <w:szCs w:val="18"/>
              </w:rPr>
              <w:t>实益达科技（香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港）有限公司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519,700.00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519,700.00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46"/>
              <w:jc w:val="left"/>
              <w:rPr>
                <w:rFonts w:ascii="宋体" w:hAnsi="宋体" w:cs="宋体" w:eastAsia="宋体" w:hint="default"/>
                <w:sz w:val="18"/>
                <w:szCs w:val="18"/>
              </w:rPr>
            </w:pPr>
            <w:r>
              <w:rPr>
                <w:rFonts w:ascii="宋体" w:hAnsi="宋体" w:cs="宋体" w:eastAsia="宋体" w:hint="default"/>
                <w:spacing w:val="-3"/>
                <w:sz w:val="18"/>
                <w:szCs w:val="18"/>
              </w:rPr>
              <w:t>深圳市汇大光电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10,451,398.91</w:t>
            </w: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34"/>
              <w:jc w:val="center"/>
              <w:rPr>
                <w:rFonts w:ascii="宋体" w:hAnsi="宋体" w:cs="宋体" w:eastAsia="宋体" w:hint="default"/>
                <w:sz w:val="18"/>
                <w:szCs w:val="18"/>
              </w:rPr>
            </w:pPr>
            <w:r>
              <w:rPr>
                <w:rFonts w:ascii="宋体" w:hAnsi="宋体" w:cs="宋体" w:eastAsia="宋体" w:hint="default"/>
                <w:spacing w:val="-2"/>
                <w:sz w:val="18"/>
                <w:szCs w:val="18"/>
              </w:rPr>
              <w:t>凯扬商贸（香港）</w:t>
            </w:r>
          </w:p>
        </w:tc>
        <w:tc>
          <w:tcPr>
            <w:tcW w:w="133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396,546.00</w:t>
            </w:r>
          </w:p>
        </w:tc>
        <w:tc>
          <w:tcPr>
            <w:tcW w:w="1334" w:type="dxa"/>
            <w:tcBorders>
              <w:top w:val="single" w:sz="4" w:space="0" w:color="000000"/>
              <w:left w:val="single" w:sz="10" w:space="0" w:color="FFFFFF"/>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396,546.00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5"/>
        <w:gridCol w:w="1339"/>
        <w:gridCol w:w="1334"/>
        <w:gridCol w:w="1334"/>
        <w:gridCol w:w="1334"/>
        <w:gridCol w:w="1392"/>
        <w:gridCol w:w="1387"/>
      </w:tblGrid>
      <w:tr>
        <w:trPr>
          <w:trHeight w:val="36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46"/>
              <w:jc w:val="left"/>
              <w:rPr>
                <w:rFonts w:ascii="宋体" w:hAnsi="宋体" w:cs="宋体" w:eastAsia="宋体" w:hint="default"/>
                <w:sz w:val="18"/>
                <w:szCs w:val="18"/>
              </w:rPr>
            </w:pPr>
            <w:r>
              <w:rPr>
                <w:rFonts w:ascii="宋体" w:hAnsi="宋体" w:cs="宋体" w:eastAsia="宋体" w:hint="default"/>
                <w:spacing w:val="-3"/>
                <w:sz w:val="18"/>
                <w:szCs w:val="18"/>
              </w:rPr>
              <w:t>无锡实益达照明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24,047,282.22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24,047,282.22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46"/>
              <w:jc w:val="both"/>
              <w:rPr>
                <w:rFonts w:ascii="宋体" w:hAnsi="宋体" w:cs="宋体" w:eastAsia="宋体" w:hint="default"/>
                <w:sz w:val="18"/>
                <w:szCs w:val="18"/>
              </w:rPr>
            </w:pPr>
            <w:r>
              <w:rPr>
                <w:rFonts w:ascii="宋体" w:hAnsi="宋体" w:cs="宋体" w:eastAsia="宋体" w:hint="default"/>
                <w:spacing w:val="-3"/>
                <w:sz w:val="18"/>
                <w:szCs w:val="18"/>
              </w:rPr>
              <w:t>深圳前海实益达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投资发展有限公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274,670,739.46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31,547,282.22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306,218,021.68</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1" w:right="0"/>
              <w:jc w:val="left"/>
              <w:rPr>
                <w:rFonts w:ascii="Times New Roman" w:hAnsi="Times New Roman" w:cs="Times New Roman" w:eastAsia="Times New Roman" w:hint="default"/>
                <w:sz w:val="18"/>
                <w:szCs w:val="18"/>
              </w:rPr>
            </w:pPr>
            <w:r>
              <w:rPr>
                <w:rFonts w:ascii="Times New Roman"/>
                <w:sz w:val="18"/>
              </w:rPr>
              <w:t>10,451,398.91</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1" w:right="0"/>
              <w:jc w:val="left"/>
              <w:rPr>
                <w:rFonts w:ascii="Times New Roman" w:hAnsi="Times New Roman" w:cs="Times New Roman" w:eastAsia="Times New Roman" w:hint="default"/>
                <w:sz w:val="18"/>
                <w:szCs w:val="18"/>
              </w:rPr>
            </w:pPr>
            <w:r>
              <w:rPr>
                <w:rFonts w:ascii="Times New Roman"/>
                <w:sz w:val="18"/>
              </w:rPr>
              <w:t>284,471,596.12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252,213,276.21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260,031,511.02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258,596,301.04</w:t>
            </w:r>
          </w:p>
        </w:tc>
      </w:tr>
      <w:tr>
        <w:trPr>
          <w:trHeight w:val="398"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7" w:right="0"/>
              <w:jc w:val="left"/>
              <w:rPr>
                <w:rFonts w:ascii="Times New Roman" w:hAnsi="Times New Roman" w:cs="Times New Roman" w:eastAsia="Times New Roman" w:hint="default"/>
                <w:sz w:val="18"/>
                <w:szCs w:val="18"/>
              </w:rPr>
            </w:pPr>
            <w:r>
              <w:rPr>
                <w:rFonts w:ascii="Times New Roman"/>
                <w:sz w:val="18"/>
              </w:rPr>
              <w:t>22,267,703.89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11,875,039.75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20,015,104.17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19,333,599.95</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1" w:right="0"/>
              <w:jc w:val="left"/>
              <w:rPr>
                <w:rFonts w:ascii="Times New Roman" w:hAnsi="Times New Roman" w:cs="Times New Roman" w:eastAsia="Times New Roman" w:hint="default"/>
                <w:sz w:val="18"/>
                <w:szCs w:val="18"/>
              </w:rPr>
            </w:pPr>
            <w:r>
              <w:rPr>
                <w:rFonts w:ascii="Times New Roman"/>
                <w:sz w:val="18"/>
              </w:rPr>
              <w:t>306,739,300.01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264,088,315.96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280,046,615.19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277,929,900.99</w:t>
            </w:r>
          </w:p>
        </w:tc>
      </w:tr>
    </w:tbl>
    <w:p>
      <w:pPr>
        <w:pStyle w:val="BodyText"/>
        <w:spacing w:line="240" w:lineRule="auto" w:before="53"/>
        <w:ind w:right="0"/>
        <w:jc w:val="left"/>
      </w:pPr>
      <w:r>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BodyText"/>
        <w:spacing w:line="240" w:lineRule="auto" w:before="46"/>
        <w:ind w:left="0" w:right="14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62,779,354.19</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1,303,331.76</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4,317,499.57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1,303,331.76</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67,096,853.76</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Heading3"/>
        <w:spacing w:line="240" w:lineRule="auto"/>
        <w:ind w:right="0"/>
        <w:jc w:val="left"/>
      </w:pPr>
      <w:r>
        <w:rPr/>
        <w:t>十六、补充资料</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8"/>
                <w:szCs w:val="18"/>
              </w:rPr>
            </w:pPr>
            <w:r>
              <w:rPr>
                <w:rFonts w:ascii="Times New Roman"/>
                <w:spacing w:val="-1"/>
                <w:sz w:val="18"/>
              </w:rPr>
              <w:t>-488,288.18</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4"/>
              <w:ind w:left="23" w:right="46"/>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270,364.00</w:t>
            </w:r>
          </w:p>
        </w:tc>
        <w:tc>
          <w:tcPr>
            <w:tcW w:w="31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6,647,312.19</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3"/>
                <w:sz w:val="18"/>
                <w:szCs w:val="18"/>
              </w:rPr>
              <w:t>无需支付的款项及冲回上期计提的预计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负债</w:t>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1,153,495.43</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-37,459.08</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7,620,342.52</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54"/>
        <w:ind w:left="153" w:right="145" w:hanging="1"/>
        <w:jc w:val="both"/>
      </w:pPr>
      <w:r>
        <w:rPr>
          <w:spacing w:val="-5"/>
        </w:rPr>
        <w:t>对公司根据《公开发行证券的公司信息披露解释性公告第 </w:t>
      </w:r>
      <w:r>
        <w:rPr>
          <w:rFonts w:ascii="Times New Roman" w:hAnsi="Times New Roman" w:cs="Times New Roman" w:eastAsia="Times New Roman" w:hint="default"/>
        </w:rPr>
        <w:t>1 </w:t>
      </w:r>
      <w:r>
        <w:rPr>
          <w:spacing w:val="-10"/>
        </w:rPr>
        <w:t>号</w:t>
      </w:r>
      <w:r>
        <w:rPr>
          <w:rFonts w:ascii="Times New Roman" w:hAnsi="Times New Roman" w:cs="Times New Roman" w:eastAsia="Times New Roman" w:hint="default"/>
          <w:spacing w:val="-10"/>
        </w:rPr>
        <w:t>——</w:t>
      </w:r>
      <w:r>
        <w:rPr>
          <w:spacing w:val="-10"/>
        </w:rPr>
        <w:t>非经常性损益》定义界定的非经常性损益项目，以及把《公</w:t>
      </w:r>
      <w:r>
        <w:rPr>
          <w:spacing w:val="-24"/>
        </w:rPr>
        <w:t> </w:t>
      </w:r>
      <w:r>
        <w:rPr>
          <w:spacing w:val="-24"/>
        </w:rPr>
      </w: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7"/>
        </w:rPr>
        <w:t> </w:t>
      </w:r>
      <w:r>
        <w:rPr>
          <w:spacing w:val="-37"/>
        </w:rPr>
      </w:r>
      <w:r>
        <w:rPr/>
        <w:t>说明原因。</w:t>
      </w:r>
    </w:p>
    <w:p>
      <w:pPr>
        <w:pStyle w:val="BodyText"/>
        <w:spacing w:line="240" w:lineRule="auto" w:before="74"/>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4"/>
        <w:gridCol w:w="3077"/>
        <w:gridCol w:w="1915"/>
        <w:gridCol w:w="1910"/>
      </w:tblGrid>
      <w:tr>
        <w:trPr>
          <w:trHeight w:val="206" w:hRule="exact"/>
        </w:trPr>
        <w:tc>
          <w:tcPr>
            <w:tcW w:w="2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63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64" w:type="dxa"/>
            <w:vMerge/>
            <w:tcBorders>
              <w:left w:val="single" w:sz="4" w:space="0" w:color="000000"/>
              <w:bottom w:val="nil" w:sz="6" w:space="0" w:color="auto"/>
              <w:right w:val="single" w:sz="4" w:space="0" w:color="000000"/>
            </w:tcBorders>
            <w:shd w:val="clear" w:color="auto" w:fill="D3D3D3"/>
          </w:tcPr>
          <w:p>
            <w:pPr/>
          </w:p>
        </w:tc>
        <w:tc>
          <w:tcPr>
            <w:tcW w:w="3077" w:type="dxa"/>
            <w:vMerge/>
            <w:tcBorders>
              <w:left w:val="single" w:sz="4" w:space="0" w:color="000000"/>
              <w:bottom w:val="nil" w:sz="6" w:space="0" w:color="auto"/>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r>
      <w:tr>
        <w:trPr>
          <w:trHeight w:val="206" w:hRule="exact"/>
        </w:trPr>
        <w:tc>
          <w:tcPr>
            <w:tcW w:w="2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0" w:type="dxa"/>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0.0311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0.0310</w:t>
            </w:r>
          </w:p>
        </w:tc>
      </w:tr>
      <w:tr>
        <w:trPr>
          <w:trHeight w:val="715"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3"/>
              <w:ind w:left="23" w:right="103"/>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0.0145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0.0145</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4" w:lineRule="auto" w:before="101"/>
        <w:ind w:left="153" w:right="0" w:hanging="1"/>
        <w:jc w:val="left"/>
      </w:pPr>
      <w:r>
        <w:rPr/>
        <w:t>公司根据财政部</w:t>
      </w:r>
      <w:r>
        <w:rPr>
          <w:spacing w:val="-1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spacing w:val="-3"/>
        </w:rPr>
        <w:t>年发布的《企业会计准则第</w:t>
      </w:r>
      <w:r>
        <w:rPr>
          <w:spacing w:val="-16"/>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3"/>
        </w:rPr>
        <w:t>号</w:t>
      </w:r>
      <w:r>
        <w:rPr>
          <w:rFonts w:ascii="Times New Roman" w:hAnsi="Times New Roman" w:cs="Times New Roman" w:eastAsia="Times New Roman" w:hint="default"/>
          <w:spacing w:val="-3"/>
        </w:rPr>
        <w:t>——</w:t>
      </w:r>
      <w:r>
        <w:rPr>
          <w:spacing w:val="-3"/>
        </w:rPr>
        <w:t>长期股权投资》等八项会计准则变更了相关会计政策并对比较财</w:t>
      </w:r>
      <w:r>
        <w:rPr>
          <w:spacing w:val="-80"/>
        </w:rPr>
        <w:t> </w:t>
      </w:r>
      <w:r>
        <w:rPr>
          <w:spacing w:val="-80"/>
        </w:rPr>
      </w:r>
      <w:r>
        <w:rPr/>
        <w:t>务报表进行了追溯重述，重述后的</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日合并资产负债表如下：</w:t>
      </w:r>
    </w:p>
    <w:p>
      <w:pPr>
        <w:pStyle w:val="BodyText"/>
        <w:spacing w:line="240" w:lineRule="auto" w:before="47"/>
        <w:ind w:left="0" w:right="144"/>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8"/>
        <w:gridCol w:w="2453"/>
        <w:gridCol w:w="2453"/>
        <w:gridCol w:w="2453"/>
      </w:tblGrid>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180,463,487.67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271,150,821.88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170,321,490.34</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1,893,002.20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2,527,394.57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2,971,717.62</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178,659,836.46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106,839,355.62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141,588,680.47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5,571,758.57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1,220,916.21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683,118.30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1,855,713.96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4,477,358.17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333,651.19</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3,087,003.14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1,601,449.48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11,195,703.68</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106,227,339.01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52,900,035.49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27,329,970.57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9,343,728.05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107,971,602.44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2,437,785.63</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487,101,869.06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548,688,933.86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356,862,117.80</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5,863,516.87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8"/>
        <w:gridCol w:w="2453"/>
        <w:gridCol w:w="2453"/>
        <w:gridCol w:w="2453"/>
      </w:tblGrid>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650,163.67</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65,744,674.72</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254,110,717.20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167,186,297.00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123,643,362.87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1,420,064.96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33,381,001.09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885,940.05</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105,276,040.23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104,227,259.00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101,583,951.38</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10,451,398.91</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4,270,240.76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3,270,086.20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1,544,357.02</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5,494,241.12</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396,886,220.05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321,064,643.29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307,052,449.71</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883,988,089.11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869,753,577.15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663,914,567.51</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81,720,070.00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202,489,191.98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6,119,000.00</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8,344,264.63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3,380,991.17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205,210,218.08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121,456,917.93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104,438,379.44</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6,620,170.87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3,737,732.23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2,784,760.55</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6,559,795.32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7,480,892.89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8,335,210.53</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14,963,397.02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15,088,059.69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14,282,755.03</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280,550.15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879,780.19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38,107.79</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9,401,237.51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10,591,830.63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14,877,412.31</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333,099,703.58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365,105,396.71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151,375,625.65</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9,499,916.59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2,521,886.17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758,333.33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658,333.37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10,258,249.92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3,180,219.54</w:t>
            </w:r>
          </w:p>
        </w:tc>
      </w:tr>
      <w:tr>
        <w:trPr>
          <w:trHeight w:val="401"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333,099,703.58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375,363,646.63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154,555,845.19</w:t>
            </w:r>
          </w:p>
        </w:tc>
      </w:tr>
      <w:tr>
        <w:trPr>
          <w:trHeight w:val="401"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312,156,000.00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458,410,600.00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460,910,600.00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112,194,419.98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105,601,888.26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107,960,672.49</w:t>
            </w:r>
          </w:p>
        </w:tc>
      </w:tr>
      <w:tr>
        <w:trPr>
          <w:trHeight w:val="398"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-1,137,738.82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-291,451.81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-436,590.65</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15,188,942.04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15,188,942.04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15,188,942.04</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98,590,856.96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-95,227,399.15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-80,951,133.47</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536,992,480.16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483,682,579.34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500,172,490.41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8"/>
        <w:gridCol w:w="2453"/>
        <w:gridCol w:w="2453"/>
        <w:gridCol w:w="2453"/>
      </w:tblGrid>
      <w:tr>
        <w:trPr>
          <w:trHeight w:val="360"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13,895,905.37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10,707,351.18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9,186,231.91</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550,888,385.53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494,389,930.52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509,358,722.32</w:t>
            </w:r>
          </w:p>
        </w:tc>
      </w:tr>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883,988,089.11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869,753,577.15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663,914,567.51</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335" w:lineRule="exact"/>
        <w:jc w:val="left"/>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0"/>
          <w:szCs w:val="10"/>
        </w:rPr>
      </w:pPr>
    </w:p>
    <w:p>
      <w:pPr>
        <w:spacing w:line="458" w:lineRule="exact" w:before="0"/>
        <w:ind w:left="3282" w:right="173" w:firstLine="0"/>
        <w:jc w:val="left"/>
        <w:rPr>
          <w:rFonts w:ascii="Microsoft JhengHei" w:hAnsi="Microsoft JhengHei" w:cs="Microsoft JhengHei" w:eastAsia="Microsoft JhengHei" w:hint="default"/>
          <w:sz w:val="32"/>
          <w:szCs w:val="32"/>
        </w:rPr>
      </w:pPr>
      <w:bookmarkStart w:name="_TOC_250000" w:id="12"/>
      <w:r>
        <w:rPr>
          <w:rFonts w:ascii="Microsoft JhengHei" w:hAnsi="Microsoft JhengHei" w:cs="Microsoft JhengHei" w:eastAsia="Microsoft JhengHei" w:hint="default"/>
          <w:b/>
          <w:bCs/>
          <w:sz w:val="32"/>
          <w:szCs w:val="32"/>
        </w:rPr>
        <w:t>第十二节 </w:t>
      </w:r>
      <w:r>
        <w:rPr>
          <w:rFonts w:ascii="Microsoft JhengHei" w:hAnsi="Microsoft JhengHei" w:cs="Microsoft JhengHei" w:eastAsia="Microsoft JhengHei" w:hint="default"/>
          <w:b/>
          <w:bCs/>
          <w:spacing w:val="14"/>
          <w:sz w:val="32"/>
          <w:szCs w:val="32"/>
        </w:rPr>
        <w:t> </w:t>
      </w:r>
      <w:r>
        <w:rPr>
          <w:rFonts w:ascii="Microsoft JhengHei" w:hAnsi="Microsoft JhengHei" w:cs="Microsoft JhengHei" w:eastAsia="Microsoft JhengHei" w:hint="default"/>
          <w:b/>
          <w:bCs/>
          <w:sz w:val="32"/>
          <w:szCs w:val="32"/>
        </w:rPr>
        <w:t>备查文件目录</w:t>
      </w:r>
      <w:bookmarkEnd w:id="12"/>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29"/>
          <w:szCs w:val="29"/>
        </w:rPr>
      </w:pPr>
    </w:p>
    <w:p>
      <w:pPr>
        <w:pStyle w:val="BodyText"/>
        <w:spacing w:line="312" w:lineRule="auto"/>
        <w:ind w:right="173"/>
        <w:jc w:val="left"/>
      </w:pPr>
      <w:r>
        <w:rPr>
          <w:spacing w:val="-6"/>
        </w:rPr>
        <w:t>一、载有公司法定代表人陈亚妹女士、主管会计工作负责人刘爱民先生、会计机构负责人袁素华女士签名并盖章的会计报表；</w:t>
      </w:r>
      <w:r>
        <w:rPr>
          <w:spacing w:val="63"/>
        </w:rPr>
        <w:t> </w:t>
      </w:r>
      <w:r>
        <w:rPr>
          <w:spacing w:val="63"/>
        </w:rPr>
      </w:r>
      <w:r>
        <w:rPr>
          <w:spacing w:val="-3"/>
        </w:rPr>
        <w:t>二、载有大华会计师事务所（特殊普通合伙）盖章、注册会计师签名并盖章的审计报告原件；</w:t>
      </w:r>
      <w:r>
        <w:rPr>
          <w:spacing w:val="31"/>
        </w:rPr>
        <w:t> </w:t>
      </w:r>
      <w:r>
        <w:rPr>
          <w:spacing w:val="31"/>
        </w:rPr>
      </w:r>
      <w:r>
        <w:rPr>
          <w:spacing w:val="-3"/>
        </w:rPr>
        <w:t>三、报告期内在中国证监会指定网站上巨潮资讯网（</w:t>
      </w:r>
      <w:hyperlink r:id="rId12">
        <w:r>
          <w:rPr>
            <w:rFonts w:ascii="Times New Roman" w:hAnsi="Times New Roman" w:cs="Times New Roman" w:eastAsia="Times New Roman" w:hint="default"/>
            <w:spacing w:val="-3"/>
          </w:rPr>
          <w:t>http://www.cninfo.com.cn</w:t>
        </w:r>
      </w:hyperlink>
      <w:r>
        <w:rPr>
          <w:spacing w:val="-3"/>
        </w:rPr>
        <w:t>）上公开披露过的所有公司文件的正本及公告</w:t>
      </w:r>
      <w:r>
        <w:rPr>
          <w:spacing w:val="19"/>
        </w:rPr>
        <w:t> </w:t>
      </w:r>
      <w:r>
        <w:rPr>
          <w:spacing w:val="19"/>
        </w:rPr>
      </w:r>
      <w:r>
        <w:rPr/>
        <w:t>的原稿；</w:t>
      </w:r>
    </w:p>
    <w:p>
      <w:pPr>
        <w:pStyle w:val="BodyText"/>
        <w:spacing w:line="240" w:lineRule="auto" w:before="22"/>
        <w:ind w:right="173"/>
        <w:jc w:val="left"/>
      </w:pPr>
      <w:r>
        <w:rPr>
          <w:spacing w:val="-3"/>
        </w:rPr>
        <w:t>四、以上文件备置地：公司董事会秘书办公室。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316" w:lineRule="auto"/>
        <w:ind w:left="6541" w:right="997" w:hanging="989"/>
        <w:jc w:val="left"/>
      </w:pPr>
      <w:r>
        <w:rPr>
          <w:spacing w:val="-3"/>
        </w:rPr>
        <w:t>深圳市实益达科技股份有限公司董事会</w:t>
      </w:r>
      <w:r>
        <w:rPr>
          <w:spacing w:val="-39"/>
        </w:rPr>
        <w:t> </w:t>
      </w:r>
      <w:r>
        <w:rPr>
          <w:spacing w:val="-39"/>
        </w:rPr>
      </w:r>
      <w:r>
        <w:rPr/>
        <w:t>2015年4月24日</w:t>
      </w:r>
    </w:p>
    <w:sectPr>
      <w:pgSz w:w="11910" w:h="16840"/>
      <w:pgMar w:header="741" w:footer="979"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03357pt;margin-top:795.42041pt;width:6.6pt;height:11.15pt;mso-position-horizontal-relative:page;mso-position-vertical-relative:page;z-index:-82196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80481pt;margin-top:781.740417pt;width:13.15pt;height:11.15pt;mso-position-horizontal-relative:page;mso-position-vertical-relative:page;z-index:-8219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80481pt;margin-top:781.740417pt;width:13.15pt;height:11.15pt;mso-position-horizontal-relative:page;mso-position-vertical-relative:page;z-index:-82192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80481pt;margin-top:781.740417pt;width:13.15pt;height:11.15pt;mso-position-horizontal-relative:page;mso-position-vertical-relative:page;z-index:-8218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20483pt;margin-top:781.740417pt;width:15.7pt;height:11.15pt;mso-position-horizontal-relative:page;mso-position-vertical-relative:page;z-index:-82187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20483pt;margin-top:781.740417pt;width:17.7pt;height:11.15pt;mso-position-horizontal-relative:page;mso-position-vertical-relative:page;z-index:-8218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20483pt;margin-top:781.740417pt;width:17.7pt;height:11.15pt;mso-position-horizontal-relative:page;mso-position-vertical-relative:page;z-index:-8218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149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615pt;margin-top:36.046333pt;width:213.7pt;height:11.65pt;mso-position-horizontal-relative:page;mso-position-vertical-relative:page;z-index:-821992" type="#_x0000_t202" filled="false" stroked="false">
          <v:textbox inset="0,0,0,0">
            <w:txbxContent>
              <w:p>
                <w:pPr>
                  <w:pStyle w:val="BodyText"/>
                  <w:spacing w:line="216" w:lineRule="exact"/>
                  <w:ind w:left="20" w:right="0"/>
                  <w:jc w:val="left"/>
                </w:pPr>
                <w:r>
                  <w:rPr>
                    <w:spacing w:val="-3"/>
                  </w:rPr>
                  <w:t>深圳市实益达科技股份有限公司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4"/>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spacing w:before="2"/>
      <w:ind w:left="3586"/>
      <w:outlineLvl w:val="1"/>
    </w:pPr>
    <w:rPr>
      <w:rFonts w:ascii="宋体" w:hAnsi="宋体" w:eastAsia="宋体"/>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Microsoft JhengHei" w:hAnsi="Microsoft JhengHei" w:eastAsia="Microsoft JhengHei"/>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seastar.com/" TargetMode="External"/><Relationship Id="rId10" Type="http://schemas.openxmlformats.org/officeDocument/2006/relationships/hyperlink" Target="mailto:dmb@sz-seastar.com" TargetMode="External"/><Relationship Id="rId11" Type="http://schemas.openxmlformats.org/officeDocument/2006/relationships/hyperlink" Target="mailto:SRChen@sz-seastar.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2020-05-06T16:02:23Z</dcterms:created>
  <dcterms:modified xsi:type="dcterms:W3CDTF">2020-05-06T16:02:23Z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LastSaved">
    <vt:filetime>2015-04-27T00:00:00Z</vt:filetime>
  </property>
</Properties>
</file>