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深圳市麦达数字股份有限公司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line="960" w:lineRule="exact"/>
        <w:ind w:left="3863"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1409699" cy="6096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609600"/>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1"/>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公司负责人陈亚妹、主管会计工作负责人廖建中及会计机构负责人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袁素华声明：保证年度报告中财务报告的真实、准确、完整。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本年度报告涉及的未来计划等前瞻性陈述，不构成公司对投资者的实质承</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诺，投资者均应当对此保持足够的风险认识，并且应当理解计划、预测与承诺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之间的差异。</w:t>
      </w:r>
      <w:r>
        <w:rPr>
          <w:rFonts w:ascii="宋体" w:hAnsi="宋体" w:cs="宋体" w:eastAsia="宋体" w:hint="default"/>
          <w:sz w:val="28"/>
          <w:szCs w:val="28"/>
        </w:rPr>
      </w:r>
    </w:p>
    <w:p>
      <w:pPr>
        <w:spacing w:line="403" w:lineRule="auto" w:before="158"/>
        <w:ind w:left="153" w:right="112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公司处于战略转型期，报告期内公司通过并购重组进入数字营销领域，并</w:t>
      </w:r>
      <w:r>
        <w:rPr>
          <w:rFonts w:ascii="宋体" w:hAnsi="宋体" w:cs="宋体" w:eastAsia="宋体" w:hint="default"/>
          <w:b/>
          <w:bCs/>
          <w:w w:val="99"/>
          <w:sz w:val="28"/>
          <w:szCs w:val="28"/>
        </w:rPr>
        <w:t> </w:t>
      </w:r>
      <w:r>
        <w:rPr>
          <w:rFonts w:ascii="宋体" w:hAnsi="宋体" w:cs="宋体" w:eastAsia="宋体" w:hint="default"/>
          <w:b/>
          <w:bCs/>
          <w:sz w:val="28"/>
          <w:szCs w:val="28"/>
        </w:rPr>
        <w:t>拟继续通过外延式并购和内生式发展等方式向企业级</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SaaS</w:t>
      </w:r>
      <w:r>
        <w:rPr>
          <w:rFonts w:ascii="Times New Roman" w:hAnsi="Times New Roman" w:cs="Times New Roman" w:eastAsia="Times New Roman" w:hint="default"/>
          <w:b/>
          <w:bCs/>
          <w:spacing w:val="-13"/>
          <w:sz w:val="28"/>
          <w:szCs w:val="28"/>
        </w:rPr>
        <w:t> </w:t>
      </w:r>
      <w:r>
        <w:rPr>
          <w:rFonts w:ascii="宋体" w:hAnsi="宋体" w:cs="宋体" w:eastAsia="宋体" w:hint="default"/>
          <w:b/>
          <w:bCs/>
          <w:spacing w:val="-10"/>
          <w:sz w:val="28"/>
          <w:szCs w:val="28"/>
        </w:rPr>
        <w:t>服务行业延伸，公司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向互联网产业转型的战略布局将使公司的业务结构和盈利模式发生重大变化，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但不会对公司原有业务模式造成冲击。若公司未来未能充分把握互联网产业新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的发展趋势、公司管理不能快速适应新的业务领域，或者并购整合不达预期，</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pacing w:val="3"/>
          <w:w w:val="95"/>
          <w:sz w:val="28"/>
          <w:szCs w:val="28"/>
        </w:rPr>
        <w:t>公司的持续盈利能力和财务状况将遭受重大风险，请投资者注意投资风险。公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部分，具体描</w:t>
      </w:r>
      <w:r>
        <w:rPr>
          <w:rFonts w:ascii="宋体" w:hAnsi="宋体" w:cs="宋体" w:eastAsia="宋体" w:hint="default"/>
          <w:b/>
          <w:bCs/>
          <w:spacing w:val="33"/>
          <w:w w:val="95"/>
          <w:sz w:val="28"/>
          <w:szCs w:val="28"/>
        </w:rPr>
        <w:t> </w:t>
      </w:r>
      <w:r>
        <w:rPr>
          <w:rFonts w:ascii="宋体" w:hAnsi="宋体" w:cs="宋体" w:eastAsia="宋体" w:hint="default"/>
          <w:b/>
          <w:bCs/>
          <w:sz w:val="28"/>
          <w:szCs w:val="28"/>
        </w:rPr>
        <w:t>述了公司经营过程中可能存在的风险及应对措施，敬请投资者关注相关内容。</w:t>
      </w:r>
      <w:r>
        <w:rPr>
          <w:rFonts w:ascii="宋体" w:hAnsi="宋体" w:cs="宋体" w:eastAsia="宋体" w:hint="default"/>
          <w:sz w:val="28"/>
          <w:szCs w:val="28"/>
        </w:rPr>
      </w:r>
    </w:p>
    <w:p>
      <w:pPr>
        <w:spacing w:before="16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167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tabs>
          <w:tab w:pos="643" w:val="left" w:leader="none"/>
        </w:tabs>
        <w:spacing w:before="946"/>
        <w:ind w:left="0" w:right="977"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568"/>
        <w:gridCol w:w="560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40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上市公司、麦达数字、本公司、公司</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原深圳市实益达科技股份有限公司，现已更名为深圳市麦达数字股份有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限公司</w:t>
            </w:r>
          </w:p>
        </w:tc>
      </w:tr>
      <w:tr>
        <w:trPr>
          <w:trHeight w:val="392" w:hRule="exact"/>
        </w:trPr>
        <w:tc>
          <w:tcPr>
            <w:tcW w:w="3402"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vMerge/>
            <w:tcBorders>
              <w:left w:val="single" w:sz="9" w:space="0" w:color="D2D2D2"/>
              <w:right w:val="single" w:sz="4" w:space="0" w:color="000000"/>
            </w:tcBorders>
          </w:tcPr>
          <w:p>
            <w:pPr/>
          </w:p>
        </w:tc>
      </w:tr>
      <w:tr>
        <w:trPr>
          <w:trHeight w:val="161" w:hRule="exact"/>
        </w:trPr>
        <w:tc>
          <w:tcPr>
            <w:tcW w:w="3402"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0" w:type="dxa"/>
            <w:vMerge/>
            <w:tcBorders>
              <w:left w:val="single" w:sz="9" w:space="0" w:color="D2D2D2"/>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原深圳市实益达科技股份有限公司简称</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实益达实业</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公司前身深圳市实益达实业有限公司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公司控股股东的控股股东陈亚妹、乔昕夫妇</w:t>
            </w:r>
          </w:p>
        </w:tc>
      </w:tr>
      <w:tr>
        <w:trPr>
          <w:trHeight w:val="161" w:hRule="exact"/>
        </w:trPr>
        <w:tc>
          <w:tcPr>
            <w:tcW w:w="340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冠德成</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深圳市冠德成科技发展有限公司，于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日变更为拉萨市冠 德成科技发展有限公司</w:t>
            </w:r>
          </w:p>
        </w:tc>
      </w:tr>
      <w:tr>
        <w:trPr>
          <w:trHeight w:val="392" w:hRule="exact"/>
        </w:trPr>
        <w:tc>
          <w:tcPr>
            <w:tcW w:w="3402"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vMerge/>
            <w:tcBorders>
              <w:left w:val="single" w:sz="9" w:space="0" w:color="D2D2D2"/>
              <w:right w:val="single" w:sz="4" w:space="0" w:color="000000"/>
            </w:tcBorders>
          </w:tcPr>
          <w:p>
            <w:pPr/>
          </w:p>
        </w:tc>
      </w:tr>
      <w:tr>
        <w:trPr>
          <w:trHeight w:val="161" w:hRule="exact"/>
        </w:trPr>
        <w:tc>
          <w:tcPr>
            <w:tcW w:w="3402"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0" w:type="dxa"/>
            <w:vMerge/>
            <w:tcBorders>
              <w:left w:val="single" w:sz="9" w:space="0" w:color="D2D2D2"/>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无锡实益达电子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香港实益达</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r>
      <w:tr>
        <w:trPr>
          <w:trHeight w:val="161" w:hRule="exact"/>
        </w:trPr>
        <w:tc>
          <w:tcPr>
            <w:tcW w:w="340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日，由深圳市汇大 光电有限经整体变更设立）</w:t>
            </w:r>
          </w:p>
        </w:tc>
      </w:tr>
      <w:tr>
        <w:trPr>
          <w:trHeight w:val="392" w:hRule="exact"/>
        </w:trPr>
        <w:tc>
          <w:tcPr>
            <w:tcW w:w="3402"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vMerge/>
            <w:tcBorders>
              <w:left w:val="single" w:sz="9" w:space="0" w:color="D2D2D2"/>
              <w:right w:val="single" w:sz="4" w:space="0" w:color="000000"/>
            </w:tcBorders>
          </w:tcPr>
          <w:p>
            <w:pPr/>
          </w:p>
        </w:tc>
      </w:tr>
      <w:tr>
        <w:trPr>
          <w:trHeight w:val="161" w:hRule="exact"/>
        </w:trPr>
        <w:tc>
          <w:tcPr>
            <w:tcW w:w="3402"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0" w:type="dxa"/>
            <w:vMerge/>
            <w:tcBorders>
              <w:left w:val="single" w:sz="9" w:space="0" w:color="D2D2D2"/>
              <w:bottom w:val="single" w:sz="4" w:space="0" w:color="000000"/>
              <w:right w:val="single" w:sz="4" w:space="0" w:color="000000"/>
            </w:tcBorders>
          </w:tcPr>
          <w:p>
            <w:pPr/>
          </w:p>
        </w:tc>
      </w:tr>
      <w:tr>
        <w:trPr>
          <w:trHeight w:val="161" w:hRule="exact"/>
        </w:trPr>
        <w:tc>
          <w:tcPr>
            <w:tcW w:w="340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电明科技</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0"/>
              <w:jc w:val="left"/>
              <w:rPr>
                <w:rFonts w:ascii="宋体" w:hAnsi="宋体" w:cs="宋体" w:eastAsia="宋体"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日，由深圳市电明科技 有限责任公司整体变更设立）</w:t>
            </w:r>
          </w:p>
        </w:tc>
      </w:tr>
      <w:tr>
        <w:trPr>
          <w:trHeight w:val="392" w:hRule="exact"/>
        </w:trPr>
        <w:tc>
          <w:tcPr>
            <w:tcW w:w="3402"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vMerge/>
            <w:tcBorders>
              <w:left w:val="single" w:sz="9" w:space="0" w:color="D2D2D2"/>
              <w:right w:val="single" w:sz="4" w:space="0" w:color="000000"/>
            </w:tcBorders>
          </w:tcPr>
          <w:p>
            <w:pPr/>
          </w:p>
        </w:tc>
      </w:tr>
      <w:tr>
        <w:trPr>
          <w:trHeight w:val="161" w:hRule="exact"/>
        </w:trPr>
        <w:tc>
          <w:tcPr>
            <w:tcW w:w="3402"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0" w:type="dxa"/>
            <w:vMerge/>
            <w:tcBorders>
              <w:left w:val="single" w:sz="9" w:space="0" w:color="D2D2D2"/>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实益达照明</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深圳市实益达照明有限公司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实益达工业</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无锡实益达照明</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无锡实益达照明科技有限公司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百华科技</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凯扬商贸</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凯扬商贸（香港）有限公司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赢销通</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北京赢销通软件技术有限公司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顺为广告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利宣广告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奇思广告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海和投资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新余海和投资管理中心（有限合伙）</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诚通投资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樟树市诚通投资管理中心（有限合伙）</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季子投资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上海季子投资管理有限公司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益瑞投资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新余益瑞投资合伙企业（有限合伙）</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元通孵化</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广州讯友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广州讯友数码科技有限公司</w:t>
            </w:r>
          </w:p>
        </w:tc>
      </w:tr>
      <w:tr>
        <w:trPr>
          <w:trHeight w:val="402" w:hRule="exact"/>
        </w:trPr>
        <w:tc>
          <w:tcPr>
            <w:tcW w:w="34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新余九派凯阳投资合伙企业（有限合伙）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31.228271pt;width:479.25pt;height:350.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567"/>
                    <w:gridCol w:w="560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九派资本</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深圳市九派资本管理有限公司</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登记结算公司</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深圳市实益达科技股份有限公司章程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EMS</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Electronic</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sz w:val="18"/>
                            <w:szCs w:val="18"/>
                          </w:rPr>
                          <w:t>Manufacturing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w w:val="99"/>
                            <w:sz w:val="18"/>
                            <w:szCs w:val="18"/>
                          </w:rPr>
                          <w:t>Services</w:t>
                        </w:r>
                        <w:r>
                          <w:rPr>
                            <w:rFonts w:ascii="宋体" w:hAnsi="宋体" w:cs="宋体" w:eastAsia="宋体" w:hint="default"/>
                            <w:spacing w:val="-5"/>
                            <w:w w:val="99"/>
                            <w:sz w:val="18"/>
                            <w:szCs w:val="18"/>
                          </w:rPr>
                          <w:t>（电子制造服务），</w:t>
                        </w:r>
                        <w:r>
                          <w:rPr>
                            <w:rFonts w:ascii="Times New Roman" w:hAnsi="Times New Roman" w:cs="Times New Roman" w:eastAsia="Times New Roman" w:hint="default"/>
                            <w:spacing w:val="-5"/>
                            <w:w w:val="99"/>
                            <w:sz w:val="18"/>
                            <w:szCs w:val="18"/>
                          </w:rPr>
                          <w:t>EMS</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公司为品牌生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产商提供设计、工程、制造、测试以及物流管理等一系列服务</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LED</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发光二极管（</w:t>
                        </w:r>
                        <w:r>
                          <w:rPr>
                            <w:rFonts w:ascii="Times New Roman" w:hAnsi="Times New Roman" w:cs="Times New Roman" w:eastAsia="Times New Roman" w:hint="default"/>
                            <w:spacing w:val="-2"/>
                            <w:sz w:val="18"/>
                            <w:szCs w:val="18"/>
                          </w:rPr>
                          <w:t>Light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Emitting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6"/>
                            <w:w w:val="99"/>
                            <w:sz w:val="18"/>
                            <w:szCs w:val="18"/>
                          </w:rPr>
                          <w:t>Diode</w:t>
                        </w:r>
                        <w:r>
                          <w:rPr>
                            <w:rFonts w:ascii="宋体" w:hAnsi="宋体" w:cs="宋体" w:eastAsia="宋体" w:hint="default"/>
                            <w:spacing w:val="-6"/>
                            <w:w w:val="99"/>
                            <w:sz w:val="18"/>
                            <w:szCs w:val="18"/>
                          </w:rPr>
                          <w:t>），可以通过控制其发光方式，组成用</w:t>
                        </w:r>
                        <w:r>
                          <w:rPr>
                            <w:rFonts w:ascii="宋体" w:hAnsi="宋体" w:cs="宋体" w:eastAsia="宋体" w:hint="default"/>
                            <w:sz w:val="18"/>
                            <w:szCs w:val="18"/>
                          </w:rPr>
                          <w:t> </w:t>
                        </w:r>
                        <w:r>
                          <w:rPr>
                            <w:rFonts w:ascii="宋体" w:hAnsi="宋体" w:cs="宋体" w:eastAsia="宋体" w:hint="default"/>
                            <w:spacing w:val="-2"/>
                            <w:sz w:val="18"/>
                            <w:szCs w:val="18"/>
                          </w:rPr>
                          <w:t>来显示文字、图形、图像、动画、行情、视频、录像信号等各种信息的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显示屏幕。</w:t>
                        </w:r>
                      </w:p>
                    </w:tc>
                  </w:tr>
                  <w:tr>
                    <w:trPr>
                      <w:trHeight w:val="133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Software-as-a-Service</w:t>
                        </w:r>
                        <w:r>
                          <w:rPr>
                            <w:rFonts w:ascii="宋体" w:hAnsi="宋体" w:cs="宋体" w:eastAsia="宋体" w:hint="default"/>
                            <w:spacing w:val="-4"/>
                            <w:w w:val="99"/>
                            <w:sz w:val="18"/>
                            <w:szCs w:val="18"/>
                          </w:rPr>
                          <w:t>（软件即服务），是一种通过</w:t>
                        </w:r>
                        <w:r>
                          <w:rPr>
                            <w:rFonts w:ascii="宋体" w:hAnsi="宋体" w:cs="宋体" w:eastAsia="宋体" w:hint="default"/>
                            <w:spacing w:val="-42"/>
                            <w:w w:val="99"/>
                            <w:sz w:val="18"/>
                            <w:szCs w:val="18"/>
                          </w:rPr>
                          <w:t> </w:t>
                        </w:r>
                        <w:r>
                          <w:rPr>
                            <w:rFonts w:ascii="Times New Roman" w:hAnsi="Times New Roman" w:cs="Times New Roman" w:eastAsia="Times New Roman" w:hint="default"/>
                            <w:w w:val="99"/>
                            <w:sz w:val="18"/>
                            <w:szCs w:val="18"/>
                          </w:rPr>
                          <w:t>Internet</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
                            <w:w w:val="99"/>
                            <w:sz w:val="18"/>
                            <w:szCs w:val="18"/>
                          </w:rPr>
                          <w:t>提供软件的模</w:t>
                        </w:r>
                        <w:r>
                          <w:rPr>
                            <w:rFonts w:ascii="宋体" w:hAnsi="宋体" w:cs="宋体" w:eastAsia="宋体" w:hint="default"/>
                            <w:w w:val="99"/>
                            <w:sz w:val="18"/>
                            <w:szCs w:val="18"/>
                          </w:rPr>
                          <w:t> </w:t>
                        </w:r>
                        <w:r>
                          <w:rPr>
                            <w:rFonts w:ascii="宋体" w:hAnsi="宋体" w:cs="宋体" w:eastAsia="宋体" w:hint="default"/>
                            <w:spacing w:val="-2"/>
                            <w:sz w:val="18"/>
                            <w:szCs w:val="18"/>
                          </w:rPr>
                          <w:t>式，厂商将应用软件统一部署在自己的服务器上，客户可以根据自己实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际需求，通过互联网向厂商定购所需的应用软件服务，按定购的服务多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少和时间长短向厂商支付费用，并通过互联网获得厂商提供的服务。</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PCBA</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Printed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Board</w:t>
                        </w:r>
                        <w:r>
                          <w:rPr>
                            <w:rFonts w:ascii="Times New Roman" w:hAnsi="Times New Roman" w:cs="Times New Roman" w:eastAsia="Times New Roman" w:hint="default"/>
                            <w:spacing w:val="-8"/>
                            <w:sz w:val="18"/>
                            <w:szCs w:val="18"/>
                          </w:rPr>
                          <w:t> Assemble</w:t>
                        </w:r>
                        <w:r>
                          <w:rPr>
                            <w:rFonts w:ascii="宋体" w:hAnsi="宋体" w:cs="宋体" w:eastAsia="宋体" w:hint="default"/>
                            <w:spacing w:val="-8"/>
                            <w:sz w:val="18"/>
                            <w:szCs w:val="18"/>
                          </w:rPr>
                          <w:t>，即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PCB </w:t>
                        </w:r>
                        <w:r>
                          <w:rPr>
                            <w:rFonts w:ascii="宋体" w:hAnsi="宋体" w:cs="宋体" w:eastAsia="宋体" w:hint="default"/>
                            <w:sz w:val="18"/>
                            <w:szCs w:val="18"/>
                          </w:rPr>
                          <w:t>空板经过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SMT </w:t>
                        </w:r>
                        <w:r>
                          <w:rPr>
                            <w:rFonts w:ascii="宋体" w:hAnsi="宋体" w:cs="宋体" w:eastAsia="宋体" w:hint="default"/>
                            <w:spacing w:val="-12"/>
                            <w:sz w:val="18"/>
                            <w:szCs w:val="18"/>
                          </w:rPr>
                          <w:t>上件，再经过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DIP</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插件的整个制程，简称</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PCBA</w:t>
                        </w:r>
                        <w:r>
                          <w:rPr>
                            <w:rFonts w:ascii="宋体" w:hAnsi="宋体" w:cs="宋体" w:eastAsia="宋体" w:hint="default"/>
                            <w:spacing w:val="-3"/>
                            <w:sz w:val="18"/>
                            <w:szCs w:val="18"/>
                          </w:rPr>
                          <w:t>。此外，有贴装元件的板子也称为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PCBA</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99680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麦达数字</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002137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麦达数字</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 ZHEN </w:t>
            </w:r>
            <w:r>
              <w:rPr>
                <w:rFonts w:ascii="Times New Roman"/>
                <w:spacing w:val="-6"/>
                <w:sz w:val="18"/>
              </w:rPr>
              <w:t>MINDATA </w:t>
            </w:r>
            <w:r>
              <w:rPr>
                <w:rFonts w:ascii="Times New Roman"/>
                <w:sz w:val="18"/>
              </w:rPr>
              <w:t>HOLDING CO.,</w:t>
            </w:r>
            <w:r>
              <w:rPr>
                <w:rFonts w:ascii="Times New Roman"/>
                <w:spacing w:val="-2"/>
                <w:sz w:val="18"/>
              </w:rPr>
              <w:t> </w:t>
            </w:r>
            <w:r>
              <w:rPr>
                <w:rFonts w:ascii="Times New Roman"/>
                <w:spacing w:val="-6"/>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6"/>
                <w:sz w:val="18"/>
              </w:rPr>
              <w:t>MINDATA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陈亚妹</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深圳市龙岗区宝龙工业城宝龙六路实益达科技园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深圳市龙岗区宝龙工业城宝龙六路实益达科技园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www.mindatagroup.com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陈世蓉</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 达科技园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 达科技园</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0755-29672878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0755-29672878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Shirong.Chen@mindatagroup.com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914403007084140579</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公司传统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照明业务继续秉持</w:t>
            </w:r>
            <w:r>
              <w:rPr>
                <w:rFonts w:ascii="Times New Roman" w:hAnsi="Times New Roman" w:cs="Times New Roman" w:eastAsia="Times New Roman" w:hint="default"/>
                <w:sz w:val="18"/>
                <w:szCs w:val="18"/>
              </w:rPr>
              <w:t>“</w:t>
            </w:r>
            <w:r>
              <w:rPr>
                <w:rFonts w:ascii="宋体" w:hAnsi="宋体" w:cs="宋体" w:eastAsia="宋体" w:hint="default"/>
                <w:sz w:val="18"/>
                <w:szCs w:val="18"/>
              </w:rPr>
              <w:t>小而美</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的发展战略，保持持续、 健康发展；</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年公司确定转型互联网产业的战略目标，拟通过切入数字营销领 域向企业级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服务行业延伸，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年通过并购重组进入数字营销领域，未来 一定时期数字营销板块将成为公司新的盈利驱动业务。</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日，公司实际控制人陈亚妹女士与新余天道酬勤投资发展有限公 </w:t>
            </w:r>
            <w:r>
              <w:rPr>
                <w:rFonts w:ascii="宋体" w:hAnsi="宋体" w:cs="宋体" w:eastAsia="宋体" w:hint="default"/>
                <w:spacing w:val="-5"/>
                <w:sz w:val="18"/>
                <w:szCs w:val="18"/>
              </w:rPr>
              <w:t>司签署了《股份转让协议书》，新余天道酬勤投资发展有限公司将其持有的公司全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部股份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217,741,121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股协议转让给陈亚妹女士，该部分股份于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日完</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成股份过户登记手续，中国证券登记结算有限责任公司深圳分公司于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2" w:lineRule="auto" w:before="63"/>
              <w:ind w:left="23" w:right="4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日出具了《证券过户登记确认书》，本次股份转让过户事项全部完成，由此</w:t>
            </w:r>
            <w:r>
              <w:rPr>
                <w:rFonts w:ascii="宋体" w:hAnsi="宋体" w:cs="宋体" w:eastAsia="宋体" w:hint="default"/>
                <w:sz w:val="18"/>
                <w:szCs w:val="18"/>
              </w:rPr>
              <w:t> 公司控股股东由新余天道酬勤投资发展有限公司变更为陈亚妹女士。</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08"/>
        <w:gridCol w:w="6461"/>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张兴、张朝铖</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号大都会广场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肖尧、吴恢宇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8"/>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418,136,133.60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546,517,722.00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618,647,930.91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18,172,467.25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14,276,265.68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-187,575,136.11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11,212,585.49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6,655,923.16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-188,824,085.90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53,946,600.81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4,297,043.03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1,155.44%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-25,136,121.28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1,333,032,517.44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663,914,567.51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869,753,577.15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898,091,989.51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500,172,490.41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483,682,579.34</w:t>
            </w:r>
          </w:p>
        </w:tc>
      </w:tr>
    </w:tbl>
    <w:p>
      <w:pPr>
        <w:pStyle w:val="BodyText"/>
        <w:spacing w:line="240" w:lineRule="auto" w:before="51"/>
        <w:ind w:left="154" w:right="0"/>
        <w:jc w:val="left"/>
      </w:pPr>
      <w:r>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577,586,117</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0.0315</w:t>
            </w:r>
          </w:p>
        </w:tc>
      </w:tr>
    </w:tbl>
    <w:p>
      <w:pPr>
        <w:pStyle w:val="BodyText"/>
        <w:spacing w:line="240" w:lineRule="auto" w:before="51"/>
        <w:ind w:left="154" w:right="0"/>
        <w:jc w:val="left"/>
      </w:pPr>
      <w:r>
        <w:rPr/>
        <w:t>是否存在公司债</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spacing w:line="477" w:lineRule="auto" w:before="0"/>
        <w:ind w:left="153" w:right="0" w:firstLine="0"/>
        <w:jc w:val="left"/>
        <w:rPr>
          <w:rFonts w:ascii="宋体" w:hAnsi="宋体" w:cs="宋体" w:eastAsia="宋体" w:hint="default"/>
          <w:sz w:val="21"/>
          <w:szCs w:val="21"/>
        </w:rPr>
      </w:pPr>
      <w:bookmarkStart w:name="须办理公司债券停牌及暂停上市交易相关事项，并于年报披露时停牌！" w:id="10"/>
      <w:bookmarkEnd w:id="10"/>
      <w:r>
        <w:rPr/>
      </w:r>
      <w:r>
        <w:rPr>
          <w:rFonts w:ascii="宋体" w:hAnsi="宋体" w:cs="宋体" w:eastAsia="宋体" w:hint="default"/>
          <w:b/>
          <w:bCs/>
          <w:sz w:val="24"/>
          <w:szCs w:val="24"/>
        </w:rPr>
        <w:t>须办理公司债券停牌及暂停上市交易相关事项，并于年报披露时停牌！</w:t>
      </w:r>
      <w:r>
        <w:rPr>
          <w:rFonts w:ascii="宋体" w:hAnsi="宋体" w:cs="宋体" w:eastAsia="宋体" w:hint="default"/>
          <w:b/>
          <w:bCs/>
          <w:w w:val="99"/>
          <w:sz w:val="24"/>
          <w:szCs w:val="24"/>
        </w:rPr>
        <w:t> </w:t>
      </w:r>
      <w:bookmarkStart w:name="七、境内外会计准则下会计数据差异" w:id="11"/>
      <w:bookmarkEnd w:id="11"/>
      <w:r>
        <w:rPr>
          <w:rFonts w:ascii="宋体" w:hAnsi="宋体" w:cs="宋体" w:eastAsia="宋体" w:hint="default"/>
          <w:b/>
          <w:bCs/>
          <w:sz w:val="24"/>
          <w:szCs w:val="24"/>
        </w:rPr>
        <w:t>七、境内外会计准则下会计数据差异</w:t>
      </w:r>
      <w:r>
        <w:rPr>
          <w:rFonts w:ascii="宋体" w:hAnsi="宋体" w:cs="宋体" w:eastAsia="宋体" w:hint="default"/>
          <w:b/>
          <w:bCs/>
          <w:w w:val="99"/>
          <w:sz w:val="24"/>
          <w:szCs w:val="24"/>
        </w:rPr>
        <w:t> </w:t>
      </w:r>
      <w:bookmarkStart w:name="1、同时按照国际会计准则与按照中国会计准则披露的财务报告中净利润和净资产差异情况" w:id="12"/>
      <w:bookmarkEnd w:id="12"/>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、同时按照国际会计准则与按照中国会计准则披露的财务报告中净利润和净资产差异情况</w:t>
      </w:r>
      <w:r>
        <w:rPr>
          <w:rFonts w:ascii="宋体" w:hAnsi="宋体" w:cs="宋体" w:eastAsia="宋体" w:hint="default"/>
          <w:sz w:val="21"/>
          <w:szCs w:val="21"/>
        </w:rPr>
      </w:r>
    </w:p>
    <w:p>
      <w:pPr>
        <w:pStyle w:val="BodyText"/>
        <w:spacing w:line="338" w:lineRule="auto" w:before="117"/>
        <w:ind w:right="1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115,683,916.65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77,355,572.55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63,656,995.86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161,439,648.54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-176,628.24</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1,935,849.16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1,029,164.77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15,384,081.56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4" w:right="32"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-713,747.13</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1,534,485.07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761,959.14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9,629,888.41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19,640,477.84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57,304,499.09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-3,473,226.18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-19,525,149.94</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1,857,783.03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-488,288.18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-75,083.94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1,304,879.96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270,364.00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1,692,806.67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因获得政府补助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4,093,600.17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4,317,499.57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-277,551.26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6,647,312.19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-4,696,666.58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1,153,495.43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16,499.74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2,330.40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-37,459.08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-10,394.07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6,959,881.76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7,620,342.52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1,248,949.79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三节 公司业务概要" w:id="16"/>
      <w:bookmarkEnd w:id="16"/>
      <w:r>
        <w:rPr>
          <w:b w:val="0"/>
          <w:bCs w:val="0"/>
        </w:rPr>
      </w:r>
      <w:bookmarkStart w:name="_bookmark1"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14" w:right="0"/>
        <w:jc w:val="left"/>
      </w:pPr>
      <w:r>
        <w:rPr/>
        <w:t>（一）公司从事的主要业务类型 根据公司的战略规划和布局，公司于报告期内全资并购顺为广告（全案类</w:t>
      </w:r>
      <w:r>
        <w:rPr>
          <w:rFonts w:ascii="Times New Roman" w:hAnsi="Times New Roman" w:cs="Times New Roman" w:eastAsia="Times New Roman" w:hint="default"/>
        </w:rPr>
        <w:t>4A</w:t>
      </w:r>
      <w:r>
        <w:rPr/>
        <w:t>公司）、奇思广告（创意类数字营销）和</w:t>
      </w:r>
    </w:p>
    <w:p>
      <w:pPr>
        <w:pStyle w:val="BodyText"/>
        <w:spacing w:line="309" w:lineRule="auto" w:before="0"/>
        <w:ind w:right="1129"/>
        <w:jc w:val="both"/>
      </w:pPr>
      <w:r>
        <w:rPr>
          <w:spacing w:val="-2"/>
        </w:rPr>
        <w:t>利宣广告（社会化媒体营销）三家数字营销公司，并参股广州讯友（移动互联网整合营销），进入数字营销行业，公司的主</w:t>
      </w:r>
      <w:r>
        <w:rPr>
          <w:spacing w:val="-72"/>
        </w:rPr>
        <w:t> </w:t>
      </w:r>
      <w:r>
        <w:rPr>
          <w:spacing w:val="-72"/>
        </w:rPr>
      </w:r>
      <w:r>
        <w:rPr/>
        <w:t>要业务和经营模式发生重大变化；公司稳步发展互联网板块业务的同时，继续秉持</w:t>
      </w:r>
      <w:r>
        <w:rPr>
          <w:rFonts w:ascii="Times New Roman" w:hAnsi="Times New Roman" w:cs="Times New Roman" w:eastAsia="Times New Roman" w:hint="default"/>
        </w:rPr>
        <w:t>“</w:t>
      </w:r>
      <w:r>
        <w:rPr/>
        <w:t>小而美</w:t>
      </w:r>
      <w:r>
        <w:rPr>
          <w:rFonts w:ascii="Times New Roman" w:hAnsi="Times New Roman" w:cs="Times New Roman" w:eastAsia="Times New Roman" w:hint="default"/>
        </w:rPr>
        <w:t>”</w:t>
      </w:r>
      <w:r>
        <w:rPr/>
        <w:t>的发展战略，保持</w:t>
      </w:r>
      <w:r>
        <w:rPr>
          <w:rFonts w:ascii="Times New Roman" w:hAnsi="Times New Roman" w:cs="Times New Roman" w:eastAsia="Times New Roman" w:hint="default"/>
        </w:rPr>
        <w:t>EMS</w:t>
      </w:r>
      <w:r>
        <w:rPr/>
        <w:t>业务、</w:t>
      </w:r>
      <w:r>
        <w:rPr>
          <w:spacing w:val="8"/>
        </w:rPr>
        <w:t> </w:t>
      </w:r>
      <w:r>
        <w:rPr>
          <w:rFonts w:ascii="Times New Roman" w:hAnsi="Times New Roman" w:cs="Times New Roman" w:eastAsia="Times New Roman" w:hint="default"/>
          <w:spacing w:val="-2"/>
        </w:rPr>
        <w:t>LED</w:t>
      </w:r>
      <w:r>
        <w:rPr>
          <w:spacing w:val="-2"/>
        </w:rPr>
        <w:t>照明业务持续、健康发展。因此，公司主营业务目前主要包括三个板块：数字营销业务、</w:t>
      </w:r>
      <w:r>
        <w:rPr>
          <w:rFonts w:ascii="Times New Roman" w:hAnsi="Times New Roman" w:cs="Times New Roman" w:eastAsia="Times New Roman" w:hint="default"/>
          <w:spacing w:val="-2"/>
        </w:rPr>
        <w:t>EMS</w:t>
      </w:r>
      <w:r>
        <w:rPr>
          <w:spacing w:val="-2"/>
        </w:rPr>
        <w:t>业务和</w:t>
      </w:r>
      <w:r>
        <w:rPr>
          <w:rFonts w:ascii="Times New Roman" w:hAnsi="Times New Roman" w:cs="Times New Roman" w:eastAsia="Times New Roman" w:hint="default"/>
          <w:spacing w:val="-2"/>
        </w:rPr>
        <w:t>LED</w:t>
      </w:r>
      <w:r>
        <w:rPr>
          <w:spacing w:val="-2"/>
        </w:rPr>
        <w:t>照明业务，其</w:t>
      </w:r>
      <w:r>
        <w:rPr>
          <w:spacing w:val="-55"/>
        </w:rPr>
        <w:t> </w:t>
      </w:r>
      <w:r>
        <w:rPr>
          <w:spacing w:val="-55"/>
        </w:rPr>
      </w:r>
      <w:r>
        <w:rPr>
          <w:spacing w:val="-2"/>
        </w:rPr>
        <w:t>中数字营销作为公司于报告期内新切入的领域，未来一定时期将成为公司收入和利润的重要组成部分。公司三个业务板块主</w:t>
      </w:r>
      <w:r>
        <w:rPr>
          <w:spacing w:val="-64"/>
        </w:rPr>
        <w:t> </w:t>
      </w:r>
      <w:r>
        <w:rPr>
          <w:spacing w:val="-64"/>
        </w:rPr>
      </w:r>
      <w:r>
        <w:rPr/>
        <w:t>要包括下表所列的各类产品和服务：</w:t>
      </w:r>
    </w:p>
    <w:p>
      <w:pPr>
        <w:tabs>
          <w:tab w:pos="4552" w:val="left" w:leader="none"/>
          <w:tab w:pos="7259" w:val="left" w:leader="none"/>
        </w:tabs>
        <w:spacing w:before="24"/>
        <w:ind w:left="779" w:right="0" w:firstLine="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数字营销服务</w:t>
      </w:r>
      <w:r>
        <w:rPr>
          <w:rFonts w:ascii="宋体" w:hAnsi="宋体" w:cs="宋体" w:eastAsia="宋体" w:hint="default"/>
          <w:b/>
          <w:bCs/>
          <w:w w:val="95"/>
          <w:sz w:val="18"/>
          <w:szCs w:val="18"/>
        </w:rPr>
        <w:tab/>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b/>
          <w:bCs/>
          <w:spacing w:val="-1"/>
          <w:sz w:val="18"/>
          <w:szCs w:val="18"/>
          <w:u w:val="single" w:color="000000"/>
        </w:rPr>
        <w:t>LED</w:t>
      </w:r>
      <w:r>
        <w:rPr>
          <w:rFonts w:ascii="宋体" w:hAnsi="宋体" w:cs="宋体" w:eastAsia="宋体" w:hint="default"/>
          <w:b/>
          <w:bCs/>
          <w:spacing w:val="-1"/>
          <w:sz w:val="18"/>
          <w:szCs w:val="18"/>
          <w:u w:val="single" w:color="000000"/>
        </w:rPr>
        <w:t>照明业务</w:t>
      </w:r>
      <w:r>
        <w:rPr>
          <w:rFonts w:ascii="宋体" w:hAnsi="宋体" w:cs="宋体" w:eastAsia="宋体" w:hint="default"/>
          <w:b/>
          <w:bCs/>
          <w:spacing w:val="-1"/>
          <w:sz w:val="18"/>
          <w:szCs w:val="18"/>
        </w:rPr>
        <w:tab/>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b/>
          <w:bCs/>
          <w:sz w:val="18"/>
          <w:szCs w:val="18"/>
          <w:u w:val="single" w:color="000000"/>
        </w:rPr>
        <w:t>EMS</w:t>
      </w:r>
      <w:r>
        <w:rPr>
          <w:rFonts w:ascii="宋体" w:hAnsi="宋体" w:cs="宋体" w:eastAsia="宋体" w:hint="default"/>
          <w:b/>
          <w:bCs/>
          <w:sz w:val="18"/>
          <w:szCs w:val="18"/>
          <w:u w:val="single" w:color="000000"/>
        </w:rPr>
        <w:t>业务</w:t>
      </w:r>
      <w:r>
        <w:rPr>
          <w:rFonts w:ascii="宋体" w:hAnsi="宋体" w:cs="宋体" w:eastAsia="宋体" w:hint="default"/>
          <w:b/>
          <w:bCs/>
          <w:sz w:val="18"/>
          <w:szCs w:val="18"/>
        </w:rPr>
      </w:r>
      <w:r>
        <w:rPr>
          <w:rFonts w:ascii="宋体" w:hAnsi="宋体" w:cs="宋体" w:eastAsia="宋体" w:hint="default"/>
          <w:sz w:val="18"/>
          <w:szCs w:val="18"/>
        </w:rPr>
      </w:r>
    </w:p>
    <w:p>
      <w:pPr>
        <w:pStyle w:val="BodyText"/>
        <w:spacing w:line="240" w:lineRule="auto" w:before="102"/>
        <w:ind w:left="514" w:right="0"/>
        <w:jc w:val="left"/>
        <w:rPr>
          <w:rFonts w:ascii="Times New Roman" w:hAnsi="Times New Roman" w:cs="Times New Roman" w:eastAsia="Times New Roman" w:hint="default"/>
        </w:rPr>
      </w:pPr>
      <w:r>
        <w:rPr>
          <w:rFonts w:ascii="Times New Roman"/>
        </w:rPr>
        <w:t>----------------------------------------------------------------------------------------------------------------------------------------------------</w:t>
      </w:r>
    </w:p>
    <w:p>
      <w:pPr>
        <w:spacing w:line="240" w:lineRule="auto" w:before="2"/>
        <w:rPr>
          <w:rFonts w:ascii="Times New Roman" w:hAnsi="Times New Roman" w:cs="Times New Roman" w:eastAsia="Times New Roman" w:hint="default"/>
          <w:sz w:val="3"/>
          <w:szCs w:val="3"/>
        </w:rPr>
      </w:pPr>
    </w:p>
    <w:tbl>
      <w:tblPr>
        <w:tblW w:w="0" w:type="auto"/>
        <w:jc w:val="left"/>
        <w:tblInd w:w="419" w:type="dxa"/>
        <w:tblLayout w:type="fixed"/>
        <w:tblCellMar>
          <w:top w:w="0" w:type="dxa"/>
          <w:left w:w="0" w:type="dxa"/>
          <w:bottom w:w="0" w:type="dxa"/>
          <w:right w:w="0" w:type="dxa"/>
        </w:tblCellMar>
        <w:tblLook w:val="01E0"/>
      </w:tblPr>
      <w:tblGrid>
        <w:gridCol w:w="3883"/>
        <w:gridCol w:w="2476"/>
        <w:gridCol w:w="2387"/>
      </w:tblGrid>
      <w:tr>
        <w:trPr>
          <w:trHeight w:val="33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互联网媒体全案营销（</w:t>
            </w:r>
            <w:r>
              <w:rPr>
                <w:rFonts w:ascii="Times New Roman" w:hAnsi="Times New Roman" w:cs="Times New Roman" w:eastAsia="Times New Roman" w:hint="default"/>
                <w:sz w:val="18"/>
                <w:szCs w:val="18"/>
              </w:rPr>
              <w:t>PC</w:t>
            </w:r>
            <w:r>
              <w:rPr>
                <w:rFonts w:ascii="宋体" w:hAnsi="宋体" w:cs="宋体" w:eastAsia="宋体" w:hint="default"/>
                <w:sz w:val="18"/>
                <w:szCs w:val="18"/>
              </w:rPr>
              <w:t>和移动端媒体）</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照明光源产品</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电子产品的</w:t>
            </w:r>
            <w:r>
              <w:rPr>
                <w:rFonts w:ascii="Times New Roman" w:hAnsi="Times New Roman" w:cs="Times New Roman" w:eastAsia="Times New Roman" w:hint="default"/>
                <w:sz w:val="18"/>
                <w:szCs w:val="18"/>
              </w:rPr>
              <w:t>PCBA</w:t>
            </w:r>
            <w:r>
              <w:rPr>
                <w:rFonts w:ascii="宋体" w:hAnsi="宋体" w:cs="宋体" w:eastAsia="宋体" w:hint="default"/>
                <w:sz w:val="18"/>
                <w:szCs w:val="18"/>
              </w:rPr>
              <w:t>板</w:t>
            </w:r>
          </w:p>
        </w:tc>
      </w:tr>
      <w:tr>
        <w:trPr>
          <w:trHeight w:val="931"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创意策略服务</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互联网整合营销服务</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社会化媒体营销服务</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照明灯具产品</w:t>
            </w:r>
          </w:p>
          <w:p>
            <w:pPr>
              <w:pStyle w:val="TableParagraph"/>
              <w:spacing w:line="240" w:lineRule="auto" w:before="63"/>
              <w:ind w:left="2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照明其他产品</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电子产品整机装配</w:t>
            </w:r>
          </w:p>
        </w:tc>
      </w:tr>
      <w:tr>
        <w:trPr>
          <w:trHeight w:val="34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广告制作服务</w:t>
            </w:r>
          </w:p>
        </w:tc>
        <w:tc>
          <w:tcPr>
            <w:tcW w:w="2476"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6"/>
        <w:ind w:left="514" w:right="0"/>
        <w:jc w:val="left"/>
        <w:rPr>
          <w:rFonts w:ascii="Times New Roman" w:hAnsi="Times New Roman" w:cs="Times New Roman" w:eastAsia="Times New Roman" w:hint="default"/>
        </w:rPr>
      </w:pPr>
      <w:r>
        <w:rPr>
          <w:rFonts w:ascii="Times New Roman"/>
        </w:rPr>
        <w:t>----------------------------------------------------------------------------------------------------------------------------------------------------</w:t>
      </w:r>
    </w:p>
    <w:p>
      <w:pPr>
        <w:pStyle w:val="BodyText"/>
        <w:spacing w:line="300" w:lineRule="auto" w:before="65"/>
        <w:ind w:left="514" w:right="1132"/>
        <w:jc w:val="left"/>
      </w:pPr>
      <w:r>
        <w:rPr>
          <w:rFonts w:ascii="Times New Roman" w:hAnsi="Times New Roman" w:cs="Times New Roman" w:eastAsia="Times New Roman" w:hint="default"/>
        </w:rPr>
        <w:t>1</w:t>
      </w:r>
      <w:r>
        <w:rPr/>
        <w:t>、数字营销业务 </w:t>
      </w:r>
      <w:r>
        <w:rPr>
          <w:spacing w:val="-1"/>
        </w:rPr>
        <w:t>数字营销业务作为广告营销活动在互联网领域的延伸，具有与广告行业一致的四大主体属性，即广告主</w:t>
      </w:r>
      <w:r>
        <w:rPr>
          <w:rFonts w:ascii="Times New Roman" w:hAnsi="Times New Roman" w:cs="Times New Roman" w:eastAsia="Times New Roman" w:hint="default"/>
          <w:spacing w:val="-1"/>
        </w:rPr>
        <w:t>–</w:t>
      </w:r>
      <w:r>
        <w:rPr>
          <w:spacing w:val="-1"/>
        </w:rPr>
        <w:t>广告公司</w:t>
      </w:r>
      <w:r>
        <w:rPr>
          <w:rFonts w:ascii="Times New Roman" w:hAnsi="Times New Roman" w:cs="Times New Roman" w:eastAsia="Times New Roman" w:hint="default"/>
          <w:spacing w:val="-1"/>
        </w:rPr>
        <w:t>-</w:t>
      </w:r>
      <w:r>
        <w:rPr>
          <w:spacing w:val="-1"/>
        </w:rPr>
        <w:t>媒体</w:t>
      </w:r>
    </w:p>
    <w:p>
      <w:pPr>
        <w:pStyle w:val="BodyText"/>
        <w:spacing w:line="300" w:lineRule="auto" w:before="13"/>
        <w:ind w:right="0"/>
        <w:jc w:val="left"/>
      </w:pPr>
      <w:r>
        <w:rPr>
          <w:rFonts w:ascii="Times New Roman" w:hAnsi="Times New Roman" w:cs="Times New Roman" w:eastAsia="Times New Roman" w:hint="default"/>
        </w:rPr>
        <w:t>-</w:t>
      </w:r>
      <w:r>
        <w:rPr/>
        <w:t>受众，数字营销公司对接广告主和媒体渠道，盈利模式主要为通过梳理广告主需求并提供创意策略或解决方案，并向媒体</w:t>
      </w:r>
      <w:r>
        <w:rPr>
          <w:spacing w:val="-53"/>
        </w:rPr>
        <w:t> </w:t>
      </w:r>
      <w:r>
        <w:rPr>
          <w:spacing w:val="-53"/>
        </w:rPr>
      </w:r>
      <w:r>
        <w:rPr/>
        <w:t>渠道提供可操作的广告投放需求，赚取创意策略、广告投放、媒体返点等费用。公司数字营销板块业务的主要包括以下：</w:t>
      </w:r>
    </w:p>
    <w:p>
      <w:pPr>
        <w:pStyle w:val="BodyText"/>
        <w:spacing w:line="300" w:lineRule="auto" w:before="31"/>
        <w:ind w:right="1130" w:firstLine="360"/>
        <w:jc w:val="both"/>
      </w:pPr>
      <w:r>
        <w:rPr/>
        <w:t>（</w:t>
      </w:r>
      <w:r>
        <w:rPr>
          <w:rFonts w:ascii="Times New Roman" w:hAnsi="Times New Roman" w:cs="Times New Roman" w:eastAsia="Times New Roman" w:hint="default"/>
        </w:rPr>
        <w:t>1</w:t>
      </w:r>
      <w:r>
        <w:rPr/>
        <w:t>）互联网媒体全案营销服务是指通过为广告主定位目标受众群体，利用门户、视频、电商、垂直、搜索引擎网站等 传统互联网媒体（包括</w:t>
      </w:r>
      <w:r>
        <w:rPr>
          <w:rFonts w:ascii="Times New Roman" w:hAnsi="Times New Roman" w:cs="Times New Roman" w:eastAsia="Times New Roman" w:hint="default"/>
        </w:rPr>
        <w:t>PC</w:t>
      </w:r>
      <w:r>
        <w:rPr/>
        <w:t>端与移动端媒体）信息展示、互动等营销模式，帮助广告主获取理想的广告传播效果，并提供广</w:t>
      </w:r>
      <w:r>
        <w:rPr>
          <w:spacing w:val="-44"/>
        </w:rPr>
        <w:t> </w:t>
      </w:r>
      <w:r>
        <w:rPr>
          <w:spacing w:val="-44"/>
        </w:rPr>
      </w:r>
      <w:r>
        <w:rPr/>
        <w:t>告制作、投放时期的创意策略服务和广告投放后的效果监测服务，赚取代理服务费用与和媒介返点费用；</w:t>
      </w:r>
    </w:p>
    <w:p>
      <w:pPr>
        <w:pStyle w:val="BodyText"/>
        <w:spacing w:line="309" w:lineRule="auto" w:before="31"/>
        <w:ind w:left="154" w:right="1129" w:firstLine="360"/>
        <w:jc w:val="both"/>
      </w:pPr>
      <w:r>
        <w:rPr/>
        <w:t>（</w:t>
      </w:r>
      <w:r>
        <w:rPr>
          <w:rFonts w:ascii="Times New Roman" w:hAnsi="Times New Roman" w:cs="Times New Roman" w:eastAsia="Times New Roman" w:hint="default"/>
        </w:rPr>
        <w:t>2</w:t>
      </w:r>
      <w:r>
        <w:rPr/>
        <w:t>）创意策略服务是指通过为广告主提供全套市场营销创意策略服务方案，即品牌或产品营销策略服务、创意开发服 </w:t>
      </w:r>
      <w:r>
        <w:rPr>
          <w:spacing w:val="-2"/>
        </w:rPr>
        <w:t>务、区域营销策略规划，并协助广告主对接平面、电视、互联网等全媒体渠道，指导广告主进行营销推广，赚取创意策略服</w:t>
      </w:r>
      <w:r>
        <w:rPr>
          <w:spacing w:val="-68"/>
        </w:rPr>
        <w:t> </w:t>
      </w:r>
      <w:r>
        <w:rPr>
          <w:spacing w:val="-68"/>
        </w:rPr>
      </w:r>
      <w:r>
        <w:rPr/>
        <w:t>务费用。</w:t>
      </w:r>
    </w:p>
    <w:p>
      <w:pPr>
        <w:pStyle w:val="BodyText"/>
        <w:spacing w:line="300" w:lineRule="auto" w:before="24"/>
        <w:ind w:left="154" w:right="1131" w:firstLine="360"/>
        <w:jc w:val="both"/>
      </w:pPr>
      <w:r>
        <w:rPr/>
        <w:t>（</w:t>
      </w:r>
      <w:r>
        <w:rPr>
          <w:rFonts w:ascii="Times New Roman" w:hAnsi="Times New Roman" w:cs="Times New Roman" w:eastAsia="Times New Roman" w:hint="default"/>
        </w:rPr>
        <w:t>3</w:t>
      </w:r>
      <w:r>
        <w:rPr/>
        <w:t>）互联网整合营销服务是指通过向广告主提供结合广告创意设计及制作、线上投放与线下推广活动于一体的互联网 整合营销服务，赚取创意设计制作费用、线上推广及媒体采购费用、线下活动执行费用等整合营销服务费。</w:t>
      </w:r>
    </w:p>
    <w:p>
      <w:pPr>
        <w:pStyle w:val="BodyText"/>
        <w:spacing w:line="312" w:lineRule="auto" w:before="31"/>
        <w:ind w:left="154" w:right="0" w:firstLine="360"/>
        <w:jc w:val="left"/>
      </w:pPr>
      <w:r>
        <w:rPr/>
        <w:t>（</w:t>
      </w:r>
      <w:r>
        <w:rPr>
          <w:rFonts w:ascii="Times New Roman" w:hAnsi="Times New Roman" w:cs="Times New Roman" w:eastAsia="Times New Roman" w:hint="default"/>
        </w:rPr>
        <w:t>4</w:t>
      </w:r>
      <w:r>
        <w:rPr/>
        <w:t>）社会化媒体营销业务服务是指是指通过利用具有社交属性的社会化媒体（如社交论坛、自媒体），向广告主提供 </w:t>
      </w:r>
      <w:r>
        <w:rPr>
          <w:spacing w:val="-2"/>
        </w:rPr>
        <w:t>包含品牌社交策略策划、品牌活动策划及执行、品牌自媒体管理、网络意见领袖策略及执行、社交媒体会员管理、社交电子</w:t>
      </w:r>
      <w:r>
        <w:rPr>
          <w:spacing w:val="-66"/>
        </w:rPr>
        <w:t> </w:t>
      </w:r>
      <w:r>
        <w:rPr>
          <w:spacing w:val="-66"/>
        </w:rPr>
      </w:r>
      <w:r>
        <w:rPr>
          <w:spacing w:val="-4"/>
        </w:rPr>
        <w:t>商务、网络交互活动的设计与技术搭建、舆情监测等、社会化媒体账号的代运营在内的社会化媒体营销服务，赚取营销服务、</w:t>
      </w:r>
      <w:r>
        <w:rPr>
          <w:spacing w:val="-46"/>
        </w:rPr>
        <w:t> </w:t>
      </w:r>
      <w:r>
        <w:rPr>
          <w:spacing w:val="-46"/>
        </w:rPr>
      </w:r>
      <w:r>
        <w:rPr/>
        <w:t>媒介采购等费用。</w:t>
      </w:r>
    </w:p>
    <w:p>
      <w:pPr>
        <w:pStyle w:val="BodyText"/>
        <w:spacing w:line="300" w:lineRule="auto" w:before="22"/>
        <w:ind w:left="513" w:right="1123"/>
        <w:jc w:val="left"/>
      </w:pPr>
      <w:r>
        <w:rPr/>
        <w:t>（</w:t>
      </w:r>
      <w:r>
        <w:rPr>
          <w:rFonts w:ascii="Times New Roman" w:hAnsi="Times New Roman" w:cs="Times New Roman" w:eastAsia="Times New Roman" w:hint="default"/>
        </w:rPr>
        <w:t>5</w:t>
      </w:r>
      <w:r>
        <w:rPr/>
        <w:t>）广告制作服务是指通过为广告主提供平面、视频等广告的制作、监制服务，赚取广告制作费用或广告监制费用。 </w:t>
      </w:r>
      <w:r>
        <w:rPr>
          <w:rFonts w:ascii="Times New Roman" w:hAnsi="Times New Roman" w:cs="Times New Roman" w:eastAsia="Times New Roman" w:hint="default"/>
        </w:rPr>
        <w:t>2</w:t>
      </w:r>
      <w:r>
        <w:rPr/>
        <w:t>、</w:t>
      </w:r>
      <w:r>
        <w:rPr>
          <w:rFonts w:ascii="Times New Roman" w:hAnsi="Times New Roman" w:cs="Times New Roman" w:eastAsia="Times New Roman" w:hint="default"/>
        </w:rPr>
        <w:t>EMS</w:t>
      </w:r>
      <w:r>
        <w:rPr/>
        <w:t>业务 </w:t>
      </w:r>
      <w:r>
        <w:rPr>
          <w:rFonts w:ascii="Times New Roman" w:hAnsi="Times New Roman" w:cs="Times New Roman" w:eastAsia="Times New Roman" w:hint="default"/>
        </w:rPr>
        <w:t>EMS</w:t>
      </w:r>
      <w:r>
        <w:rPr/>
        <w:t>业务即电子制造服务，即为品牌商提供产品设计、工程、制造、测试、物料采购、库存以及物流管理等从前端设</w:t>
      </w:r>
    </w:p>
    <w:p>
      <w:pPr>
        <w:pStyle w:val="BodyText"/>
        <w:spacing w:line="316" w:lineRule="auto" w:before="13"/>
        <w:ind w:left="154" w:right="1032"/>
        <w:jc w:val="left"/>
      </w:pPr>
      <w:r>
        <w:rPr/>
        <w:t>计、物料采购、制造及销售等一系列服务，经营模式主要是按客户订单组织生产和销售，并按合同或订单约定收取加工费、 服务费等费用。</w:t>
      </w:r>
    </w:p>
    <w:p>
      <w:pPr>
        <w:pStyle w:val="BodyText"/>
        <w:spacing w:line="300" w:lineRule="auto"/>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t>照明业务 </w:t>
      </w:r>
      <w:r>
        <w:rPr>
          <w:spacing w:val="-2"/>
        </w:rPr>
        <w:t>公司</w:t>
      </w:r>
      <w:r>
        <w:rPr>
          <w:rFonts w:ascii="Times New Roman" w:hAnsi="Times New Roman" w:cs="Times New Roman" w:eastAsia="Times New Roman" w:hint="default"/>
          <w:spacing w:val="-2"/>
        </w:rPr>
        <w:t>LED</w:t>
      </w:r>
      <w:r>
        <w:rPr>
          <w:spacing w:val="-2"/>
        </w:rPr>
        <w:t>照明业务主要包括</w:t>
      </w:r>
      <w:r>
        <w:rPr>
          <w:rFonts w:ascii="Times New Roman" w:hAnsi="Times New Roman" w:cs="Times New Roman" w:eastAsia="Times New Roman" w:hint="default"/>
          <w:spacing w:val="-2"/>
        </w:rPr>
        <w:t>LED</w:t>
      </w:r>
      <w:r>
        <w:rPr>
          <w:spacing w:val="-2"/>
        </w:rPr>
        <w:t>照明产品的设计、研发、生产和销售，为用户提供</w:t>
      </w:r>
      <w:r>
        <w:rPr>
          <w:rFonts w:ascii="Times New Roman" w:hAnsi="Times New Roman" w:cs="Times New Roman" w:eastAsia="Times New Roman" w:hint="default"/>
          <w:spacing w:val="-2"/>
        </w:rPr>
        <w:t>LED</w:t>
      </w:r>
      <w:r>
        <w:rPr>
          <w:spacing w:val="-2"/>
        </w:rPr>
        <w:t>照明解决方案，销售模式分为经</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销商模式和</w:t>
      </w:r>
      <w:r>
        <w:rPr>
          <w:rFonts w:ascii="Times New Roman" w:hAnsi="Times New Roman" w:cs="Times New Roman" w:eastAsia="Times New Roman" w:hint="default"/>
        </w:rPr>
        <w:t>ODM</w:t>
      </w:r>
      <w:r>
        <w:rPr/>
        <w:t>模式，产品主要包括筒灯、射灯等灯具类产品，和支架灯、灯管、灯带等光源类产品，经营模式主要是按</w:t>
      </w:r>
      <w:r>
        <w:rPr>
          <w:spacing w:val="-59"/>
        </w:rPr>
        <w:t> </w:t>
      </w:r>
      <w:r>
        <w:rPr>
          <w:spacing w:val="-59"/>
        </w:rPr>
      </w:r>
      <w:r>
        <w:rPr/>
        <w:t>客户订单组织生产和销售，并按合同或订单约定收取销售款。</w:t>
      </w:r>
    </w:p>
    <w:p>
      <w:pPr>
        <w:pStyle w:val="BodyText"/>
        <w:spacing w:line="240" w:lineRule="auto" w:before="31"/>
        <w:ind w:left="513" w:right="0"/>
        <w:jc w:val="left"/>
      </w:pPr>
      <w:r>
        <w:rPr/>
        <w:t>（二）公司所属行业的发展特征</w:t>
      </w:r>
    </w:p>
    <w:p>
      <w:pPr>
        <w:pStyle w:val="BodyText"/>
        <w:spacing w:line="240" w:lineRule="auto" w:before="76"/>
        <w:ind w:left="513" w:right="0"/>
        <w:jc w:val="left"/>
      </w:pPr>
      <w:r>
        <w:rPr>
          <w:rFonts w:ascii="Times New Roman" w:hAnsi="Times New Roman" w:cs="Times New Roman" w:eastAsia="Times New Roman" w:hint="default"/>
        </w:rPr>
        <w:t>1</w:t>
      </w:r>
      <w:r>
        <w:rPr/>
        <w:t>、数字营销业务</w:t>
      </w:r>
    </w:p>
    <w:p>
      <w:pPr>
        <w:pStyle w:val="BodyText"/>
        <w:spacing w:line="300" w:lineRule="auto" w:before="63"/>
        <w:ind w:left="514" w:right="0"/>
        <w:jc w:val="left"/>
      </w:pPr>
      <w:r>
        <w:rPr/>
        <w:t>（</w:t>
      </w:r>
      <w:r>
        <w:rPr>
          <w:rFonts w:ascii="Times New Roman" w:hAnsi="Times New Roman" w:cs="Times New Roman" w:eastAsia="Times New Roman" w:hint="default"/>
        </w:rPr>
        <w:t>1</w:t>
      </w:r>
      <w:r>
        <w:rPr/>
        <w:t>）行业基本情况 </w:t>
      </w:r>
      <w:r>
        <w:rPr>
          <w:spacing w:val="-2"/>
        </w:rPr>
        <w:t>数字营销，即借助互联网络、电脑通信技术和数字交互式媒体实现营销目标，是一个随着互联网科技的产生和发展而诞</w:t>
      </w:r>
    </w:p>
    <w:p>
      <w:pPr>
        <w:pStyle w:val="BodyText"/>
        <w:spacing w:line="316" w:lineRule="auto" w:before="31"/>
        <w:ind w:left="154" w:right="0"/>
        <w:jc w:val="left"/>
      </w:pPr>
      <w:r>
        <w:rPr>
          <w:spacing w:val="-2"/>
        </w:rPr>
        <w:t>生出来的新业态、新服务，其作为互联网行业与广告行业的交叉领域，兼有两大行业的基本特征。在产业链中，数字营销的</w:t>
      </w:r>
      <w:r>
        <w:rPr>
          <w:spacing w:val="-66"/>
        </w:rPr>
        <w:t> </w:t>
      </w:r>
      <w:r>
        <w:rPr>
          <w:spacing w:val="-66"/>
        </w:rPr>
      </w:r>
      <w:r>
        <w:rPr>
          <w:spacing w:val="-1"/>
        </w:rPr>
        <w:t>上游即是广告主，中游包括第三方广告服务产业群，其中根据模式的差异又再分为两条链，其中具体包括广告网络（</w:t>
      </w:r>
      <w:r>
        <w:rPr>
          <w:rFonts w:ascii="Times New Roman" w:hAnsi="Times New Roman" w:cs="Times New Roman" w:eastAsia="Times New Roman" w:hint="default"/>
          <w:spacing w:val="-1"/>
        </w:rPr>
        <w:t>AND</w:t>
      </w:r>
      <w:r>
        <w:rPr>
          <w:spacing w:val="-1"/>
        </w:rPr>
        <w:t>）</w:t>
      </w:r>
    </w:p>
    <w:p>
      <w:pPr>
        <w:pStyle w:val="BodyText"/>
        <w:spacing w:line="300" w:lineRule="auto" w:before="0"/>
        <w:ind w:right="1117"/>
        <w:jc w:val="left"/>
      </w:pPr>
      <w:r>
        <w:rPr>
          <w:rFonts w:ascii="Times New Roman" w:hAnsi="Times New Roman" w:cs="Times New Roman" w:eastAsia="Times New Roman" w:hint="default"/>
        </w:rPr>
        <w:t>/</w:t>
      </w:r>
      <w:r>
        <w:rPr/>
        <w:t>程序化购买技术平台（</w:t>
      </w:r>
      <w:r>
        <w:rPr>
          <w:rFonts w:ascii="Times New Roman" w:hAnsi="Times New Roman" w:cs="Times New Roman" w:eastAsia="Times New Roman" w:hint="default"/>
        </w:rPr>
        <w:t>DSP</w:t>
      </w:r>
      <w:r>
        <w:rPr/>
        <w:t>、</w:t>
      </w:r>
      <w:r>
        <w:rPr>
          <w:rFonts w:ascii="Times New Roman" w:hAnsi="Times New Roman" w:cs="Times New Roman" w:eastAsia="Times New Roman" w:hint="default"/>
        </w:rPr>
        <w:t>ADX</w:t>
      </w:r>
      <w:r>
        <w:rPr/>
        <w:t>、</w:t>
      </w:r>
      <w:r>
        <w:rPr>
          <w:rFonts w:ascii="Times New Roman" w:hAnsi="Times New Roman" w:cs="Times New Roman" w:eastAsia="Times New Roman" w:hint="default"/>
        </w:rPr>
        <w:t>SSP</w:t>
      </w:r>
      <w:r>
        <w:rPr/>
        <w:t>、</w:t>
      </w:r>
      <w:r>
        <w:rPr>
          <w:rFonts w:ascii="Times New Roman" w:hAnsi="Times New Roman" w:cs="Times New Roman" w:eastAsia="Times New Roman" w:hint="default"/>
        </w:rPr>
        <w:t>DMP</w:t>
      </w:r>
      <w:r>
        <w:rPr/>
        <w:t>），下游即是互联网媒体资源，分别对应</w:t>
      </w:r>
      <w:r>
        <w:rPr>
          <w:rFonts w:ascii="Times New Roman" w:hAnsi="Times New Roman" w:cs="Times New Roman" w:eastAsia="Times New Roman" w:hint="default"/>
        </w:rPr>
        <w:t>PC</w:t>
      </w:r>
      <w:r>
        <w:rPr>
          <w:rFonts w:ascii="Times New Roman" w:hAnsi="Times New Roman" w:cs="Times New Roman" w:eastAsia="Times New Roman" w:hint="default"/>
          <w:spacing w:val="-10"/>
        </w:rPr>
        <w:t> </w:t>
      </w:r>
      <w:r>
        <w:rPr/>
        <w:t>端和移动端。产业链基本情况 如下：</w:t>
      </w:r>
    </w:p>
    <w:p>
      <w:pPr>
        <w:spacing w:line="240" w:lineRule="auto" w:before="12"/>
        <w:rPr>
          <w:rFonts w:ascii="宋体" w:hAnsi="宋体" w:cs="宋体" w:eastAsia="宋体" w:hint="default"/>
          <w:sz w:val="4"/>
          <w:szCs w:val="4"/>
        </w:rPr>
      </w:pPr>
    </w:p>
    <w:p>
      <w:pPr>
        <w:spacing w:line="3030" w:lineRule="exact"/>
        <w:ind w:left="154"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5535482" cy="192433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535482" cy="1924335"/>
                    </a:xfrm>
                    <a:prstGeom prst="rect">
                      <a:avLst/>
                    </a:prstGeom>
                  </pic:spPr>
                </pic:pic>
              </a:graphicData>
            </a:graphic>
          </wp:inline>
        </w:drawing>
      </w:r>
      <w:r>
        <w:rPr>
          <w:rFonts w:ascii="宋体" w:hAnsi="宋体" w:cs="宋体" w:eastAsia="宋体" w:hint="default"/>
          <w:position w:val="-60"/>
          <w:sz w:val="20"/>
          <w:szCs w:val="20"/>
        </w:rPr>
      </w:r>
    </w:p>
    <w:p>
      <w:pPr>
        <w:pStyle w:val="BodyText"/>
        <w:spacing w:line="300" w:lineRule="auto" w:before="57"/>
        <w:ind w:left="516" w:right="1030" w:hanging="72"/>
        <w:jc w:val="left"/>
      </w:pPr>
      <w:r>
        <w:rPr/>
        <w:t>（</w:t>
      </w:r>
      <w:r>
        <w:rPr>
          <w:rFonts w:ascii="Times New Roman" w:hAnsi="Times New Roman" w:cs="Times New Roman" w:eastAsia="Times New Roman" w:hint="default"/>
        </w:rPr>
        <w:t>2</w:t>
      </w:r>
      <w:r>
        <w:rPr/>
        <w:t>）数字营销行业处于高速发展阶段，前景广阔 随着互联网对现代生活的革命性影响更趋深远、国家信息化发展战略的稳步推进、以及移动互联网用户的爆发性增长，</w:t>
      </w:r>
    </w:p>
    <w:p>
      <w:pPr>
        <w:pStyle w:val="BodyText"/>
        <w:spacing w:line="304" w:lineRule="auto" w:before="32"/>
        <w:ind w:right="0"/>
        <w:jc w:val="left"/>
      </w:pPr>
      <w:r>
        <w:rPr>
          <w:spacing w:val="-2"/>
        </w:rPr>
        <w:t>我国互联网行业，尤其是移动互联网行业正以前所未有的速度快速发展，根据中国互联网络信息发布的《第</w:t>
      </w:r>
      <w:r>
        <w:rPr>
          <w:rFonts w:ascii="Times New Roman" w:hAnsi="Times New Roman" w:cs="Times New Roman" w:eastAsia="Times New Roman" w:hint="default"/>
          <w:spacing w:val="-2"/>
        </w:rPr>
        <w:t>37</w:t>
      </w:r>
      <w:r>
        <w:rPr>
          <w:spacing w:val="-2"/>
        </w:rPr>
        <w:t>次中国互联网</w:t>
      </w:r>
      <w:r>
        <w:rPr>
          <w:spacing w:val="-63"/>
        </w:rPr>
        <w:t> </w:t>
      </w:r>
      <w:r>
        <w:rPr/>
        <w:t>络发展状况统计报告》显示，截至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月，我国网民规模达</w:t>
      </w:r>
      <w:r>
        <w:rPr>
          <w:rFonts w:ascii="Times New Roman" w:hAnsi="Times New Roman" w:cs="Times New Roman" w:eastAsia="Times New Roman" w:hint="default"/>
        </w:rPr>
        <w:t>6.88</w:t>
      </w:r>
      <w:r>
        <w:rPr/>
        <w:t>亿，互联网普及率为</w:t>
      </w:r>
      <w:r>
        <w:rPr>
          <w:rFonts w:ascii="Times New Roman" w:hAnsi="Times New Roman" w:cs="Times New Roman" w:eastAsia="Times New Roman" w:hint="default"/>
        </w:rPr>
        <w:t>50.3%</w:t>
      </w:r>
      <w:r>
        <w:rPr/>
        <w:t>，同比增长</w:t>
      </w:r>
      <w:r>
        <w:rPr>
          <w:rFonts w:ascii="Times New Roman" w:hAnsi="Times New Roman" w:cs="Times New Roman" w:eastAsia="Times New Roman" w:hint="default"/>
        </w:rPr>
        <w:t>2.4%</w:t>
      </w:r>
      <w:r>
        <w:rPr/>
        <w:t>，但与发达 </w:t>
      </w:r>
      <w:r>
        <w:rPr>
          <w:spacing w:val="-4"/>
        </w:rPr>
        <w:t>国家相比，我国互联网普及率仍处于较低水平，未来增长空间巨大。在互联网行业飞速发展，互联网用户快速增长的影响下，</w:t>
      </w:r>
      <w:r>
        <w:rPr>
          <w:spacing w:val="-46"/>
        </w:rPr>
        <w:t> </w:t>
      </w:r>
      <w:r>
        <w:rPr>
          <w:spacing w:val="-46"/>
        </w:rPr>
      </w:r>
      <w:r>
        <w:rPr>
          <w:spacing w:val="-4"/>
        </w:rPr>
        <w:t>互联网媒体影响力和渗透力日益加深，根据清华大学新闻与传播学院发布的《传媒蓝皮书：中国传媒产业发展报告（</w:t>
      </w:r>
      <w:r>
        <w:rPr>
          <w:rFonts w:ascii="Times New Roman" w:hAnsi="Times New Roman" w:cs="Times New Roman" w:eastAsia="Times New Roman" w:hint="default"/>
          <w:spacing w:val="-4"/>
        </w:rPr>
        <w:t>2015</w:t>
      </w:r>
      <w:r>
        <w:rPr>
          <w:spacing w:val="-4"/>
        </w:rPr>
        <w:t>）》</w:t>
      </w:r>
      <w:r>
        <w:rPr>
          <w:spacing w:val="-70"/>
        </w:rPr>
        <w:t> </w:t>
      </w:r>
      <w:r>
        <w:rPr/>
        <w:t>显示，</w:t>
      </w:r>
      <w:r>
        <w:rPr>
          <w:rFonts w:ascii="Times New Roman" w:hAnsi="Times New Roman" w:cs="Times New Roman" w:eastAsia="Times New Roman" w:hint="default"/>
        </w:rPr>
        <w:t>2014</w:t>
      </w:r>
      <w:r>
        <w:rPr/>
        <w:t>年度互联网首次超过电视，成为第一大广告媒体，并在未来传媒产业</w:t>
      </w:r>
      <w:r>
        <w:rPr>
          <w:rFonts w:ascii="Times New Roman" w:hAnsi="Times New Roman" w:cs="Times New Roman" w:eastAsia="Times New Roman" w:hint="default"/>
        </w:rPr>
        <w:t>“</w:t>
      </w:r>
      <w:r>
        <w:rPr/>
        <w:t>媒介融合</w:t>
      </w:r>
      <w:r>
        <w:rPr>
          <w:rFonts w:ascii="Times New Roman" w:hAnsi="Times New Roman" w:cs="Times New Roman" w:eastAsia="Times New Roman" w:hint="default"/>
        </w:rPr>
        <w:t>”</w:t>
      </w:r>
      <w:r>
        <w:rPr/>
        <w:t>趋势中占据主流媒体地位。</w:t>
      </w:r>
    </w:p>
    <w:p>
      <w:pPr>
        <w:pStyle w:val="BodyText"/>
        <w:spacing w:line="307" w:lineRule="auto" w:before="9"/>
        <w:ind w:right="1033" w:firstLine="362"/>
        <w:jc w:val="left"/>
      </w:pPr>
      <w:r>
        <w:rPr>
          <w:spacing w:val="-2"/>
        </w:rPr>
        <w:t>基于我国互联网行业的飞速发展及广告业市场规模本身的稳步提升，数字营销行业的市场规模和前景十分巨大，整个行</w:t>
      </w:r>
      <w:r>
        <w:rPr/>
        <w:t> </w:t>
      </w:r>
      <w:r>
        <w:rPr>
          <w:spacing w:val="-5"/>
        </w:rPr>
        <w:t>业迎来黄金发展期。根据艾瑞咨询发布的《</w:t>
      </w:r>
      <w:r>
        <w:rPr>
          <w:rFonts w:ascii="Times New Roman" w:hAnsi="Times New Roman" w:cs="Times New Roman" w:eastAsia="Times New Roman" w:hint="default"/>
          <w:spacing w:val="-5"/>
        </w:rPr>
        <w:t>2015</w:t>
      </w:r>
      <w:r>
        <w:rPr>
          <w:spacing w:val="-5"/>
        </w:rPr>
        <w:t>年中国网络广告行业年度监测报告》，</w:t>
      </w:r>
      <w:r>
        <w:rPr>
          <w:rFonts w:ascii="Times New Roman" w:hAnsi="Times New Roman" w:cs="Times New Roman" w:eastAsia="Times New Roman" w:hint="default"/>
          <w:spacing w:val="-5"/>
        </w:rPr>
        <w:t>2014</w:t>
      </w:r>
      <w:r>
        <w:rPr>
          <w:spacing w:val="-5"/>
        </w:rPr>
        <w:t>年国内数字营销市场规模达到</w:t>
      </w:r>
      <w:r>
        <w:rPr>
          <w:rFonts w:ascii="Times New Roman" w:hAnsi="Times New Roman" w:cs="Times New Roman" w:eastAsia="Times New Roman" w:hint="default"/>
          <w:spacing w:val="-5"/>
        </w:rPr>
        <w:t>1,540</w:t>
      </w:r>
      <w:r>
        <w:rPr>
          <w:rFonts w:ascii="Times New Roman" w:hAnsi="Times New Roman" w:cs="Times New Roman" w:eastAsia="Times New Roman" w:hint="default"/>
          <w:spacing w:val="-43"/>
        </w:rPr>
        <w:t> </w:t>
      </w:r>
      <w:r>
        <w:rPr/>
        <w:t>亿元，同比增长</w:t>
      </w:r>
      <w:r>
        <w:rPr>
          <w:rFonts w:ascii="Times New Roman" w:hAnsi="Times New Roman" w:cs="Times New Roman" w:eastAsia="Times New Roman" w:hint="default"/>
        </w:rPr>
        <w:t>40%</w:t>
      </w:r>
      <w:r>
        <w:rPr/>
        <w:t>，达到新的量级，国内网络广告市场规模在突破千亿大关之后，随着市场的成熟度不断提高，虽将在未 来几年逐渐放缓增速，平稳发展，但仍然保持平均</w:t>
      </w:r>
      <w:r>
        <w:rPr>
          <w:rFonts w:ascii="Times New Roman" w:hAnsi="Times New Roman" w:cs="Times New Roman" w:eastAsia="Times New Roman" w:hint="default"/>
        </w:rPr>
        <w:t>20%</w:t>
      </w:r>
      <w:r>
        <w:rPr/>
        <w:t>以上的增长速度，大幅高于其他广告市场的增长速度。互联网数字营 销具有的改变消费者接触品牌（即广告主）的方式的特性，极大的增强了品牌和消费者之间的黏性和体验，更重构了媒体、 代理公司和广告主之间的互动关系，数字营销正在并极大可能终将颠覆传统广告模式。</w:t>
      </w:r>
    </w:p>
    <w:p>
      <w:pPr>
        <w:spacing w:line="240" w:lineRule="auto" w:before="4"/>
        <w:rPr>
          <w:rFonts w:ascii="宋体" w:hAnsi="宋体" w:cs="宋体" w:eastAsia="宋体" w:hint="default"/>
          <w:sz w:val="8"/>
          <w:szCs w:val="8"/>
        </w:rPr>
      </w:pPr>
    </w:p>
    <w:p>
      <w:pPr>
        <w:spacing w:line="3507" w:lineRule="exact"/>
        <w:ind w:left="15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5789681" cy="222694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789681" cy="2226944"/>
                    </a:xfrm>
                    <a:prstGeom prst="rect">
                      <a:avLst/>
                    </a:prstGeom>
                  </pic:spPr>
                </pic:pic>
              </a:graphicData>
            </a:graphic>
          </wp:inline>
        </w:drawing>
      </w:r>
      <w:r>
        <w:rPr>
          <w:rFonts w:ascii="宋体" w:hAnsi="宋体" w:cs="宋体" w:eastAsia="宋体" w:hint="default"/>
          <w:position w:val="-69"/>
          <w:sz w:val="20"/>
          <w:szCs w:val="20"/>
        </w:rPr>
      </w:r>
    </w:p>
    <w:p>
      <w:pPr>
        <w:spacing w:after="0" w:line="350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2"/>
        <w:jc w:val="both"/>
      </w:pPr>
      <w:r>
        <w:rPr>
          <w:spacing w:val="-2"/>
        </w:rPr>
        <w:t>尤其是随着移动智能终端设备的普及、移动通信技术的升级、移动网民的迅速增长，以及移动广告技术的发展和服务的</w:t>
      </w:r>
      <w:r>
        <w:rPr/>
        <w:t> </w:t>
      </w:r>
      <w:r>
        <w:rPr>
          <w:spacing w:val="-2"/>
        </w:rPr>
        <w:t>提升，国内移动广告市场发展更为迅猛，根据艾瑞咨询发布的《</w:t>
      </w:r>
      <w:r>
        <w:rPr>
          <w:rFonts w:ascii="Times New Roman" w:hAnsi="Times New Roman" w:cs="Times New Roman" w:eastAsia="Times New Roman" w:hint="default"/>
          <w:spacing w:val="-2"/>
        </w:rPr>
        <w:t>2015</w:t>
      </w:r>
      <w:r>
        <w:rPr>
          <w:spacing w:val="-2"/>
        </w:rPr>
        <w:t>年中国网络广告行业年度监测报告》，</w:t>
      </w:r>
      <w:r>
        <w:rPr>
          <w:rFonts w:ascii="Times New Roman" w:hAnsi="Times New Roman" w:cs="Times New Roman" w:eastAsia="Times New Roman" w:hint="default"/>
          <w:spacing w:val="-2"/>
        </w:rPr>
        <w:t>2014</w:t>
      </w:r>
      <w:r>
        <w:rPr>
          <w:spacing w:val="-2"/>
        </w:rPr>
        <w:t>年移动广告</w:t>
      </w:r>
      <w:r>
        <w:rPr>
          <w:spacing w:val="-58"/>
        </w:rPr>
        <w:t> </w:t>
      </w:r>
      <w:r>
        <w:rPr/>
        <w:t>市场规模达到</w:t>
      </w:r>
      <w:r>
        <w:rPr>
          <w:rFonts w:ascii="Times New Roman" w:hAnsi="Times New Roman" w:cs="Times New Roman" w:eastAsia="Times New Roman" w:hint="default"/>
        </w:rPr>
        <w:t>296.90</w:t>
      </w:r>
      <w:r>
        <w:rPr/>
        <w:t>亿元，同比增长率高达</w:t>
      </w:r>
      <w:r>
        <w:rPr>
          <w:rFonts w:ascii="Times New Roman" w:hAnsi="Times New Roman" w:cs="Times New Roman" w:eastAsia="Times New Roman" w:hint="default"/>
        </w:rPr>
        <w:t>122.10%</w:t>
      </w:r>
      <w:r>
        <w:rPr/>
        <w:t>，移动广告的整体市场增速又远远高于网络广告市场增速。</w:t>
      </w:r>
    </w:p>
    <w:p>
      <w:pPr>
        <w:spacing w:line="3709"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5857555" cy="235534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5857555" cy="2355342"/>
                    </a:xfrm>
                    <a:prstGeom prst="rect">
                      <a:avLst/>
                    </a:prstGeom>
                  </pic:spPr>
                </pic:pic>
              </a:graphicData>
            </a:graphic>
          </wp:inline>
        </w:drawing>
      </w:r>
      <w:r>
        <w:rPr>
          <w:rFonts w:ascii="宋体" w:hAnsi="宋体" w:cs="宋体" w:eastAsia="宋体" w:hint="default"/>
          <w:position w:val="-73"/>
          <w:sz w:val="20"/>
          <w:szCs w:val="20"/>
        </w:rPr>
      </w:r>
    </w:p>
    <w:p>
      <w:pPr>
        <w:pStyle w:val="BodyText"/>
        <w:spacing w:line="300" w:lineRule="auto" w:before="40"/>
        <w:ind w:left="516" w:right="0"/>
        <w:jc w:val="left"/>
      </w:pPr>
      <w:r>
        <w:rPr/>
        <w:t>（</w:t>
      </w:r>
      <w:r>
        <w:rPr>
          <w:rFonts w:ascii="Times New Roman" w:hAnsi="Times New Roman" w:cs="Times New Roman" w:eastAsia="Times New Roman" w:hint="default"/>
        </w:rPr>
        <w:t>3</w:t>
      </w:r>
      <w:r>
        <w:rPr/>
        <w:t>）周期性特征 </w:t>
      </w:r>
      <w:r>
        <w:rPr>
          <w:spacing w:val="-2"/>
        </w:rPr>
        <w:t>数字营销行业具备一般服务业的周期性特征，行业发展状况与我国宏观经济周期具有相对一致性。经济下行阶段，消费</w:t>
      </w:r>
    </w:p>
    <w:p>
      <w:pPr>
        <w:pStyle w:val="BodyText"/>
        <w:spacing w:line="316" w:lineRule="auto" w:before="31"/>
        <w:ind w:left="154" w:right="1133"/>
        <w:jc w:val="both"/>
      </w:pPr>
      <w:r>
        <w:rPr>
          <w:spacing w:val="-2"/>
        </w:rPr>
        <w:t>者购买力减弱，广告主投放金额减少，数字营销行业发展速度趋缓；经济上行阶段，消费者购买力与广告主业绩提升，企业</w:t>
      </w:r>
      <w:r>
        <w:rPr>
          <w:spacing w:val="-66"/>
        </w:rPr>
        <w:t> </w:t>
      </w:r>
      <w:r>
        <w:rPr>
          <w:spacing w:val="-66"/>
        </w:rPr>
      </w:r>
      <w:r>
        <w:rPr>
          <w:spacing w:val="-2"/>
        </w:rPr>
        <w:t>广告投放预算也将同步提升，数字营销行业将加快发展速度。目前我国宏观经济仍处于持续发展时期，互联网行业与广告行</w:t>
      </w:r>
      <w:r>
        <w:rPr>
          <w:spacing w:val="-66"/>
        </w:rPr>
        <w:t> </w:t>
      </w:r>
      <w:r>
        <w:rPr>
          <w:spacing w:val="-66"/>
        </w:rPr>
      </w:r>
      <w:r>
        <w:rPr/>
        <w:t>业市场规模未来数年内有望保持持续增长，因此，数字营销行业目前处于行业发展周期的黄金成长期。</w:t>
      </w:r>
    </w:p>
    <w:p>
      <w:pPr>
        <w:pStyle w:val="BodyText"/>
        <w:spacing w:line="300" w:lineRule="auto"/>
        <w:ind w:left="516" w:right="1200"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EMS</w:t>
      </w:r>
      <w:r>
        <w:rPr/>
        <w:t>业务和</w:t>
      </w:r>
      <w:r>
        <w:rPr>
          <w:rFonts w:ascii="Times New Roman" w:hAnsi="Times New Roman" w:cs="Times New Roman" w:eastAsia="Times New Roman" w:hint="default"/>
        </w:rPr>
        <w:t>LED</w:t>
      </w:r>
      <w:r>
        <w:rPr/>
        <w:t>照明业务 公司</w:t>
      </w:r>
      <w:r>
        <w:rPr>
          <w:rFonts w:ascii="Times New Roman" w:hAnsi="Times New Roman" w:cs="Times New Roman" w:eastAsia="Times New Roman" w:hint="default"/>
        </w:rPr>
        <w:t>EMS</w:t>
      </w:r>
      <w:r>
        <w:rPr/>
        <w:t>业务属于电子产品制造行业中的电子元器件制造行业，具有较强的周期性，国际市场整体低迷导致国内出口</w:t>
      </w:r>
    </w:p>
    <w:p>
      <w:pPr>
        <w:pStyle w:val="BodyText"/>
        <w:spacing w:line="316" w:lineRule="auto" w:before="13"/>
        <w:ind w:left="154" w:right="1130"/>
        <w:jc w:val="both"/>
      </w:pPr>
      <w:r>
        <w:rPr>
          <w:spacing w:val="-2"/>
        </w:rPr>
        <w:t>订单大幅下滑；其次，消费类电子产品的市场格局发生明显变化，以平板电脑、智能手机为代表的高端消费电子产品快速崛</w:t>
      </w:r>
      <w:r>
        <w:rPr>
          <w:spacing w:val="-66"/>
        </w:rPr>
        <w:t> </w:t>
      </w:r>
      <w:r>
        <w:rPr>
          <w:spacing w:val="-66"/>
        </w:rPr>
      </w:r>
      <w:r>
        <w:rPr>
          <w:spacing w:val="-2"/>
        </w:rPr>
        <w:t>起，成为市场主导品种，传统消费电子产品市场萎缩、毛利水平持续下降；再次，随着国内人力成本和汇率水平的上升，中</w:t>
      </w:r>
      <w:r>
        <w:rPr>
          <w:spacing w:val="-67"/>
        </w:rPr>
        <w:t> </w:t>
      </w:r>
      <w:r>
        <w:rPr>
          <w:spacing w:val="-67"/>
        </w:rPr>
      </w:r>
      <w:r>
        <w:rPr>
          <w:spacing w:val="-2"/>
        </w:rPr>
        <w:t>国大陆已慢慢失去竞争优势。基于以上原因，国内电子制造行业整体面临增速放缓，景气度不高的市场形势，预计会在较长</w:t>
      </w:r>
      <w:r>
        <w:rPr>
          <w:spacing w:val="-66"/>
        </w:rPr>
        <w:t> </w:t>
      </w:r>
      <w:r>
        <w:rPr>
          <w:spacing w:val="-66"/>
        </w:rPr>
      </w:r>
      <w:r>
        <w:rPr/>
        <w:t>时间内保持低迷状态。</w:t>
      </w:r>
    </w:p>
    <w:p>
      <w:pPr>
        <w:pStyle w:val="BodyText"/>
        <w:spacing w:line="304" w:lineRule="auto"/>
        <w:ind w:right="1130" w:firstLine="361"/>
        <w:jc w:val="both"/>
      </w:pPr>
      <w:r>
        <w:rPr>
          <w:rFonts w:ascii="Times New Roman" w:hAnsi="Times New Roman" w:cs="Times New Roman" w:eastAsia="Times New Roman" w:hint="default"/>
        </w:rPr>
        <w:t>LED</w:t>
      </w:r>
      <w:r>
        <w:rPr>
          <w:rFonts w:ascii="Times New Roman" w:hAnsi="Times New Roman" w:cs="Times New Roman" w:eastAsia="Times New Roman" w:hint="default"/>
          <w:spacing w:val="25"/>
        </w:rPr>
        <w:t> </w:t>
      </w:r>
      <w:r>
        <w:rPr/>
        <w:t>行业作为节能环保新兴产业，受国家节能环保政策扶持的影响，行业发展前景十分广阔，但因技术、资金门槛较 </w:t>
      </w:r>
      <w:r>
        <w:rPr>
          <w:spacing w:val="-2"/>
        </w:rPr>
        <w:t>低，大量社会资本进入，导致行业无序竞争加剧，加之整个行业缺乏创新，在新技术和新商业模式的冲击下，产品同质化严</w:t>
      </w:r>
      <w:r>
        <w:rPr>
          <w:spacing w:val="-66"/>
        </w:rPr>
        <w:t> </w:t>
      </w:r>
      <w:r>
        <w:rPr>
          <w:spacing w:val="-66"/>
        </w:rPr>
      </w:r>
      <w:r>
        <w:rPr>
          <w:spacing w:val="-2"/>
        </w:rPr>
        <w:t>重，引发企业间的恶性竞争，导致产品价格与毛利率持续下降，行业整体盈利能力不乐观，正在进入微利时代。自</w:t>
      </w:r>
      <w:r>
        <w:rPr>
          <w:rFonts w:ascii="Times New Roman" w:hAnsi="Times New Roman" w:cs="Times New Roman" w:eastAsia="Times New Roman" w:hint="default"/>
          <w:spacing w:val="-2"/>
        </w:rPr>
        <w:t>2013</w:t>
      </w:r>
      <w:r>
        <w:rPr>
          <w:spacing w:val="-2"/>
        </w:rPr>
        <w:t>年以</w:t>
      </w:r>
      <w:r>
        <w:rPr>
          <w:spacing w:val="-61"/>
        </w:rPr>
        <w:t> </w:t>
      </w:r>
      <w:r>
        <w:rPr>
          <w:spacing w:val="-2"/>
        </w:rPr>
        <w:t>来，</w:t>
      </w:r>
      <w:r>
        <w:rPr>
          <w:rFonts w:ascii="Times New Roman" w:hAnsi="Times New Roman" w:cs="Times New Roman" w:eastAsia="Times New Roman" w:hint="default"/>
          <w:spacing w:val="-2"/>
        </w:rPr>
        <w:t>LED</w:t>
      </w:r>
      <w:r>
        <w:rPr>
          <w:spacing w:val="-2"/>
        </w:rPr>
        <w:t>行业开始掀起并购热潮，在全球经济下行的宏观经济影响下，</w:t>
      </w:r>
      <w:r>
        <w:rPr>
          <w:rFonts w:ascii="Times New Roman" w:hAnsi="Times New Roman" w:cs="Times New Roman" w:eastAsia="Times New Roman" w:hint="default"/>
          <w:spacing w:val="-2"/>
        </w:rPr>
        <w:t>LED</w:t>
      </w:r>
      <w:r>
        <w:rPr>
          <w:spacing w:val="-2"/>
        </w:rPr>
        <w:t>企业之间的兼并整合步伐正在加速进行，行业并</w:t>
      </w:r>
      <w:r>
        <w:rPr>
          <w:spacing w:val="-43"/>
        </w:rPr>
        <w:t> </w:t>
      </w:r>
      <w:r>
        <w:rPr>
          <w:spacing w:val="-43"/>
        </w:rPr>
      </w:r>
      <w:r>
        <w:rPr/>
        <w:t>购和资源整合成常态。</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
                <w:sz w:val="18"/>
                <w:szCs w:val="18"/>
              </w:rPr>
              <w:t>主要系报告期内，新增投资广州讯友、九派凯阳，同时东林电子回购减少厦门萤火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虫节能服务有限公司投资所致。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0"/>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主要系报告期内，公司无锡新厂房建设所致。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0"/>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主要系报告期内，支付投资款项增加所致。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60"/>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主要系报告期内，子公司顺为广告、奇思广告、利宣广告新纳入合并范围所致。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before="44"/>
        <w:ind w:left="0" w:right="1138"/>
        <w:jc w:val="right"/>
      </w:pPr>
      <w:r>
        <w:rPr/>
        <w:pict>
          <v:shape style="position:absolute;margin-left:56.459999pt;margin-top:-36.548309pt;width:479.2pt;height:76.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7"/>
                  </w:tblGrid>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主要系报告期内，子公司顺为广告、奇思广告、利宣广告新纳入合并范围，及因东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林电子回购厦门萤火虫节能服务有限公司股权事项所致。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主要系报告期末，因公司购买银行产品，导致货币资金重分类到其他流动资产所致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主要系报告期内，溢价收购顺为广告、奇思广告、利宣广告所致。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360"/>
        <w:jc w:val="left"/>
      </w:pPr>
      <w:r>
        <w:rPr>
          <w:spacing w:val="-2"/>
        </w:rPr>
        <w:t>报告期内公司主营业务由传统制造业转变为传统制造业与新兴互联网行业双轮驱动的发展局面，产业结构得到有效调整</w:t>
      </w:r>
      <w:r>
        <w:rPr/>
        <w:t> 与升级。公司核心竞争力主要体现在以下几方面：</w:t>
      </w:r>
    </w:p>
    <w:p>
      <w:pPr>
        <w:pStyle w:val="BodyText"/>
        <w:spacing w:line="316" w:lineRule="auto"/>
        <w:ind w:left="513" w:right="0"/>
        <w:jc w:val="left"/>
      </w:pPr>
      <w:r>
        <w:rPr/>
        <w:t>（一）上市公司的资本优势 </w:t>
      </w:r>
      <w:r>
        <w:rPr>
          <w:spacing w:val="-2"/>
        </w:rPr>
        <w:t>作为一家上市企业，公司具备资本市场的直接融资能力，既能在外延式发展之路中有实际的股份支付能力，又具备拓宽</w:t>
      </w:r>
    </w:p>
    <w:p>
      <w:pPr>
        <w:pStyle w:val="BodyText"/>
        <w:spacing w:line="316" w:lineRule="auto"/>
        <w:ind w:right="1133"/>
        <w:jc w:val="both"/>
      </w:pPr>
      <w:r>
        <w:rPr>
          <w:spacing w:val="-2"/>
        </w:rPr>
        <w:t>融资渠道的能力，直接助力公司战略的转型升级。公司于报告期内发行股份及支付现金购买资产并募集配套资金，此次配套</w:t>
      </w:r>
      <w:r>
        <w:rPr>
          <w:spacing w:val="-66"/>
        </w:rPr>
        <w:t> </w:t>
      </w:r>
      <w:r>
        <w:rPr>
          <w:spacing w:val="-66"/>
        </w:rPr>
      </w:r>
      <w:r>
        <w:rPr/>
        <w:t>募资完成之后，将为产业并购整合之路奠定良好的资本基础。</w:t>
      </w:r>
    </w:p>
    <w:p>
      <w:pPr>
        <w:pStyle w:val="BodyText"/>
        <w:spacing w:line="316" w:lineRule="auto"/>
        <w:ind w:left="513" w:right="0"/>
        <w:jc w:val="left"/>
      </w:pPr>
      <w:r>
        <w:rPr/>
        <w:t>（二）全产业链全媒体互联网营销 </w:t>
      </w:r>
      <w:r>
        <w:rPr>
          <w:spacing w:val="-2"/>
        </w:rPr>
        <w:t>公司于报告期内全资并购的顺为广告、奇思广告、利宣广告，均在数字营销领域有各自的核心竞争力。顺为广告是一家</w:t>
      </w:r>
    </w:p>
    <w:p>
      <w:pPr>
        <w:pStyle w:val="BodyText"/>
        <w:spacing w:line="319" w:lineRule="auto"/>
        <w:ind w:right="1130"/>
        <w:jc w:val="both"/>
      </w:pPr>
      <w:r>
        <w:rPr>
          <w:spacing w:val="-2"/>
        </w:rPr>
        <w:t>全案数字营销服务提供商，客户资源积累丰富，在业内具有良好的口碑和一定的行业影响力；奇思广告是一家以创意、策略</w:t>
      </w:r>
      <w:r>
        <w:rPr>
          <w:spacing w:val="-66"/>
        </w:rPr>
        <w:t> </w:t>
      </w:r>
      <w:r>
        <w:rPr>
          <w:spacing w:val="-66"/>
        </w:rPr>
      </w:r>
      <w:r>
        <w:rPr>
          <w:spacing w:val="-2"/>
        </w:rPr>
        <w:t>为核心服务的社会化媒体营销服务提供商，专注于汽车行业品牌广告主，具备业内资深的创意与策略服务水平与互联网整合</w:t>
      </w:r>
      <w:r>
        <w:rPr>
          <w:spacing w:val="-64"/>
        </w:rPr>
        <w:t> </w:t>
      </w:r>
      <w:r>
        <w:rPr>
          <w:spacing w:val="-64"/>
        </w:rPr>
      </w:r>
      <w:r>
        <w:rPr>
          <w:spacing w:val="-2"/>
        </w:rPr>
        <w:t>营销能力；利宣广告是一家以创意和内容制作为核心服务的社会化媒体营销服务提供商，社会化媒体营销全流程服务能力突</w:t>
      </w:r>
      <w:r>
        <w:rPr>
          <w:spacing w:val="-64"/>
        </w:rPr>
        <w:t> </w:t>
      </w:r>
      <w:r>
        <w:rPr>
          <w:spacing w:val="-64"/>
        </w:rPr>
      </w:r>
      <w:r>
        <w:rPr>
          <w:spacing w:val="-2"/>
        </w:rPr>
        <w:t>出。三家标的公司与上市公司参股子公司广州讯友在上市公司的组合调配、整合下，能打造全产业链、全媒体、一站式数字</w:t>
      </w:r>
      <w:r>
        <w:rPr>
          <w:spacing w:val="-64"/>
        </w:rPr>
        <w:t> </w:t>
      </w:r>
      <w:r>
        <w:rPr>
          <w:spacing w:val="-64"/>
        </w:rPr>
      </w:r>
      <w:r>
        <w:rPr/>
        <w:t>营销服务品牌，实现资源之间的战略协同效应，保障数字营销业务板块的市场竞争力。</w:t>
      </w:r>
    </w:p>
    <w:p>
      <w:pPr>
        <w:pStyle w:val="BodyText"/>
        <w:spacing w:line="316" w:lineRule="auto" w:before="17"/>
        <w:ind w:left="513" w:right="0"/>
        <w:jc w:val="left"/>
      </w:pPr>
      <w:r>
        <w:rPr/>
        <w:t>（三）成熟的供应链管理能力 </w:t>
      </w:r>
      <w:r>
        <w:rPr>
          <w:spacing w:val="-2"/>
        </w:rPr>
        <w:t>报告期内，公司未发生因设备、专利及非专利技术升级换代、特许经营权丧失等导致公司核心竞争能力受到严重影响的</w:t>
      </w:r>
    </w:p>
    <w:p>
      <w:pPr>
        <w:pStyle w:val="BodyText"/>
        <w:spacing w:line="316" w:lineRule="auto"/>
        <w:ind w:right="1131"/>
        <w:jc w:val="both"/>
      </w:pPr>
      <w:r>
        <w:rPr>
          <w:spacing w:val="-2"/>
        </w:rPr>
        <w:t>不良情形。公司传统的核心竞争力在于公司具有国内领先的生产制造、供应链服务、质量控制和成本管控能力，并形成了完</w:t>
      </w:r>
      <w:r>
        <w:rPr>
          <w:spacing w:val="-66"/>
        </w:rPr>
        <w:t> </w:t>
      </w:r>
      <w:r>
        <w:rPr>
          <w:spacing w:val="-66"/>
        </w:rPr>
      </w:r>
      <w:r>
        <w:rPr>
          <w:spacing w:val="-2"/>
        </w:rPr>
        <w:t>善的制度和流程，尤其在供应链管理方面，公司在订单驱动生产的业务模式中，探索形成了一套成熟的采购、库存管理、物</w:t>
      </w:r>
      <w:r>
        <w:rPr>
          <w:spacing w:val="-66"/>
        </w:rPr>
        <w:t> </w:t>
      </w:r>
      <w:r>
        <w:rPr>
          <w:spacing w:val="-66"/>
        </w:rPr>
      </w:r>
      <w:r>
        <w:rPr>
          <w:spacing w:val="-2"/>
        </w:rPr>
        <w:t>流管理经验。随着公司向互联网产业战略调整转型的逐步落实和实施，依托传统核心竞争力，公司不断探索传统业务与新兴</w:t>
      </w:r>
      <w:r>
        <w:rPr>
          <w:spacing w:val="-65"/>
        </w:rPr>
        <w:t> </w:t>
      </w:r>
      <w:r>
        <w:rPr>
          <w:spacing w:val="-65"/>
        </w:rPr>
      </w:r>
      <w:r>
        <w:rPr/>
        <w:t>业务领域的创新与协同。</w:t>
      </w:r>
    </w:p>
    <w:p>
      <w:pPr>
        <w:pStyle w:val="BodyText"/>
        <w:spacing w:line="300" w:lineRule="auto"/>
        <w:ind w:left="514" w:right="0"/>
        <w:jc w:val="left"/>
      </w:pPr>
      <w:r>
        <w:rPr/>
        <w:t>（四）拥有一流的团队，助力实现公司</w:t>
      </w:r>
      <w:r>
        <w:rPr>
          <w:rFonts w:ascii="Times New Roman" w:hAnsi="Times New Roman" w:cs="Times New Roman" w:eastAsia="Times New Roman" w:hint="default"/>
        </w:rPr>
        <w:t>SaaS</w:t>
      </w:r>
      <w:r>
        <w:rPr/>
        <w:t>战略 </w:t>
      </w:r>
      <w:r>
        <w:rPr>
          <w:spacing w:val="-2"/>
        </w:rPr>
        <w:t>公司自</w:t>
      </w:r>
      <w:r>
        <w:rPr>
          <w:rFonts w:ascii="Times New Roman" w:hAnsi="Times New Roman" w:cs="Times New Roman" w:eastAsia="Times New Roman" w:hint="default"/>
          <w:spacing w:val="-2"/>
        </w:rPr>
        <w:t>2014</w:t>
      </w:r>
      <w:r>
        <w:rPr>
          <w:spacing w:val="-2"/>
        </w:rPr>
        <w:t>年确立向互联网产业进行战略转型以来，组建了专业的投融资团队，团队成员来自华为、腾讯等国内一流大</w:t>
      </w:r>
    </w:p>
    <w:p>
      <w:pPr>
        <w:pStyle w:val="BodyText"/>
        <w:spacing w:line="316" w:lineRule="auto" w:before="13"/>
        <w:ind w:right="1050"/>
        <w:jc w:val="both"/>
      </w:pPr>
      <w:r>
        <w:rPr/>
        <w:t>企业，拥有丰富的行业背景和经验，符合公司的转型要求；此外公司还借助外部院校、研究院和资本团队力量组成智囊团， 对公司的战略方向、策略施行提供智力和资源支持。公司拥有的一流投融资团队，将助力公司实现</w:t>
      </w:r>
      <w:r>
        <w:rPr>
          <w:rFonts w:ascii="Times New Roman" w:hAnsi="Times New Roman" w:cs="Times New Roman" w:eastAsia="Times New Roman" w:hint="default"/>
        </w:rPr>
        <w:t>SaaS</w:t>
      </w:r>
      <w:r>
        <w:rPr/>
        <w:t>战略的落地执行。</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2"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right="1130" w:firstLine="380"/>
        <w:jc w:val="both"/>
      </w:pPr>
      <w:r>
        <w:rPr>
          <w:spacing w:val="-4"/>
        </w:rPr>
        <w:t>公司于</w:t>
      </w:r>
      <w:r>
        <w:rPr>
          <w:rFonts w:ascii="Times New Roman" w:hAnsi="Times New Roman" w:cs="Times New Roman" w:eastAsia="Times New Roman" w:hint="default"/>
          <w:spacing w:val="-4"/>
        </w:rPr>
        <w:t>2014</w:t>
      </w:r>
      <w:r>
        <w:rPr>
          <w:spacing w:val="-4"/>
        </w:rPr>
        <w:t>年确立向互联网产业转型的战略目标，并决定以数字营销为切入口，向企业级</w:t>
      </w:r>
      <w:r>
        <w:rPr>
          <w:rFonts w:ascii="Times New Roman" w:hAnsi="Times New Roman" w:cs="Times New Roman" w:eastAsia="Times New Roman" w:hint="default"/>
          <w:spacing w:val="-4"/>
        </w:rPr>
        <w:t>SaaS</w:t>
      </w:r>
      <w:r>
        <w:rPr>
          <w:spacing w:val="-4"/>
        </w:rPr>
        <w:t>服务行业延伸，构建以</w:t>
      </w:r>
      <w:r>
        <w:rPr>
          <w:rFonts w:ascii="Times New Roman" w:hAnsi="Times New Roman" w:cs="Times New Roman" w:eastAsia="Times New Roman" w:hint="default"/>
          <w:spacing w:val="-4"/>
        </w:rPr>
        <w:t>“</w:t>
      </w:r>
      <w:r>
        <w:rPr>
          <w:spacing w:val="-4"/>
        </w:rPr>
        <w:t>数</w:t>
      </w:r>
      <w:r>
        <w:rPr/>
        <w:t> </w:t>
      </w:r>
      <w:r>
        <w:rPr>
          <w:spacing w:val="-2"/>
        </w:rPr>
        <w:t>据</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驱动的一流企业级</w:t>
      </w:r>
      <w:r>
        <w:rPr>
          <w:rFonts w:ascii="Times New Roman" w:hAnsi="Times New Roman" w:cs="Times New Roman" w:eastAsia="Times New Roman" w:hint="default"/>
          <w:spacing w:val="-2"/>
        </w:rPr>
        <w:t>SaaS</w:t>
      </w:r>
      <w:r>
        <w:rPr>
          <w:spacing w:val="-2"/>
        </w:rPr>
        <w:t>平台和生态圈。报告期内，公司通过发行股份及支付现金方式全资并购顺为广告、奇思广告</w:t>
      </w:r>
      <w:r>
        <w:rPr>
          <w:spacing w:val="-62"/>
        </w:rPr>
        <w:t> </w:t>
      </w:r>
      <w:r>
        <w:rPr>
          <w:spacing w:val="-62"/>
        </w:rPr>
      </w:r>
      <w:r>
        <w:rPr>
          <w:spacing w:val="-2"/>
        </w:rPr>
        <w:t>和利宣广告三家数字营销公司，并参股广州讯友，从传统制造业快速切入数字营销行业，顺利搭建全产业链、全媒体一站式</w:t>
      </w:r>
      <w:r>
        <w:rPr>
          <w:spacing w:val="-66"/>
        </w:rPr>
        <w:t> </w:t>
      </w:r>
      <w:r>
        <w:rPr>
          <w:spacing w:val="-66"/>
        </w:rPr>
      </w:r>
      <w:r>
        <w:rPr/>
        <w:t>数字营销板块的基石；为支持公司战略转型，公司成立了战略常效研究机构</w:t>
      </w:r>
      <w:r>
        <w:rPr>
          <w:rFonts w:ascii="Times New Roman" w:hAnsi="Times New Roman" w:cs="Times New Roman" w:eastAsia="Times New Roman" w:hint="default"/>
        </w:rPr>
        <w:t>-</w:t>
      </w:r>
      <w:r>
        <w:rPr>
          <w:rFonts w:ascii="Times New Roman" w:hAnsi="Times New Roman" w:cs="Times New Roman" w:eastAsia="Times New Roman" w:hint="default"/>
        </w:rPr>
        <w:t>“</w:t>
      </w:r>
      <w:r>
        <w:rPr/>
        <w:t>数字研究院</w:t>
      </w:r>
      <w:r>
        <w:rPr>
          <w:rFonts w:ascii="Times New Roman" w:hAnsi="Times New Roman" w:cs="Times New Roman" w:eastAsia="Times New Roman" w:hint="default"/>
        </w:rPr>
        <w:t>”</w:t>
      </w:r>
      <w:r>
        <w:rPr/>
        <w:t>，其将基于对数字营销和企业级 </w:t>
      </w:r>
      <w:r>
        <w:rPr>
          <w:rFonts w:ascii="Times New Roman" w:hAnsi="Times New Roman" w:cs="Times New Roman" w:eastAsia="Times New Roman" w:hint="default"/>
          <w:spacing w:val="-2"/>
        </w:rPr>
        <w:t>SaaS</w:t>
      </w:r>
      <w:r>
        <w:rPr>
          <w:spacing w:val="-2"/>
        </w:rPr>
        <w:t>服务行业的深刻研究，为公司战略方向提供支持；为更好的整合数字营销板块业务，公司还成立了数字营销集团，作为</w:t>
      </w:r>
      <w:r>
        <w:rPr>
          <w:spacing w:val="-63"/>
        </w:rPr>
        <w:t> </w:t>
      </w:r>
      <w:r>
        <w:rPr>
          <w:spacing w:val="-63"/>
        </w:rPr>
      </w:r>
      <w:r>
        <w:rPr>
          <w:spacing w:val="-2"/>
        </w:rPr>
        <w:t>承载公司该新兴业务板块集中管理和资源调配的中心。数字营销板块作为公司新的业务单元以及互联网板块的重要基石，公</w:t>
      </w:r>
      <w:r>
        <w:rPr>
          <w:spacing w:val="-64"/>
        </w:rPr>
        <w:t> </w:t>
      </w:r>
      <w:r>
        <w:rPr>
          <w:spacing w:val="-64"/>
        </w:rPr>
      </w:r>
      <w:r>
        <w:rPr>
          <w:spacing w:val="-2"/>
        </w:rPr>
        <w:t>司将充分发挥数字营销业务板块体系内资源之间的战略协同效应，使其在保持并不断优化核心竞争力的同时，进一步为公司</w:t>
      </w:r>
      <w:r>
        <w:rPr>
          <w:spacing w:val="-64"/>
        </w:rPr>
        <w:t> </w:t>
      </w:r>
      <w:r>
        <w:rPr>
          <w:spacing w:val="-64"/>
        </w:rPr>
      </w:r>
      <w:r>
        <w:rPr>
          <w:spacing w:val="-2"/>
        </w:rPr>
        <w:t>企业级</w:t>
      </w:r>
      <w:r>
        <w:rPr>
          <w:rFonts w:ascii="Times New Roman" w:hAnsi="Times New Roman" w:cs="Times New Roman" w:eastAsia="Times New Roman" w:hint="default"/>
          <w:spacing w:val="-2"/>
        </w:rPr>
        <w:t>SaaS</w:t>
      </w:r>
      <w:r>
        <w:rPr>
          <w:spacing w:val="-2"/>
        </w:rPr>
        <w:t>战略的落地执行提供可靠保证，实现公司战略转型的平滑过渡，构建公司新的战略版图。</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月，公司名称</w:t>
      </w:r>
      <w:r>
        <w:rPr>
          <w:spacing w:val="-56"/>
        </w:rPr>
        <w:t> </w:t>
      </w:r>
      <w:r>
        <w:rPr>
          <w:spacing w:val="-56"/>
        </w:rPr>
      </w:r>
      <w:r>
        <w:rPr/>
        <w:t>变更为</w:t>
      </w:r>
      <w:r>
        <w:rPr>
          <w:rFonts w:ascii="Times New Roman" w:hAnsi="Times New Roman" w:cs="Times New Roman" w:eastAsia="Times New Roman" w:hint="default"/>
        </w:rPr>
        <w:t>“</w:t>
      </w:r>
      <w:r>
        <w:rPr/>
        <w:t>深圳市麦达数字股份有限公司</w:t>
      </w:r>
      <w:r>
        <w:rPr>
          <w:rFonts w:ascii="Times New Roman" w:hAnsi="Times New Roman" w:cs="Times New Roman" w:eastAsia="Times New Roman" w:hint="default"/>
        </w:rPr>
        <w:t>”</w:t>
      </w:r>
      <w:r>
        <w:rPr/>
        <w:t>，证券简称变更为</w:t>
      </w:r>
      <w:r>
        <w:rPr>
          <w:rFonts w:ascii="Times New Roman" w:hAnsi="Times New Roman" w:cs="Times New Roman" w:eastAsia="Times New Roman" w:hint="default"/>
        </w:rPr>
        <w:t>“</w:t>
      </w:r>
      <w:r>
        <w:rPr/>
        <w:t>麦达数字</w:t>
      </w:r>
      <w:r>
        <w:rPr>
          <w:rFonts w:ascii="Times New Roman" w:hAnsi="Times New Roman" w:cs="Times New Roman" w:eastAsia="Times New Roman" w:hint="default"/>
        </w:rPr>
        <w:t>”</w:t>
      </w:r>
      <w:r>
        <w:rPr/>
        <w:t>，公司的发展里程进入新的阶段。</w:t>
      </w:r>
    </w:p>
    <w:p>
      <w:pPr>
        <w:pStyle w:val="BodyText"/>
        <w:spacing w:line="304" w:lineRule="auto" w:before="7"/>
        <w:ind w:left="154" w:right="0" w:firstLine="362"/>
        <w:jc w:val="left"/>
      </w:pPr>
      <w:r>
        <w:rPr>
          <w:spacing w:val="-2"/>
        </w:rPr>
        <w:t>公司稳步发展互联网板块业务的同时，原业务继续秉持</w:t>
      </w:r>
      <w:r>
        <w:rPr>
          <w:rFonts w:ascii="Times New Roman" w:hAnsi="Times New Roman" w:cs="Times New Roman" w:eastAsia="Times New Roman" w:hint="default"/>
          <w:spacing w:val="-2"/>
        </w:rPr>
        <w:t>“</w:t>
      </w:r>
      <w:r>
        <w:rPr>
          <w:spacing w:val="-2"/>
        </w:rPr>
        <w:t>小而美</w:t>
      </w:r>
      <w:r>
        <w:rPr>
          <w:rFonts w:ascii="Times New Roman" w:hAnsi="Times New Roman" w:cs="Times New Roman" w:eastAsia="Times New Roman" w:hint="default"/>
          <w:spacing w:val="-2"/>
        </w:rPr>
        <w:t>”</w:t>
      </w:r>
      <w:r>
        <w:rPr>
          <w:spacing w:val="-2"/>
        </w:rPr>
        <w:t>的发展战略，保持</w:t>
      </w:r>
      <w:r>
        <w:rPr>
          <w:rFonts w:ascii="Times New Roman" w:hAnsi="Times New Roman" w:cs="Times New Roman" w:eastAsia="Times New Roman" w:hint="default"/>
          <w:spacing w:val="-2"/>
        </w:rPr>
        <w:t>LED</w:t>
      </w:r>
      <w:r>
        <w:rPr>
          <w:spacing w:val="-2"/>
        </w:rPr>
        <w:t>照明业务、</w:t>
      </w:r>
      <w:r>
        <w:rPr>
          <w:rFonts w:ascii="Times New Roman" w:hAnsi="Times New Roman" w:cs="Times New Roman" w:eastAsia="Times New Roman" w:hint="default"/>
          <w:spacing w:val="-2"/>
        </w:rPr>
        <w:t>EMS</w:t>
      </w:r>
      <w:r>
        <w:rPr>
          <w:spacing w:val="-2"/>
        </w:rPr>
        <w:t>业务持续、健康</w:t>
      </w:r>
      <w:r>
        <w:rPr/>
        <w:t> 发展，报告期内公司停止了部分盈利状况不佳的</w:t>
      </w:r>
      <w:r>
        <w:rPr>
          <w:rFonts w:ascii="Times New Roman" w:hAnsi="Times New Roman" w:cs="Times New Roman" w:eastAsia="Times New Roman" w:hint="default"/>
        </w:rPr>
        <w:t>EMS</w:t>
      </w:r>
      <w:r>
        <w:rPr/>
        <w:t>订单，导致报告期内</w:t>
      </w:r>
      <w:r>
        <w:rPr>
          <w:rFonts w:ascii="Times New Roman" w:hAnsi="Times New Roman" w:cs="Times New Roman" w:eastAsia="Times New Roman" w:hint="default"/>
        </w:rPr>
        <w:t>EMS</w:t>
      </w:r>
      <w:r>
        <w:rPr/>
        <w:t>营业收入下滑</w:t>
      </w:r>
      <w:r>
        <w:rPr>
          <w:rFonts w:ascii="Times New Roman" w:hAnsi="Times New Roman" w:cs="Times New Roman" w:eastAsia="Times New Roman" w:hint="default"/>
        </w:rPr>
        <w:t>52.01%</w:t>
      </w:r>
      <w:r>
        <w:rPr/>
        <w:t>，但</w:t>
      </w:r>
      <w:r>
        <w:rPr>
          <w:rFonts w:ascii="Times New Roman" w:hAnsi="Times New Roman" w:cs="Times New Roman" w:eastAsia="Times New Roman" w:hint="default"/>
        </w:rPr>
        <w:t>EMS</w:t>
      </w:r>
      <w:r>
        <w:rPr/>
        <w:t>业务和</w:t>
      </w:r>
      <w:r>
        <w:rPr>
          <w:rFonts w:ascii="Times New Roman" w:hAnsi="Times New Roman" w:cs="Times New Roman" w:eastAsia="Times New Roman" w:hint="default"/>
        </w:rPr>
        <w:t>LED</w:t>
      </w:r>
      <w:r>
        <w:rPr/>
        <w:t>照 </w:t>
      </w:r>
      <w:r>
        <w:rPr>
          <w:spacing w:val="-2"/>
        </w:rPr>
        <w:t>明业务均保持了好于预期的盈利状况；在业务布局方面，公司采取专业化分工策略，公司</w:t>
      </w:r>
      <w:r>
        <w:rPr>
          <w:rFonts w:ascii="Times New Roman" w:hAnsi="Times New Roman" w:cs="Times New Roman" w:eastAsia="Times New Roman" w:hint="default"/>
          <w:spacing w:val="-2"/>
        </w:rPr>
        <w:t>LED</w:t>
      </w:r>
      <w:r>
        <w:rPr>
          <w:spacing w:val="-2"/>
        </w:rPr>
        <w:t>照明业务、</w:t>
      </w:r>
      <w:r>
        <w:rPr>
          <w:rFonts w:ascii="Times New Roman" w:hAnsi="Times New Roman" w:cs="Times New Roman" w:eastAsia="Times New Roman" w:hint="default"/>
          <w:spacing w:val="-2"/>
        </w:rPr>
        <w:t>EMS</w:t>
      </w:r>
      <w:r>
        <w:rPr>
          <w:spacing w:val="-2"/>
        </w:rPr>
        <w:t>业务两大业务</w:t>
      </w:r>
      <w:r>
        <w:rPr>
          <w:spacing w:val="-66"/>
        </w:rPr>
        <w:t> </w:t>
      </w:r>
      <w:r>
        <w:rPr>
          <w:spacing w:val="-2"/>
        </w:rPr>
        <w:t>板块将陆续分别独立整合至子公司实益达照明、实益达工业，业务板块的独立运营有利于促进其进一步健康发展，并将逐步</w:t>
      </w:r>
      <w:r>
        <w:rPr>
          <w:spacing w:val="-66"/>
        </w:rPr>
        <w:t> </w:t>
      </w:r>
      <w:r>
        <w:rPr>
          <w:spacing w:val="-66"/>
        </w:rPr>
      </w:r>
      <w:r>
        <w:rPr/>
        <w:t>完成资产证券化。</w:t>
      </w:r>
    </w:p>
    <w:p>
      <w:pPr>
        <w:pStyle w:val="BodyText"/>
        <w:spacing w:line="309" w:lineRule="auto" w:before="28"/>
        <w:ind w:right="1131" w:firstLine="362"/>
        <w:jc w:val="both"/>
      </w:pPr>
      <w:r>
        <w:rPr>
          <w:spacing w:val="-2"/>
        </w:rPr>
        <w:t>为全力支持公司转型互联网产业，公司于报告期内启动资产证券化和存量资产盘活的步伐，在资产证券化方面，公司参</w:t>
      </w:r>
      <w:r>
        <w:rPr/>
        <w:t> </w:t>
      </w:r>
      <w:r>
        <w:rPr>
          <w:spacing w:val="-2"/>
        </w:rPr>
        <w:t>股公司电明科技于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月挂牌新三板，控股子公司汇大光电于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月申请全国中小企业股份转让系统挂牌，截至本</w:t>
      </w:r>
      <w:r>
        <w:rPr>
          <w:spacing w:val="-52"/>
        </w:rPr>
        <w:t> </w:t>
      </w:r>
      <w:r>
        <w:rPr>
          <w:spacing w:val="-52"/>
        </w:rPr>
      </w:r>
      <w:r>
        <w:rPr>
          <w:spacing w:val="-2"/>
        </w:rPr>
        <w:t>报告报出之日，汇大光电已完成挂牌新三板。在盘活存量资产方面，公司于报告期内启动重大资产出售，拟将注入公司科技</w:t>
      </w:r>
      <w:r>
        <w:rPr>
          <w:spacing w:val="-66"/>
        </w:rPr>
        <w:t> </w:t>
      </w:r>
      <w:r>
        <w:rPr>
          <w:spacing w:val="-66"/>
        </w:rPr>
      </w:r>
      <w:r>
        <w:rPr/>
        <w:t>园土地房产及部分电子设备后的元通孵化</w:t>
      </w:r>
      <w:r>
        <w:rPr>
          <w:rFonts w:ascii="Times New Roman" w:hAnsi="Times New Roman" w:cs="Times New Roman" w:eastAsia="Times New Roman" w:hint="default"/>
        </w:rPr>
        <w:t>100%</w:t>
      </w:r>
      <w:r>
        <w:rPr/>
        <w:t>股权转让给深圳市日升投资有限公司，本事项完成后，将给公司</w:t>
      </w:r>
      <w:r>
        <w:rPr>
          <w:rFonts w:ascii="Times New Roman" w:hAnsi="Times New Roman" w:cs="Times New Roman" w:eastAsia="Times New Roman" w:hint="default"/>
        </w:rPr>
        <w:t>2016</w:t>
      </w:r>
      <w:r>
        <w:rPr/>
        <w:t>年的现 金流和利润带来正向积极影响，目前本事项正在稳步推进中。</w:t>
      </w:r>
    </w:p>
    <w:p>
      <w:pPr>
        <w:pStyle w:val="BodyText"/>
        <w:spacing w:line="316" w:lineRule="auto" w:before="24"/>
        <w:ind w:left="154" w:right="1130" w:firstLine="362"/>
        <w:jc w:val="both"/>
      </w:pPr>
      <w:r>
        <w:rPr>
          <w:spacing w:val="-2"/>
        </w:rPr>
        <w:t>为进一步完善公司治理结构，健全公司长期、有效的激励约束机制，报告期内公司推出了首期员工持股计划，首期员工</w:t>
      </w:r>
      <w:r>
        <w:rPr/>
        <w:t> </w:t>
      </w:r>
      <w:r>
        <w:rPr>
          <w:spacing w:val="-2"/>
        </w:rPr>
        <w:t>持股计划的主要激励对象为与公司战略转型以及互联网产业相关的关键人才，极大的调动了公司管理层和员工的积极性，有</w:t>
      </w:r>
      <w:r>
        <w:rPr>
          <w:spacing w:val="-64"/>
        </w:rPr>
        <w:t> </w:t>
      </w:r>
      <w:r>
        <w:rPr>
          <w:spacing w:val="-64"/>
        </w:rPr>
      </w:r>
      <w:r>
        <w:rPr/>
        <w:t>利于进一步推动公司战略转型的成功实施。</w:t>
      </w:r>
    </w:p>
    <w:p>
      <w:pPr>
        <w:pStyle w:val="BodyText"/>
        <w:spacing w:line="312" w:lineRule="auto"/>
        <w:ind w:right="1033" w:firstLine="362"/>
        <w:jc w:val="left"/>
      </w:pPr>
      <w:r>
        <w:rPr>
          <w:spacing w:val="-2"/>
        </w:rPr>
        <w:t>综上，一方面受互联网行业飞速发展，互联网媒体超越传统媒体成为广告业第一媒体的刺激，数字营销行业迎来黄金发</w:t>
      </w:r>
      <w:r>
        <w:rPr/>
        <w:t> </w:t>
      </w:r>
      <w:r>
        <w:rPr>
          <w:spacing w:val="-2"/>
        </w:rPr>
        <w:t>展期，行业规模和发展前景十分广阔，以及在政策支持、底层云服务设施实现规模普及、移动互联网完成国内用户云端产品</w:t>
      </w:r>
      <w:r>
        <w:rPr>
          <w:spacing w:val="-66"/>
        </w:rPr>
        <w:t> </w:t>
      </w:r>
      <w:r>
        <w:rPr>
          <w:spacing w:val="-66"/>
        </w:rPr>
      </w:r>
      <w:r>
        <w:rPr/>
        <w:t>使用习惯的培养等大背景之下，公司拟进入的</w:t>
      </w:r>
      <w:r>
        <w:rPr>
          <w:rFonts w:ascii="Times New Roman" w:hAnsi="Times New Roman" w:cs="Times New Roman" w:eastAsia="Times New Roman" w:hint="default"/>
        </w:rPr>
        <w:t>SaaS</w:t>
      </w:r>
      <w:r>
        <w:rPr/>
        <w:t>行业市场空间逐步打开，预计未来</w:t>
      </w:r>
      <w:r>
        <w:rPr>
          <w:rFonts w:ascii="Times New Roman" w:hAnsi="Times New Roman" w:cs="Times New Roman" w:eastAsia="Times New Roman" w:hint="default"/>
        </w:rPr>
        <w:t>3</w:t>
      </w:r>
      <w:r>
        <w:rPr/>
        <w:t>年将进入大爆发时期；另一方面传统 </w:t>
      </w:r>
      <w:r>
        <w:rPr>
          <w:rFonts w:ascii="Times New Roman" w:hAnsi="Times New Roman" w:cs="Times New Roman" w:eastAsia="Times New Roman" w:hint="default"/>
          <w:spacing w:val="-2"/>
        </w:rPr>
        <w:t>LED</w:t>
      </w:r>
      <w:r>
        <w:rPr>
          <w:spacing w:val="-2"/>
        </w:rPr>
        <w:t>照明业务、</w:t>
      </w:r>
      <w:r>
        <w:rPr>
          <w:rFonts w:ascii="Times New Roman" w:hAnsi="Times New Roman" w:cs="Times New Roman" w:eastAsia="Times New Roman" w:hint="default"/>
          <w:spacing w:val="-2"/>
        </w:rPr>
        <w:t>EMS</w:t>
      </w:r>
      <w:r>
        <w:rPr>
          <w:spacing w:val="-2"/>
        </w:rPr>
        <w:t>业务受政策环境等的影响，行业发展出现瓶颈，盈利水平短期内难以有突破，在此行业背景之下，公司</w:t>
      </w:r>
      <w:r>
        <w:rPr>
          <w:spacing w:val="-64"/>
        </w:rPr>
        <w:t> </w:t>
      </w:r>
      <w:r>
        <w:rPr>
          <w:spacing w:val="-64"/>
        </w:rPr>
      </w:r>
      <w:r>
        <w:rPr/>
        <w:t>于报告期内以数字营销为突破口，由传统制造业快速切入互联网行业，并以数字营销板块作为公司互联网板块的重要基石， 将企业级</w:t>
      </w:r>
      <w:r>
        <w:rPr>
          <w:rFonts w:ascii="Times New Roman" w:hAnsi="Times New Roman" w:cs="Times New Roman" w:eastAsia="Times New Roman" w:hint="default"/>
        </w:rPr>
        <w:t>SaaS</w:t>
      </w:r>
      <w:r>
        <w:rPr/>
        <w:t>服务作为公司下一步战略布局的重点，公司的战略转型和布局有利于提高公司的核心竞争力和盈利能力。</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3"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2"/>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418,136,133.60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546,517,722.00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290,465,061.67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517,324,959.04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94.66%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101,076,805.62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26,594,266.31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29,192,762.96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101,076,805.62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4"/>
              <w:jc w:val="righ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99,466,327.47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119,290,476.74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190,998,734.20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398,034,482.30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72.83%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26,594,266.31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29,192,762.96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123,028,280.18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175,992,685.11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295,107,853.42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370,525,036.89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67.80%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290,465,061.67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244,650,059.51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101,076,805.62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82,507,006.63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26,594,266.31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15,181,413.52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101,076,805.62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82,507,006.63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99,466,327.47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74,187,606.86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消费类电子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190,998,734.20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170,462,452.65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26,594,266.31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15,181,413.52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123,028,280.18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95,654,612.61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295,107,853.42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246,683,867.05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-56.29%</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1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销售量和生产量减少主要系集团内子公司无锡实益达电子有限公司，于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月起全面停止</w:t>
      </w:r>
      <w:r>
        <w:rPr>
          <w:rFonts w:ascii="Times New Roman" w:hAnsi="Times New Roman" w:cs="Times New Roman" w:eastAsia="Times New Roman" w:hint="default"/>
        </w:rPr>
        <w:t>EMS</w:t>
      </w:r>
      <w:r>
        <w:rPr/>
        <w:t>业务的生产和销售所致。</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8,404,796.69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11,923,080.68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-29.51%</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144,784,043.99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314,847,088.13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-54.01%</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17,273,611.97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25,465,513.28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-32.17%</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12,965,405.21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15,726,005.13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53,756,065.84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69,984,017.21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7,466,135.81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11,211,359.68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-33.41%</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互联网数字营销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媒体采购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78,631,529.39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2,702,680.50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1,172,796.74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15,181,413.52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21,520,135.04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left="514" w:right="0"/>
        <w:jc w:val="left"/>
      </w:pPr>
      <w:r>
        <w:rPr>
          <w:rFonts w:ascii="Times New Roman" w:hAnsi="Times New Roman" w:cs="Times New Roman" w:eastAsia="Times New Roman" w:hint="default"/>
        </w:rPr>
        <w:t>1</w:t>
      </w:r>
      <w:r>
        <w:rPr/>
        <w:t>、本期收购子公司： </w:t>
      </w:r>
      <w:r>
        <w:rPr>
          <w:spacing w:val="-2"/>
        </w:rPr>
        <w:t>报告期内，公司以发行股份及支付现金方式收购上海顺为广告传播有限公司、奇思国际广告（背景）有限公司、上海利</w:t>
      </w:r>
    </w:p>
    <w:p>
      <w:pPr>
        <w:pStyle w:val="BodyText"/>
        <w:spacing w:line="240" w:lineRule="auto" w:before="31"/>
        <w:ind w:left="154" w:right="0"/>
        <w:jc w:val="both"/>
      </w:pPr>
      <w:r>
        <w:rPr/>
        <w:t>宣广告有限公司，并于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月完成工商变更，上述三家公司正式纳入本公司</w:t>
      </w:r>
      <w:r>
        <w:rPr>
          <w:rFonts w:ascii="Times New Roman" w:hAnsi="Times New Roman" w:cs="Times New Roman" w:eastAsia="Times New Roman" w:hint="default"/>
        </w:rPr>
        <w:t>2015</w:t>
      </w:r>
      <w:r>
        <w:rPr/>
        <w:t>年度的合并报表范围。</w:t>
      </w:r>
    </w:p>
    <w:p>
      <w:pPr>
        <w:pStyle w:val="BodyText"/>
        <w:spacing w:line="240" w:lineRule="auto" w:before="63"/>
        <w:ind w:left="513" w:right="0"/>
        <w:jc w:val="left"/>
      </w:pPr>
      <w:r>
        <w:rPr>
          <w:rFonts w:ascii="Times New Roman" w:hAnsi="Times New Roman" w:cs="Times New Roman" w:eastAsia="Times New Roman" w:hint="default"/>
        </w:rPr>
        <w:t>2</w:t>
      </w:r>
      <w:r>
        <w:rPr/>
        <w:t>、本期新设子公司：</w:t>
      </w:r>
    </w:p>
    <w:p>
      <w:pPr>
        <w:pStyle w:val="BodyText"/>
        <w:spacing w:line="240" w:lineRule="auto" w:before="63"/>
        <w:ind w:left="51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日，公司设立全资子公司深圳市哇塞宝贝网络科技有限公司，公司从</w:t>
      </w:r>
      <w:r>
        <w:rPr>
          <w:rFonts w:ascii="Times New Roman" w:hAnsi="Times New Roman" w:cs="Times New Roman" w:eastAsia="Times New Roman" w:hint="default"/>
        </w:rPr>
        <w:t>2015</w:t>
      </w:r>
      <w:r>
        <w:rPr/>
        <w:t>年开始将其纳入合并报表范围；</w:t>
      </w:r>
    </w:p>
    <w:p>
      <w:pPr>
        <w:pStyle w:val="BodyText"/>
        <w:spacing w:line="240" w:lineRule="auto" w:before="63"/>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日，公司设立全资子公司深圳市元通孵化有限公司，公司从</w:t>
      </w:r>
      <w:r>
        <w:rPr>
          <w:rFonts w:ascii="Times New Roman" w:hAnsi="Times New Roman" w:cs="Times New Roman" w:eastAsia="Times New Roman" w:hint="default"/>
        </w:rPr>
        <w:t>2015</w:t>
      </w:r>
      <w:r>
        <w:rPr/>
        <w:t>年开始将其纳入合并报表范围；</w:t>
      </w:r>
    </w:p>
    <w:p>
      <w:pPr>
        <w:pStyle w:val="BodyText"/>
        <w:spacing w:line="240" w:lineRule="auto" w:before="63"/>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日，公司设立全资子公司深圳市实益达工业有限公司，公司从</w:t>
      </w:r>
      <w:r>
        <w:rPr>
          <w:rFonts w:ascii="Times New Roman" w:hAnsi="Times New Roman" w:cs="Times New Roman" w:eastAsia="Times New Roman" w:hint="default"/>
        </w:rPr>
        <w:t>2015</w:t>
      </w:r>
      <w:r>
        <w:rPr/>
        <w:t>年开始将其纳入合并报表范围。</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报告期内，公司完成对顺为广告、奇思广告、利宣广告的收购，上市公司主营业务由传统制造业转变为传统制造业与新</w:t>
      </w:r>
    </w:p>
    <w:p>
      <w:pPr>
        <w:pStyle w:val="BodyText"/>
        <w:spacing w:line="312" w:lineRule="auto" w:before="2"/>
        <w:ind w:right="1042"/>
        <w:jc w:val="both"/>
      </w:pPr>
      <w:r>
        <w:rPr>
          <w:spacing w:val="-2"/>
        </w:rPr>
        <w:t>兴互联网行业双轮驱动的局面，产业结构将得到有效调整与升级。结合公司参股公司讯友数码在汽车行业的广告主资源与在</w:t>
      </w:r>
      <w:r>
        <w:rPr>
          <w:spacing w:val="-64"/>
        </w:rPr>
        <w:t> </w:t>
      </w:r>
      <w:r>
        <w:rPr>
          <w:spacing w:val="-64"/>
        </w:rPr>
      </w:r>
      <w:r>
        <w:rPr/>
        <w:t>移动端的媒介资源，公司将打造一个创意策略服务能力突出，优质互联网媒体（含</w:t>
      </w:r>
      <w:r>
        <w:rPr>
          <w:rFonts w:ascii="Times New Roman" w:hAnsi="Times New Roman" w:cs="Times New Roman" w:eastAsia="Times New Roman" w:hint="default"/>
        </w:rPr>
        <w:t>PC</w:t>
      </w:r>
      <w:r>
        <w:rPr/>
        <w:t>端与移动端）渠道通畅，部分行业竞 </w:t>
      </w:r>
      <w:r>
        <w:rPr>
          <w:spacing w:val="-2"/>
        </w:rPr>
        <w:t>争优势明显、且在社会化媒体营销、互联网整合营销等数字营销新兴领域具有一定影响力的数字营销板块，数字营销板块将</w:t>
      </w:r>
      <w:r>
        <w:rPr>
          <w:spacing w:val="-65"/>
        </w:rPr>
        <w:t> </w:t>
      </w:r>
      <w:r>
        <w:rPr>
          <w:spacing w:val="-65"/>
        </w:rPr>
      </w:r>
      <w:r>
        <w:rPr>
          <w:spacing w:val="-4"/>
        </w:rPr>
        <w:t>成为公司新的盈利驱动业务。公司将以数字营销业务为基石，构建企业级</w:t>
      </w:r>
      <w:r>
        <w:rPr>
          <w:rFonts w:ascii="宋体" w:hAnsi="宋体" w:cs="宋体" w:eastAsia="宋体" w:hint="default"/>
          <w:spacing w:val="-4"/>
        </w:rPr>
        <w:t>SaaS</w:t>
      </w:r>
      <w:r>
        <w:rPr>
          <w:spacing w:val="-4"/>
        </w:rPr>
        <w:t>平台和生态圈，推动公司业务高速、健康成长。</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both"/>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183,187,703.17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61,065,196.51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40,717,948.72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34,980,337.05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24,017,039.01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22,407,181.88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183,187,703.17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43.81%</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129,368,134.96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54.14%</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42,895,658.04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38,463,755.97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17,865,254.68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17,006,069.21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13,137,397.05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129,368,134.96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54.14%</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11,442,553.35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18,011,822.27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-36.47%</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年传统业务收缩，员工 工资及广告宣传费减少所致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3" w:right="0"/>
              <w:jc w:val="left"/>
              <w:rPr>
                <w:rFonts w:ascii="Times New Roman" w:hAnsi="Times New Roman" w:cs="Times New Roman" w:eastAsia="Times New Roman" w:hint="default"/>
                <w:sz w:val="18"/>
                <w:szCs w:val="18"/>
              </w:rPr>
            </w:pPr>
            <w:r>
              <w:rPr>
                <w:rFonts w:ascii="Times New Roman"/>
                <w:sz w:val="18"/>
              </w:rPr>
              <w:t>49,411,258.37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42,469,629.84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3" w:right="0"/>
              <w:jc w:val="left"/>
              <w:rPr>
                <w:rFonts w:ascii="Times New Roman" w:hAnsi="Times New Roman" w:cs="Times New Roman" w:eastAsia="Times New Roman" w:hint="default"/>
                <w:sz w:val="18"/>
                <w:szCs w:val="18"/>
              </w:rPr>
            </w:pPr>
            <w:r>
              <w:rPr>
                <w:rFonts w:ascii="Times New Roman"/>
                <w:sz w:val="18"/>
              </w:rPr>
              <w:t>16.34%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-10,697,885.47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-6,160,745.00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-73.65%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年汇率变动产生的汇兑 损益所致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公司一直非常重视新产品、新技术的研发，以市场为导向，持续推进技术升级，大力提升公司技术研发能力和自主创新</w:t>
      </w:r>
    </w:p>
    <w:p>
      <w:pPr>
        <w:pStyle w:val="BodyText"/>
        <w:spacing w:line="360" w:lineRule="auto" w:before="2"/>
        <w:ind w:left="154" w:right="6252"/>
        <w:jc w:val="left"/>
      </w:pPr>
      <w:r>
        <w:rPr/>
        <w:t>能力，提高产品附加值，以不断增强公司的市场竞争力。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3239"/>
        <w:gridCol w:w="2138"/>
        <w:gridCol w:w="2268"/>
        <w:gridCol w:w="1913"/>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6,898,305.68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13,584,600.35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2138"/>
        <w:gridCol w:w="2268"/>
        <w:gridCol w:w="1913"/>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514,731,553.16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532,676,878.05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460,784,952.35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528,379,835.02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-12.79%</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53,946,600.81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4,297,043.03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1,155.44%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16,375,337.36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108,216,087.50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316,447,613.68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20,019,831.21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1,480.67%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-300,072,276.32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88,196,256.29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-440.23%</w:t>
            </w:r>
            <w:r>
              <w:rPr>
                <w:rFonts w:ascii="Times New Roman"/>
                <w:sz w:val="18"/>
              </w:rPr>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136,565,451.65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110,064,350.00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8,473,134.13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205,307,214.87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-95.87%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128,092,317.52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-95,242,864.87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234.49%</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-116,470,556.81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-2,547,381.54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-4,472.17%</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38" w:lineRule="auto" w:before="116"/>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报告期内，经营活动产生的现金流量净额较去年同期增加的主要原因系本期收到前期销售商品、提供劳务的款项及报告</w:t>
      </w:r>
    </w:p>
    <w:p>
      <w:pPr>
        <w:pStyle w:val="BodyText"/>
        <w:spacing w:line="319" w:lineRule="auto" w:before="2"/>
        <w:ind w:left="513" w:right="0" w:hanging="360"/>
        <w:jc w:val="left"/>
      </w:pPr>
      <w:r>
        <w:rPr/>
        <w:t>期内收到房屋租赁收入所致； </w:t>
      </w:r>
      <w:r>
        <w:rPr>
          <w:spacing w:val="-4"/>
        </w:rPr>
        <w:t>报告期内，投资活动产生的现金流量净额减少的主要原因系因收购顺为广告、奇思广告和利宣广告股份支付转让款所致；</w:t>
      </w:r>
      <w:r>
        <w:rPr/>
        <w:t> 报告期内，筹资活动产生的现金流量净额增加的主要原因系本期取得的银行借款、融资租赁款增加所致；</w:t>
      </w:r>
    </w:p>
    <w:p>
      <w:pPr>
        <w:pStyle w:val="BodyText"/>
        <w:spacing w:line="240" w:lineRule="auto" w:before="17"/>
        <w:ind w:right="0"/>
        <w:jc w:val="left"/>
      </w:pPr>
      <w:r>
        <w:rPr/>
        <w:t>报告期内公司经营活动产生的现金净流量与本年度净利润存在重大差异的原因说明。</w:t>
      </w:r>
    </w:p>
    <w:p>
      <w:pPr>
        <w:pStyle w:val="BodyText"/>
        <w:spacing w:line="338" w:lineRule="auto" w:before="117"/>
        <w:ind w:left="513" w:right="1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报告期内两者存在重大差异的主要原因系本期收到前期销售商品、提供劳务款项及报告期内收到房屋租赁收入所致。</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596"/>
        <w:gridCol w:w="1559"/>
        <w:gridCol w:w="3261"/>
        <w:gridCol w:w="1631"/>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1,579,357.31</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3261"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164"/>
              <w:jc w:val="both"/>
              <w:rPr>
                <w:rFonts w:ascii="宋体" w:hAnsi="宋体" w:cs="宋体" w:eastAsia="宋体" w:hint="default"/>
                <w:sz w:val="18"/>
                <w:szCs w:val="18"/>
              </w:rPr>
            </w:pPr>
            <w:r>
              <w:rPr>
                <w:rFonts w:ascii="宋体" w:hAnsi="宋体" w:cs="宋体" w:eastAsia="宋体" w:hint="default"/>
                <w:sz w:val="18"/>
                <w:szCs w:val="18"/>
              </w:rPr>
              <w:t>权益法核算的长期股权投资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广州讯友 和新余久益投资管理合伙企业的投资收 益</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4,770,403.08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坏账准备转回及计提存货跌价增加所致</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3,438,604.25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14.92%</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固定资产处置利得和政府补助</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553,492.52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固定资产处置损失和其他非经营性支出</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063"/>
        <w:gridCol w:w="1196"/>
        <w:gridCol w:w="1063"/>
        <w:gridCol w:w="798"/>
        <w:gridCol w:w="2918"/>
      </w:tblGrid>
      <w:tr>
        <w:trPr>
          <w:trHeight w:val="380" w:hRule="exact"/>
        </w:trPr>
        <w:tc>
          <w:tcPr>
            <w:tcW w:w="1265"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65" w:type="dxa"/>
            <w:vMerge w:val="restart"/>
            <w:tcBorders>
              <w:top w:val="single" w:sz="14" w:space="0" w:color="FFFFFF"/>
              <w:left w:val="single" w:sz="4" w:space="0" w:color="000000"/>
              <w:right w:val="single" w:sz="4" w:space="0" w:color="000000"/>
            </w:tcBorders>
            <w:shd w:val="clear" w:color="auto" w:fill="D2D2D2"/>
          </w:tcPr>
          <w:p>
            <w:pPr/>
          </w:p>
        </w:tc>
        <w:tc>
          <w:tcPr>
            <w:tcW w:w="12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54,240,549.53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170,321,490.34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25.65%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-21.58%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主要系报告期内，支付投资款项增加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225,528,012.58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141,588,680.47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-4.41%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要系报告期内，子公司顺为广告、奇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思广告、利宣广告新纳入合并范围所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33,730,748.63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27,329,970.57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66,736,826.09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65,744,674.72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22,629,520.98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650,163.67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主要系报告期内，新增投资广州讯友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105,107,765.96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123,643,362.87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51,007,559.24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885,940.05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3.70%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主要系报告期内，公司无锡新厂房建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设所致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本期向银行贷款增加所致</w:t>
            </w: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541,571,539.43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主主要系报告期内，溢价收购顺为广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告、奇思广告、利宣广告所致。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5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13,000,000.00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13,000,000.00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659,400,000.00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41,547,282.22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39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上海顺 为广告 传播有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互联网 媒体营 销服 务、社 会化媒 体营销 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313,00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发行股 份及配 套资金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提供全 案类数 字营销 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已成 为公 司全 资子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30,672,2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83.40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《发行 股份及 支付现 金购买 资产并 募集配 套资金 暨关联 交易报 告书》 详见巨 潮资讯 网</w:t>
            </w:r>
          </w:p>
          <w:p>
            <w:pPr>
              <w:pStyle w:val="TableParagraph"/>
              <w:spacing w:line="355" w:lineRule="auto" w:before="1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p>
        </w:tc>
      </w:tr>
      <w:tr>
        <w:trPr>
          <w:trHeight w:val="22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奇思国 际广告</w:t>
            </w:r>
          </w:p>
          <w:p>
            <w:pPr>
              <w:pStyle w:val="TableParagraph"/>
              <w:spacing w:line="319"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（背 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创意策 略服 务，广 告制作 服务、 互联网 整合营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3" w:right="47"/>
              <w:jc w:val="both"/>
              <w:rPr>
                <w:rFonts w:ascii="宋体" w:hAnsi="宋体" w:cs="宋体" w:eastAsia="宋体" w:hint="default"/>
                <w:sz w:val="18"/>
                <w:szCs w:val="18"/>
              </w:rPr>
            </w:pPr>
            <w:r>
              <w:rPr>
                <w:rFonts w:ascii="宋体" w:hAnsi="宋体" w:cs="宋体" w:eastAsia="宋体" w:hint="default"/>
                <w:sz w:val="18"/>
                <w:szCs w:val="18"/>
              </w:rPr>
              <w:t>发行股 份及配 套资金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提供以 创意、 策略为 核心服 务的广 告服务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已成 为公 司全 资子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0" w:right="0"/>
              <w:jc w:val="left"/>
              <w:rPr>
                <w:rFonts w:ascii="Times New Roman" w:hAnsi="Times New Roman" w:cs="Times New Roman" w:eastAsia="Times New Roman" w:hint="default"/>
                <w:sz w:val="18"/>
                <w:szCs w:val="18"/>
              </w:rPr>
            </w:pPr>
            <w:r>
              <w:rPr>
                <w:rFonts w:ascii="Times New Roman"/>
                <w:sz w:val="18"/>
              </w:rPr>
              <w:t>28,051,1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73.82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《发行 股份及 支付现 金购买 资产并 募集配 套资金</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17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4"/>
              <w:jc w:val="center"/>
              <w:rPr>
                <w:rFonts w:ascii="宋体" w:hAnsi="宋体" w:cs="宋体" w:eastAsia="宋体" w:hint="default"/>
                <w:sz w:val="18"/>
                <w:szCs w:val="18"/>
              </w:rPr>
            </w:pPr>
            <w:r>
              <w:rPr>
                <w:rFonts w:ascii="宋体" w:hAnsi="宋体" w:cs="宋体" w:eastAsia="宋体" w:hint="default"/>
                <w:sz w:val="18"/>
                <w:szCs w:val="18"/>
              </w:rPr>
              <w:t>销服务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暨关联 交易报 告书》 详见巨 潮资讯 网</w:t>
            </w:r>
          </w:p>
          <w:p>
            <w:pPr>
              <w:pStyle w:val="TableParagraph"/>
              <w:spacing w:line="355" w:lineRule="auto" w:before="1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p>
        </w:tc>
      </w:tr>
      <w:tr>
        <w:trPr>
          <w:trHeight w:val="539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上海利 宣广告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77"/>
              <w:jc w:val="both"/>
              <w:rPr>
                <w:rFonts w:ascii="宋体" w:hAnsi="宋体" w:cs="宋体" w:eastAsia="宋体" w:hint="default"/>
                <w:sz w:val="18"/>
                <w:szCs w:val="18"/>
              </w:rPr>
            </w:pPr>
            <w:r>
              <w:rPr>
                <w:rFonts w:ascii="宋体" w:hAnsi="宋体" w:cs="宋体" w:eastAsia="宋体" w:hint="default"/>
                <w:sz w:val="18"/>
                <w:szCs w:val="18"/>
              </w:rPr>
              <w:t>社会化 媒体营 销服务 与其他 媒体营 销服务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发行股 份及配 套资金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43"/>
              <w:jc w:val="both"/>
              <w:rPr>
                <w:rFonts w:ascii="宋体" w:hAnsi="宋体" w:cs="宋体" w:eastAsia="宋体" w:hint="default"/>
                <w:sz w:val="18"/>
                <w:szCs w:val="18"/>
              </w:rPr>
            </w:pPr>
            <w:r>
              <w:rPr>
                <w:rFonts w:ascii="宋体" w:hAnsi="宋体" w:cs="宋体" w:eastAsia="宋体" w:hint="default"/>
                <w:sz w:val="18"/>
                <w:szCs w:val="18"/>
              </w:rPr>
              <w:t>提供以 广告创 意和内 容制作 为核心 服务的 社会化 媒体营 销服务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已成 为公 司全 资子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11,741,5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93.71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《发行 股份及 支付现 金购买 资产并 募集配 套资金 暨关联 交易报 告书》 详见巨 潮资讯 网</w:t>
            </w:r>
          </w:p>
          <w:p>
            <w:pPr>
              <w:pStyle w:val="TableParagraph"/>
              <w:spacing w:line="355" w:lineRule="auto" w:before="1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70,465,0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50.93</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无锡鸿 山厂房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50,121,6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51,007,5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59.24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85.01%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正在建 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50,121,6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19.19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51,007,5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59.24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向特定投 资者非公 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13,966.21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13,966.21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13,966.21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160  </w:t>
            </w:r>
            <w:r>
              <w:rPr>
                <w:rFonts w:ascii="宋体" w:hAnsi="宋体" w:cs="宋体" w:eastAsia="宋体" w:hint="default"/>
                <w:sz w:val="18"/>
                <w:szCs w:val="18"/>
              </w:rPr>
              <w:t>号文核准，公司于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月向特定投资者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非公开发行人民币普通股股票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3,700.00 </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万股，发行价格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3.99 </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14,763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万元，扣除各项发行费用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796.79</w:t>
            </w:r>
          </w:p>
          <w:p>
            <w:pPr>
              <w:pStyle w:val="TableParagraph"/>
              <w:spacing w:line="302"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万元，实际募集资金净额为人民币 </w:t>
            </w:r>
            <w:r>
              <w:rPr>
                <w:rFonts w:ascii="Times New Roman" w:hAnsi="Times New Roman" w:cs="Times New Roman" w:eastAsia="Times New Roman" w:hint="default"/>
                <w:sz w:val="18"/>
                <w:szCs w:val="18"/>
              </w:rPr>
              <w:t>13,966.21 </w:t>
            </w:r>
            <w:r>
              <w:rPr>
                <w:rFonts w:ascii="宋体" w:hAnsi="宋体" w:cs="宋体" w:eastAsia="宋体" w:hint="default"/>
                <w:sz w:val="18"/>
                <w:szCs w:val="18"/>
              </w:rPr>
              <w:t>万元。该募集资金已经于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全部到账，并经大华会计师事 务所（特殊普通合伙）大华验</w:t>
            </w:r>
            <w:r>
              <w:rPr>
                <w:rFonts w:ascii="Times New Roman" w:hAnsi="Times New Roman" w:cs="Times New Roman" w:eastAsia="Times New Roman" w:hint="default"/>
                <w:sz w:val="18"/>
                <w:szCs w:val="18"/>
              </w:rPr>
              <w:t>[2013]000228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号《验资报告》验证确认。</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0"/>
              <w:jc w:val="left"/>
              <w:rPr>
                <w:rFonts w:ascii="宋体" w:hAnsi="宋体" w:cs="宋体" w:eastAsia="宋体" w:hint="default"/>
                <w:sz w:val="18"/>
                <w:szCs w:val="18"/>
              </w:rPr>
            </w:pPr>
            <w:r>
              <w:rPr>
                <w:rFonts w:ascii="宋体" w:hAnsi="宋体" w:cs="宋体" w:eastAsia="宋体" w:hint="default"/>
                <w:sz w:val="18"/>
                <w:szCs w:val="18"/>
              </w:rPr>
              <w:t>无锡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室内商业 照明生产建设项目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26,478.2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已变更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2.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照明研发中 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5,064.9</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已变更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照明营销网 络体系建设项目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已变更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深圳手机控制板生产 线技术改造项目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已变更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40,743</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7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、公司考虑到如下三方面原因，终止实施了募集资金投资项目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深圳手机控制板生产线技术改造</w:t>
                        </w:r>
                        <w:r>
                          <w:rPr>
                            <w:rFonts w:ascii="Times New Roman" w:hAnsi="Times New Roman" w:cs="Times New Roman" w:eastAsia="Times New Roman" w:hint="default"/>
                            <w:sz w:val="18"/>
                            <w:szCs w:val="18"/>
                          </w:rPr>
                          <w:t>”</w:t>
                        </w:r>
                        <w:r>
                          <w:rPr>
                            <w:rFonts w:ascii="宋体" w:hAnsi="宋体" w:cs="宋体" w:eastAsia="宋体" w:hint="default"/>
                            <w:sz w:val="18"/>
                            <w:szCs w:val="18"/>
                          </w:rPr>
                          <w:t>。 具体原因为：①公司本次非公开发行股票实际募集资金净额少于计划金额，不能满足全部项目投资 需要，根据公司实际经营情况及公司发展战略，如继续实施，深圳手机控制板生产线技术改造项目 投资资金需全部通过公司自筹解决。②公司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业务订单数量及质量大幅度下滑，手机控制板项 目订单急剧减少，公司的现有装备制造能力足以满足手机业务产能。③根据公司发展战略，为提高 公司的盈利水平，增强公司抗风险能力，公司致力于大力发展自主品牌业务，并将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照明业务 作为战略发展规划的重中之重。因本次非公开发行实际募集资金净额少于计划金额，不能满足全部 募投项目投资需要，根据公司发展战略，公司未向本项目分配募集资金，所以不需要安排募集资金 后续使用事宜。</w:t>
                        </w:r>
                      </w:p>
                      <w:p>
                        <w:pPr>
                          <w:pStyle w:val="TableParagraph"/>
                          <w:spacing w:line="307" w:lineRule="auto" w:before="6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、针对</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室内商业照明生产建设项目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日，公司第四届董事会第十六次 </w:t>
                        </w:r>
                        <w:r>
                          <w:rPr>
                            <w:rFonts w:ascii="宋体" w:hAnsi="宋体" w:cs="宋体" w:eastAsia="宋体" w:hint="default"/>
                            <w:spacing w:val="-5"/>
                            <w:sz w:val="18"/>
                            <w:szCs w:val="18"/>
                          </w:rPr>
                          <w:t>会议审议通过了《关于东林电子回购公司持有的萤火虫节能股份的议案》，由于厦门萤火虫节能服务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萤火虫节能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年度实际业绩完成情况未达承诺指标，公司恰逢战略转型 经双方友好协商，公司决定根据《厦门萤火虫节能服务有限公司增资协议》的约定，由厦门市东林 电子有限公司（以下简称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东林电子</w:t>
                        </w:r>
                        <w:r>
                          <w:rPr>
                            <w:rFonts w:ascii="Times New Roman" w:hAnsi="Times New Roman" w:cs="Times New Roman" w:eastAsia="Times New Roman" w:hint="default"/>
                            <w:sz w:val="18"/>
                            <w:szCs w:val="18"/>
                          </w:rPr>
                          <w:t>”</w:t>
                        </w:r>
                        <w:r>
                          <w:rPr>
                            <w:rFonts w:ascii="宋体" w:hAnsi="宋体" w:cs="宋体" w:eastAsia="宋体" w:hint="default"/>
                            <w:sz w:val="18"/>
                            <w:szCs w:val="18"/>
                          </w:rPr>
                          <w:t>）回购公司所持有的萤火虫节能</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2.439%</w:t>
                        </w:r>
                        <w:r>
                          <w:rPr>
                            <w:rFonts w:ascii="宋体" w:hAnsi="宋体" w:cs="宋体" w:eastAsia="宋体" w:hint="default"/>
                            <w:sz w:val="18"/>
                            <w:szCs w:val="18"/>
                          </w:rPr>
                          <w:t>的股份，公司将回购资 金（含本金及利息）用于永久补充流动资金。</w:t>
                        </w:r>
                      </w:p>
                      <w:p>
                        <w:pPr>
                          <w:pStyle w:val="TableParagraph"/>
                          <w:spacing w:line="304" w:lineRule="auto" w:before="64"/>
                          <w:ind w:left="16"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、基于以下三方面的原因，公司终止非公开发行的三项募集资金投资项目，并将剩余募集资金永久</w:t>
                        </w:r>
                        <w:r>
                          <w:rPr>
                            <w:rFonts w:ascii="宋体" w:hAnsi="宋体" w:cs="宋体" w:eastAsia="宋体" w:hint="default"/>
                            <w:sz w:val="18"/>
                            <w:szCs w:val="18"/>
                          </w:rPr>
                          <w:t> </w:t>
                        </w:r>
                        <w:r>
                          <w:rPr>
                            <w:rFonts w:ascii="宋体" w:hAnsi="宋体" w:cs="宋体" w:eastAsia="宋体" w:hint="default"/>
                            <w:spacing w:val="-3"/>
                            <w:sz w:val="18"/>
                            <w:szCs w:val="18"/>
                          </w:rPr>
                          <w:t>补充流动资金：（</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）根据公司战略规划的调整，公司未来将重点布局互联网产业，为此，公司未来</w:t>
                        </w:r>
                        <w:r>
                          <w:rPr>
                            <w:rFonts w:ascii="宋体" w:hAnsi="宋体" w:cs="宋体" w:eastAsia="宋体" w:hint="default"/>
                            <w:spacing w:val="-48"/>
                            <w:sz w:val="18"/>
                            <w:szCs w:val="18"/>
                          </w:rPr>
                          <w:t> </w:t>
                        </w:r>
                        <w:r>
                          <w:rPr>
                            <w:rFonts w:ascii="宋体" w:hAnsi="宋体" w:cs="宋体" w:eastAsia="宋体" w:hint="default"/>
                            <w:spacing w:val="-3"/>
                            <w:sz w:val="18"/>
                            <w:szCs w:val="18"/>
                          </w:rPr>
                          <w:t>将集中资源，继续加大在互联网产业的投资，优先通过投资、并购互联网行业内的优质企业等方式</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快速整合行业资源，实现公司互联网产业板块的快速发展。（</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LED</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照明产业虽前景广阔，但因技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术、资金门槛较低，大量社会资本进入，导致行业无序竞争加剧，行业整体投资、竞争进入白热化 状态，整体毛利率呈现下降的趋势，为降低风险，防止产能过剩，公司决定未来保持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照明业 务的现有规模，实现 </w:t>
                        </w:r>
                        <w:r>
                          <w:rPr>
                            <w:rFonts w:ascii="Times New Roman" w:hAnsi="Times New Roman" w:cs="Times New Roman" w:eastAsia="Times New Roman" w:hint="default"/>
                            <w:w w:val="99"/>
                            <w:sz w:val="18"/>
                            <w:szCs w:val="18"/>
                          </w:rPr>
                          <w:t>LED </w:t>
                        </w:r>
                        <w:r>
                          <w:rPr>
                            <w:rFonts w:ascii="宋体" w:hAnsi="宋体" w:cs="宋体" w:eastAsia="宋体" w:hint="default"/>
                            <w:spacing w:val="-7"/>
                            <w:sz w:val="18"/>
                            <w:szCs w:val="18"/>
                          </w:rPr>
                          <w:t>照明业务健康运营。（</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）公司</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LED</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照明业务的现有研发、营销网络平 </w:t>
                        </w:r>
                        <w:r>
                          <w:rPr>
                            <w:rFonts w:ascii="宋体" w:hAnsi="宋体" w:cs="宋体" w:eastAsia="宋体" w:hint="default"/>
                            <w:spacing w:val="-3"/>
                            <w:sz w:val="18"/>
                            <w:szCs w:val="18"/>
                          </w:rPr>
                          <w:t>台已能满足生产经营之需，且与公司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照明业务的整体规模基本匹配，继续建设将可能造成重复 建设、资源浪费，不利用充分发挥募集资金的使用效率。</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347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138"/>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6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5787"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）根据公司战略发展规划，并鉴于无锡实益达电子的生产优势及项目投资进度等原因，公司经过</w:t>
                        </w:r>
                        <w:r>
                          <w:rPr>
                            <w:rFonts w:ascii="宋体" w:hAnsi="宋体" w:cs="宋体" w:eastAsia="宋体" w:hint="default"/>
                            <w:sz w:val="18"/>
                            <w:szCs w:val="18"/>
                          </w:rPr>
                          <w:t> 慎重研究，分别使用募投项目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无锡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t>
                        </w:r>
                        <w:r>
                          <w:rPr>
                            <w:rFonts w:ascii="宋体" w:hAnsi="宋体" w:cs="宋体" w:eastAsia="宋体" w:hint="default"/>
                            <w:sz w:val="18"/>
                            <w:szCs w:val="18"/>
                          </w:rPr>
                          <w:t>无锡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照明营销网络体系建设项目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万元及利息与无锡实益达电子共同投资无锡 实益达照明，并将此两募投项目的实施主体由无锡实益达电子变更为无锡实益达照明，</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室内商业照明生产建设项目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的实施主体不做变更。</w:t>
                        </w:r>
                      </w:p>
                      <w:p>
                        <w:pPr>
                          <w:pStyle w:val="TableParagraph"/>
                          <w:spacing w:line="302"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）根据公司发展战略规划，为抓住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产业发展的历史机遇，实现公司做大、做强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 </w:t>
                        </w:r>
                        <w:r>
                          <w:rPr>
                            <w:rFonts w:ascii="宋体" w:hAnsi="宋体" w:cs="宋体" w:eastAsia="宋体" w:hint="default"/>
                            <w:spacing w:val="-3"/>
                            <w:sz w:val="18"/>
                            <w:szCs w:val="18"/>
                          </w:rPr>
                          <w:t>业务的远景规划，公司在靠自身式发展的同时，迫切需要寻找在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照明细分市场领域与公司具有 业务互补以及代表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照明未来发展趋势的优质企业，通过产业并购等方式，借助实业经营和资本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运营的协同效应，逐步完善公司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照明多元化业务格局，提高公司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照明业务的核心竞争力</w:t>
                        </w:r>
                        <w:r>
                          <w:rPr>
                            <w:rFonts w:ascii="宋体" w:hAnsi="宋体" w:cs="宋体" w:eastAsia="宋体" w:hint="default"/>
                            <w:spacing w:val="-82"/>
                            <w:sz w:val="18"/>
                            <w:szCs w:val="18"/>
                          </w:rPr>
                          <w:t> </w:t>
                        </w:r>
                        <w:r>
                          <w:rPr>
                            <w:rFonts w:ascii="宋体" w:hAnsi="宋体" w:cs="宋体" w:eastAsia="宋体" w:hint="default"/>
                            <w:spacing w:val="-7"/>
                            <w:sz w:val="18"/>
                            <w:szCs w:val="18"/>
                          </w:rPr>
                          <w:t>此外，公司现有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pacing w:val="-3"/>
                            <w:sz w:val="18"/>
                            <w:szCs w:val="18"/>
                          </w:rPr>
                          <w:t>产能可以满足经营之需，公司传统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业务大幅萎缩导致部分闲置设备可直 接转用于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照明业务，为合理、有效利用各项资源，公司将暂缓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室内商业照明生产建 </w:t>
                        </w:r>
                        <w:r>
                          <w:rPr>
                            <w:rFonts w:ascii="宋体" w:hAnsi="宋体" w:cs="宋体" w:eastAsia="宋体" w:hint="default"/>
                            <w:spacing w:val="-6"/>
                            <w:sz w:val="18"/>
                            <w:szCs w:val="18"/>
                          </w:rPr>
                          <w:t>设项目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的实施，未来如需要重新启动，资金将由公司自筹解决。基于以上两方面原因，公司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度第三次临时股东大会审议通过了《关于变更部分募集资金用途暨使用募集资金对外股权投资的议 </w:t>
                        </w:r>
                        <w:r>
                          <w:rPr>
                            <w:rFonts w:ascii="宋体" w:hAnsi="宋体" w:cs="宋体" w:eastAsia="宋体" w:hint="default"/>
                            <w:spacing w:val="-6"/>
                            <w:w w:val="100"/>
                            <w:sz w:val="18"/>
                            <w:szCs w:val="18"/>
                          </w:rPr>
                          <w:t>案》，将募集资金投资项目之一的</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无锡</w:t>
                        </w:r>
                        <w:r>
                          <w:rPr>
                            <w:rFonts w:ascii="宋体" w:hAnsi="宋体" w:cs="宋体" w:eastAsia="宋体" w:hint="default"/>
                            <w:spacing w:val="-40"/>
                            <w:w w:val="100"/>
                            <w:sz w:val="18"/>
                            <w:szCs w:val="18"/>
                          </w:rPr>
                          <w:t> </w:t>
                        </w:r>
                        <w:r>
                          <w:rPr>
                            <w:rFonts w:ascii="Times New Roman" w:hAnsi="Times New Roman" w:cs="Times New Roman" w:eastAsia="Times New Roman" w:hint="default"/>
                            <w:w w:val="99"/>
                            <w:sz w:val="18"/>
                            <w:szCs w:val="18"/>
                          </w:rPr>
                          <w:t>LED</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1"/>
                            <w:w w:val="100"/>
                            <w:sz w:val="18"/>
                            <w:szCs w:val="18"/>
                          </w:rPr>
                          <w:t>室内商业照明生产建设项目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变更为</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围绕</w:t>
                        </w:r>
                        <w:r>
                          <w:rPr>
                            <w:rFonts w:ascii="宋体" w:hAnsi="宋体" w:cs="宋体" w:eastAsia="宋体" w:hint="default"/>
                            <w:spacing w:val="-40"/>
                            <w:w w:val="100"/>
                            <w:sz w:val="18"/>
                            <w:szCs w:val="18"/>
                          </w:rPr>
                          <w:t> </w:t>
                        </w:r>
                        <w:r>
                          <w:rPr>
                            <w:rFonts w:ascii="Times New Roman" w:hAnsi="Times New Roman" w:cs="Times New Roman" w:eastAsia="Times New Roman" w:hint="default"/>
                            <w:w w:val="99"/>
                            <w:sz w:val="18"/>
                            <w:szCs w:val="18"/>
                          </w:rPr>
                          <w:t>LED</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照明主</w:t>
                        </w:r>
                        <w:r>
                          <w:rPr>
                            <w:rFonts w:ascii="宋体" w:hAnsi="宋体" w:cs="宋体" w:eastAsia="宋体" w:hint="default"/>
                            <w:spacing w:val="-87"/>
                            <w:sz w:val="18"/>
                            <w:szCs w:val="18"/>
                          </w:rPr>
                          <w:t> </w:t>
                        </w:r>
                        <w:r>
                          <w:rPr>
                            <w:rFonts w:ascii="宋体" w:hAnsi="宋体" w:cs="宋体" w:eastAsia="宋体" w:hint="default"/>
                            <w:sz w:val="18"/>
                            <w:szCs w:val="18"/>
                          </w:rPr>
                          <w:t>业开展产业并购及投资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）由于萤火虫节能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年度实际业绩完成情况未达承诺指标，公司恰逢战略转型，经协商，东 林电子回购公司所持有的萤火虫节能</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2.439%</w:t>
                        </w:r>
                        <w:r>
                          <w:rPr>
                            <w:rFonts w:ascii="宋体" w:hAnsi="宋体" w:cs="宋体" w:eastAsia="宋体" w:hint="default"/>
                            <w:spacing w:val="-2"/>
                            <w:sz w:val="18"/>
                            <w:szCs w:val="18"/>
                          </w:rPr>
                          <w:t>的股份，公司将回购资金（含本金及利息）用于永久补</w:t>
                        </w:r>
                        <w:r>
                          <w:rPr>
                            <w:rFonts w:ascii="宋体" w:hAnsi="宋体" w:cs="宋体" w:eastAsia="宋体" w:hint="default"/>
                            <w:sz w:val="18"/>
                            <w:szCs w:val="18"/>
                          </w:rPr>
                          <w:t> 充流动资金。</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日，公司召开第四届董事会第三次会议审议通过了《关于使用部分闲置募集资金 </w:t>
                        </w:r>
                        <w:r>
                          <w:rPr>
                            <w:rFonts w:ascii="宋体" w:hAnsi="宋体" w:cs="宋体" w:eastAsia="宋体" w:hint="default"/>
                            <w:spacing w:val="-5"/>
                            <w:sz w:val="18"/>
                            <w:szCs w:val="18"/>
                          </w:rPr>
                          <w:t>暂时补充流动资金的议案》，为提高募集资金使用效率，降低财务成本，公司（含子公司）拟在不影</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响募集资金投资项目建设、募集资金正常使用以及保证募集资金安全的前提下，使用不超过</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万元（占公司非公开发行募集资金净额的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35.80%</w:t>
                        </w:r>
                        <w:r>
                          <w:rPr>
                            <w:rFonts w:ascii="宋体" w:hAnsi="宋体" w:cs="宋体" w:eastAsia="宋体" w:hint="default"/>
                            <w:sz w:val="18"/>
                            <w:szCs w:val="18"/>
                          </w:rPr>
                          <w:t>）的闲置募集资金暂时补充流动资金，使用期限 为自董事会审议通过之日起不超过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公司在规定期限内使用了募集资金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日，公司已</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将暂时用于补充流动资金的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）经公司第四届董事会第十三次会议、</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年度股东大会审议通过，公司终止了非公开发行的 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围绕</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照明主业开展产业并购及投资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照明研发中心建设项目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无锡 </w:t>
                        </w:r>
                        <w:r>
                          <w:rPr>
                            <w:rFonts w:ascii="Times New Roman" w:hAnsi="Times New Roman" w:cs="Times New Roman" w:eastAsia="Times New Roman" w:hint="default"/>
                            <w:sz w:val="18"/>
                            <w:szCs w:val="18"/>
                          </w:rPr>
                          <w:t>LED </w:t>
                        </w:r>
                        <w:r>
                          <w:rPr>
                            <w:rFonts w:ascii="宋体" w:hAnsi="宋体" w:cs="宋体" w:eastAsia="宋体" w:hint="default"/>
                            <w:spacing w:val="-3"/>
                            <w:sz w:val="18"/>
                            <w:szCs w:val="18"/>
                          </w:rPr>
                          <w:t>照明营销网络体系建设项目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，并将剩余募集资金 </w:t>
                        </w:r>
                        <w:r>
                          <w:rPr>
                            <w:rFonts w:ascii="Times New Roman" w:hAnsi="Times New Roman" w:cs="Times New Roman" w:eastAsia="Times New Roman" w:hint="default"/>
                            <w:sz w:val="18"/>
                            <w:szCs w:val="18"/>
                          </w:rPr>
                          <w:t>12,966.21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及利息和理财收入用于永 久补充流动资金。</w:t>
                        </w:r>
                      </w:p>
                      <w:p>
                        <w:pPr>
                          <w:pStyle w:val="TableParagraph"/>
                          <w:spacing w:line="307" w:lineRule="auto" w:before="70"/>
                          <w:ind w:left="22" w:right="-3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）根据公司第四届董事会第十六次会议审议通过的《关于东林电子回购公司持有的萤火虫节能股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份的议案》，由于萤火虫节能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年度实际业绩完成情况未达承诺指标，公司恰逢战略转型，经双 方友好协商，公司决定根据《厦门萤火虫节能服务有限公司增资协议》的约定，由东林电子回购公 司所持有的萤火虫节能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2.439%</w:t>
                        </w:r>
                        <w:r>
                          <w:rPr>
                            <w:rFonts w:ascii="宋体" w:hAnsi="宋体" w:cs="宋体" w:eastAsia="宋体" w:hint="default"/>
                            <w:sz w:val="18"/>
                            <w:szCs w:val="18"/>
                          </w:rPr>
                          <w:t>的股份，公司将回购资金（含本金及利息）用于永久补充流动资金。</w:t>
                        </w:r>
                      </w:p>
                    </w:tc>
                  </w:tr>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）经公司第四届董事会第十三次会议、</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年度股东大会审议通过，公司终止了非公开发行的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133"/>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围绕</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照明主业开展产业并购及投资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照明研发中心建设项目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无锡 </w:t>
            </w:r>
            <w:r>
              <w:rPr>
                <w:rFonts w:ascii="Times New Roman" w:hAnsi="Times New Roman" w:cs="Times New Roman" w:eastAsia="Times New Roman" w:hint="default"/>
                <w:sz w:val="18"/>
                <w:szCs w:val="18"/>
              </w:rPr>
              <w:t>LED </w:t>
            </w:r>
            <w:r>
              <w:rPr>
                <w:rFonts w:ascii="宋体" w:hAnsi="宋体" w:cs="宋体" w:eastAsia="宋体" w:hint="default"/>
                <w:spacing w:val="-3"/>
                <w:sz w:val="18"/>
                <w:szCs w:val="18"/>
              </w:rPr>
              <w:t>照明营销网络体系建设项目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，并将剩余募集资金 </w:t>
            </w:r>
            <w:r>
              <w:rPr>
                <w:rFonts w:ascii="Times New Roman" w:hAnsi="Times New Roman" w:cs="Times New Roman" w:eastAsia="Times New Roman" w:hint="default"/>
                <w:sz w:val="18"/>
                <w:szCs w:val="18"/>
              </w:rPr>
              <w:t>12,966.21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及利息和理财收入用于永 久补充流动资金。</w:t>
            </w:r>
          </w:p>
          <w:p>
            <w:pPr>
              <w:pStyle w:val="TableParagraph"/>
              <w:spacing w:line="300" w:lineRule="auto" w:before="71"/>
              <w:ind w:left="22"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）根据公司第四届董事会第十六次会议审议通过的《关于东林电子回购公司持有的萤火虫节能股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份的议案》，由于萤火虫节能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年度实际业绩完成情况未达承诺指标，公司恰逢战略转型，经协 </w:t>
            </w:r>
            <w:r>
              <w:rPr>
                <w:rFonts w:ascii="宋体" w:hAnsi="宋体" w:cs="宋体" w:eastAsia="宋体" w:hint="default"/>
                <w:spacing w:val="-1"/>
                <w:sz w:val="18"/>
                <w:szCs w:val="18"/>
              </w:rPr>
              <w:t>商，由东林电子回购公司所持有的萤火虫节能</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2.439%</w:t>
            </w:r>
            <w:r>
              <w:rPr>
                <w:rFonts w:ascii="宋体" w:hAnsi="宋体" w:cs="宋体" w:eastAsia="宋体" w:hint="default"/>
                <w:spacing w:val="-2"/>
                <w:sz w:val="18"/>
                <w:szCs w:val="18"/>
              </w:rPr>
              <w:t>的股份，公司将回购资金（含本金及利息）用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于永久补充流动资金。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室内商业照 明生产建设 项目</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13,966.21</w:t>
            </w:r>
          </w:p>
        </w:tc>
        <w:tc>
          <w:tcPr>
            <w:tcW w:w="9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13,966.21</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13,966.21</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照明研发中 心建设项</w:t>
            </w:r>
          </w:p>
        </w:tc>
        <w:tc>
          <w:tcPr>
            <w:tcW w:w="956"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照明营销网 络体系建设 项目</w:t>
            </w:r>
          </w:p>
        </w:tc>
        <w:tc>
          <w:tcPr>
            <w:tcW w:w="956"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13,966.21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13,966.21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13,966.21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详见上表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详见上表</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未达到计划进度或预计收益的情况和原因（分具体项目）</w:t>
            </w:r>
            <w:r>
              <w:rPr>
                <w:rFonts w:ascii="Times New Roman" w:hAnsi="Times New Roman" w:cs="Times New Roman" w:eastAsia="Times New Roman" w:hint="default"/>
                <w:sz w:val="18"/>
                <w:szCs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详见上表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91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深圳市 日升投 资有限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深圳市 元通孵 化有限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尚在进 行中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26,500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本次交 易主要 目的在 于盘活 存量资 产，促 进公司 业务发 展。且 通过本 次交 易，上 市公司 可以获 得较高 的财务 投资回 报，并 将闲置 资产以 目前较 好的价</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标的资 产的最 终出售 价格以 具有证 券期货 相关业 务资格 的资产 评估机 构出具 的评估 报告为 依据， 由交易 双方协 商确 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公司实 际控制 人、董 事、总 裁乔昕 持有日 升投资 </w:t>
            </w:r>
            <w:r>
              <w:rPr>
                <w:rFonts w:ascii="Times New Roman" w:hAnsi="Times New Roman" w:cs="Times New Roman" w:eastAsia="Times New Roman" w:hint="default"/>
                <w:sz w:val="18"/>
                <w:szCs w:val="18"/>
              </w:rPr>
              <w:t>100%</w:t>
            </w:r>
            <w:r>
              <w:rPr>
                <w:rFonts w:ascii="宋体" w:hAnsi="宋体" w:cs="宋体" w:eastAsia="宋体" w:hint="default"/>
                <w:sz w:val="18"/>
                <w:szCs w:val="18"/>
              </w:rPr>
              <w:t>的</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本次重 大资产 出售尚 在进展 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《重大 资产出 售暨关 联交易 预案》 详见潮 资讯网</w:t>
            </w:r>
          </w:p>
          <w:p>
            <w:pPr>
              <w:pStyle w:val="TableParagraph"/>
              <w:spacing w:line="328" w:lineRule="auto" w:before="19"/>
              <w:ind w:left="22" w:right="23"/>
              <w:jc w:val="both"/>
              <w:rPr>
                <w:rFonts w:ascii="宋体" w:hAnsi="宋体" w:cs="宋体" w:eastAsia="宋体" w:hint="default"/>
                <w:sz w:val="18"/>
                <w:szCs w:val="18"/>
              </w:rPr>
            </w:pPr>
            <w:r>
              <w:rPr>
                <w:rFonts w:ascii="宋体" w:hAnsi="宋体" w:cs="宋体" w:eastAsia="宋体" w:hint="default"/>
                <w:spacing w:val="-3"/>
                <w:sz w:val="18"/>
                <w:szCs w:val="18"/>
              </w:rPr>
              <w:t>（</w:t>
            </w:r>
            <w:hyperlink r:id="rId16">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bl>
    <w:p>
      <w:pPr>
        <w:spacing w:after="0" w:line="328"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格变</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入到新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助于提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升公司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利用效</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率，有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利于公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司长期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pict>
          <v:group style="position:absolute;margin-left:290.859985pt;margin-top:104.49173pt;width:35pt;height:25.45pt;mso-position-horizontal-relative:page;mso-position-vertical-relative:paragraph;z-index:-996712" coordorigin="5817,2090" coordsize="700,509">
            <v:group style="position:absolute;left:5817;top:2090;width:700;height:156" coordorigin="5817,2090" coordsize="700,156">
              <v:shape style="position:absolute;left:5817;top:2090;width:700;height:156" coordorigin="5817,2090" coordsize="700,156" path="m5817,2246l6517,2246,6517,2090,5817,2090,5817,2246xe" filled="true" fillcolor="#ffffff" stroked="false">
                <v:path arrowok="t"/>
                <v:fill type="solid"/>
              </v:shape>
            </v:group>
            <v:group style="position:absolute;left:5841;top:2246;width:653;height:353" coordorigin="5841,2246" coordsize="653,353">
              <v:shape style="position:absolute;left:5841;top:2246;width:653;height:353" coordorigin="5841,2246" coordsize="653,353" path="m5841,2599l6494,2599,6494,2246,5841,2246,5841,2599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group style="position:absolute;margin-left:290.859985pt;margin-top:553.479980pt;width:33.85pt;height:36.450pt;mso-position-horizontal-relative:page;mso-position-vertical-relative:page;z-index:-996688" coordorigin="5817,11070" coordsize="677,729">
            <v:group style="position:absolute;left:5829;top:11082;width:2;height:705" coordorigin="5829,11082" coordsize="2,705">
              <v:shape style="position:absolute;left:5829;top:11082;width:2;height:705" coordorigin="5829,11082" coordsize="0,705" path="m5829,11082l5829,11786e" filled="false" stroked="true" strokeweight="1.2pt" strokecolor="#ffffff">
                <v:path arrowok="t"/>
              </v:shape>
            </v:group>
            <v:group style="position:absolute;left:5841;top:11082;width:653;height:353" coordorigin="5841,11082" coordsize="653,353">
              <v:shape style="position:absolute;left:5841;top:11082;width:653;height:353" coordorigin="5841,11082" coordsize="653,353" path="m5841,11434l6494,11434,6494,11082,5841,11082,5841,11434xe" filled="true" fillcolor="#ffffff" stroked="false">
                <v:path arrowok="t"/>
                <v:fill type="solid"/>
              </v:shape>
            </v:group>
            <v:group style="position:absolute;left:5841;top:11434;width:653;height:352" coordorigin="5841,11434" coordsize="653,352">
              <v:shape style="position:absolute;left:5841;top:11434;width:653;height:352" coordorigin="5841,11434" coordsize="653,352" path="m5841,11786l6494,11786,6494,11434,5841,11434,5841,1178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648"/>
        <w:gridCol w:w="2976"/>
        <w:gridCol w:w="709"/>
        <w:gridCol w:w="851"/>
        <w:gridCol w:w="851"/>
        <w:gridCol w:w="850"/>
        <w:gridCol w:w="851"/>
        <w:gridCol w:w="779"/>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无锡实益达 电子有限公 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pacing w:val="-9"/>
                <w:sz w:val="18"/>
                <w:szCs w:val="18"/>
              </w:rPr>
              <w:t>从事电子元器件（混合集成电路）、电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子产品、数字放声设备的批发、佣金 </w:t>
            </w:r>
            <w:r>
              <w:rPr>
                <w:rFonts w:ascii="宋体" w:hAnsi="宋体" w:cs="宋体" w:eastAsia="宋体" w:hint="default"/>
                <w:spacing w:val="-6"/>
                <w:sz w:val="18"/>
                <w:szCs w:val="18"/>
              </w:rPr>
              <w:t>代理（拍卖除外）、进出口业务。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319,969,4</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61.32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301,869,7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71.06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65,262,04</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597,240.2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1,086,067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深圳市实益 达照明有限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pacing w:val="-4"/>
                <w:sz w:val="18"/>
                <w:szCs w:val="18"/>
              </w:rPr>
              <w:t>照明产品的设计、研发、生产、销售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照明工程、驱动电源、控制系统；进 出口业务。</w:t>
            </w:r>
          </w:p>
        </w:tc>
        <w:tc>
          <w:tcPr>
            <w:tcW w:w="709"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45,853,51</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2.78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36,964,82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6.55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24,682,20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1.32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1,363,204.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1,366,584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深圳市汇大 光电科技股 份有限公司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发光二极管的研发及销售；</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应用产品的购销；货物及技术进出口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发光二极管的生产。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15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26,982,32</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5.41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19,279,53</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25,034,36</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2.57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1,757,983.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1,751,273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广州讯友数 码科技有限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信息技术咨询服务；电子、通信与自 动控制技术研究、开发；广告业；计 算机技术开发、技术服务；网络技术 的研究、开发；增值电信服务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2722.22</w:t>
            </w:r>
          </w:p>
          <w:p>
            <w:pPr>
              <w:pStyle w:val="TableParagraph"/>
              <w:spacing w:line="319" w:lineRule="auto" w:before="65"/>
              <w:ind w:left="23" w:right="133"/>
              <w:jc w:val="left"/>
              <w:rPr>
                <w:rFonts w:ascii="宋体" w:hAnsi="宋体" w:cs="宋体" w:eastAsia="宋体" w:hint="default"/>
                <w:sz w:val="18"/>
                <w:szCs w:val="18"/>
              </w:rPr>
            </w:pPr>
            <w:r>
              <w:rPr>
                <w:rFonts w:ascii="宋体" w:hAnsi="宋体" w:cs="宋体" w:eastAsia="宋体" w:hint="default"/>
                <w:sz w:val="18"/>
                <w:szCs w:val="18"/>
              </w:rPr>
              <w:t>万人民 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46,301,59</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5.53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39,879,82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121,219,0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85.49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16,187,97</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6.55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12,106,52</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6.92</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上海顺为广 告传播有限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设计、制作、代理、发布各类广告， 文化艺术交流策划，企业形象策划， 市场营销策划，经济信息咨询，商务 咨询，展览展示服务，通讯技术领域 内的技术开发、技术转让、技术咨询 和技术服务。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万人 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170,495,5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44.90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41,888,85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340,544,</w:t>
            </w:r>
          </w:p>
          <w:p>
            <w:pPr>
              <w:pStyle w:val="TableParagraph"/>
              <w:spacing w:line="240" w:lineRule="auto" w:before="106"/>
              <w:ind w:left="120" w:right="0"/>
              <w:jc w:val="center"/>
              <w:rPr>
                <w:rFonts w:ascii="Times New Roman" w:hAnsi="Times New Roman" w:cs="Times New Roman" w:eastAsia="Times New Roman" w:hint="default"/>
                <w:sz w:val="18"/>
                <w:szCs w:val="18"/>
              </w:rPr>
            </w:pPr>
            <w:r>
              <w:rPr>
                <w:rFonts w:ascii="Times New Roman"/>
                <w:sz w:val="18"/>
              </w:rPr>
              <w:t>872.32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41,366,59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30,672,2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83.40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8.786011pt;margin-top:268.219971pt;width:77.1pt;height:15.6pt;mso-position-horizontal-relative:page;mso-position-vertical-relative:page;z-index:-996592" type="#_x0000_t202" filled="false" stroked="false">
            <v:textbox inset="0,0,0,0">
              <w:txbxContent>
                <w:p>
                  <w:pPr>
                    <w:pStyle w:val="BodyText"/>
                    <w:spacing w:line="208" w:lineRule="exact" w:before="0"/>
                    <w:ind w:left="0" w:right="0"/>
                    <w:jc w:val="left"/>
                  </w:pPr>
                  <w:r>
                    <w:rPr/>
                    <w:t>公关策划。</w:t>
                  </w:r>
                </w:p>
              </w:txbxContent>
            </v:textbox>
            <w10:wrap type="none"/>
          </v:shape>
        </w:pict>
      </w:r>
      <w:r>
        <w:rPr/>
        <w:pict>
          <v:shape style="position:absolute;margin-left:257.722992pt;margin-top:618.820007pt;width:68.150pt;height:31.2pt;mso-position-horizontal-relative:page;mso-position-vertical-relative:page;z-index:-996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术咨询、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648"/>
        <w:gridCol w:w="2976"/>
        <w:gridCol w:w="709"/>
        <w:gridCol w:w="851"/>
        <w:gridCol w:w="851"/>
        <w:gridCol w:w="850"/>
        <w:gridCol w:w="851"/>
        <w:gridCol w:w="779"/>
      </w:tblGrid>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19"/>
              <w:jc w:val="left"/>
              <w:rPr>
                <w:rFonts w:ascii="宋体" w:hAnsi="宋体" w:cs="宋体" w:eastAsia="宋体" w:hint="default"/>
                <w:sz w:val="18"/>
                <w:szCs w:val="18"/>
              </w:rPr>
            </w:pPr>
            <w:r>
              <w:rPr>
                <w:rFonts w:ascii="宋体" w:hAnsi="宋体" w:cs="宋体" w:eastAsia="宋体" w:hint="default"/>
                <w:sz w:val="18"/>
                <w:szCs w:val="18"/>
              </w:rPr>
              <w:t>上海利宣广 告有限公司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设计、制作、代理、发布各类广告， 会务服务，展览展示服务，企业形象 策划，图文设计制作，摄影服务（除 </w:t>
            </w:r>
            <w:r>
              <w:rPr>
                <w:rFonts w:ascii="宋体" w:hAnsi="宋体" w:cs="宋体" w:eastAsia="宋体" w:hint="default"/>
                <w:spacing w:val="-9"/>
                <w:sz w:val="18"/>
                <w:szCs w:val="18"/>
              </w:rPr>
              <w:t>冲扩），室内外装潢工程，室内装饰工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程设计，商务咨询，货物运输代理， 绿化工程，办公用品、工艺品、日用 百货、文具用品、针纺织品、服装服 饰、鞋帽、箱包、电子产品、化妆品 的销售。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8"/>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万人 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7" w:right="0"/>
              <w:jc w:val="left"/>
              <w:rPr>
                <w:rFonts w:ascii="Times New Roman" w:hAnsi="Times New Roman" w:cs="Times New Roman" w:eastAsia="Times New Roman" w:hint="default"/>
                <w:sz w:val="18"/>
                <w:szCs w:val="18"/>
              </w:rPr>
            </w:pPr>
            <w:r>
              <w:rPr>
                <w:rFonts w:ascii="Times New Roman"/>
                <w:sz w:val="18"/>
              </w:rPr>
              <w:t>36,402,90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7.05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18,138,32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7" w:right="0"/>
              <w:jc w:val="left"/>
              <w:rPr>
                <w:rFonts w:ascii="Times New Roman" w:hAnsi="Times New Roman" w:cs="Times New Roman" w:eastAsia="Times New Roman" w:hint="default"/>
                <w:sz w:val="18"/>
                <w:szCs w:val="18"/>
              </w:rPr>
            </w:pPr>
            <w:r>
              <w:rPr>
                <w:rFonts w:ascii="Times New Roman"/>
                <w:sz w:val="18"/>
              </w:rPr>
              <w:t>41,688,24</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8.72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15,533,3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62.92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 w:right="0"/>
              <w:jc w:val="left"/>
              <w:rPr>
                <w:rFonts w:ascii="Times New Roman" w:hAnsi="Times New Roman" w:cs="Times New Roman" w:eastAsia="Times New Roman" w:hint="default"/>
                <w:sz w:val="18"/>
                <w:szCs w:val="18"/>
              </w:rPr>
            </w:pPr>
            <w:r>
              <w:rPr>
                <w:rFonts w:ascii="Times New Roman"/>
                <w:sz w:val="18"/>
              </w:rPr>
              <w:t>11,741,59</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3.71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奇思国际广 </w:t>
            </w:r>
            <w:r>
              <w:rPr>
                <w:rFonts w:ascii="宋体" w:hAnsi="宋体" w:cs="宋体" w:eastAsia="宋体" w:hint="default"/>
                <w:spacing w:val="-14"/>
                <w:sz w:val="18"/>
                <w:szCs w:val="18"/>
              </w:rPr>
              <w:t>告（北京）有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设计、制作、代理、发布广告；组织 </w:t>
            </w:r>
            <w:r>
              <w:rPr>
                <w:rFonts w:ascii="宋体" w:hAnsi="宋体" w:cs="宋体" w:eastAsia="宋体" w:hint="default"/>
                <w:spacing w:val="-9"/>
                <w:sz w:val="18"/>
                <w:szCs w:val="18"/>
              </w:rPr>
              <w:t>文化艺术交流活动（不含演出）；文艺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创作；企业策划；会议及展览服务； 摄影服务；经济贸易咨询；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万人 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5pt;height:15.6pt;mso-position-horizontal-relative:char;mso-position-vertical-relative:line" coordorigin="0,0" coordsize="700,312">
                  <v:group style="position:absolute;left:0;top:0;width:700;height:312" coordorigin="0,0" coordsize="700,312">
                    <v:shape style="position:absolute;left:0;top:0;width:700;height:312" coordorigin="0,0" coordsize="700,312" path="m0,312l700,312,70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67,418,01</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40,671,10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5.43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137,177,7</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75.99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37,426,0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05.60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28,051,17</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3.82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凯扬商</w:t>
            </w:r>
            <w:r>
              <w:rPr>
                <w:rFonts w:ascii="宋体" w:hAnsi="宋体" w:cs="宋体" w:eastAsia="宋体" w:hint="default"/>
                <w:spacing w:val="-82"/>
                <w:sz w:val="18"/>
                <w:szCs w:val="18"/>
              </w:rPr>
              <w:t>贸</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69,995,66</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8.52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281,572.7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1,771,568.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-109,277.0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-109,277.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深圳前海实 益达投资发 展有限公司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w:t>
            </w:r>
            <w:r>
              <w:rPr>
                <w:rFonts w:ascii="宋体" w:hAnsi="宋体" w:cs="宋体" w:eastAsia="宋体" w:hint="default"/>
                <w:spacing w:val="-24"/>
                <w:sz w:val="18"/>
                <w:szCs w:val="18"/>
              </w:rPr>
              <w:t>理</w:t>
            </w:r>
            <w:r>
              <w:rPr>
                <w:rFonts w:ascii="宋体" w:hAnsi="宋体" w:cs="宋体" w:eastAsia="宋体" w:hint="default"/>
                <w:sz w:val="18"/>
                <w:szCs w:val="18"/>
              </w:rPr>
              <w:t>（不含限制项目</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投资咨询</w:t>
            </w:r>
          </w:p>
          <w:p>
            <w:pPr>
              <w:pStyle w:val="TableParagraph"/>
              <w:spacing w:line="319" w:lineRule="auto" w:before="76"/>
              <w:ind w:left="22" w:right="19"/>
              <w:jc w:val="left"/>
              <w:rPr>
                <w:rFonts w:ascii="宋体" w:hAnsi="宋体" w:cs="宋体" w:eastAsia="宋体" w:hint="default"/>
                <w:sz w:val="18"/>
                <w:szCs w:val="18"/>
              </w:rPr>
            </w:pPr>
            <w:r>
              <w:rPr>
                <w:rFonts w:ascii="宋体" w:hAnsi="宋体" w:cs="宋体" w:eastAsia="宋体" w:hint="default"/>
                <w:sz w:val="18"/>
                <w:szCs w:val="18"/>
              </w:rPr>
              <w:t>（不含限制项目</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投资顾</w:t>
            </w:r>
            <w:r>
              <w:rPr>
                <w:rFonts w:ascii="宋体" w:hAnsi="宋体" w:cs="宋体" w:eastAsia="宋体" w:hint="default"/>
                <w:spacing w:val="-24"/>
                <w:sz w:val="18"/>
                <w:szCs w:val="18"/>
              </w:rPr>
              <w:t>问</w:t>
            </w:r>
            <w:r>
              <w:rPr>
                <w:rFonts w:ascii="宋体" w:hAnsi="宋体" w:cs="宋体" w:eastAsia="宋体" w:hint="default"/>
                <w:sz w:val="18"/>
                <w:szCs w:val="18"/>
              </w:rPr>
              <w:t>（不含限</w:t>
            </w:r>
            <w:r>
              <w:rPr>
                <w:rFonts w:ascii="宋体" w:hAnsi="宋体" w:cs="宋体" w:eastAsia="宋体" w:hint="default"/>
                <w:sz w:val="18"/>
                <w:szCs w:val="18"/>
              </w:rPr>
              <w:t> 制项目</w:t>
            </w:r>
            <w:r>
              <w:rPr>
                <w:rFonts w:ascii="宋体" w:hAnsi="宋体" w:cs="宋体" w:eastAsia="宋体" w:hint="default"/>
                <w:spacing w:val="-90"/>
                <w:sz w:val="18"/>
                <w:szCs w:val="18"/>
              </w:rPr>
              <w:t>）</w:t>
            </w:r>
            <w:r>
              <w:rPr>
                <w:rFonts w:ascii="宋体" w:hAnsi="宋体" w:cs="宋体" w:eastAsia="宋体" w:hint="default"/>
                <w:sz w:val="18"/>
                <w:szCs w:val="18"/>
              </w:rPr>
              <w:t>；投资兴办实业等。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7,304,031.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7,304,031.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-49,598.48</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-49,598.4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实益达科技</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5,959,839.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-7,291,191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4,342.13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3,625.68</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深圳市实益 达工业有限 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互联网网上贸易与服务（不含专营、 </w:t>
            </w:r>
            <w:r>
              <w:rPr>
                <w:rFonts w:ascii="宋体" w:hAnsi="宋体" w:cs="宋体" w:eastAsia="宋体" w:hint="default"/>
                <w:spacing w:val="-9"/>
                <w:sz w:val="18"/>
                <w:szCs w:val="18"/>
              </w:rPr>
              <w:t>专控、专卖商品及限制项目）；软件开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发、信息系统集成服务、信息技术咨 </w:t>
            </w:r>
            <w:r>
              <w:rPr>
                <w:rFonts w:ascii="宋体" w:hAnsi="宋体" w:cs="宋体" w:eastAsia="宋体" w:hint="default"/>
                <w:spacing w:val="-4"/>
                <w:sz w:val="18"/>
                <w:szCs w:val="18"/>
              </w:rPr>
              <w:t>询服务；电子产品、通讯产品、电器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照明灯具及其零部件的技术开发、销 售；国内贸易（不含专营、专控、专 卖商品及限制项目）等。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0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15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728"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3.85pt;height:36.450pt;mso-position-horizontal-relative:char;mso-position-vertical-relative:line" coordorigin="0,0" coordsize="677,729">
                  <v:group style="position:absolute;left:12;top:12;width:2;height:705" coordorigin="12,12" coordsize="2,705">
                    <v:shape style="position:absolute;left:12;top:12;width:2;height:705" coordorigin="12,12" coordsize="0,705" path="m12,12l12,716e" filled="false" stroked="true" strokeweight="1.2pt" strokecolor="#ffffff">
                      <v:path arrowok="t"/>
                    </v:shape>
                  </v:group>
                  <v:group style="position:absolute;left:24;top:12;width:653;height:353" coordorigin="24,12" coordsize="653,353">
                    <v:shape style="position:absolute;left:24;top:12;width:653;height:353" coordorigin="24,12" coordsize="653,353" path="m24,365l677,365,677,12,24,12,24,365xe" filled="true" fillcolor="#ffffff" stroked="false">
                      <v:path arrowok="t"/>
                      <v:fill type="solid"/>
                    </v:shape>
                  </v:group>
                  <v:group style="position:absolute;left:24;top:365;width:653;height:352" coordorigin="24,365" coordsize="653,352">
                    <v:shape style="position:absolute;left:24;top:365;width:653;height:352" coordorigin="24,365" coordsize="653,352" path="m24,716l677,716,677,365,24,365,24,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5,826,743.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-152,853.7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-152,853.7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-152,853.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无锡实益达 照明科技有 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z w:val="18"/>
                <w:szCs w:val="18"/>
              </w:rPr>
              <w:t>照明产品、</w:t>
            </w:r>
            <w:r>
              <w:rPr>
                <w:rFonts w:ascii="Times New Roman" w:hAnsi="Times New Roman" w:cs="Times New Roman" w:eastAsia="Times New Roman" w:hint="default"/>
                <w:sz w:val="18"/>
                <w:szCs w:val="18"/>
              </w:rPr>
              <w:t>LED </w:t>
            </w:r>
            <w:r>
              <w:rPr>
                <w:rFonts w:ascii="宋体" w:hAnsi="宋体" w:cs="宋体" w:eastAsia="宋体" w:hint="default"/>
                <w:sz w:val="18"/>
                <w:szCs w:val="18"/>
              </w:rPr>
              <w:t>背光源及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显示屏、</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驱动电源及控制系统设</w:t>
            </w:r>
            <w:r>
              <w:rPr>
                <w:rFonts w:ascii="宋体" w:hAnsi="宋体" w:cs="宋体" w:eastAsia="宋体" w:hint="default"/>
                <w:w w:val="99"/>
                <w:sz w:val="18"/>
                <w:szCs w:val="18"/>
              </w:rPr>
              <w:t> </w:t>
            </w:r>
            <w:r>
              <w:rPr>
                <w:rFonts w:ascii="宋体" w:hAnsi="宋体" w:cs="宋体" w:eastAsia="宋体" w:hint="default"/>
                <w:sz w:val="18"/>
                <w:szCs w:val="18"/>
              </w:rPr>
              <w:t>计、研发、生产、销售、安装；节能</w:t>
            </w:r>
            <w:r>
              <w:rPr>
                <w:rFonts w:ascii="宋体" w:hAnsi="宋体" w:cs="宋体" w:eastAsia="宋体" w:hint="default"/>
                <w:w w:val="99"/>
                <w:sz w:val="18"/>
                <w:szCs w:val="18"/>
              </w:rPr>
              <w:t> </w:t>
            </w:r>
            <w:r>
              <w:rPr>
                <w:rFonts w:ascii="宋体" w:hAnsi="宋体" w:cs="宋体" w:eastAsia="宋体" w:hint="default"/>
                <w:sz w:val="18"/>
                <w:szCs w:val="18"/>
              </w:rPr>
              <w:t>技术研发、咨询、服务、合同能源管</w:t>
            </w:r>
            <w:r>
              <w:rPr>
                <w:rFonts w:ascii="宋体" w:hAnsi="宋体" w:cs="宋体" w:eastAsia="宋体" w:hint="default"/>
                <w:w w:val="99"/>
                <w:sz w:val="18"/>
                <w:szCs w:val="18"/>
              </w:rPr>
              <w:t> </w:t>
            </w:r>
            <w:r>
              <w:rPr>
                <w:rFonts w:ascii="宋体" w:hAnsi="宋体" w:cs="宋体" w:eastAsia="宋体" w:hint="default"/>
                <w:sz w:val="18"/>
                <w:szCs w:val="18"/>
              </w:rPr>
              <w:t>理等。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7" w:right="0"/>
              <w:jc w:val="left"/>
              <w:rPr>
                <w:rFonts w:ascii="Times New Roman" w:hAnsi="Times New Roman" w:cs="Times New Roman" w:eastAsia="Times New Roman" w:hint="default"/>
                <w:sz w:val="18"/>
                <w:szCs w:val="18"/>
              </w:rPr>
            </w:pPr>
            <w:r>
              <w:rPr>
                <w:rFonts w:ascii="Times New Roman"/>
                <w:sz w:val="18"/>
              </w:rPr>
              <w:t>126,224,4</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91.39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Times New Roman" w:hAnsi="Times New Roman" w:cs="Times New Roman" w:eastAsia="Times New Roman" w:hint="default"/>
                <w:sz w:val="18"/>
                <w:szCs w:val="18"/>
              </w:rPr>
            </w:pPr>
            <w:r>
              <w:rPr>
                <w:rFonts w:ascii="Times New Roman"/>
                <w:sz w:val="18"/>
              </w:rPr>
              <w:t>25,122,81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8.93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-250,117.1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-205,514.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深圳市哇塞 宝贝网络科 技有限公司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服装设计；经营电子商务，服装；互 </w:t>
            </w:r>
            <w:r>
              <w:rPr>
                <w:rFonts w:ascii="宋体" w:hAnsi="宋体" w:cs="宋体" w:eastAsia="宋体" w:hint="default"/>
                <w:spacing w:val="-4"/>
                <w:sz w:val="18"/>
                <w:szCs w:val="18"/>
              </w:rPr>
              <w:t>联网技术开发、技术转让、技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技术服务；基础软件服务、应用软件 服务；普通货运代理；经营进出口业 务；展览展示策划；包装设计；产品 设计等。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35pt;height:31.2pt;mso-position-horizontal-relative:char;mso-position-vertical-relative:line" coordorigin="0,0" coordsize="700,624">
                  <v:group style="position:absolute;left:0;top:0;width:700;height:624" coordorigin="0,0" coordsize="700,624">
                    <v:shape style="position:absolute;left:0;top:0;width:700;height:624" coordorigin="0,0" coordsize="700,624" path="m0,624l700,624,700,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万人 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9,231.56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-73,164.80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-2,833,164</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-2,833,16</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4.80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深圳市元通 孵化有限公 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8"/>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物业管理；投资管理、投咨咨询；建 筑工程，装修装饰工程，房屋租赁； 国内贸易，经营进出口业务。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-1,716.00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-1,716.00</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-1,716.00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pStyle w:val="BodyText"/>
        <w:spacing w:line="240" w:lineRule="auto" w:before="44"/>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-2,833,164.80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2,833,175.07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2,215,037.50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5,651,147.40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-1,716.00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-152,853.76</w:t>
            </w:r>
          </w:p>
        </w:tc>
      </w:tr>
    </w:tbl>
    <w:p>
      <w:pPr>
        <w:pStyle w:val="BodyText"/>
        <w:spacing w:line="240" w:lineRule="auto" w:before="51"/>
        <w:ind w:left="154" w:right="0"/>
        <w:jc w:val="both"/>
      </w:pPr>
      <w:r>
        <w:rPr/>
        <w:t>主要控股参股公司情况说明</w:t>
      </w:r>
    </w:p>
    <w:p>
      <w:pPr>
        <w:pStyle w:val="BodyText"/>
        <w:spacing w:line="300" w:lineRule="auto" w:before="116"/>
        <w:ind w:left="514" w:right="0"/>
        <w:jc w:val="left"/>
      </w:pPr>
      <w:r>
        <w:rPr>
          <w:rFonts w:ascii="Times New Roman" w:hAnsi="Times New Roman" w:cs="Times New Roman" w:eastAsia="Times New Roman" w:hint="default"/>
        </w:rPr>
        <w:t>1</w:t>
      </w:r>
      <w:r>
        <w:rPr/>
        <w:t>、上海顺为广告传播有限公司 </w:t>
      </w:r>
      <w:r>
        <w:rPr>
          <w:spacing w:val="-2"/>
        </w:rPr>
        <w:t>顺为广告成立于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日，注册资本</w:t>
      </w:r>
      <w:r>
        <w:rPr>
          <w:rFonts w:ascii="Times New Roman" w:hAnsi="Times New Roman" w:cs="Times New Roman" w:eastAsia="Times New Roman" w:hint="default"/>
          <w:spacing w:val="-2"/>
        </w:rPr>
        <w:t>500</w:t>
      </w:r>
      <w:r>
        <w:rPr>
          <w:spacing w:val="-2"/>
        </w:rPr>
        <w:t>万元人民币，注册地为上海市崇明县，</w:t>
      </w:r>
      <w:r>
        <w:rPr>
          <w:rFonts w:ascii="Times New Roman" w:hAnsi="Times New Roman" w:cs="Times New Roman" w:eastAsia="Times New Roman" w:hint="default"/>
          <w:spacing w:val="-2"/>
        </w:rPr>
        <w:t>2015</w:t>
      </w:r>
      <w:r>
        <w:rPr>
          <w:spacing w:val="-2"/>
        </w:rPr>
        <w:t>年通过资产收购使其为公司的</w:t>
      </w:r>
    </w:p>
    <w:p>
      <w:pPr>
        <w:pStyle w:val="BodyText"/>
        <w:spacing w:line="309" w:lineRule="auto" w:before="13"/>
        <w:ind w:right="0"/>
        <w:jc w:val="left"/>
      </w:pPr>
      <w:r>
        <w:rPr>
          <w:spacing w:val="-4"/>
        </w:rPr>
        <w:t>全资子公司。顺为广告是一家全案类数字营销服务提供商，目前主营业务类型为互联网媒体营销服务、社会化媒体营销服务。</w:t>
      </w:r>
      <w:r>
        <w:rPr>
          <w:spacing w:val="-44"/>
        </w:rPr>
        <w:t> </w:t>
      </w:r>
      <w:r>
        <w:rPr>
          <w:spacing w:val="-44"/>
        </w:rPr>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日，顺为广告的总资产为</w:t>
      </w:r>
      <w:r>
        <w:rPr>
          <w:rFonts w:ascii="Times New Roman" w:hAnsi="Times New Roman" w:cs="Times New Roman" w:eastAsia="Times New Roman" w:hint="default"/>
        </w:rPr>
        <w:t>17,049.55</w:t>
      </w:r>
      <w:r>
        <w:rPr/>
        <w:t>万元，净资产为</w:t>
      </w:r>
      <w:r>
        <w:rPr>
          <w:rFonts w:ascii="Times New Roman" w:hAnsi="Times New Roman" w:cs="Times New Roman" w:eastAsia="Times New Roman" w:hint="default"/>
        </w:rPr>
        <w:t>4,188.89</w:t>
      </w:r>
      <w:r>
        <w:rPr/>
        <w:t>万元；</w:t>
      </w:r>
      <w:r>
        <w:rPr>
          <w:rFonts w:ascii="宋体" w:hAnsi="宋体" w:cs="宋体" w:eastAsia="宋体" w:hint="default"/>
        </w:rPr>
        <w:t>2015</w:t>
      </w:r>
      <w:r>
        <w:rPr/>
        <w:t>年度实现营业收入</w:t>
      </w:r>
      <w:r>
        <w:rPr>
          <w:rFonts w:ascii="Times New Roman" w:hAnsi="Times New Roman" w:cs="Times New Roman" w:eastAsia="Times New Roman" w:hint="default"/>
        </w:rPr>
        <w:t>34,054.49</w:t>
      </w:r>
      <w:r>
        <w:rPr/>
        <w:t>万元， 实现净利润</w:t>
      </w:r>
      <w:r>
        <w:rPr>
          <w:rFonts w:ascii="Times New Roman" w:hAnsi="Times New Roman" w:cs="Times New Roman" w:eastAsia="Times New Roman" w:hint="default"/>
        </w:rPr>
        <w:t>3,067.23</w:t>
      </w:r>
      <w:r>
        <w:rPr/>
        <w:t>万元。</w:t>
      </w:r>
    </w:p>
    <w:p>
      <w:pPr>
        <w:pStyle w:val="BodyText"/>
        <w:spacing w:line="300" w:lineRule="auto" w:before="5"/>
        <w:ind w:left="514" w:right="0"/>
        <w:jc w:val="left"/>
      </w:pPr>
      <w:r>
        <w:rPr>
          <w:rFonts w:ascii="Times New Roman" w:hAnsi="Times New Roman" w:cs="Times New Roman" w:eastAsia="Times New Roman" w:hint="default"/>
        </w:rPr>
        <w:t>2</w:t>
      </w:r>
      <w:r>
        <w:rPr/>
        <w:t>、奇思国际广告（北京）有限公司 </w:t>
      </w:r>
      <w:r>
        <w:rPr>
          <w:spacing w:val="-2"/>
        </w:rPr>
        <w:t>奇思广告成立于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日，注册资本</w:t>
      </w:r>
      <w:r>
        <w:rPr>
          <w:rFonts w:ascii="Times New Roman" w:hAnsi="Times New Roman" w:cs="Times New Roman" w:eastAsia="Times New Roman" w:hint="default"/>
          <w:spacing w:val="-2"/>
        </w:rPr>
        <w:t>100</w:t>
      </w:r>
      <w:r>
        <w:rPr>
          <w:spacing w:val="-2"/>
        </w:rPr>
        <w:t>万元人民币，注册地为北京市朝阳区，</w:t>
      </w:r>
      <w:r>
        <w:rPr>
          <w:rFonts w:ascii="Times New Roman" w:hAnsi="Times New Roman" w:cs="Times New Roman" w:eastAsia="Times New Roman" w:hint="default"/>
          <w:spacing w:val="-2"/>
        </w:rPr>
        <w:t>2015</w:t>
      </w:r>
      <w:r>
        <w:rPr>
          <w:spacing w:val="-2"/>
        </w:rPr>
        <w:t>年通过资产收购使其为公司的</w:t>
      </w:r>
    </w:p>
    <w:p>
      <w:pPr>
        <w:pStyle w:val="BodyText"/>
        <w:spacing w:line="309" w:lineRule="auto" w:before="13"/>
        <w:ind w:right="1131"/>
        <w:jc w:val="both"/>
      </w:pPr>
      <w:r>
        <w:rPr>
          <w:spacing w:val="-2"/>
        </w:rPr>
        <w:t>全资子公司。奇思广告是一家以创意、策略为核心服务的广告服务提供商，目前主营业务类型为创意策略服务、广告制作服</w:t>
      </w:r>
      <w:r>
        <w:rPr>
          <w:spacing w:val="-66"/>
        </w:rPr>
        <w:t> </w:t>
      </w:r>
      <w:r>
        <w:rPr>
          <w:spacing w:val="-66"/>
        </w:rPr>
      </w:r>
      <w:r>
        <w:rPr/>
        <w:t>务、互联网整合营销服务。截至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日，奇思广告的总资产为</w:t>
      </w:r>
      <w:r>
        <w:rPr>
          <w:rFonts w:ascii="Times New Roman" w:hAnsi="Times New Roman" w:cs="Times New Roman" w:eastAsia="Times New Roman" w:hint="default"/>
        </w:rPr>
        <w:t>6,741.80</w:t>
      </w:r>
      <w:r>
        <w:rPr/>
        <w:t>万元，净资产为</w:t>
      </w:r>
      <w:r>
        <w:rPr>
          <w:rFonts w:ascii="Times New Roman" w:hAnsi="Times New Roman" w:cs="Times New Roman" w:eastAsia="Times New Roman" w:hint="default"/>
        </w:rPr>
        <w:t>4,067.11</w:t>
      </w:r>
      <w:r>
        <w:rPr/>
        <w:t>元</w:t>
      </w:r>
      <w:r>
        <w:rPr>
          <w:rFonts w:ascii="宋体" w:hAnsi="宋体" w:cs="宋体" w:eastAsia="宋体" w:hint="default"/>
        </w:rPr>
        <w:t>;2015</w:t>
      </w:r>
      <w:r>
        <w:rPr/>
        <w:t>年度实现营 业收入 </w:t>
      </w:r>
      <w:r>
        <w:rPr>
          <w:rFonts w:ascii="Times New Roman" w:hAnsi="Times New Roman" w:cs="Times New Roman" w:eastAsia="Times New Roman" w:hint="default"/>
        </w:rPr>
        <w:t>13,717.78</w:t>
      </w:r>
      <w:r>
        <w:rPr/>
        <w:t>万元，实现净利润</w:t>
      </w:r>
      <w:r>
        <w:rPr>
          <w:spacing w:val="-3"/>
        </w:rPr>
        <w:t> </w:t>
      </w:r>
      <w:r>
        <w:rPr>
          <w:rFonts w:ascii="Times New Roman" w:hAnsi="Times New Roman" w:cs="Times New Roman" w:eastAsia="Times New Roman" w:hint="default"/>
        </w:rPr>
        <w:t>2,805.12</w:t>
      </w:r>
      <w:r>
        <w:rPr/>
        <w:t>万元。</w:t>
      </w:r>
    </w:p>
    <w:p>
      <w:pPr>
        <w:pStyle w:val="BodyText"/>
        <w:spacing w:line="300" w:lineRule="auto" w:before="5"/>
        <w:ind w:left="514" w:right="0"/>
        <w:jc w:val="left"/>
      </w:pPr>
      <w:r>
        <w:rPr>
          <w:rFonts w:ascii="Times New Roman" w:hAnsi="Times New Roman" w:cs="Times New Roman" w:eastAsia="Times New Roman" w:hint="default"/>
        </w:rPr>
        <w:t>3</w:t>
      </w:r>
      <w:r>
        <w:rPr/>
        <w:t>、上海利宣广告有限公司 </w:t>
      </w:r>
      <w:r>
        <w:rPr>
          <w:spacing w:val="-2"/>
        </w:rPr>
        <w:t>利宣广告成立于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日，注册资本</w:t>
      </w:r>
      <w:r>
        <w:rPr>
          <w:rFonts w:ascii="Times New Roman" w:hAnsi="Times New Roman" w:cs="Times New Roman" w:eastAsia="Times New Roman" w:hint="default"/>
          <w:spacing w:val="-2"/>
        </w:rPr>
        <w:t>500</w:t>
      </w:r>
      <w:r>
        <w:rPr>
          <w:spacing w:val="-2"/>
        </w:rPr>
        <w:t>万元人民币，注册地为上海市嘉定区，</w:t>
      </w:r>
      <w:r>
        <w:rPr>
          <w:rFonts w:ascii="Times New Roman" w:hAnsi="Times New Roman" w:cs="Times New Roman" w:eastAsia="Times New Roman" w:hint="default"/>
          <w:spacing w:val="-2"/>
        </w:rPr>
        <w:t>2015</w:t>
      </w:r>
      <w:r>
        <w:rPr>
          <w:spacing w:val="-2"/>
        </w:rPr>
        <w:t>年通过资产收购使其为公司的</w:t>
      </w:r>
    </w:p>
    <w:p>
      <w:pPr>
        <w:pStyle w:val="BodyText"/>
        <w:spacing w:line="309" w:lineRule="auto" w:before="13"/>
        <w:ind w:right="1130"/>
        <w:jc w:val="both"/>
      </w:pPr>
      <w:r>
        <w:rPr>
          <w:spacing w:val="-2"/>
        </w:rPr>
        <w:t>全资子公司。利宣广告是一家以广告创意和内容制作为核心服务的社会化媒体营销服务提供商，目前主营业务类型为社会化</w:t>
      </w:r>
      <w:r>
        <w:rPr>
          <w:spacing w:val="-64"/>
        </w:rPr>
        <w:t> </w:t>
      </w:r>
      <w:r>
        <w:rPr>
          <w:spacing w:val="-64"/>
        </w:rPr>
      </w:r>
      <w:r>
        <w:rPr>
          <w:spacing w:val="-2"/>
        </w:rPr>
        <w:t>媒体营销服务与其他媒体营销服务。截至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日，利宣广告的总资产为</w:t>
      </w:r>
      <w:r>
        <w:rPr>
          <w:rFonts w:ascii="Times New Roman" w:hAnsi="Times New Roman" w:cs="Times New Roman" w:eastAsia="Times New Roman" w:hint="default"/>
          <w:spacing w:val="-2"/>
        </w:rPr>
        <w:t>3,640.29</w:t>
      </w:r>
      <w:r>
        <w:rPr>
          <w:spacing w:val="-2"/>
        </w:rPr>
        <w:t>万元，净资产为</w:t>
      </w:r>
      <w:r>
        <w:rPr>
          <w:rFonts w:ascii="Times New Roman" w:hAnsi="Times New Roman" w:cs="Times New Roman" w:eastAsia="Times New Roman" w:hint="default"/>
          <w:spacing w:val="-2"/>
        </w:rPr>
        <w:t>1,813.83</w:t>
      </w:r>
      <w:r>
        <w:rPr>
          <w:spacing w:val="-2"/>
        </w:rPr>
        <w:t>万元；</w:t>
      </w:r>
      <w:r>
        <w:rPr>
          <w:rFonts w:ascii="宋体" w:hAnsi="宋体" w:cs="宋体" w:eastAsia="宋体" w:hint="default"/>
          <w:spacing w:val="-2"/>
        </w:rPr>
        <w:t>2015</w:t>
      </w:r>
      <w:r>
        <w:rPr>
          <w:rFonts w:ascii="宋体" w:hAnsi="宋体" w:cs="宋体" w:eastAsia="宋体" w:hint="default"/>
          <w:spacing w:val="-40"/>
        </w:rPr>
        <w:t> </w:t>
      </w:r>
      <w:r>
        <w:rPr/>
        <w:t>年度实现营业收入</w:t>
      </w:r>
      <w:r>
        <w:rPr>
          <w:rFonts w:ascii="Times New Roman" w:hAnsi="Times New Roman" w:cs="Times New Roman" w:eastAsia="Times New Roman" w:hint="default"/>
        </w:rPr>
        <w:t>4,168.82</w:t>
      </w:r>
      <w:r>
        <w:rPr/>
        <w:t>万元，实现净利润</w:t>
      </w:r>
      <w:r>
        <w:rPr>
          <w:rFonts w:ascii="Times New Roman" w:hAnsi="Times New Roman" w:cs="Times New Roman" w:eastAsia="Times New Roman" w:hint="default"/>
        </w:rPr>
        <w:t>1,174.16</w:t>
      </w:r>
      <w:r>
        <w:rPr/>
        <w:t>万元。</w:t>
      </w:r>
    </w:p>
    <w:p>
      <w:pPr>
        <w:spacing w:line="240" w:lineRule="auto" w:before="9"/>
        <w:rPr>
          <w:rFonts w:ascii="宋体" w:hAnsi="宋体" w:cs="宋体" w:eastAsia="宋体" w:hint="default"/>
          <w:sz w:val="19"/>
          <w:szCs w:val="19"/>
        </w:rPr>
      </w:pPr>
    </w:p>
    <w:p>
      <w:pPr>
        <w:pStyle w:val="Heading2"/>
        <w:spacing w:line="240" w:lineRule="auto"/>
        <w:ind w:left="154" w:right="0"/>
        <w:jc w:val="both"/>
        <w:rPr>
          <w:b w:val="0"/>
          <w:bCs w:val="0"/>
        </w:rPr>
      </w:pPr>
      <w:bookmarkStart w:name="八、公司未来发展的展望" w:id="57"/>
      <w:bookmarkEnd w:id="57"/>
      <w:r>
        <w:rPr>
          <w:b w:val="0"/>
          <w:bCs w:val="0"/>
        </w:rPr>
      </w:r>
      <w:r>
        <w:rPr/>
        <w:t>八、公司未来发展的展望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031" w:firstLine="362"/>
        <w:jc w:val="left"/>
      </w:pPr>
      <w:r>
        <w:rPr>
          <w:rFonts w:ascii="Times New Roman" w:hAnsi="Times New Roman" w:cs="Times New Roman" w:eastAsia="Times New Roman" w:hint="default"/>
        </w:rPr>
        <w:t>2015</w:t>
      </w:r>
      <w:r>
        <w:rPr/>
        <w:t>年在经济增速下行的持续压力下，传统产业迫切需求结构调整和转型升级的契机，而随着互联网行业的逐步兴起， 公司迎来战略转型的新局面。报告期内公司通过外延式并购成功战略转型至互联网行业，并通过对数字营销的</w:t>
      </w:r>
      <w:r>
        <w:rPr>
          <w:rFonts w:ascii="Times New Roman" w:hAnsi="Times New Roman" w:cs="Times New Roman" w:eastAsia="Times New Roman" w:hint="default"/>
        </w:rPr>
        <w:t>“</w:t>
      </w:r>
      <w:r>
        <w:rPr/>
        <w:t>全案数字营 销服务</w:t>
      </w:r>
      <w:r>
        <w:rPr>
          <w:rFonts w:ascii="Times New Roman" w:hAnsi="Times New Roman" w:cs="Times New Roman" w:eastAsia="Times New Roman" w:hint="default"/>
        </w:rPr>
        <w:t>+</w:t>
      </w:r>
      <w:r>
        <w:rPr/>
        <w:t>创意策划</w:t>
      </w:r>
      <w:r>
        <w:rPr>
          <w:rFonts w:ascii="Times New Roman" w:hAnsi="Times New Roman" w:cs="Times New Roman" w:eastAsia="Times New Roman" w:hint="default"/>
        </w:rPr>
        <w:t>+</w:t>
      </w:r>
      <w:r>
        <w:rPr/>
        <w:t>社会化媒体营销服务</w:t>
      </w:r>
      <w:r>
        <w:rPr>
          <w:rFonts w:ascii="Times New Roman" w:hAnsi="Times New Roman" w:cs="Times New Roman" w:eastAsia="Times New Roman" w:hint="default"/>
        </w:rPr>
        <w:t>”</w:t>
      </w:r>
      <w:r>
        <w:rPr/>
        <w:t>的产业布局，开始向企业级</w:t>
      </w:r>
      <w:r>
        <w:rPr>
          <w:rFonts w:ascii="Times New Roman" w:hAnsi="Times New Roman" w:cs="Times New Roman" w:eastAsia="Times New Roman" w:hint="default"/>
        </w:rPr>
        <w:t>SaaS</w:t>
      </w:r>
      <w:r>
        <w:rPr/>
        <w:t>服务行业延伸。</w:t>
      </w:r>
    </w:p>
    <w:p>
      <w:pPr>
        <w:pStyle w:val="BodyText"/>
        <w:spacing w:line="240" w:lineRule="auto" w:before="13"/>
        <w:ind w:left="516" w:right="0"/>
        <w:jc w:val="left"/>
      </w:pPr>
      <w:r>
        <w:rPr/>
        <w:t>（一）行业格局和趋势</w:t>
      </w:r>
    </w:p>
    <w:p>
      <w:pPr>
        <w:pStyle w:val="BodyText"/>
        <w:spacing w:line="240" w:lineRule="auto" w:before="76"/>
        <w:ind w:left="516" w:right="0"/>
        <w:jc w:val="left"/>
      </w:pPr>
      <w:r>
        <w:rPr>
          <w:rFonts w:ascii="Times New Roman" w:hAnsi="Times New Roman" w:cs="Times New Roman" w:eastAsia="Times New Roman" w:hint="default"/>
        </w:rPr>
        <w:t>1</w:t>
      </w:r>
      <w:r>
        <w:rPr/>
        <w:t>、互联网行业（数字营销和企业级</w:t>
      </w:r>
      <w:r>
        <w:rPr>
          <w:rFonts w:ascii="Times New Roman" w:hAnsi="Times New Roman" w:cs="Times New Roman" w:eastAsia="Times New Roman" w:hint="default"/>
        </w:rPr>
        <w:t>SaaS</w:t>
      </w:r>
      <w:r>
        <w:rPr/>
        <w:t>服务行业）</w:t>
      </w:r>
    </w:p>
    <w:p>
      <w:pPr>
        <w:pStyle w:val="BodyText"/>
        <w:spacing w:line="300" w:lineRule="auto" w:before="63"/>
        <w:ind w:left="516" w:right="1118"/>
        <w:jc w:val="left"/>
      </w:pPr>
      <w:r>
        <w:rPr/>
        <w:t>（</w:t>
      </w:r>
      <w:r>
        <w:rPr>
          <w:rFonts w:ascii="Times New Roman" w:hAnsi="Times New Roman" w:cs="Times New Roman" w:eastAsia="Times New Roman" w:hint="default"/>
        </w:rPr>
        <w:t>1</w:t>
      </w:r>
      <w:r>
        <w:rPr/>
        <w:t>）数字营销 </w:t>
      </w:r>
      <w:r>
        <w:rPr>
          <w:spacing w:val="-2"/>
        </w:rPr>
        <w:t>无论是全球还是国内，互联网化都是当今最重要、不可阻挡的趋势。互联网不断延伸到社会生活的各个领域，给各个行</w:t>
      </w:r>
    </w:p>
    <w:p>
      <w:pPr>
        <w:pStyle w:val="BodyText"/>
        <w:spacing w:line="309" w:lineRule="auto" w:before="31"/>
        <w:ind w:right="1133"/>
        <w:jc w:val="both"/>
      </w:pPr>
      <w:r>
        <w:rPr>
          <w:spacing w:val="-2"/>
        </w:rPr>
        <w:t>业带来深刻的变革。在互联网化和数字化对各个行业都产生深刻影响的时代，数字营销方式变得更为灵活多样，数字营销行</w:t>
      </w:r>
      <w:r>
        <w:rPr>
          <w:spacing w:val="-66"/>
        </w:rPr>
        <w:t> </w:t>
      </w:r>
      <w:r>
        <w:rPr>
          <w:spacing w:val="-66"/>
        </w:rPr>
      </w:r>
      <w:r>
        <w:rPr/>
        <w:t>业呈现巨大的发展空间，关于数字营销行业状况及发展趋势见本报告第三节</w:t>
      </w:r>
      <w:r>
        <w:rPr>
          <w:rFonts w:ascii="Times New Roman" w:hAnsi="Times New Roman" w:cs="Times New Roman" w:eastAsia="Times New Roman" w:hint="default"/>
        </w:rPr>
        <w:t>“</w:t>
      </w:r>
      <w:r>
        <w:rPr/>
        <w:t>公司业务概要</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一、报告期内公司从事的主 要业务</w:t>
      </w:r>
      <w:r>
        <w:rPr>
          <w:rFonts w:ascii="Times New Roman" w:hAnsi="Times New Roman" w:cs="Times New Roman" w:eastAsia="Times New Roman" w:hint="default"/>
        </w:rPr>
        <w:t>”</w:t>
      </w:r>
      <w:r>
        <w:rPr/>
        <w:t>。</w:t>
      </w:r>
    </w:p>
    <w:p>
      <w:pPr>
        <w:pStyle w:val="BodyText"/>
        <w:spacing w:line="240" w:lineRule="auto" w:before="5"/>
        <w:ind w:left="516" w:right="0"/>
        <w:jc w:val="left"/>
      </w:pPr>
      <w:r>
        <w:rPr/>
        <w:t>（</w:t>
      </w:r>
      <w:r>
        <w:rPr>
          <w:rFonts w:ascii="Times New Roman" w:hAnsi="Times New Roman" w:cs="Times New Roman" w:eastAsia="Times New Roman" w:hint="default"/>
        </w:rPr>
        <w:t>2</w:t>
      </w:r>
      <w:r>
        <w:rPr/>
        <w:t>）企业级</w:t>
      </w:r>
      <w:r>
        <w:rPr>
          <w:rFonts w:ascii="Times New Roman" w:hAnsi="Times New Roman" w:cs="Times New Roman" w:eastAsia="Times New Roman" w:hint="default"/>
        </w:rPr>
        <w:t>SaaS</w:t>
      </w:r>
      <w:r>
        <w:rPr/>
        <w:t>服务行业</w:t>
      </w:r>
    </w:p>
    <w:p>
      <w:pPr>
        <w:pStyle w:val="BodyText"/>
        <w:spacing w:line="300" w:lineRule="auto" w:before="63"/>
        <w:ind w:right="0" w:firstLine="362"/>
        <w:jc w:val="left"/>
      </w:pPr>
      <w:r>
        <w:rPr/>
        <w:t>企业级</w:t>
      </w:r>
      <w:r>
        <w:rPr>
          <w:rFonts w:ascii="Times New Roman" w:hAnsi="Times New Roman" w:cs="Times New Roman" w:eastAsia="Times New Roman" w:hint="default"/>
        </w:rPr>
        <w:t>SaaS</w:t>
      </w:r>
      <w:r>
        <w:rPr/>
        <w:t>服务是公司未来</w:t>
      </w:r>
      <w:r>
        <w:rPr>
          <w:rFonts w:ascii="Times New Roman" w:hAnsi="Times New Roman" w:cs="Times New Roman" w:eastAsia="Times New Roman" w:hint="default"/>
        </w:rPr>
        <w:t>3-5</w:t>
      </w:r>
      <w:r>
        <w:rPr/>
        <w:t>年战略转型和布局的重点。</w:t>
      </w:r>
      <w:r>
        <w:rPr>
          <w:rFonts w:ascii="Times New Roman" w:hAnsi="Times New Roman" w:cs="Times New Roman" w:eastAsia="Times New Roman" w:hint="default"/>
        </w:rPr>
        <w:t>SaaS</w:t>
      </w:r>
      <w:r>
        <w:rPr/>
        <w:t>，是</w:t>
      </w:r>
      <w:r>
        <w:rPr>
          <w:rFonts w:ascii="Times New Roman" w:hAnsi="Times New Roman" w:cs="Times New Roman" w:eastAsia="Times New Roman" w:hint="default"/>
        </w:rPr>
        <w:t>Software-as-a-Service</w:t>
      </w:r>
      <w:r>
        <w:rPr/>
        <w:t>（软件即服务）的简称，是云</w:t>
      </w:r>
      <w:r>
        <w:rPr>
          <w:w w:val="99"/>
        </w:rPr>
        <w:t> </w:t>
      </w:r>
      <w:r>
        <w:rPr>
          <w:spacing w:val="-1"/>
        </w:rPr>
        <w:t>计算服务的一种形式（其他两种分别是</w:t>
      </w:r>
      <w:r>
        <w:rPr>
          <w:rFonts w:ascii="Times New Roman" w:hAnsi="Times New Roman" w:cs="Times New Roman" w:eastAsia="Times New Roman" w:hint="default"/>
          <w:spacing w:val="-1"/>
        </w:rPr>
        <w:t>PaaS</w:t>
      </w:r>
      <w:r>
        <w:rPr>
          <w:spacing w:val="-1"/>
        </w:rPr>
        <w:t>（平台即服务）和</w:t>
      </w:r>
      <w:r>
        <w:rPr>
          <w:rFonts w:ascii="Times New Roman" w:hAnsi="Times New Roman" w:cs="Times New Roman" w:eastAsia="Times New Roman" w:hint="default"/>
          <w:spacing w:val="-1"/>
        </w:rPr>
        <w:t>IaaS</w:t>
      </w:r>
      <w:r>
        <w:rPr>
          <w:spacing w:val="-1"/>
        </w:rPr>
        <w:t>（基础架构服务））。</w:t>
      </w:r>
      <w:r>
        <w:rPr>
          <w:rFonts w:ascii="Times New Roman" w:hAnsi="Times New Roman" w:cs="Times New Roman" w:eastAsia="Times New Roman" w:hint="default"/>
          <w:spacing w:val="-1"/>
        </w:rPr>
        <w:t>SaaS</w:t>
      </w:r>
      <w:r>
        <w:rPr>
          <w:spacing w:val="-1"/>
        </w:rPr>
        <w:t>通过互联网给用户提供应用程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0"/>
        <w:jc w:val="left"/>
      </w:pPr>
      <w:r>
        <w:rPr>
          <w:spacing w:val="-2"/>
        </w:rPr>
        <w:t>序，直接面向最终用户，服务商负责对应用程序进行安装、管理和运营，用户无需考虑底层的基础架构及开发部署问题，可</w:t>
      </w:r>
      <w:r>
        <w:rPr>
          <w:spacing w:val="-66"/>
        </w:rPr>
        <w:t> </w:t>
      </w:r>
      <w:r>
        <w:rPr>
          <w:spacing w:val="-66"/>
        </w:rPr>
      </w:r>
      <w:r>
        <w:rPr/>
        <w:t>直接通过网络访问所需的应用服务。</w:t>
      </w:r>
      <w:r>
        <w:rPr>
          <w:rFonts w:ascii="Times New Roman" w:hAnsi="Times New Roman" w:cs="Times New Roman" w:eastAsia="Times New Roman" w:hint="default"/>
        </w:rPr>
        <w:t>SaaS</w:t>
      </w:r>
      <w:r>
        <w:rPr/>
        <w:t>服务包括在线</w:t>
      </w:r>
      <w:r>
        <w:rPr>
          <w:rFonts w:ascii="Times New Roman" w:hAnsi="Times New Roman" w:cs="Times New Roman" w:eastAsia="Times New Roman" w:hint="default"/>
        </w:rPr>
        <w:t>CRM</w:t>
      </w:r>
      <w:r>
        <w:rPr/>
        <w:t>、在线</w:t>
      </w:r>
      <w:r>
        <w:rPr>
          <w:rFonts w:ascii="Times New Roman" w:hAnsi="Times New Roman" w:cs="Times New Roman" w:eastAsia="Times New Roman" w:hint="default"/>
        </w:rPr>
        <w:t>ERP</w:t>
      </w:r>
      <w:r>
        <w:rPr/>
        <w:t>、在线客服</w:t>
      </w:r>
      <w:r>
        <w:rPr>
          <w:rFonts w:ascii="Times New Roman" w:hAnsi="Times New Roman" w:cs="Times New Roman" w:eastAsia="Times New Roman" w:hint="default"/>
        </w:rPr>
        <w:t>/</w:t>
      </w:r>
      <w:r>
        <w:rPr/>
        <w:t>呼叫中心、在线</w:t>
      </w:r>
      <w:r>
        <w:rPr>
          <w:rFonts w:ascii="Times New Roman" w:hAnsi="Times New Roman" w:cs="Times New Roman" w:eastAsia="Times New Roman" w:hint="default"/>
        </w:rPr>
        <w:t>OA</w:t>
      </w:r>
      <w:r>
        <w:rPr/>
        <w:t>、在线</w:t>
      </w:r>
      <w:r>
        <w:rPr>
          <w:rFonts w:ascii="Times New Roman" w:hAnsi="Times New Roman" w:cs="Times New Roman" w:eastAsia="Times New Roman" w:hint="default"/>
        </w:rPr>
        <w:t>HR</w:t>
      </w:r>
      <w:r>
        <w:rPr/>
        <w:t>、在线财 务、在线</w:t>
      </w:r>
      <w:r>
        <w:rPr>
          <w:rFonts w:ascii="Times New Roman" w:hAnsi="Times New Roman" w:cs="Times New Roman" w:eastAsia="Times New Roman" w:hint="default"/>
        </w:rPr>
        <w:t>IM</w:t>
      </w:r>
      <w:r>
        <w:rPr/>
        <w:t>、在线外勤等。</w:t>
      </w:r>
    </w:p>
    <w:p>
      <w:pPr>
        <w:pStyle w:val="BodyText"/>
        <w:spacing w:line="304" w:lineRule="auto" w:before="5"/>
        <w:ind w:right="1033" w:firstLine="36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月，国务院印发了《关于促进云计算创新发展培育信息产业新业态的意见》，以促进云计算的发展，为</w:t>
      </w:r>
      <w:r>
        <w:rPr>
          <w:rFonts w:ascii="Times New Roman" w:hAnsi="Times New Roman" w:cs="Times New Roman" w:eastAsia="Times New Roman" w:hint="default"/>
        </w:rPr>
        <w:t>Iaas</w:t>
      </w:r>
      <w:r>
        <w:rPr/>
        <w:t>、 </w:t>
      </w:r>
      <w:r>
        <w:rPr>
          <w:rFonts w:ascii="Times New Roman" w:hAnsi="Times New Roman" w:cs="Times New Roman" w:eastAsia="Times New Roman" w:hint="default"/>
        </w:rPr>
        <w:t>Paas</w:t>
      </w:r>
      <w:r>
        <w:rPr/>
        <w:t>、</w:t>
      </w:r>
      <w:r>
        <w:rPr>
          <w:rFonts w:ascii="Times New Roman" w:hAnsi="Times New Roman" w:cs="Times New Roman" w:eastAsia="Times New Roman" w:hint="default"/>
        </w:rPr>
        <w:t>SaaS</w:t>
      </w:r>
      <w:r>
        <w:rPr/>
        <w:t>等产业服务的发展提供了有利的政策支持，比如将云计算企业纳入软件企业、国家规划布局内重点软件企业、高 新技术企业和技术先进型服务企业的认定范畴，符合条件的按规定享受相关税收优惠政等。同时，移动互联网、智能手机、 </w:t>
      </w:r>
      <w:r>
        <w:rPr>
          <w:spacing w:val="-2"/>
        </w:rPr>
        <w:t>社交软件和社会化媒体的普及培养了用户通过移动应用交互的习惯，使企业的服务场景变得更加多样化，预计到</w:t>
      </w:r>
      <w:r>
        <w:rPr>
          <w:rFonts w:ascii="Times New Roman" w:hAnsi="Times New Roman" w:cs="Times New Roman" w:eastAsia="Times New Roman" w:hint="default"/>
          <w:spacing w:val="-2"/>
        </w:rPr>
        <w:t>2016</w:t>
      </w:r>
      <w:r>
        <w:rPr>
          <w:spacing w:val="-2"/>
        </w:rPr>
        <w:t>年，中</w:t>
      </w:r>
      <w:r>
        <w:rPr>
          <w:spacing w:val="-61"/>
        </w:rPr>
        <w:t> </w:t>
      </w:r>
      <w:r>
        <w:rPr>
          <w:spacing w:val="-61"/>
        </w:rPr>
      </w:r>
      <w:r>
        <w:rPr/>
        <w:t>国移动互联网用户将达到</w:t>
      </w:r>
      <w:r>
        <w:rPr>
          <w:rFonts w:ascii="Times New Roman" w:hAnsi="Times New Roman" w:cs="Times New Roman" w:eastAsia="Times New Roman" w:hint="default"/>
        </w:rPr>
        <w:t>6.3</w:t>
      </w:r>
      <w:r>
        <w:rPr/>
        <w:t>亿。</w:t>
      </w:r>
    </w:p>
    <w:p>
      <w:pPr>
        <w:spacing w:line="240" w:lineRule="auto" w:before="5"/>
        <w:rPr>
          <w:rFonts w:ascii="宋体" w:hAnsi="宋体" w:cs="宋体" w:eastAsia="宋体" w:hint="default"/>
          <w:sz w:val="6"/>
          <w:szCs w:val="6"/>
        </w:rPr>
      </w:pPr>
    </w:p>
    <w:p>
      <w:pPr>
        <w:spacing w:line="2948" w:lineRule="exact"/>
        <w:ind w:left="15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6037621" cy="187223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6037621" cy="1872233"/>
                    </a:xfrm>
                    <a:prstGeom prst="rect">
                      <a:avLst/>
                    </a:prstGeom>
                  </pic:spPr>
                </pic:pic>
              </a:graphicData>
            </a:graphic>
          </wp:inline>
        </w:drawing>
      </w:r>
      <w:r>
        <w:rPr>
          <w:rFonts w:ascii="宋体" w:hAnsi="宋体" w:cs="宋体" w:eastAsia="宋体" w:hint="default"/>
          <w:position w:val="-58"/>
          <w:sz w:val="20"/>
          <w:szCs w:val="20"/>
        </w:rPr>
      </w:r>
    </w:p>
    <w:p>
      <w:pPr>
        <w:pStyle w:val="BodyText"/>
        <w:spacing w:line="304" w:lineRule="auto" w:before="98"/>
        <w:ind w:right="1131" w:firstLine="362"/>
        <w:jc w:val="both"/>
      </w:pPr>
      <w:r>
        <w:rPr>
          <w:spacing w:val="-2"/>
        </w:rPr>
        <w:t>在政策支持和移动互联网大背景下，用户使用云端产品的习惯被加速培养，加之国内底层云设施正快速规模化普及、劳</w:t>
      </w:r>
      <w:r>
        <w:rPr/>
        <w:t> 动力成本上升（过去</w:t>
      </w:r>
      <w:r>
        <w:rPr>
          <w:rFonts w:ascii="Times New Roman" w:hAnsi="Times New Roman" w:cs="Times New Roman" w:eastAsia="Times New Roman" w:hint="default"/>
        </w:rPr>
        <w:t>7</w:t>
      </w:r>
      <w:r>
        <w:rPr/>
        <w:t>到</w:t>
      </w:r>
      <w:r>
        <w:rPr>
          <w:rFonts w:ascii="Times New Roman" w:hAnsi="Times New Roman" w:cs="Times New Roman" w:eastAsia="Times New Roman" w:hint="default"/>
        </w:rPr>
        <w:t>8</w:t>
      </w:r>
      <w:r>
        <w:rPr/>
        <w:t>年里，人力成本以每年</w:t>
      </w:r>
      <w:r>
        <w:rPr>
          <w:rFonts w:ascii="Times New Roman" w:hAnsi="Times New Roman" w:cs="Times New Roman" w:eastAsia="Times New Roman" w:hint="default"/>
        </w:rPr>
        <w:t>16%</w:t>
      </w:r>
      <w:r>
        <w:rPr>
          <w:rFonts w:ascii="Times New Roman" w:hAnsi="Times New Roman" w:cs="Times New Roman" w:eastAsia="Times New Roman" w:hint="default"/>
          <w:spacing w:val="26"/>
        </w:rPr>
        <w:t> </w:t>
      </w:r>
      <w:r>
        <w:rPr/>
        <w:t>的速度上涨），企业用户对</w:t>
      </w:r>
      <w:r>
        <w:rPr>
          <w:rFonts w:ascii="Times New Roman" w:hAnsi="Times New Roman" w:cs="Times New Roman" w:eastAsia="Times New Roman" w:hint="default"/>
        </w:rPr>
        <w:t>SaaS</w:t>
      </w:r>
      <w:r>
        <w:rPr/>
        <w:t>需求意愿日趋强烈（企业需要更理想 的</w:t>
      </w:r>
      <w:r>
        <w:rPr>
          <w:rFonts w:ascii="Times New Roman" w:hAnsi="Times New Roman" w:cs="Times New Roman" w:eastAsia="Times New Roman" w:hint="default"/>
        </w:rPr>
        <w:t>IT</w:t>
      </w:r>
      <w:r>
        <w:rPr/>
        <w:t>计算架构实现成本、效率改善）以及资本市场对企业级</w:t>
      </w:r>
      <w:r>
        <w:rPr>
          <w:rFonts w:ascii="Times New Roman" w:hAnsi="Times New Roman" w:cs="Times New Roman" w:eastAsia="Times New Roman" w:hint="default"/>
        </w:rPr>
        <w:t>SaaS</w:t>
      </w:r>
      <w:r>
        <w:rPr/>
        <w:t>的投资热情，使得企业级</w:t>
      </w:r>
      <w:r>
        <w:rPr>
          <w:rFonts w:ascii="Times New Roman" w:hAnsi="Times New Roman" w:cs="Times New Roman" w:eastAsia="Times New Roman" w:hint="default"/>
        </w:rPr>
        <w:t>SaaS</w:t>
      </w:r>
      <w:r>
        <w:rPr/>
        <w:t>在经过</w:t>
      </w:r>
      <w:r>
        <w:rPr>
          <w:rFonts w:ascii="Times New Roman" w:hAnsi="Times New Roman" w:cs="Times New Roman" w:eastAsia="Times New Roman" w:hint="default"/>
        </w:rPr>
        <w:t>2006-2009</w:t>
      </w:r>
      <w:r>
        <w:rPr/>
        <w:t>年的探索期 和</w:t>
      </w:r>
      <w:r>
        <w:rPr>
          <w:rFonts w:ascii="Times New Roman" w:hAnsi="Times New Roman" w:cs="Times New Roman" w:eastAsia="Times New Roman" w:hint="default"/>
        </w:rPr>
        <w:t>2010-2013</w:t>
      </w:r>
      <w:r>
        <w:rPr/>
        <w:t>年的启动期后，在</w:t>
      </w:r>
      <w:r>
        <w:rPr>
          <w:rFonts w:ascii="Times New Roman" w:hAnsi="Times New Roman" w:cs="Times New Roman" w:eastAsia="Times New Roman" w:hint="default"/>
        </w:rPr>
        <w:t>2014</w:t>
      </w:r>
      <w:r>
        <w:rPr/>
        <w:t>年进入高速发展期，</w:t>
      </w:r>
      <w:r>
        <w:rPr>
          <w:rFonts w:ascii="Times New Roman" w:hAnsi="Times New Roman" w:cs="Times New Roman" w:eastAsia="Times New Roman" w:hint="default"/>
        </w:rPr>
        <w:t>2015</w:t>
      </w:r>
      <w:r>
        <w:rPr/>
        <w:t>年更被市场普遍认为是中国企业级</w:t>
      </w:r>
      <w:r>
        <w:rPr>
          <w:rFonts w:ascii="Times New Roman" w:hAnsi="Times New Roman" w:cs="Times New Roman" w:eastAsia="Times New Roman" w:hint="default"/>
        </w:rPr>
        <w:t>SaaS</w:t>
      </w:r>
      <w:r>
        <w:rPr/>
        <w:t>服务爆发的元年，根据 易观智库的数据，</w:t>
      </w:r>
      <w:r>
        <w:rPr>
          <w:rFonts w:ascii="Times New Roman" w:hAnsi="Times New Roman" w:cs="Times New Roman" w:eastAsia="Times New Roman" w:hint="default"/>
        </w:rPr>
        <w:t>2014</w:t>
      </w:r>
      <w:r>
        <w:rPr/>
        <w:t>年中国企业级</w:t>
      </w:r>
      <w:r>
        <w:rPr>
          <w:rFonts w:ascii="Times New Roman" w:hAnsi="Times New Roman" w:cs="Times New Roman" w:eastAsia="Times New Roman" w:hint="default"/>
        </w:rPr>
        <w:t>SaaS</w:t>
      </w:r>
      <w:r>
        <w:rPr/>
        <w:t>市场规模已经达到</w:t>
      </w:r>
      <w:r>
        <w:rPr>
          <w:rFonts w:ascii="Times New Roman" w:hAnsi="Times New Roman" w:cs="Times New Roman" w:eastAsia="Times New Roman" w:hint="default"/>
        </w:rPr>
        <w:t>117.5</w:t>
      </w:r>
      <w:r>
        <w:rPr/>
        <w:t>亿元，在企业高效管理需求加强和移动互联网应用成熟的 推动下，未来整体市场规模有望达到千亿级别。</w:t>
      </w:r>
    </w:p>
    <w:p>
      <w:pPr>
        <w:spacing w:line="240" w:lineRule="auto" w:before="3"/>
        <w:rPr>
          <w:rFonts w:ascii="宋体" w:hAnsi="宋体" w:cs="宋体" w:eastAsia="宋体" w:hint="default"/>
          <w:sz w:val="9"/>
          <w:szCs w:val="9"/>
        </w:rPr>
      </w:pPr>
    </w:p>
    <w:p>
      <w:pPr>
        <w:spacing w:line="3846" w:lineRule="exact"/>
        <w:ind w:left="1816"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008911" cy="244230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4008911" cy="2442305"/>
                    </a:xfrm>
                    <a:prstGeom prst="rect">
                      <a:avLst/>
                    </a:prstGeom>
                  </pic:spPr>
                </pic:pic>
              </a:graphicData>
            </a:graphic>
          </wp:inline>
        </w:drawing>
      </w:r>
      <w:r>
        <w:rPr>
          <w:rFonts w:ascii="宋体" w:hAnsi="宋体" w:cs="宋体" w:eastAsia="宋体" w:hint="default"/>
          <w:position w:val="-76"/>
          <w:sz w:val="20"/>
          <w:szCs w:val="20"/>
        </w:rPr>
      </w:r>
    </w:p>
    <w:p>
      <w:pPr>
        <w:pStyle w:val="BodyText"/>
        <w:spacing w:line="300" w:lineRule="auto" w:before="117"/>
        <w:ind w:right="0" w:firstLine="360"/>
        <w:jc w:val="left"/>
      </w:pPr>
      <w:r>
        <w:rPr>
          <w:spacing w:val="-2"/>
        </w:rPr>
        <w:t>国内</w:t>
      </w:r>
      <w:r>
        <w:rPr>
          <w:rFonts w:ascii="Times New Roman" w:hAnsi="Times New Roman" w:cs="Times New Roman" w:eastAsia="Times New Roman" w:hint="default"/>
          <w:spacing w:val="-2"/>
        </w:rPr>
        <w:t>SaaS</w:t>
      </w:r>
      <w:r>
        <w:rPr>
          <w:spacing w:val="-2"/>
        </w:rPr>
        <w:t>行业虽经历了较长的发展时期，但目前仍处于发展的初级阶段，市场竞争格局仍较为分散，尚不明朗，未出现</w:t>
      </w:r>
      <w:r>
        <w:rPr/>
        <w:t> 具有垄断地位的公司，高级</w:t>
      </w:r>
      <w:r>
        <w:rPr>
          <w:rFonts w:ascii="Times New Roman" w:hAnsi="Times New Roman" w:cs="Times New Roman" w:eastAsia="Times New Roman" w:hint="default"/>
        </w:rPr>
        <w:t>SaaS</w:t>
      </w:r>
      <w:r>
        <w:rPr/>
        <w:t>软件服务在国内仍是一片蓝海，公司面临非常好的行业发展机遇。</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562" w:lineRule="exact"/>
        <w:ind w:left="1629"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247097" cy="2262282"/>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4247097" cy="2262282"/>
                    </a:xfrm>
                    <a:prstGeom prst="rect">
                      <a:avLst/>
                    </a:prstGeom>
                  </pic:spPr>
                </pic:pic>
              </a:graphicData>
            </a:graphic>
          </wp:inline>
        </w:drawing>
      </w:r>
      <w:r>
        <w:rPr>
          <w:rFonts w:ascii="宋体" w:hAnsi="宋体" w:cs="宋体" w:eastAsia="宋体" w:hint="default"/>
          <w:position w:val="-70"/>
          <w:sz w:val="20"/>
          <w:szCs w:val="20"/>
        </w:rPr>
      </w:r>
    </w:p>
    <w:p>
      <w:pPr>
        <w:pStyle w:val="BodyText"/>
        <w:spacing w:line="300" w:lineRule="auto" w:before="103"/>
        <w:ind w:left="515" w:right="0" w:firstLine="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照明行业和</w:t>
      </w:r>
      <w:r>
        <w:rPr>
          <w:rFonts w:ascii="Times New Roman" w:hAnsi="Times New Roman" w:cs="Times New Roman" w:eastAsia="Times New Roman" w:hint="default"/>
        </w:rPr>
        <w:t>EMS</w:t>
      </w:r>
      <w:r>
        <w:rPr/>
        <w:t>行业 </w:t>
      </w:r>
      <w:r>
        <w:rPr>
          <w:rFonts w:ascii="Times New Roman" w:hAnsi="Times New Roman" w:cs="Times New Roman" w:eastAsia="Times New Roman" w:hint="default"/>
          <w:spacing w:val="-2"/>
        </w:rPr>
        <w:t>LED</w:t>
      </w:r>
      <w:r>
        <w:rPr>
          <w:spacing w:val="-2"/>
        </w:rPr>
        <w:t>照明行业和</w:t>
      </w:r>
      <w:r>
        <w:rPr>
          <w:rFonts w:ascii="Times New Roman" w:hAnsi="Times New Roman" w:cs="Times New Roman" w:eastAsia="Times New Roman" w:hint="default"/>
          <w:spacing w:val="-2"/>
        </w:rPr>
        <w:t>EMS</w:t>
      </w:r>
      <w:r>
        <w:rPr>
          <w:spacing w:val="-2"/>
        </w:rPr>
        <w:t>行业已实现充分的市场竞争，行业竞争异常激烈，</w:t>
      </w:r>
      <w:r>
        <w:rPr>
          <w:rFonts w:ascii="Times New Roman" w:hAnsi="Times New Roman" w:cs="Times New Roman" w:eastAsia="Times New Roman" w:hint="default"/>
          <w:spacing w:val="-2"/>
        </w:rPr>
        <w:t>LED</w:t>
      </w:r>
      <w:r>
        <w:rPr>
          <w:spacing w:val="-2"/>
        </w:rPr>
        <w:t>照明行业未来呈现需求增长速度放缓、盈利</w:t>
      </w:r>
    </w:p>
    <w:p>
      <w:pPr>
        <w:pStyle w:val="BodyText"/>
        <w:spacing w:line="300" w:lineRule="auto" w:before="13"/>
        <w:ind w:right="0"/>
        <w:jc w:val="left"/>
      </w:pPr>
      <w:r>
        <w:rPr>
          <w:spacing w:val="-2"/>
        </w:rPr>
        <w:t>空间下降、并购整合集聚等发展趋势，</w:t>
      </w:r>
      <w:r>
        <w:rPr>
          <w:rFonts w:ascii="Times New Roman" w:hAnsi="Times New Roman" w:cs="Times New Roman" w:eastAsia="Times New Roman" w:hint="default"/>
          <w:spacing w:val="-2"/>
        </w:rPr>
        <w:t>EMS</w:t>
      </w:r>
      <w:r>
        <w:rPr>
          <w:spacing w:val="-2"/>
        </w:rPr>
        <w:t>业务呈现行业整体。关于行业状况及发展趋势参见本报告第三节</w:t>
      </w:r>
      <w:r>
        <w:rPr>
          <w:rFonts w:ascii="Times New Roman" w:hAnsi="Times New Roman" w:cs="Times New Roman" w:eastAsia="Times New Roman" w:hint="default"/>
          <w:spacing w:val="-2"/>
        </w:rPr>
        <w:t>“</w:t>
      </w:r>
      <w:r>
        <w:rPr>
          <w:spacing w:val="-2"/>
        </w:rPr>
        <w:t>公司业务概要</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 </w:t>
      </w:r>
      <w:r>
        <w:rPr/>
        <w:t>之</w:t>
      </w:r>
      <w:r>
        <w:rPr>
          <w:rFonts w:ascii="Times New Roman" w:hAnsi="Times New Roman" w:cs="Times New Roman" w:eastAsia="Times New Roman" w:hint="default"/>
        </w:rPr>
        <w:t>“</w:t>
      </w:r>
      <w:r>
        <w:rPr/>
        <w:t>一、报告期内公司从事的主要业务</w:t>
      </w:r>
      <w:r>
        <w:rPr>
          <w:rFonts w:ascii="Times New Roman" w:hAnsi="Times New Roman" w:cs="Times New Roman" w:eastAsia="Times New Roman" w:hint="default"/>
        </w:rPr>
        <w:t>”</w:t>
      </w:r>
      <w:r>
        <w:rPr/>
        <w:t>。</w:t>
      </w:r>
    </w:p>
    <w:p>
      <w:pPr>
        <w:pStyle w:val="BodyText"/>
        <w:spacing w:line="316" w:lineRule="auto" w:before="13"/>
        <w:ind w:left="516" w:right="1210"/>
        <w:jc w:val="left"/>
      </w:pPr>
      <w:r>
        <w:rPr/>
        <w:t>（二）公司发展战略 公司于</w:t>
      </w:r>
      <w:r>
        <w:rPr>
          <w:rFonts w:ascii="Times New Roman" w:hAnsi="Times New Roman" w:cs="Times New Roman" w:eastAsia="Times New Roman" w:hint="default"/>
        </w:rPr>
        <w:t>2014</w:t>
      </w:r>
      <w:r>
        <w:rPr/>
        <w:t>年确立转型互联网行业的战略目标，并决定以数字营销为切入口，向企业级</w:t>
      </w:r>
      <w:r>
        <w:rPr>
          <w:rFonts w:ascii="Times New Roman" w:hAnsi="Times New Roman" w:cs="Times New Roman" w:eastAsia="Times New Roman" w:hint="default"/>
        </w:rPr>
        <w:t>SaaS</w:t>
      </w:r>
      <w:r>
        <w:rPr/>
        <w:t>服务行业延伸；在企业级</w:t>
      </w:r>
    </w:p>
    <w:p>
      <w:pPr>
        <w:pStyle w:val="BodyText"/>
        <w:spacing w:line="300" w:lineRule="auto" w:before="0"/>
        <w:ind w:right="0"/>
        <w:jc w:val="left"/>
      </w:pPr>
      <w:r>
        <w:rPr>
          <w:rFonts w:ascii="Times New Roman" w:hAnsi="Times New Roman" w:cs="Times New Roman" w:eastAsia="Times New Roman" w:hint="default"/>
          <w:spacing w:val="-2"/>
        </w:rPr>
        <w:t>SaaS</w:t>
      </w:r>
      <w:r>
        <w:rPr>
          <w:spacing w:val="-2"/>
        </w:rPr>
        <w:t>服务行业，公司将首先通过外延式并购布局基于</w:t>
      </w:r>
      <w:r>
        <w:rPr>
          <w:rFonts w:ascii="Times New Roman" w:hAnsi="Times New Roman" w:cs="Times New Roman" w:eastAsia="Times New Roman" w:hint="default"/>
          <w:spacing w:val="-2"/>
        </w:rPr>
        <w:t>“</w:t>
      </w:r>
      <w:r>
        <w:rPr>
          <w:spacing w:val="-2"/>
        </w:rPr>
        <w:t>数据、技术</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SaaS</w:t>
      </w:r>
      <w:r>
        <w:rPr>
          <w:spacing w:val="-2"/>
        </w:rPr>
        <w:t>服务，并逐步实现在三年内打造中国一流的企业级</w:t>
      </w:r>
      <w:r>
        <w:rPr>
          <w:spacing w:val="-38"/>
        </w:rPr>
        <w:t> </w:t>
      </w:r>
      <w:r>
        <w:rPr>
          <w:spacing w:val="-38"/>
        </w:rPr>
      </w:r>
      <w:r>
        <w:rPr>
          <w:rFonts w:ascii="Times New Roman" w:hAnsi="Times New Roman" w:cs="Times New Roman" w:eastAsia="Times New Roman" w:hint="default"/>
        </w:rPr>
        <w:t>SaaS</w:t>
      </w:r>
      <w:r>
        <w:rPr/>
        <w:t>平台和生态圈。</w:t>
      </w:r>
    </w:p>
    <w:p>
      <w:pPr>
        <w:pStyle w:val="BodyText"/>
        <w:spacing w:line="319" w:lineRule="auto" w:before="13"/>
        <w:ind w:left="516" w:right="6790"/>
        <w:jc w:val="left"/>
      </w:pPr>
      <w:r>
        <w:rPr/>
        <w:t>（四）可能面对的风险及采取的对策 公司未来在战略转型期间将面临的主要风险： </w:t>
      </w:r>
      <w:r>
        <w:rPr>
          <w:rFonts w:ascii="Times New Roman" w:hAnsi="Times New Roman" w:cs="Times New Roman" w:eastAsia="Times New Roman" w:hint="default"/>
        </w:rPr>
        <w:t>1</w:t>
      </w:r>
      <w:r>
        <w:rPr/>
        <w:t>、投资并购顺利实施及收购整合风险</w:t>
      </w:r>
    </w:p>
    <w:p>
      <w:pPr>
        <w:pStyle w:val="BodyText"/>
        <w:spacing w:line="316" w:lineRule="auto" w:before="0"/>
        <w:ind w:right="1130" w:firstLine="362"/>
        <w:jc w:val="both"/>
      </w:pPr>
      <w:r>
        <w:rPr>
          <w:spacing w:val="-2"/>
        </w:rPr>
        <w:t>公司在投资并购过程中，可能因多方面原因（如标的企业尽调、业务谈判进展不顺利等）导致整个项目中途停止，也可</w:t>
      </w:r>
      <w:r>
        <w:rPr/>
        <w:t> </w:t>
      </w:r>
      <w:r>
        <w:rPr>
          <w:spacing w:val="-2"/>
        </w:rPr>
        <w:t>能发生投资并购完成后，公司与标的公司团队整合不及预期，以及标的公司业绩未能兑现承诺等情形，从而导致公司投资并</w:t>
      </w:r>
      <w:r>
        <w:rPr>
          <w:spacing w:val="-66"/>
        </w:rPr>
        <w:t> </w:t>
      </w:r>
      <w:r>
        <w:rPr>
          <w:spacing w:val="-66"/>
        </w:rPr>
      </w:r>
      <w:r>
        <w:rPr>
          <w:spacing w:val="-2"/>
        </w:rPr>
        <w:t>购效果不达预期，甚至拖累公司业绩的风险，将直接影响公司未来的业绩情况。公司将充分借助券商、律师、会计师、资产</w:t>
      </w:r>
      <w:r>
        <w:rPr>
          <w:spacing w:val="-67"/>
        </w:rPr>
        <w:t> </w:t>
      </w:r>
      <w:r>
        <w:rPr>
          <w:spacing w:val="-67"/>
        </w:rPr>
      </w:r>
      <w:r>
        <w:rPr/>
        <w:t>评估师等中介机构的专业力量，</w:t>
      </w:r>
      <w:r>
        <w:rPr>
          <w:spacing w:val="-19"/>
        </w:rPr>
        <w:t> </w:t>
      </w:r>
      <w:r>
        <w:rPr/>
        <w:t>项目开展前做好调研和论证，项目推进过程中做好各项尽职调查，充分挖掘可能存在的潜</w:t>
      </w:r>
      <w:r>
        <w:rPr/>
        <w:t> 在风险，并在项目完成后通过委派董事、财务人员等方面，做好充分的投后管理。</w:t>
      </w:r>
    </w:p>
    <w:p>
      <w:pPr>
        <w:pStyle w:val="BodyText"/>
        <w:spacing w:line="300" w:lineRule="auto"/>
        <w:ind w:left="516" w:right="1150" w:hanging="1"/>
        <w:jc w:val="left"/>
      </w:pPr>
      <w:r>
        <w:rPr>
          <w:rFonts w:ascii="Times New Roman" w:hAnsi="Times New Roman" w:cs="Times New Roman" w:eastAsia="Times New Roman" w:hint="default"/>
        </w:rPr>
        <w:t>2</w:t>
      </w:r>
      <w:r>
        <w:rPr/>
        <w:t>、商誉减值的风险 公司于报告期内发行股份及支付现金购买顺为广告、奇思广告和利宣广告</w:t>
      </w:r>
      <w:r>
        <w:rPr>
          <w:rFonts w:ascii="Times New Roman" w:hAnsi="Times New Roman" w:cs="Times New Roman" w:eastAsia="Times New Roman" w:hint="default"/>
        </w:rPr>
        <w:t>100%</w:t>
      </w:r>
      <w:r>
        <w:rPr/>
        <w:t>的股权，在公司合并资产负债表中形成</w:t>
      </w:r>
    </w:p>
    <w:p>
      <w:pPr>
        <w:pStyle w:val="BodyText"/>
        <w:spacing w:line="316" w:lineRule="auto" w:before="13"/>
        <w:ind w:right="1033"/>
        <w:jc w:val="left"/>
      </w:pPr>
      <w:r>
        <w:rPr>
          <w:spacing w:val="-2"/>
        </w:rPr>
        <w:t>了较大金额的商誉。根据《企业会计准则》规定，本次交易形成的商誉不作摊销处理，但需在未来每年年度终了进行减值测</w:t>
      </w:r>
      <w:r>
        <w:rPr>
          <w:spacing w:val="-66"/>
        </w:rPr>
        <w:t> </w:t>
      </w:r>
      <w:r>
        <w:rPr>
          <w:spacing w:val="-66"/>
        </w:rPr>
      </w:r>
      <w:r>
        <w:rPr>
          <w:spacing w:val="-2"/>
        </w:rPr>
        <w:t>试。如前所述，目前标的公司经营、市场发展及已有订单情况表明评估报告预测期的预测营业收入具有可实现性，且毛利率</w:t>
      </w:r>
      <w:r>
        <w:rPr>
          <w:spacing w:val="-66"/>
        </w:rPr>
        <w:t> </w:t>
      </w:r>
      <w:r>
        <w:rPr>
          <w:spacing w:val="-66"/>
        </w:rPr>
      </w:r>
      <w:r>
        <w:rPr>
          <w:spacing w:val="-2"/>
        </w:rPr>
        <w:t>取值与标的公司历史毛利率基本保持一致、具有合理性，但如本次拟收购的标的公司未来经营状况恶化，则未来仍存在商誉</w:t>
      </w:r>
      <w:r>
        <w:rPr>
          <w:spacing w:val="-66"/>
        </w:rPr>
        <w:t> </w:t>
      </w:r>
      <w:r>
        <w:rPr>
          <w:spacing w:val="-66"/>
        </w:rPr>
      </w:r>
      <w:r>
        <w:rPr/>
        <w:t>减值的风险，从而对上市公司当期损益造成不利影响。公司将充分发挥数字营销板块业务内部资源的协调性，在品牌影响、 技术研发、市场开拓等方面的协同优势，进一步增强细分领域的市场竞争力，提升数字营销板块的核心竞争力和盈利能力， 降低产生商誉减值风险的可能性。</w:t>
      </w:r>
    </w:p>
    <w:p>
      <w:pPr>
        <w:pStyle w:val="BodyText"/>
        <w:spacing w:line="300" w:lineRule="auto"/>
        <w:ind w:left="516" w:right="0" w:hanging="1"/>
        <w:jc w:val="left"/>
      </w:pPr>
      <w:r>
        <w:rPr>
          <w:rFonts w:ascii="Times New Roman" w:hAnsi="Times New Roman" w:cs="Times New Roman" w:eastAsia="Times New Roman" w:hint="default"/>
        </w:rPr>
        <w:t>3</w:t>
      </w:r>
      <w:r>
        <w:rPr/>
        <w:t>、人才队伍建设风险 </w:t>
      </w:r>
      <w:r>
        <w:rPr>
          <w:spacing w:val="-2"/>
        </w:rPr>
        <w:t>公司战略转型后，新纳入公司的管理团队及业务人员的稳定性，将直接影响公司战略转型的成果。若不能很好地控制人</w:t>
      </w:r>
    </w:p>
    <w:p>
      <w:pPr>
        <w:pStyle w:val="BodyText"/>
        <w:spacing w:line="319" w:lineRule="auto" w:before="31"/>
        <w:ind w:right="1033"/>
        <w:jc w:val="left"/>
      </w:pPr>
      <w:r>
        <w:rPr/>
        <w:t>才流失的风险，则会对公司战略转型造成不利影响。同时，随着公司多个业务板块的开展，管理的宽度和深度将大幅增加， </w:t>
      </w:r>
      <w:r>
        <w:rPr>
          <w:spacing w:val="-2"/>
        </w:rPr>
        <w:t>公司需要培养大量与公司战略转型业务发展相适应的人才。针对新纳入的公司，为避免核心团队成员流失造成不利影响，公</w:t>
      </w:r>
      <w:r>
        <w:rPr>
          <w:spacing w:val="-66"/>
        </w:rPr>
        <w:t> </w:t>
      </w:r>
      <w:r>
        <w:rPr>
          <w:spacing w:val="-66"/>
        </w:rPr>
      </w:r>
      <w:r>
        <w:rPr>
          <w:spacing w:val="-2"/>
        </w:rPr>
        <w:t>司将适时调整管理方法，通过各自激励措施，确保核心团队成员的稳定。同时，公司将积极完善人才培养机制，建立科学合</w:t>
      </w:r>
      <w:r>
        <w:rPr>
          <w:spacing w:val="-66"/>
        </w:rPr>
        <w:t> </w:t>
      </w:r>
      <w:r>
        <w:rPr>
          <w:spacing w:val="-66"/>
        </w:rPr>
      </w:r>
      <w:r>
        <w:rPr/>
        <w:t>理的薪酬考核和奖励机制，提高员工的积极性，吸引和留住优秀人才，促进公司各项业务顺利开展。</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接待调研、沟通、采访等活动" w:id="58"/>
      <w:bookmarkEnd w:id="58"/>
      <w:r>
        <w:rPr>
          <w:b w:val="0"/>
          <w:bCs w:val="0"/>
        </w:rPr>
      </w:r>
      <w:r>
        <w:rPr/>
        <w:t>九、接待调研、沟通、采访等活动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842"/>
        <w:gridCol w:w="4466"/>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8"/>
                <w:sz w:val="18"/>
                <w:szCs w:val="18"/>
              </w:rPr>
              <w:t>麦达数字：</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日投资者关系活动记录表（巨</w:t>
            </w:r>
            <w:r>
              <w:rPr>
                <w:rFonts w:ascii="宋体" w:hAnsi="宋体" w:cs="宋体" w:eastAsia="宋体" w:hint="default"/>
                <w:sz w:val="18"/>
                <w:szCs w:val="18"/>
              </w:rPr>
              <w:t> 潮资讯网</w:t>
            </w:r>
            <w:r>
              <w:rPr>
                <w:rFonts w:ascii="宋体" w:hAnsi="宋体" w:cs="宋体" w:eastAsia="宋体" w:hint="default"/>
                <w:spacing w:val="-62"/>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8"/>
                <w:sz w:val="18"/>
                <w:szCs w:val="18"/>
              </w:rPr>
              <w:t>麦达数字：</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日投资者关系活动记录表（巨</w:t>
            </w:r>
            <w:r>
              <w:rPr>
                <w:rFonts w:ascii="宋体" w:hAnsi="宋体" w:cs="宋体" w:eastAsia="宋体" w:hint="default"/>
                <w:sz w:val="18"/>
                <w:szCs w:val="18"/>
              </w:rPr>
              <w:t> 潮资讯网</w:t>
            </w:r>
            <w:r>
              <w:rPr>
                <w:rFonts w:ascii="宋体" w:hAnsi="宋体" w:cs="宋体" w:eastAsia="宋体" w:hint="default"/>
                <w:spacing w:val="-62"/>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8"/>
                <w:sz w:val="18"/>
                <w:szCs w:val="18"/>
              </w:rPr>
              <w:t>麦达数字：</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日投资者关系活动记录表（巨</w:t>
            </w:r>
            <w:r>
              <w:rPr>
                <w:rFonts w:ascii="宋体" w:hAnsi="宋体" w:cs="宋体" w:eastAsia="宋体" w:hint="default"/>
                <w:sz w:val="18"/>
                <w:szCs w:val="18"/>
              </w:rPr>
              <w:t> 潮资讯网</w:t>
            </w:r>
            <w:r>
              <w:rPr>
                <w:rFonts w:ascii="宋体" w:hAnsi="宋体" w:cs="宋体" w:eastAsia="宋体" w:hint="default"/>
                <w:spacing w:val="-62"/>
                <w:sz w:val="18"/>
                <w:szCs w:val="18"/>
              </w:rPr>
              <w:t>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6"/>
        <w:jc w:val="left"/>
      </w:pPr>
      <w:r>
        <w:rPr/>
        <w:t>报告期内普通股利润分配政策，特别是现金分红政策的制定、执行或调整情况</w:t>
      </w:r>
    </w:p>
    <w:p>
      <w:pPr>
        <w:pStyle w:val="BodyText"/>
        <w:spacing w:line="240" w:lineRule="auto" w:before="117"/>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8" w:lineRule="auto" w:before="102"/>
        <w:ind w:right="-16"/>
        <w:jc w:val="left"/>
      </w:pP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t> 鉴于公司近三年可供分配的利润均为负，因此均未有普通股利润分配及资本公积金转增股本的情况。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单位：元</w:t>
      </w:r>
    </w:p>
    <w:p>
      <w:pPr>
        <w:spacing w:after="0" w:line="240" w:lineRule="auto"/>
        <w:jc w:val="left"/>
        <w:sectPr>
          <w:type w:val="continuous"/>
          <w:pgSz w:w="11910" w:h="16840"/>
          <w:pgMar w:top="1060" w:bottom="1160" w:left="980" w:right="0"/>
          <w:cols w:num="2" w:equalWidth="0">
            <w:col w:w="8165" w:space="75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18,172,467.25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14,276,265.68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-187,575,136.11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83"/>
        <w:gridCol w:w="719"/>
        <w:gridCol w:w="981"/>
        <w:gridCol w:w="4678"/>
        <w:gridCol w:w="851"/>
        <w:gridCol w:w="425"/>
        <w:gridCol w:w="920"/>
      </w:tblGrid>
      <w:tr>
        <w:trPr>
          <w:trHeight w:val="161"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4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6" w:right="2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425"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4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98"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16" w:right="-40"/>
              <w:jc w:val="left"/>
              <w:rPr>
                <w:rFonts w:ascii="宋体" w:hAnsi="宋体" w:cs="宋体" w:eastAsia="宋体" w:hint="default"/>
                <w:sz w:val="18"/>
                <w:szCs w:val="18"/>
              </w:rPr>
            </w:pPr>
            <w:r>
              <w:rPr>
                <w:rFonts w:ascii="宋体" w:hAnsi="宋体" w:cs="宋体" w:eastAsia="宋体" w:hint="default"/>
                <w:sz w:val="18"/>
                <w:szCs w:val="18"/>
              </w:rPr>
              <w:t>陈亚妹、 乔昕</w:t>
            </w:r>
          </w:p>
        </w:tc>
        <w:tc>
          <w:tcPr>
            <w:tcW w:w="981" w:type="dxa"/>
            <w:vMerge w:val="restart"/>
            <w:tcBorders>
              <w:top w:val="single" w:sz="4" w:space="0" w:color="000000"/>
              <w:left w:val="single" w:sz="9" w:space="0" w:color="FFFFFF"/>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4"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678"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、关于关联交易事项的承诺：对于由于各种合理原因而可 </w:t>
            </w:r>
            <w:r>
              <w:rPr>
                <w:rFonts w:ascii="宋体" w:hAnsi="宋体" w:cs="宋体" w:eastAsia="宋体" w:hint="default"/>
                <w:spacing w:val="-3"/>
                <w:sz w:val="18"/>
                <w:szCs w:val="18"/>
              </w:rPr>
              <w:t>能发生的关联交易将遵循公开、公平、公正的原则，依法签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订协议，按照公允、合理的市场价格与实益达进行交易，并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依据有关法律、法规及规范性文件的规定履行决策程序，依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法履行信息披露义务，保证不通过关联交易损害上市公司及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、关于同业竞争事项的承诺：在作</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1328"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19" w:type="dxa"/>
            <w:vMerge/>
            <w:tcBorders>
              <w:left w:val="single" w:sz="9" w:space="0" w:color="D2D2D2"/>
              <w:right w:val="single" w:sz="9" w:space="0" w:color="FFFFFF"/>
            </w:tcBorders>
          </w:tcPr>
          <w:p>
            <w:pPr/>
          </w:p>
        </w:tc>
        <w:tc>
          <w:tcPr>
            <w:tcW w:w="981" w:type="dxa"/>
            <w:vMerge/>
            <w:tcBorders>
              <w:left w:val="single" w:sz="9" w:space="0" w:color="FFFFFF"/>
              <w:right w:val="single" w:sz="4" w:space="0" w:color="000000"/>
            </w:tcBorders>
          </w:tcPr>
          <w:p>
            <w:pPr/>
          </w:p>
        </w:tc>
        <w:tc>
          <w:tcPr>
            <w:tcW w:w="467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98"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9" w:space="0" w:color="FFFFFF"/>
            </w:tcBorders>
          </w:tcPr>
          <w:p>
            <w:pPr/>
          </w:p>
        </w:tc>
        <w:tc>
          <w:tcPr>
            <w:tcW w:w="981" w:type="dxa"/>
            <w:vMerge/>
            <w:tcBorders>
              <w:left w:val="single" w:sz="9" w:space="0" w:color="FFFFFF"/>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0.399994pt;margin-top:375.919983pt;width:57.25pt;height:178.4pt;mso-position-horizontal-relative:page;mso-position-vertical-relative:page;z-index:-996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理、</w:t>
                  </w:r>
                </w:p>
              </w:txbxContent>
            </v:textbox>
            <w10:wrap type="none"/>
          </v:shape>
        </w:pict>
      </w:r>
      <w:r>
        <w:rPr/>
        <w:pict>
          <v:shape style="position:absolute;margin-left:347.373993pt;margin-top:589.539978pt;width:120.3pt;height:178.4pt;mso-position-horizontal-relative:page;mso-position-vertical-relative:page;z-index:-996472" type="#_x0000_t202" filled="false" stroked="false">
            <v:textbox inset="0,0,0,0">
              <w:txbxContent>
                <w:p>
                  <w:pPr>
                    <w:pStyle w:val="BodyText"/>
                    <w:spacing w:line="240" w:lineRule="auto" w:before="146"/>
                    <w:ind w:left="1441"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0"/>
                    <w:ind w:left="0" w:right="0" w:firstLine="1079"/>
                    <w:jc w:val="left"/>
                  </w:pPr>
                  <w:r>
                    <w:rPr/>
                    <w:t>（四）</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0"/>
                    <w:ind w:left="0" w:right="0"/>
                    <w:jc w:val="left"/>
                  </w:pPr>
                  <w:r>
                    <w:rPr/>
                    <w:t>总经理等依照法律、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992"/>
        <w:gridCol w:w="4678"/>
        <w:gridCol w:w="851"/>
        <w:gridCol w:w="425"/>
        <w:gridCol w:w="920"/>
      </w:tblGrid>
      <w:tr>
        <w:trPr>
          <w:trHeight w:val="285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both"/>
              <w:rPr>
                <w:rFonts w:ascii="宋体" w:hAnsi="宋体" w:cs="宋体" w:eastAsia="宋体" w:hint="default"/>
                <w:sz w:val="18"/>
                <w:szCs w:val="18"/>
              </w:rPr>
            </w:pPr>
            <w:r>
              <w:rPr>
                <w:rFonts w:ascii="宋体" w:hAnsi="宋体" w:cs="宋体" w:eastAsia="宋体" w:hint="default"/>
                <w:spacing w:val="-3"/>
                <w:sz w:val="18"/>
                <w:szCs w:val="18"/>
              </w:rPr>
              <w:t>为深圳市实益达科技股份有限公司实际控制人期间，遵守中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国法律法规，以及中国证监会、深圳证券交易所的要求和规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定，避免与实益达的业务形成实质性的同业竞争。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、维护 </w:t>
            </w:r>
            <w:r>
              <w:rPr>
                <w:rFonts w:ascii="宋体" w:hAnsi="宋体" w:cs="宋体" w:eastAsia="宋体" w:hint="default"/>
                <w:spacing w:val="-3"/>
                <w:sz w:val="18"/>
                <w:szCs w:val="18"/>
              </w:rPr>
              <w:t>实益达独立性的承诺：本次收购对深圳市实益达科技股份有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限公司的人员、资产、财务、业务、机构等方面的独立性不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产生影响。在本次收购完成后，深圳市实益达科技股份有限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公司仍将具有独立的经营能力和经营场所，在采购、销售等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方面仍然保持独立。本次股份增持完成后，将继续保持实益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达资产独立、人员独立、财务独立、业务独立和机构独立。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2.1pt;height:142.5pt;mso-position-horizontal-relative:char;mso-position-vertical-relative:line" coordorigin="0,0" coordsize="842,2850">
                  <v:group style="position:absolute;left:0;top:0;width:842;height:2850" coordorigin="0,0" coordsize="842,2850">
                    <v:shape style="position:absolute;left:0;top:0;width:842;height:2850" coordorigin="0,0" coordsize="842,2850" path="m0,2849l841,2849,841,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3" w:right="83"/>
              <w:jc w:val="both"/>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 余海和 投资管 理中心</w:t>
            </w:r>
          </w:p>
          <w:p>
            <w:pPr>
              <w:pStyle w:val="TableParagraph"/>
              <w:spacing w:line="319" w:lineRule="auto" w:before="22"/>
              <w:ind w:left="23" w:right="13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93"/>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本企业因本次交易取得的上市公司股份，自股份发行 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月内不得转让。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78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02" w:lineRule="auto"/>
              <w:ind w:left="23" w:right="83"/>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r>
              <w:rPr>
                <w:rFonts w:ascii="宋体" w:hAnsi="宋体" w:cs="宋体" w:eastAsia="宋体" w:hint="default"/>
                <w:sz w:val="18"/>
                <w:szCs w:val="18"/>
              </w:rPr>
              <w:t>乔昕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一、保持上市公司独立性的承诺。作为上市公司控股股东</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实际控制人，为了维持本次交易后的上市公司人员独立、资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产独立、业务独立、财务独立、机构独立，本人承诺如下：</w:t>
            </w:r>
          </w:p>
          <w:p>
            <w:pPr>
              <w:pStyle w:val="TableParagraph"/>
              <w:spacing w:line="307" w:lineRule="auto" w:before="24"/>
              <w:ind w:left="22" w:right="-35"/>
              <w:jc w:val="left"/>
              <w:rPr>
                <w:rFonts w:ascii="宋体" w:hAnsi="宋体" w:cs="宋体" w:eastAsia="宋体" w:hint="default"/>
                <w:sz w:val="18"/>
                <w:szCs w:val="18"/>
              </w:rPr>
            </w:pPr>
            <w:r>
              <w:rPr>
                <w:rFonts w:ascii="宋体" w:hAnsi="宋体" w:cs="宋体" w:eastAsia="宋体" w:hint="default"/>
                <w:spacing w:val="-3"/>
                <w:sz w:val="18"/>
                <w:szCs w:val="18"/>
              </w:rPr>
              <w:t>（一）保证上市公司人员独立。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、保证上市公司的总经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副总经理、财务总监、董事会秘书等高级管理人员均专职在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上市公司任职并领取薪酬，不在本人及其关联自然人、关联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企业、关联法人担任除董事、监事以外的职务；</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 </w:t>
            </w:r>
            <w:r>
              <w:rPr>
                <w:rFonts w:ascii="宋体" w:hAnsi="宋体" w:cs="宋体" w:eastAsia="宋体" w:hint="default"/>
                <w:spacing w:val="-3"/>
                <w:sz w:val="18"/>
                <w:szCs w:val="18"/>
              </w:rPr>
              <w:t>市公司的劳动、人事及工资管理与本人及其关联方之间完全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独立；</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、本人向上市公司推荐董事、监事、经理等高级管 </w:t>
            </w:r>
            <w:r>
              <w:rPr>
                <w:rFonts w:ascii="宋体" w:hAnsi="宋体" w:cs="宋体" w:eastAsia="宋体" w:hint="default"/>
                <w:spacing w:val="-3"/>
                <w:sz w:val="18"/>
                <w:szCs w:val="18"/>
              </w:rPr>
              <w:t>理人员人选均通过合法程序进行，不干预上市公司董事会和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股东大会行使职权作出人事任免决定。（二）保证上市公司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资产独立完整。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、保证上市公司具有独立的与经营有关的 </w:t>
            </w:r>
            <w:r>
              <w:rPr>
                <w:rFonts w:ascii="宋体" w:hAnsi="宋体" w:cs="宋体" w:eastAsia="宋体" w:hint="default"/>
                <w:spacing w:val="-3"/>
                <w:sz w:val="18"/>
                <w:szCs w:val="18"/>
              </w:rPr>
              <w:t>业务体系和独立完整的资产；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、保证上市公司不存在资金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资产被本人及其关联方占用的情形；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 </w:t>
            </w:r>
            <w:r>
              <w:rPr>
                <w:rFonts w:ascii="宋体" w:hAnsi="宋体" w:cs="宋体" w:eastAsia="宋体" w:hint="default"/>
                <w:spacing w:val="-9"/>
                <w:sz w:val="18"/>
                <w:szCs w:val="18"/>
              </w:rPr>
              <w:t>所独立于本人及其关联方。（三）保证上市公司财务独立。</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保证上市公司建立独立的财务部门和独立的财务核算体系， 具有规范、独立的财务会计制度；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、保证上市公司独立在 银行开户，不与本人及其关联方共用银行账户；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 市公司的财务人员不在本人及其关联方兼职、领薪；</w:t>
            </w:r>
            <w:r>
              <w:rPr>
                <w:rFonts w:ascii="Times New Roman" w:hAnsi="Times New Roman" w:cs="Times New Roman" w:eastAsia="Times New Roman" w:hint="default"/>
                <w:sz w:val="18"/>
                <w:szCs w:val="18"/>
              </w:rPr>
              <w:t>4</w:t>
            </w:r>
            <w:r>
              <w:rPr>
                <w:rFonts w:ascii="宋体" w:hAnsi="宋体" w:cs="宋体" w:eastAsia="宋体" w:hint="default"/>
                <w:sz w:val="18"/>
                <w:szCs w:val="18"/>
              </w:rPr>
              <w:t>、保 证上市公司依法独立纳税；</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、保证上市公司能够独立作出 </w:t>
            </w:r>
            <w:r>
              <w:rPr>
                <w:rFonts w:ascii="宋体" w:hAnsi="宋体" w:cs="宋体" w:eastAsia="宋体" w:hint="default"/>
                <w:spacing w:val="-4"/>
                <w:sz w:val="18"/>
                <w:szCs w:val="18"/>
              </w:rPr>
              <w:t>财务决策，本人及其关联方不干预上市公司的资金使用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保证上市公司机构独立。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、保证上市公司建立健全法人治 理结构，拥有独立、完整的组织机构；</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 </w:t>
            </w:r>
            <w:r>
              <w:rPr>
                <w:rFonts w:ascii="宋体" w:hAnsi="宋体" w:cs="宋体" w:eastAsia="宋体" w:hint="default"/>
                <w:spacing w:val="-7"/>
                <w:sz w:val="18"/>
                <w:szCs w:val="18"/>
              </w:rPr>
              <w:t>股东大会、董事会、独立董事、监事会、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法规和实益达公司章程独立行使职权。（五）保证上市公司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150"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7840"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42.1pt;height:392.05pt;mso-position-horizontal-relative:char;mso-position-vertical-relative:line" coordorigin="0,0" coordsize="842,7841">
                  <v:group style="position:absolute;left:0;top:0;width:842;height:3568" coordorigin="0,0" coordsize="842,3568">
                    <v:shape style="position:absolute;left:0;top:0;width:842;height:3568" coordorigin="0,0" coordsize="842,3568" path="m0,3568l841,3568,841,0,0,0,0,3568xe" filled="true" fillcolor="#ffffff" stroked="false">
                      <v:path arrowok="t"/>
                      <v:fill type="solid"/>
                    </v:shape>
                  </v:group>
                  <v:group style="position:absolute;left:11;top:3568;width:2;height:705" coordorigin="11,3568" coordsize="2,705">
                    <v:shape style="position:absolute;left:11;top:3568;width:2;height:705" coordorigin="11,3568" coordsize="0,705" path="m11,3568l11,4272e" filled="false" stroked="true" strokeweight="1.140pt" strokecolor="#ffffff">
                      <v:path arrowok="t"/>
                    </v:shape>
                  </v:group>
                  <v:group style="position:absolute;left:0;top:4272;width:842;height:3568" coordorigin="0,4272" coordsize="842,3568">
                    <v:shape style="position:absolute;left:0;top:4272;width:842;height:3568" coordorigin="0,4272" coordsize="842,3568" path="m0,7840l841,7840,841,4272,0,4272,0,7840xe" filled="true" fillcolor="#ffffff" stroked="false">
                      <v:path arrowok="t"/>
                      <v:fill type="solid"/>
                    </v:shape>
                  </v:group>
                  <v:group style="position:absolute;left:23;top:3568;width:795;height:353" coordorigin="23,3568" coordsize="795,353">
                    <v:shape style="position:absolute;left:23;top:3568;width:795;height:353" coordorigin="23,3568" coordsize="795,353" path="m23,3921l817,3921,817,3568,23,3568,23,3921xe" filled="true" fillcolor="#ffffff" stroked="false">
                      <v:path arrowok="t"/>
                      <v:fill type="solid"/>
                    </v:shape>
                  </v:group>
                  <v:group style="position:absolute;left:23;top:3921;width:795;height:352" coordorigin="23,3921" coordsize="795,352">
                    <v:shape style="position:absolute;left:23;top:3921;width:795;height:352" coordorigin="23,3921" coordsize="795,352" path="m23,4272l817,4272,817,3921,23,3921,23,427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8.360001pt;margin-top:72.47998pt;width:219.3pt;height:686.5pt;mso-position-horizontal-relative:page;mso-position-vertical-relative:page;z-index:-996424" type="#_x0000_t202" filled="false" stroked="false">
            <v:textbox inset="0,0,0,0">
              <w:txbxContent>
                <w:p>
                  <w:pPr>
                    <w:pStyle w:val="BodyText"/>
                    <w:spacing w:line="316" w:lineRule="auto" w:before="10"/>
                    <w:ind w:left="360" w:right="783" w:hanging="361"/>
                    <w:jc w:val="left"/>
                  </w:pPr>
                  <w:r>
                    <w:rPr/>
                    <w:t>保证上市公司拥有独立开展经营活动的资产、 具有面向市场独立自主持续经营的能力；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992"/>
        <w:gridCol w:w="4678"/>
        <w:gridCol w:w="851"/>
        <w:gridCol w:w="425"/>
        <w:gridCol w:w="920"/>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业务独立。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p>
        </w:tc>
        <w:tc>
          <w:tcPr>
            <w:tcW w:w="851"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1pt;height:686.5pt;mso-position-horizontal-relative:char;mso-position-vertical-relative:line" coordorigin="0,0" coordsize="842,13730">
                  <v:group style="position:absolute;left:0;top:0;width:842;height:13730" coordorigin="0,0" coordsize="842,13730">
                    <v:shape style="position:absolute;left:0;top:0;width:842;height:13730" coordorigin="0,0" coordsize="842,13730" path="m0,13729l841,13729,841,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425"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宋体" w:hAnsi="宋体" w:cs="宋体" w:eastAsia="宋体" w:hint="default"/>
                <w:spacing w:val="-75"/>
                <w:sz w:val="18"/>
                <w:szCs w:val="18"/>
              </w:rPr>
              <w:t>、</w:t>
            </w:r>
            <w:r>
              <w:rPr>
                <w:rFonts w:ascii="宋体" w:hAnsi="宋体" w:cs="宋体" w:eastAsia="宋体" w:hint="default"/>
                <w:sz w:val="18"/>
                <w:szCs w:val="18"/>
              </w:rPr>
              <w:t>资质和能力，</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、保证本人除通过行使股东权利之外，不对上市公司的业</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务活动进行干预；</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、保证本人及其控制的其他企业避免从</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事与上市公司具有实质性竞争的业务；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、保证尽量减少、</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避免本人及其控制的其他企业与上市公司的关联交易；在进</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行确有必要且无法避免的关联交易时，保证按市场化原则和</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公允价格进行公平操作，并按相关法律法规以及规范性文件</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和实益达公司章程的规定履行交易程序及信息披露义务。</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、本人及本人直接或间接控制</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5"/>
              <w:jc w:val="left"/>
              <w:rPr>
                <w:rFonts w:ascii="宋体" w:hAnsi="宋体" w:cs="宋体" w:eastAsia="宋体" w:hint="default"/>
                <w:sz w:val="18"/>
                <w:szCs w:val="18"/>
              </w:rPr>
            </w:pPr>
            <w:r>
              <w:rPr>
                <w:rFonts w:ascii="宋体" w:hAnsi="宋体" w:cs="宋体" w:eastAsia="宋体" w:hint="default"/>
                <w:sz w:val="18"/>
                <w:szCs w:val="18"/>
              </w:rPr>
              <w:t>的其他企业目前没有从事与实益达或顺为广告、奇思广告、</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利宣广告主营业务相同或构成竞争的业务，也未直接或以投</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资控股、参股、合资、联营或其它形式经营或为他人经营任</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何与实益达或顺为广告、奇思广告、利宣广告的主营业务相</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同、相近或构成竞争的业务。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、为避免本人及本人控制的</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其他企业与上市公司及其下属公司的潜在同业竞争，本人及</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本人控制的其他企业不得以任何形式（包括但不限于在中国</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境内或境外自行或与他人合资、合作、联营、投资、兼并、</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受托经营等方式）直接或间接地从事、参与或协助他人从事</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任何与上市公司及其下属公司届时正在从事的业务有直接</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或间接竞争关系的相同或相似的业务或其他经营活动，也不</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得直接或间接投资任何与上市公司及其下属公司届时正在</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从事的业务有直接或间接竞争关系的经济实体；</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及本人控制的其他企业未来从任何第三方获得的任何商业</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机会与上市公司及其下属公司主营业务有竞争或可能有竞</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争，则本人及本人控制的其他企业将立即通知上市公司，在</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征得第三方允诺后，尽力将该商业机会给予上市公司及其下</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w:t>
            </w:r>
            <w:r>
              <w:rPr>
                <w:rFonts w:ascii="Times New Roman" w:hAnsi="Times New Roman" w:cs="Times New Roman" w:eastAsia="Times New Roman" w:hint="default"/>
                <w:sz w:val="18"/>
                <w:szCs w:val="18"/>
              </w:rPr>
              <w:t>4</w:t>
            </w:r>
            <w:r>
              <w:rPr>
                <w:rFonts w:ascii="宋体" w:hAnsi="宋体" w:cs="宋体" w:eastAsia="宋体" w:hint="default"/>
                <w:sz w:val="18"/>
                <w:szCs w:val="18"/>
              </w:rPr>
              <w:t>、如上市公司及其下属公司未来拟从事的业务与</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本人及本人控制的其他企业的业务构成直接或间接的竞争</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关系，本人届时将以适当方式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包括但不限于转让相关企业</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股权或终止上述业务运营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解决；</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、本人保证绝不利用对上</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5"/>
              <w:jc w:val="left"/>
              <w:rPr>
                <w:rFonts w:ascii="宋体" w:hAnsi="宋体" w:cs="宋体" w:eastAsia="宋体" w:hint="default"/>
                <w:sz w:val="18"/>
                <w:szCs w:val="18"/>
              </w:rPr>
            </w:pPr>
            <w:r>
              <w:rPr>
                <w:rFonts w:ascii="宋体" w:hAnsi="宋体" w:cs="宋体" w:eastAsia="宋体" w:hint="default"/>
                <w:sz w:val="18"/>
                <w:szCs w:val="18"/>
              </w:rPr>
              <w:t>市公司及其下属公司的了解和知悉的信息协助第三方从事、</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参与或投资与上市公司及其下属公司相竞争的业务或项目；</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、本人保证将赔偿上市公司及其下属公司因本人违反本承</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诺而遭受或产生的任何损失或开支。</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、本人将督促与本人</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存在关联关系的自然人和企业同受本承诺函约束。三、减少</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及规范关联交易的承诺函。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、本次交易完成后，本人及本</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人控制的其他企业与上市公司之间将尽量减少、避免关联交</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易。在进行确有必要且无法规避的关联交易时，保证按市场</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化原则和公允价格进行公平操作，按相关法律、法规、规章</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等规范性文件及上市公司章程的规定履行关联交易的决策</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程序及信息披露义务，并保证以市场公允价格与上市公司及</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下属子公司进行交易，不利用该等交易从事任何损害上市公</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司及下属子公司利益的行为。本人保证不会通过关联交易损</w:t>
            </w:r>
          </w:p>
        </w:tc>
        <w:tc>
          <w:tcPr>
            <w:tcW w:w="85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25.579987pt;margin-top:461.259979pt;width:42.1pt;height:195pt;mso-position-horizontal-relative:page;mso-position-vertical-relative:page;z-index:-996376" coordorigin="8512,9225" coordsize="842,3900">
            <v:shape style="position:absolute;left:8512;top:9225;width:842;height:3900" coordorigin="8512,9225" coordsize="842,3900" path="m8512,13125l9353,13125,9353,9225,8512,9225,8512,131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992"/>
        <w:gridCol w:w="4678"/>
        <w:gridCol w:w="851"/>
        <w:gridCol w:w="425"/>
        <w:gridCol w:w="920"/>
      </w:tblGrid>
      <w:tr>
        <w:trPr>
          <w:trHeight w:val="3171"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害上市公司及其他股东的合法权益。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、本人承诺不利用上 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实际控制人地位及重大影响，谋求上市公 司及下属子公司在业务合作等方面给予本人及本人投资的 </w:t>
            </w:r>
            <w:r>
              <w:rPr>
                <w:rFonts w:ascii="宋体" w:hAnsi="宋体" w:cs="宋体" w:eastAsia="宋体" w:hint="default"/>
                <w:spacing w:val="-3"/>
                <w:sz w:val="18"/>
                <w:szCs w:val="18"/>
              </w:rPr>
              <w:t>其他企业优于市场第三方的权利，或谋求与上市公司及下属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子公司达成交易的优先权利，损害上市公司及其他股东的合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法利益。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、本人将杜绝一切非法占用上市公司的资金、资 </w:t>
            </w:r>
            <w:r>
              <w:rPr>
                <w:rFonts w:ascii="宋体" w:hAnsi="宋体" w:cs="宋体" w:eastAsia="宋体" w:hint="default"/>
                <w:spacing w:val="-3"/>
                <w:sz w:val="18"/>
                <w:szCs w:val="18"/>
              </w:rPr>
              <w:t>产的行为，在任何情况下，不要求上市公司向本人及其关联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方提供任何形式的担保。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、本人保证将赔偿上市公司及其 下属公司因本人违反本承诺而遭受或产生的任何损失或开 支。</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新余海 和投资 管理中 </w:t>
            </w:r>
            <w:r>
              <w:rPr>
                <w:rFonts w:ascii="宋体" w:hAnsi="宋体" w:cs="宋体" w:eastAsia="宋体" w:hint="default"/>
                <w:spacing w:val="-18"/>
                <w:sz w:val="18"/>
                <w:szCs w:val="18"/>
              </w:rPr>
              <w:t>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一、本人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本企业已向公司及为本次交易提供审计、评估、 法律及财务顾问专业服务的中介机构提供了有关本次交易 </w:t>
            </w:r>
            <w:r>
              <w:rPr>
                <w:rFonts w:ascii="宋体" w:hAnsi="宋体" w:cs="宋体" w:eastAsia="宋体" w:hint="default"/>
                <w:spacing w:val="-3"/>
                <w:sz w:val="18"/>
                <w:szCs w:val="18"/>
              </w:rPr>
              <w:t>的相关信息和文件（包括但不限于原始书面材料、副本材料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或口头证言等），本人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本企业保证：所提供的文件资料的副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本或复印件与正本或原件一致，且该等文件资料的签字与印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章都是真实的；保证所提供信息和文件真实、准确和完整， </w:t>
            </w:r>
            <w:r>
              <w:rPr>
                <w:rFonts w:ascii="宋体" w:hAnsi="宋体" w:cs="宋体" w:eastAsia="宋体" w:hint="default"/>
                <w:spacing w:val="-3"/>
                <w:sz w:val="18"/>
                <w:szCs w:val="18"/>
              </w:rPr>
              <w:t>不存在虚假记载、误导性陈述或者重大遗漏，并对所提供信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息的真实性、准确性和完整性承担个别及连带的法律责任。 二、在参与本次交易期间，本人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本企业将依照相关法律、 </w:t>
            </w:r>
            <w:r>
              <w:rPr>
                <w:rFonts w:ascii="宋体" w:hAnsi="宋体" w:cs="宋体" w:eastAsia="宋体" w:hint="default"/>
                <w:spacing w:val="-3"/>
                <w:sz w:val="18"/>
                <w:szCs w:val="18"/>
              </w:rPr>
              <w:t>法规、规章、中国证券监督管理委员会和深圳证券交易所的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有关规定，及时向公司披露有关本次交易的信息，并保证该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等信息的真实性、准确性和完整性，保证该等信息不存在虚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假记载、误导性陈述或者重大遗漏。三、如本人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本企业因 </w:t>
            </w:r>
            <w:r>
              <w:rPr>
                <w:rFonts w:ascii="宋体" w:hAnsi="宋体" w:cs="宋体" w:eastAsia="宋体" w:hint="default"/>
                <w:spacing w:val="-3"/>
                <w:sz w:val="18"/>
                <w:szCs w:val="18"/>
              </w:rPr>
              <w:t>涉嫌所提供或披露的信息存在虚假记载、误导性陈述或重大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遗漏，被司法机关立案侦查或者被中国证监会立案调查的， 在形成调查结论之前，本人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本企业不转让在实益达拥有权 </w:t>
            </w:r>
            <w:r>
              <w:rPr>
                <w:rFonts w:ascii="宋体" w:hAnsi="宋体" w:cs="宋体" w:eastAsia="宋体" w:hint="default"/>
                <w:spacing w:val="-3"/>
                <w:sz w:val="18"/>
                <w:szCs w:val="18"/>
              </w:rPr>
              <w:t>益的股份，并于收到立案稽查通知的两个交易日内将暂停转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让的书面申请和股票账户提交实益达董事会，由实益达董事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会代本人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本企业向深圳证券交易所和登记结算公司申请锁 定；如本人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本企业未在两个交易日内提交锁定申请的，则 授权实益达董事会核实后直接向深圳证券交易所和登记结 算公司报送本人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本企业的身份信息和账户信息并申请锁 </w:t>
            </w:r>
            <w:r>
              <w:rPr>
                <w:rFonts w:ascii="宋体" w:hAnsi="宋体" w:cs="宋体" w:eastAsia="宋体" w:hint="default"/>
                <w:spacing w:val="-3"/>
                <w:sz w:val="18"/>
                <w:szCs w:val="18"/>
              </w:rPr>
              <w:t>定；如实益达董事会未向深圳证券交易所和登记结算公司报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本企业的身份信息和账户信息的，则授权深圳证券 </w:t>
            </w:r>
            <w:r>
              <w:rPr>
                <w:rFonts w:ascii="宋体" w:hAnsi="宋体" w:cs="宋体" w:eastAsia="宋体" w:hint="default"/>
                <w:spacing w:val="-3"/>
                <w:sz w:val="18"/>
                <w:szCs w:val="18"/>
              </w:rPr>
              <w:t>交易所和登记结算公司直接锁定相关股份。如调查结论发现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存在违法违规情节，本人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本企业承诺锁定股份自愿用于相 关投资者赔偿安排。</w:t>
            </w:r>
          </w:p>
        </w:tc>
        <w:tc>
          <w:tcPr>
            <w:tcW w:w="851" w:type="dxa"/>
            <w:tcBorders>
              <w:top w:val="single" w:sz="4" w:space="0" w:color="000000"/>
              <w:left w:val="single" w:sz="9" w:space="0" w:color="FFFFFF"/>
              <w:bottom w:val="single" w:sz="4" w:space="0" w:color="000000"/>
              <w:right w:val="single" w:sz="4" w:space="0" w:color="000000"/>
            </w:tcBorders>
          </w:tcPr>
          <w:p>
            <w:pPr>
              <w:pStyle w:val="TableParagraph"/>
              <w:spacing w:line="390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42.1pt;height:195.05pt;mso-position-horizontal-relative:char;mso-position-vertical-relative:line" coordorigin="0,0" coordsize="842,3901">
                  <v:group style="position:absolute;left:0;top:0;width:842;height:3901" coordorigin="0,0" coordsize="842,3901">
                    <v:shape style="position:absolute;left:0;top:0;width:842;height:3901" coordorigin="0,0" coordsize="842,3901" path="m0,3900l841,3900,841,0,0,0,0,3900xe" filled="true" fillcolor="#ffffff" stroked="false">
                      <v:path arrowok="t"/>
                      <v:fill type="solid"/>
                    </v:shape>
                  </v:group>
                </v:group>
              </w:pict>
            </w:r>
            <w:r>
              <w:rPr>
                <w:rFonts w:ascii="Times New Roman" w:hAnsi="Times New Roman" w:cs="Times New Roman" w:eastAsia="Times New Roman" w:hint="default"/>
                <w:position w:val="-77"/>
                <w:sz w:val="20"/>
                <w:szCs w:val="20"/>
              </w:rPr>
            </w:r>
          </w:p>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223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2" w:lineRule="auto"/>
              <w:ind w:left="23" w:right="83"/>
              <w:jc w:val="both"/>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 余海和 投资管 理中心</w:t>
            </w:r>
          </w:p>
          <w:p>
            <w:pPr>
              <w:pStyle w:val="TableParagraph"/>
              <w:spacing w:line="319" w:lineRule="auto" w:before="22"/>
              <w:ind w:left="23" w:right="13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关于募集配套资金来源的承诺：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本企业作为实益达</w:t>
            </w:r>
            <w:r>
              <w:rPr>
                <w:rFonts w:ascii="宋体" w:hAnsi="宋体" w:cs="宋体" w:eastAsia="宋体" w:hint="default"/>
                <w:spacing w:val="-84"/>
                <w:sz w:val="18"/>
                <w:szCs w:val="18"/>
              </w:rPr>
              <w:t> </w:t>
            </w:r>
            <w:r>
              <w:rPr>
                <w:rFonts w:ascii="宋体" w:hAnsi="宋体" w:cs="宋体" w:eastAsia="宋体" w:hint="default"/>
                <w:spacing w:val="-3"/>
                <w:sz w:val="18"/>
                <w:szCs w:val="18"/>
              </w:rPr>
              <w:t>本次重大资产重组配套融资认购对象，以现金方式参与实益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达本次重大资产重组，即以现金方式认购实益达向本人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企业非公开发行的股票。本次用于认购实益达向本人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业非公开发行股票的现金部分全部来源于本人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本企业合 </w:t>
            </w:r>
            <w:r>
              <w:rPr>
                <w:rFonts w:ascii="宋体" w:hAnsi="宋体" w:cs="宋体" w:eastAsia="宋体" w:hint="default"/>
                <w:spacing w:val="-3"/>
                <w:sz w:val="18"/>
                <w:szCs w:val="18"/>
              </w:rPr>
              <w:t>法、可自由支配的自有资金，前述资金无任何直接或间接来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自于实益达及其下属公司。</w:t>
            </w:r>
            <w:r>
              <w:rPr>
                <w:rFonts w:ascii="Times New Roman" w:hAnsi="Times New Roman" w:cs="Times New Roman" w:eastAsia="Times New Roman" w:hint="default"/>
                <w:sz w:val="18"/>
                <w:szCs w:val="18"/>
              </w:rPr>
              <w:t>2</w:t>
            </w:r>
            <w:r>
              <w:rPr>
                <w:rFonts w:ascii="宋体" w:hAnsi="宋体" w:cs="宋体" w:eastAsia="宋体" w:hint="default"/>
                <w:sz w:val="18"/>
                <w:szCs w:val="18"/>
              </w:rPr>
              <w:t>、在按照《股份认购协议》约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365997pt;margin-top:72.47998pt;width:165.3pt;height:314.1pt;mso-position-horizontal-relative:page;mso-position-vertical-relative:page;z-index:-996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636" w:lineRule="auto" w:before="0"/>
                    <w:ind w:left="0" w:right="783" w:firstLine="1080"/>
                    <w:jc w:val="right"/>
                  </w:pPr>
                  <w:r>
                    <w:rPr/>
                    <w:t>《股份认购协议》 约定需缴纳认购资金的场合，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before="0"/>
                    <w:ind w:left="0" w:right="783"/>
                    <w:jc w:val="right"/>
                  </w:pPr>
                  <w:r>
                    <w:rPr/>
                    <w:t>实现的分级收益等结构化安排。</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992"/>
        <w:gridCol w:w="4678"/>
        <w:gridCol w:w="851"/>
        <w:gridCol w:w="425"/>
        <w:gridCol w:w="920"/>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定需缴纳认购资金的场合，本企业将通过及时缴足认缴出资</w:t>
            </w:r>
          </w:p>
        </w:tc>
        <w:tc>
          <w:tcPr>
            <w:tcW w:w="851" w:type="dxa"/>
            <w:vMerge w:val="restart"/>
            <w:tcBorders>
              <w:top w:val="single" w:sz="4" w:space="0" w:color="000000"/>
              <w:left w:val="single" w:sz="4" w:space="0" w:color="000000"/>
              <w:right w:val="single" w:sz="4" w:space="0" w:color="000000"/>
            </w:tcBorders>
          </w:tcPr>
          <w:p>
            <w:pPr>
              <w:pStyle w:val="TableParagraph"/>
              <w:spacing w:line="628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42.1pt;height:314.1pt;mso-position-horizontal-relative:char;mso-position-vertical-relative:line" coordorigin="0,0" coordsize="842,6282">
                  <v:group style="position:absolute;left:0;top:0;width:842;height:6282" coordorigin="0,0" coordsize="842,6282">
                    <v:shape style="position:absolute;left:0;top:0;width:842;height:6282" coordorigin="0,0" coordsize="842,6282" path="m0,6281l841,6281,841,0,0,0,0,6281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425"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并增加出资或其他合法形式，确保海和投资支付认购资金前</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有足够的资金能力，能够及时、足额支付认购资金。本企业</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通过海和投资参与本次认购股份的资金来源为本企业自有</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资金或自筹资金，资金来源合法合规，不存在通过结构化产</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品融资的情形，不存在任何争议及潜在纠纷；本企业持有的</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海和投资出资比例不存在任何权属争议，亦不存在以任何形</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式（包括但不限于进行项目收益再分配、解散合伙企业等）</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实现的分级收益等结构化安排。</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、在按照</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约定需缴纳认购资金的场合，本人能够及时、足额支付认购</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资金。在按照《股份认购协议》</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本人将通过及时缴足认缴出资并增加出资或其他合法形式，</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确保益瑞投资支付认购资金前有足够的资金能力，能够及</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时、足额支付认购资金。本人直接参与、或通过益瑞投资参</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与本次认购股份的资金来源为本人自有资金或自筹资金，自</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有资金系本人多年从事经商及投资活动所得。以上资金来源</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合法合规，不存在通过结构化产品融资的情形，不存在任何</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争议及潜在纠纷；本人持有的益瑞投资出资比例不存在任何</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权属争议，亦不存在以任何形式（包括但不限于进行项目收</w:t>
            </w:r>
          </w:p>
        </w:tc>
        <w:tc>
          <w:tcPr>
            <w:tcW w:w="85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益再分配</w:t>
            </w:r>
            <w:r>
              <w:rPr>
                <w:rFonts w:ascii="宋体" w:hAnsi="宋体" w:cs="宋体" w:eastAsia="宋体" w:hint="default"/>
                <w:spacing w:val="-75"/>
                <w:sz w:val="18"/>
                <w:szCs w:val="18"/>
              </w:rPr>
              <w:t>、</w:t>
            </w:r>
            <w:r>
              <w:rPr>
                <w:rFonts w:ascii="宋体" w:hAnsi="宋体" w:cs="宋体" w:eastAsia="宋体" w:hint="default"/>
                <w:sz w:val="18"/>
                <w:szCs w:val="18"/>
              </w:rPr>
              <w:t>解散合伙企业等）</w:t>
            </w:r>
          </w:p>
        </w:tc>
        <w:tc>
          <w:tcPr>
            <w:tcW w:w="85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一、关于提供或披露信息的相关承诺：如本人因涉嫌所提供</w:t>
            </w:r>
          </w:p>
        </w:tc>
        <w:tc>
          <w:tcPr>
            <w:tcW w:w="851"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或披露的信息存在虚假记载、误导性陈述或重大遗漏，被司</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法机关立案侦查或者被中国证监会立案调查的，在形成调查</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洪</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结论之前，本人不转让在实益达拥有权益的股份，并于收到</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胡宜</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立案稽查通知的两个交易日内将暂停转让的书面申请和股</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刘爱民</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票账户提交实益达董事会，由实益达董事会代本人向深圳证</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25"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唐忠诚</w:t>
            </w:r>
            <w:r>
              <w:rPr>
                <w:rFonts w:ascii="Times New Roman" w:hAnsi="Times New Roman" w:cs="Times New Roman" w:eastAsia="Times New Roman" w:hint="default"/>
                <w:sz w:val="18"/>
                <w:szCs w:val="18"/>
              </w:rPr>
              <w:t>; </w:t>
            </w:r>
            <w:r>
              <w:rPr>
                <w:rFonts w:ascii="宋体" w:hAnsi="宋体" w:cs="宋体" w:eastAsia="宋体" w:hint="default"/>
                <w:sz w:val="18"/>
                <w:szCs w:val="18"/>
              </w:rPr>
              <w:t>陶向南</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pacing w:val="-3"/>
                <w:sz w:val="18"/>
                <w:szCs w:val="18"/>
              </w:rPr>
              <w:t>券交易所和登记结算公司申请锁定；如本人未在两个交易日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内提交锁定申请的，则授权实益达董事会核实后直接向深圳</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证券交易所和登记结算公司报送本人的身份信息和账户信</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的事项。</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息并申请锁定；如实益达董事会未向深圳证券交易所和登记</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张维</w:t>
            </w:r>
            <w:r>
              <w:rPr>
                <w:rFonts w:ascii="Times New Roman" w:hAnsi="Times New Roman" w:cs="Times New Roman" w:eastAsia="Times New Roman" w:hint="default"/>
                <w:sz w:val="18"/>
                <w:szCs w:val="18"/>
              </w:rPr>
              <w:t>;</w:t>
            </w:r>
            <w:r>
              <w:rPr>
                <w:rFonts w:ascii="宋体" w:hAnsi="宋体" w:cs="宋体" w:eastAsia="宋体" w:hint="default"/>
                <w:sz w:val="18"/>
                <w:szCs w:val="18"/>
              </w:rPr>
              <w:t>朱</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结算公司报送本人的身份信息和账户信息的，则授权深圳证</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蕾</w:t>
            </w: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券交易所和登记结算公司直接锁定相关股份。如调查结论发</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现存在违法违规情节，本人承诺锁定股份自愿用于相关投资</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者赔偿安排。</w:t>
            </w:r>
          </w:p>
        </w:tc>
        <w:tc>
          <w:tcPr>
            <w:tcW w:w="851"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）如果日后有关政府主管部门要求无锡实益达电子有限</w:t>
            </w:r>
          </w:p>
        </w:tc>
        <w:tc>
          <w:tcPr>
            <w:tcW w:w="851"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公司按照《出让合同》的约定缴付全部土地使用权出让金人</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3" w:right="83"/>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r>
              <w:rPr>
                <w:rFonts w:ascii="宋体" w:hAnsi="宋体" w:cs="宋体" w:eastAsia="宋体" w:hint="default"/>
                <w:sz w:val="18"/>
                <w:szCs w:val="18"/>
              </w:rPr>
              <w:t>乔昕</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9,388,730 </w:t>
            </w:r>
            <w:r>
              <w:rPr>
                <w:rFonts w:ascii="宋体" w:hAnsi="宋体" w:cs="宋体" w:eastAsia="宋体" w:hint="default"/>
                <w:sz w:val="18"/>
                <w:szCs w:val="18"/>
              </w:rPr>
              <w:t>元，则乔昕、陈亚妹将对无锡实益达欠缴的</w:t>
            </w:r>
          </w:p>
          <w:p>
            <w:pPr>
              <w:pStyle w:val="TableParagraph"/>
              <w:spacing w:line="307"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土地使用权出让金人民币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6,259,130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元承担连带责任；（</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如果日后有关政府主管部门因无锡实益达公司未能缴足土 地使用权出让金而要求其支付相应的滞纳金及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或要求其承 </w:t>
            </w:r>
            <w:r>
              <w:rPr>
                <w:rFonts w:ascii="宋体" w:hAnsi="宋体" w:cs="宋体" w:eastAsia="宋体" w:hint="default"/>
                <w:spacing w:val="-3"/>
                <w:sz w:val="18"/>
                <w:szCs w:val="18"/>
              </w:rPr>
              <w:t>担其它任何经济处罚，则乔昕、陈亚妹将以连带责任方式代</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318"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无锡实益达公司支付该等滞纳金及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或承担其它任何经济处</w:t>
            </w:r>
          </w:p>
        </w:tc>
        <w:tc>
          <w:tcPr>
            <w:tcW w:w="851"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罚，且不向无锡实益达公司进行追偿。</w:t>
            </w:r>
          </w:p>
        </w:tc>
        <w:tc>
          <w:tcPr>
            <w:tcW w:w="851"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365997pt;margin-top:604.839966pt;width:147.3pt;height:62.4pt;mso-position-horizontal-relative:page;mso-position-vertical-relative:page;z-index:-996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pStyle w:val="BodyText"/>
                    <w:spacing w:line="240" w:lineRule="auto" w:before="0"/>
                    <w:ind w:left="0" w:right="0"/>
                    <w:jc w:val="left"/>
                  </w:pPr>
                  <w:r>
                    <w:rPr/>
                    <w:t>可转换公司债券等的交易。</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992"/>
        <w:gridCol w:w="4678"/>
        <w:gridCol w:w="851"/>
        <w:gridCol w:w="425"/>
        <w:gridCol w:w="920"/>
      </w:tblGrid>
      <w:tr>
        <w:trPr>
          <w:trHeight w:val="35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 余天道 酬勤投 资发展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拉萨 市冠德 成科技 发展有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若日后国家税务主管部门要求公司补缴因享受有关税收优 </w:t>
            </w:r>
            <w:r>
              <w:rPr>
                <w:rFonts w:ascii="宋体" w:hAnsi="宋体" w:cs="宋体" w:eastAsia="宋体" w:hint="default"/>
                <w:spacing w:val="-3"/>
                <w:sz w:val="18"/>
                <w:szCs w:val="18"/>
              </w:rPr>
              <w:t>惠政策而免缴及少缴的企业所得税，则陈亚妹、乔昕、新余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天道酬勤投资发展有限公司（前身系深圳市恒顺昌投资发展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有限公司）和拉萨市冠德成科技发展有限公司（前身系深圳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市冠德成科技发展有限公司）将以连带责任方式，无条件全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额承担公司在上市前应补缴的税款及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或因此所产生的所有 相关费用。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352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 余天道 酬勤投 资发展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拉萨 市冠德 成科技 发展有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8"/>
              <w:ind w:left="22" w:right="24"/>
              <w:jc w:val="both"/>
              <w:rPr>
                <w:rFonts w:ascii="宋体" w:hAnsi="宋体" w:cs="宋体" w:eastAsia="宋体" w:hint="default"/>
                <w:sz w:val="18"/>
                <w:szCs w:val="18"/>
              </w:rPr>
            </w:pPr>
            <w:r>
              <w:rPr>
                <w:rFonts w:ascii="宋体" w:hAnsi="宋体" w:cs="宋体" w:eastAsia="宋体" w:hint="default"/>
                <w:spacing w:val="-3"/>
                <w:sz w:val="18"/>
                <w:szCs w:val="18"/>
              </w:rPr>
              <w:t>在作为公司股东期间，其不会在中国境内或境外，以任何方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包括但不限于独资、合资、合作经营或者承包、租赁经 营</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直接或者间接从事对公司的生产经营构成或可能构成竞 争的业务或活动。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165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52"/>
              <w:jc w:val="left"/>
              <w:rPr>
                <w:rFonts w:ascii="宋体" w:hAnsi="宋体" w:cs="宋体" w:eastAsia="宋体" w:hint="default"/>
                <w:sz w:val="18"/>
                <w:szCs w:val="18"/>
              </w:rPr>
            </w:pPr>
            <w:r>
              <w:rPr>
                <w:rFonts w:ascii="宋体" w:hAnsi="宋体" w:cs="宋体" w:eastAsia="宋体" w:hint="default"/>
                <w:sz w:val="18"/>
                <w:szCs w:val="18"/>
              </w:rPr>
              <w:t>陈亚妹； 乔昕</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62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5pt;height:31.2pt;mso-position-horizontal-relative:char;mso-position-vertical-relative:line" coordorigin="0,0" coordsize="983,624">
                  <v:group style="position:absolute;left:0;top:0;width:983;height:624" coordorigin="0,0" coordsize="983,624">
                    <v:shape style="position:absolute;left:0;top:0;width:983;height:624" coordorigin="0,0" coordsize="983,624" path="m0,624l983,624,983,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若日后国家税务主管部门要求深圳市汇大光电科技有限公 </w:t>
            </w:r>
            <w:r>
              <w:rPr>
                <w:rFonts w:ascii="宋体" w:hAnsi="宋体" w:cs="宋体" w:eastAsia="宋体" w:hint="default"/>
                <w:spacing w:val="-3"/>
                <w:sz w:val="18"/>
                <w:szCs w:val="18"/>
              </w:rPr>
              <w:t>司补缴因享受有关税收政策而免缴及少缴的企业所得税，则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实际控制人将以连带责任方式，无条件全额承担汇大光电 </w:t>
            </w:r>
            <w:r>
              <w:rPr>
                <w:rFonts w:ascii="Times New Roman" w:hAnsi="Times New Roman" w:cs="Times New Roman" w:eastAsia="Times New Roman" w:hint="default"/>
                <w:sz w:val="18"/>
                <w:szCs w:val="18"/>
              </w:rPr>
              <w:t>2009-2011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年期间应补缴的税款及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或因此所产生的相关费 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 </w:t>
            </w:r>
            <w:r>
              <w:rPr>
                <w:rFonts w:ascii="宋体" w:hAnsi="宋体" w:cs="宋体" w:eastAsia="宋体" w:hint="default"/>
                <w:spacing w:val="-8"/>
                <w:sz w:val="18"/>
                <w:szCs w:val="18"/>
              </w:rPr>
              <w:t>中，未发生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的事项。</w:t>
            </w:r>
          </w:p>
        </w:tc>
      </w:tr>
      <w:tr>
        <w:trPr>
          <w:trHeight w:val="321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深圳市 麦达数 字股份 有限公 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6"/>
              <w:ind w:left="22" w:right="-35"/>
              <w:jc w:val="both"/>
              <w:rPr>
                <w:rFonts w:ascii="宋体" w:hAnsi="宋体" w:cs="宋体" w:eastAsia="宋体" w:hint="default"/>
                <w:sz w:val="18"/>
                <w:szCs w:val="18"/>
              </w:rPr>
            </w:pPr>
            <w:r>
              <w:rPr>
                <w:rFonts w:ascii="宋体" w:hAnsi="宋体" w:cs="宋体" w:eastAsia="宋体" w:hint="default"/>
                <w:spacing w:val="-3"/>
                <w:sz w:val="18"/>
                <w:szCs w:val="18"/>
              </w:rPr>
              <w:t>在使用部分闲置募集资金暂时补充流动资金期间，公司保证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符合下列条件：</w:t>
            </w:r>
            <w:r>
              <w:rPr>
                <w:rFonts w:ascii="Times New Roman" w:hAnsi="Times New Roman" w:cs="Times New Roman" w:eastAsia="Times New Roman" w:hint="default"/>
                <w:sz w:val="18"/>
                <w:szCs w:val="18"/>
              </w:rPr>
              <w:t>1</w:t>
            </w:r>
            <w:r>
              <w:rPr>
                <w:rFonts w:ascii="宋体" w:hAnsi="宋体" w:cs="宋体" w:eastAsia="宋体" w:hint="default"/>
                <w:sz w:val="18"/>
                <w:szCs w:val="18"/>
              </w:rPr>
              <w:t>、不会改变或变相改变募集资金用途，不 </w:t>
            </w:r>
            <w:r>
              <w:rPr>
                <w:rFonts w:ascii="宋体" w:hAnsi="宋体" w:cs="宋体" w:eastAsia="宋体" w:hint="default"/>
                <w:spacing w:val="-3"/>
                <w:sz w:val="18"/>
                <w:szCs w:val="18"/>
              </w:rPr>
              <w:t>会影响募集资金投资项目计划的正常进行。</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、过去</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86"/>
                <w:sz w:val="18"/>
                <w:szCs w:val="18"/>
              </w:rPr>
              <w:t> </w:t>
            </w:r>
            <w:r>
              <w:rPr>
                <w:rFonts w:ascii="宋体" w:hAnsi="宋体" w:cs="宋体" w:eastAsia="宋体" w:hint="default"/>
                <w:spacing w:val="-3"/>
                <w:sz w:val="18"/>
                <w:szCs w:val="18"/>
              </w:rPr>
              <w:t>内不存在任何证券投资等风险投资行为，并承诺在未来募集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资金补充流动资金期间不从事任何风险投资。</w:t>
            </w:r>
            <w:r>
              <w:rPr>
                <w:rFonts w:ascii="Times New Roman" w:hAnsi="Times New Roman" w:cs="Times New Roman" w:eastAsia="Times New Roman" w:hint="default"/>
                <w:sz w:val="18"/>
                <w:szCs w:val="18"/>
              </w:rPr>
              <w:t>3</w:t>
            </w:r>
            <w:r>
              <w:rPr>
                <w:rFonts w:ascii="宋体" w:hAnsi="宋体" w:cs="宋体" w:eastAsia="宋体" w:hint="default"/>
                <w:sz w:val="18"/>
                <w:szCs w:val="18"/>
              </w:rPr>
              <w:t>、单次补充 流动资金时间不得超过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、仅限于与主营业务相关</w:t>
            </w:r>
            <w:r>
              <w:rPr>
                <w:rFonts w:ascii="宋体" w:hAnsi="宋体" w:cs="宋体" w:eastAsia="宋体" w:hint="default"/>
                <w:sz w:val="18"/>
                <w:szCs w:val="18"/>
              </w:rPr>
              <w:t> 的生产经营使用，不得通过直接或间接安排用于新股配售、 </w:t>
            </w:r>
            <w:r>
              <w:rPr>
                <w:rFonts w:ascii="宋体" w:hAnsi="宋体" w:cs="宋体" w:eastAsia="宋体" w:hint="default"/>
                <w:spacing w:val="-5"/>
                <w:sz w:val="18"/>
                <w:szCs w:val="18"/>
              </w:rPr>
              <w:t>申购，或用于股票及其衍生品种、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2.1pt;height:62.4pt;mso-position-horizontal-relative:char;mso-position-vertical-relative:line" coordorigin="0,0" coordsize="842,1248">
                  <v:group style="position:absolute;left:0;top:0;width:842;height:1248" coordorigin="0,0" coordsize="842,1248">
                    <v:shape style="position:absolute;left:0;top:0;width:842;height:1248" coordorigin="0,0" coordsize="842,1248" path="m0,1248l841,1248,841,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left="153"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顺为广告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3,067.23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详见巨潮资讯 网</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奇思广告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2,805.12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详见巨潮资讯 网</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利宣广告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1,174.16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详见巨潮资讯 网</w:t>
            </w:r>
          </w:p>
        </w:tc>
      </w:tr>
    </w:tbl>
    <w:p>
      <w:pPr>
        <w:pStyle w:val="BodyText"/>
        <w:spacing w:line="240" w:lineRule="auto" w:before="51"/>
        <w:ind w:left="154" w:right="0"/>
        <w:jc w:val="both"/>
      </w:pPr>
      <w:r>
        <w:rPr/>
        <w:t>公司股东、交易对手方在报告年度经营业绩做出的承诺情况</w:t>
      </w:r>
    </w:p>
    <w:p>
      <w:pPr>
        <w:pStyle w:val="BodyText"/>
        <w:spacing w:line="338" w:lineRule="auto" w:before="116"/>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根据公司与张伟、伏虎、逄淑涌、曹建华、袁琪、张晓艳分别签订的《盈利预测补偿协议》，以及姚俊出具的《个人连</w:t>
      </w:r>
    </w:p>
    <w:p>
      <w:pPr>
        <w:pStyle w:val="BodyText"/>
        <w:spacing w:line="304" w:lineRule="auto" w:before="2"/>
        <w:ind w:right="1130"/>
        <w:jc w:val="both"/>
      </w:pPr>
      <w:r>
        <w:rPr>
          <w:spacing w:val="-4"/>
        </w:rPr>
        <w:t>带责任保证函》，张伟承诺：顺为广告</w:t>
      </w:r>
      <w:r>
        <w:rPr>
          <w:rFonts w:ascii="Times New Roman" w:hAnsi="Times New Roman" w:cs="Times New Roman" w:eastAsia="Times New Roman" w:hint="default"/>
          <w:spacing w:val="-4"/>
        </w:rPr>
        <w:t>2015</w:t>
      </w:r>
      <w:r>
        <w:rPr>
          <w:spacing w:val="-4"/>
        </w:rPr>
        <w:t>年度、</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年度实现的净利润分别不低于</w:t>
      </w:r>
      <w:r>
        <w:rPr>
          <w:rFonts w:ascii="Times New Roman" w:hAnsi="Times New Roman" w:cs="Times New Roman" w:eastAsia="Times New Roman" w:hint="default"/>
          <w:spacing w:val="-4"/>
        </w:rPr>
        <w:t>2,500</w:t>
      </w:r>
      <w:r>
        <w:rPr>
          <w:spacing w:val="-4"/>
        </w:rPr>
        <w:t>万元、</w:t>
      </w:r>
      <w:r>
        <w:rPr>
          <w:rFonts w:ascii="Times New Roman" w:hAnsi="Times New Roman" w:cs="Times New Roman" w:eastAsia="Times New Roman" w:hint="default"/>
          <w:spacing w:val="-4"/>
        </w:rPr>
        <w:t>3,250</w:t>
      </w:r>
      <w:r>
        <w:rPr>
          <w:spacing w:val="-4"/>
        </w:rPr>
        <w:t>万元和</w:t>
      </w:r>
      <w:r>
        <w:rPr>
          <w:rFonts w:ascii="Times New Roman" w:hAnsi="Times New Roman" w:cs="Times New Roman" w:eastAsia="Times New Roman" w:hint="default"/>
          <w:spacing w:val="-4"/>
        </w:rPr>
        <w:t>4,225</w:t>
      </w:r>
      <w:r>
        <w:rPr>
          <w:rFonts w:ascii="Times New Roman" w:hAnsi="Times New Roman" w:cs="Times New Roman" w:eastAsia="Times New Roman" w:hint="default"/>
          <w:spacing w:val="11"/>
        </w:rPr>
        <w:t> </w:t>
      </w:r>
      <w:r>
        <w:rPr>
          <w:spacing w:val="-2"/>
        </w:rPr>
        <w:t>万元；姚俊承诺，如张伟未能依约履行包括及时进行盈利预测补偿在内的义务和责任的，姚俊将就张伟在《盈利预测补偿协</w:t>
      </w:r>
      <w:r>
        <w:rPr>
          <w:spacing w:val="-66"/>
        </w:rPr>
        <w:t> </w:t>
      </w:r>
      <w:r>
        <w:rPr>
          <w:spacing w:val="-66"/>
        </w:rPr>
      </w:r>
      <w:r>
        <w:rPr>
          <w:spacing w:val="-2"/>
        </w:rPr>
        <w:t>议》项下的所有义务和责任承担连带保证责任；伏虎、逄淑涌、曹建华承诺：奇思广告</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年度实现</w:t>
      </w:r>
      <w:r>
        <w:rPr>
          <w:spacing w:val="-57"/>
        </w:rPr>
        <w:t> </w:t>
      </w:r>
      <w:r>
        <w:rPr>
          <w:spacing w:val="-57"/>
        </w:rPr>
      </w:r>
      <w:r>
        <w:rPr>
          <w:spacing w:val="-1"/>
        </w:rPr>
        <w:t>的净利润分别不低于</w:t>
      </w:r>
      <w:r>
        <w:rPr>
          <w:rFonts w:ascii="Times New Roman" w:hAnsi="Times New Roman" w:cs="Times New Roman" w:eastAsia="Times New Roman" w:hint="default"/>
          <w:spacing w:val="-1"/>
        </w:rPr>
        <w:t>1,800</w:t>
      </w:r>
      <w:r>
        <w:rPr>
          <w:spacing w:val="-1"/>
        </w:rPr>
        <w:t>万元、</w:t>
      </w:r>
      <w:r>
        <w:rPr>
          <w:rFonts w:ascii="Times New Roman" w:hAnsi="Times New Roman" w:cs="Times New Roman" w:eastAsia="Times New Roman" w:hint="default"/>
          <w:spacing w:val="-1"/>
        </w:rPr>
        <w:t>2,340</w:t>
      </w:r>
      <w:r>
        <w:rPr>
          <w:spacing w:val="-1"/>
        </w:rPr>
        <w:t>万元和</w:t>
      </w:r>
      <w:r>
        <w:rPr>
          <w:rFonts w:ascii="Times New Roman" w:hAnsi="Times New Roman" w:cs="Times New Roman" w:eastAsia="Times New Roman" w:hint="default"/>
          <w:spacing w:val="-1"/>
        </w:rPr>
        <w:t>3,042</w:t>
      </w:r>
      <w:r>
        <w:rPr>
          <w:spacing w:val="-1"/>
        </w:rPr>
        <w:t>万元；袁琪、张晓艳承诺：利宣广告</w:t>
      </w:r>
      <w:r>
        <w:rPr>
          <w:rFonts w:ascii="Times New Roman" w:hAnsi="Times New Roman" w:cs="Times New Roman" w:eastAsia="Times New Roman" w:hint="default"/>
          <w:spacing w:val="-1"/>
        </w:rPr>
        <w:t>2015</w:t>
      </w:r>
      <w:r>
        <w:rPr>
          <w:spacing w:val="-1"/>
        </w:rPr>
        <w:t>年度、</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年度实现</w:t>
      </w:r>
      <w:r>
        <w:rPr>
          <w:spacing w:val="-65"/>
        </w:rPr>
        <w:t> </w:t>
      </w:r>
      <w:r>
        <w:rPr/>
        <w:t>的净利润分别不低于</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1,300</w:t>
      </w:r>
      <w:r>
        <w:rPr/>
        <w:t>万元和</w:t>
      </w:r>
      <w:r>
        <w:rPr>
          <w:rFonts w:ascii="Times New Roman" w:hAnsi="Times New Roman" w:cs="Times New Roman" w:eastAsia="Times New Roman" w:hint="default"/>
        </w:rPr>
        <w:t>1,690</w:t>
      </w:r>
      <w:r>
        <w:rPr/>
        <w:t>万元。</w:t>
      </w:r>
    </w:p>
    <w:p>
      <w:pPr>
        <w:pStyle w:val="BodyText"/>
        <w:spacing w:line="316" w:lineRule="auto" w:before="9"/>
        <w:ind w:right="1118" w:firstLine="360"/>
        <w:jc w:val="left"/>
      </w:pPr>
      <w:r>
        <w:rPr>
          <w:spacing w:val="-2"/>
        </w:rPr>
        <w:t>若经审计，补偿义务人需进行业绩补偿的，补偿义务人在接到上市公司通知后，应按《盈利预测补偿协议》约定的方式</w:t>
      </w:r>
      <w:r>
        <w:rPr/>
        <w:t> 补足。</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t>（一）收入</w:t>
      </w:r>
    </w:p>
    <w:p>
      <w:pPr>
        <w:pStyle w:val="BodyText"/>
        <w:spacing w:line="300" w:lineRule="auto" w:before="76"/>
        <w:ind w:left="514" w:right="3192"/>
        <w:jc w:val="left"/>
      </w:pPr>
      <w:r>
        <w:rPr>
          <w:rFonts w:ascii="Times New Roman" w:hAnsi="Times New Roman" w:cs="Times New Roman" w:eastAsia="Times New Roman" w:hint="default"/>
        </w:rPr>
        <w:t>1</w:t>
      </w:r>
      <w:r>
        <w:rPr/>
        <w:t>．顺为广告收入确认方法 顺为广告的营业收入类别主要分为互联网媒体营销服务收入和社会化媒体营销服务收入等。</w:t>
      </w:r>
    </w:p>
    <w:p>
      <w:pPr>
        <w:pStyle w:val="BodyText"/>
        <w:spacing w:line="300" w:lineRule="auto" w:before="32"/>
        <w:ind w:left="514" w:right="1162"/>
        <w:jc w:val="left"/>
      </w:pPr>
      <w:r>
        <w:rPr/>
        <w:t>（</w:t>
      </w:r>
      <w:r>
        <w:rPr>
          <w:rFonts w:ascii="Times New Roman" w:hAnsi="Times New Roman" w:cs="Times New Roman" w:eastAsia="Times New Roman" w:hint="default"/>
        </w:rPr>
        <w:t>1</w:t>
      </w:r>
      <w:r>
        <w:rPr/>
        <w:t>）互联网媒体营销服务收入的具体确认标准 顺为广告根据客户所需的服务内容、客户投放的金额预算、预计的媒介购买成本、预计所需人力</w:t>
      </w:r>
      <w:r>
        <w:rPr>
          <w:rFonts w:ascii="Times New Roman" w:hAnsi="Times New Roman" w:cs="Times New Roman" w:eastAsia="Times New Roman" w:hint="default"/>
        </w:rPr>
        <w:t>/</w:t>
      </w:r>
      <w:r>
        <w:rPr/>
        <w:t>物力等因素，综合确</w:t>
      </w:r>
    </w:p>
    <w:p>
      <w:pPr>
        <w:pStyle w:val="BodyText"/>
        <w:spacing w:line="240" w:lineRule="auto" w:before="13"/>
        <w:ind w:right="0"/>
        <w:jc w:val="both"/>
      </w:pPr>
      <w:r>
        <w:rPr/>
        <w:t>定服务报价。</w:t>
      </w:r>
    </w:p>
    <w:p>
      <w:pPr>
        <w:pStyle w:val="BodyText"/>
        <w:spacing w:line="316" w:lineRule="auto" w:before="76"/>
        <w:ind w:left="154" w:right="0" w:firstLine="360"/>
        <w:jc w:val="left"/>
      </w:pPr>
      <w:r>
        <w:rPr/>
        <w:t>顺为广告主要通过招投标程序或议标方式获取订单，</w:t>
      </w:r>
      <w:r>
        <w:rPr>
          <w:spacing w:val="-18"/>
        </w:rPr>
        <w:t> </w:t>
      </w:r>
      <w:r>
        <w:rPr/>
        <w:t>并签订互联网媒体营销服务年度框架合同或根据客户要求签订单</w:t>
      </w:r>
      <w:r>
        <w:rPr/>
        <w:t> </w:t>
      </w:r>
      <w:r>
        <w:rPr>
          <w:spacing w:val="-2"/>
        </w:rPr>
        <w:t>笔服务合同，该框架服务合同约定服务内容、服务期限、结算方式等相关内容，单笔合同约定服务内容、服务期限、结算方</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33" w:right="1033"/>
        <w:jc w:val="left"/>
      </w:pPr>
      <w:r>
        <w:rPr>
          <w:spacing w:val="-2"/>
        </w:rPr>
        <w:t>式、合同金额等相关内容。合同约定，顺为广告所提供服务内容最终以双方确认的排期单为准，排期单上将列明拟投放的媒</w:t>
      </w:r>
      <w:r>
        <w:rPr>
          <w:spacing w:val="-66"/>
        </w:rPr>
        <w:t> </w:t>
      </w:r>
      <w:r>
        <w:rPr>
          <w:spacing w:val="-66"/>
        </w:rPr>
      </w:r>
      <w:r>
        <w:rPr/>
        <w:t>体、位置、时间等具体要素。</w:t>
      </w:r>
    </w:p>
    <w:p>
      <w:pPr>
        <w:pStyle w:val="BodyText"/>
        <w:spacing w:line="319" w:lineRule="auto"/>
        <w:ind w:left="233" w:right="1033" w:firstLine="360"/>
        <w:jc w:val="left"/>
      </w:pPr>
      <w:r>
        <w:rPr/>
        <w:t>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w:t>
      </w:r>
      <w:r>
        <w:rPr>
          <w:spacing w:val="-2"/>
        </w:rPr>
        <w:t>投放执行等。广告投放后，顺为广告将对广告投放效果进行监控，如需对广告位置和投放时间进行优化，则与客户确定新的</w:t>
      </w:r>
      <w:r>
        <w:rPr>
          <w:spacing w:val="-66"/>
        </w:rPr>
        <w:t> </w:t>
      </w:r>
      <w:r>
        <w:rPr>
          <w:spacing w:val="-66"/>
        </w:rPr>
      </w:r>
      <w:r>
        <w:rPr>
          <w:spacing w:val="-2"/>
        </w:rPr>
        <w:t>排期单，如需对广告内容进行优化，则在客户认可的情况下更换投放内容。单次投放结束后，公司按照客户要求向客户提交</w:t>
      </w:r>
      <w:r>
        <w:rPr>
          <w:spacing w:val="-66"/>
        </w:rPr>
        <w:t> </w:t>
      </w:r>
      <w:r>
        <w:rPr>
          <w:spacing w:val="-66"/>
        </w:rPr>
      </w:r>
      <w:r>
        <w:rPr/>
        <w:t>单次投放报告，客户根据顺为广告所实际执行的排期单与顺为广告进行结算。</w:t>
      </w:r>
    </w:p>
    <w:p>
      <w:pPr>
        <w:pStyle w:val="BodyText"/>
        <w:spacing w:line="316" w:lineRule="auto" w:before="17"/>
        <w:ind w:left="233" w:right="1132" w:firstLine="360"/>
        <w:jc w:val="both"/>
      </w:pPr>
      <w:r>
        <w:rPr>
          <w:spacing w:val="-2"/>
        </w:rPr>
        <w:t>顺为广告与客户协商确定排期单，对已按照排期单完成媒体投放且相关成本能够可靠计量时，按照已执行的排期单所确</w:t>
      </w:r>
      <w:r>
        <w:rPr/>
        <w:t> 定的金额确认当期收入。</w:t>
      </w:r>
    </w:p>
    <w:p>
      <w:pPr>
        <w:pStyle w:val="BodyText"/>
        <w:spacing w:line="240" w:lineRule="auto"/>
        <w:ind w:left="593" w:right="1033"/>
        <w:jc w:val="left"/>
      </w:pPr>
      <w:r>
        <w:rPr/>
        <w:t>（</w:t>
      </w:r>
      <w:r>
        <w:rPr>
          <w:rFonts w:ascii="Times New Roman" w:hAnsi="Times New Roman" w:cs="Times New Roman" w:eastAsia="Times New Roman" w:hint="default"/>
        </w:rPr>
        <w:t>2</w:t>
      </w:r>
      <w:r>
        <w:rPr/>
        <w:t>）社会化媒体营销业务收入的具体确认标准</w:t>
      </w:r>
    </w:p>
    <w:p>
      <w:pPr>
        <w:pStyle w:val="BodyText"/>
        <w:spacing w:line="316" w:lineRule="auto" w:before="63"/>
        <w:ind w:left="234" w:right="1132" w:firstLine="360"/>
        <w:jc w:val="both"/>
      </w:pPr>
      <w:r>
        <w:rPr/>
        <w:t>顺为广告根据客户所要求的服务范围、</w:t>
      </w:r>
      <w:r>
        <w:rPr>
          <w:spacing w:val="-22"/>
        </w:rPr>
        <w:t> </w:t>
      </w:r>
      <w:r>
        <w:rPr/>
        <w:t>服务内容、</w:t>
      </w:r>
      <w:r>
        <w:rPr>
          <w:spacing w:val="-22"/>
        </w:rPr>
        <w:t> </w:t>
      </w:r>
      <w:r>
        <w:rPr/>
        <w:t>服务时间等，</w:t>
      </w:r>
      <w:r>
        <w:rPr>
          <w:spacing w:val="-23"/>
        </w:rPr>
        <w:t> </w:t>
      </w:r>
      <w:r>
        <w:rPr/>
        <w:t>预计需投入的人力、</w:t>
      </w:r>
      <w:r>
        <w:rPr>
          <w:spacing w:val="-22"/>
        </w:rPr>
        <w:t> </w:t>
      </w:r>
      <w:r>
        <w:rPr/>
        <w:t>物力成本等因素，综合确定服</w:t>
      </w:r>
      <w:r>
        <w:rPr/>
        <w:t> 务报价。</w:t>
      </w:r>
    </w:p>
    <w:p>
      <w:pPr>
        <w:pStyle w:val="BodyText"/>
        <w:spacing w:line="316" w:lineRule="auto"/>
        <w:ind w:left="234" w:right="1178" w:firstLine="360"/>
        <w:jc w:val="left"/>
      </w:pPr>
      <w:r>
        <w:rPr/>
        <w:t>在提供服务前， 顺为广告将与客户协商确定服务内容、 范围并签署服务合同。</w:t>
      </w:r>
      <w:r>
        <w:rPr>
          <w:spacing w:val="-56"/>
        </w:rPr>
        <w:t> </w:t>
      </w:r>
      <w:r>
        <w:rPr/>
        <w:t>服务提供完毕并结案后，顺为广告将</w:t>
      </w:r>
      <w:r>
        <w:rPr/>
        <w:t> 根据服务合同确定的服务报价确认收入。</w:t>
      </w:r>
    </w:p>
    <w:p>
      <w:pPr>
        <w:pStyle w:val="BodyText"/>
        <w:spacing w:line="240" w:lineRule="auto"/>
        <w:ind w:left="594" w:right="1033"/>
        <w:jc w:val="left"/>
      </w:pPr>
      <w:r>
        <w:rPr>
          <w:rFonts w:ascii="Times New Roman" w:hAnsi="Times New Roman" w:cs="Times New Roman" w:eastAsia="Times New Roman" w:hint="default"/>
        </w:rPr>
        <w:t>2</w:t>
      </w:r>
      <w:r>
        <w:rPr/>
        <w:t>．奇思广告收入确认方法</w:t>
      </w:r>
    </w:p>
    <w:p>
      <w:pPr>
        <w:pStyle w:val="BodyText"/>
        <w:spacing w:line="316" w:lineRule="auto" w:before="63"/>
        <w:ind w:left="593" w:right="1033"/>
        <w:jc w:val="left"/>
      </w:pPr>
      <w:r>
        <w:rPr/>
        <w:t>奇思广告的营业收入类别主要分为创意策略类服务收入、</w:t>
      </w:r>
      <w:r>
        <w:rPr>
          <w:spacing w:val="-17"/>
        </w:rPr>
        <w:t> </w:t>
      </w:r>
      <w:r>
        <w:rPr/>
        <w:t>广告制作类服务收入和互联网整合营销服务收入等。</w:t>
      </w:r>
      <w:r>
        <w:rPr/>
        <w:t> </w:t>
      </w:r>
      <w:r>
        <w:rPr>
          <w:spacing w:val="-4"/>
        </w:rPr>
        <w:t>创意策略类服务收入具体确认标准：第一种情况，奇思广告承接业务后，与客户签订合同，根据客户要求提供广告创意、</w:t>
      </w:r>
    </w:p>
    <w:p>
      <w:pPr>
        <w:pStyle w:val="BodyText"/>
        <w:spacing w:line="316" w:lineRule="auto"/>
        <w:ind w:left="233" w:right="1033"/>
        <w:jc w:val="left"/>
      </w:pPr>
      <w:r>
        <w:rPr>
          <w:spacing w:val="-4"/>
        </w:rPr>
        <w:t>策略类服务，按月收取固定服务费，在月度周期结束并经客户确认无异议后，确认收入。第二种情况，奇思广告承接业务后，</w:t>
      </w:r>
      <w:r>
        <w:rPr>
          <w:spacing w:val="-44"/>
        </w:rPr>
        <w:t> </w:t>
      </w:r>
      <w:r>
        <w:rPr>
          <w:spacing w:val="-44"/>
        </w:rPr>
      </w:r>
      <w:r>
        <w:rPr>
          <w:spacing w:val="-2"/>
        </w:rPr>
        <w:t>与客户签订合同，根据客户要求提供广告创意、策略类服务，按具体项目收取固定服务费，在项目完成并经客户确认无异议</w:t>
      </w:r>
      <w:r>
        <w:rPr>
          <w:spacing w:val="-66"/>
        </w:rPr>
        <w:t> </w:t>
      </w:r>
      <w:r>
        <w:rPr>
          <w:spacing w:val="-66"/>
        </w:rPr>
      </w:r>
      <w:r>
        <w:rPr/>
        <w:t>后，确认收入。</w:t>
      </w:r>
    </w:p>
    <w:p>
      <w:pPr>
        <w:pStyle w:val="BodyText"/>
        <w:spacing w:line="316" w:lineRule="auto"/>
        <w:ind w:left="233" w:right="1033" w:firstLine="360"/>
        <w:jc w:val="left"/>
      </w:pPr>
      <w:r>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w:t>
      </w:r>
    </w:p>
    <w:p>
      <w:pPr>
        <w:pStyle w:val="BodyText"/>
        <w:spacing w:line="316" w:lineRule="auto"/>
        <w:ind w:left="233" w:right="1131" w:firstLine="360"/>
        <w:jc w:val="both"/>
      </w:pPr>
      <w:r>
        <w:rPr>
          <w:spacing w:val="-2"/>
        </w:rPr>
        <w:t>互联网整合营销服务收入具体确认标准：奇思广告承接业务后，与客户签订合同，根据客户要求提供包括营销策略、创</w:t>
      </w:r>
      <w:r>
        <w:rPr/>
        <w:t> 意设计、内容制作、线上投放与线下活动策划执行服务，在项目完成并经客户确认无异议后，确认收入。</w:t>
      </w:r>
    </w:p>
    <w:p>
      <w:pPr>
        <w:pStyle w:val="BodyText"/>
        <w:spacing w:line="300" w:lineRule="auto"/>
        <w:ind w:left="594" w:right="3372"/>
        <w:jc w:val="left"/>
      </w:pPr>
      <w:r>
        <w:rPr>
          <w:rFonts w:ascii="Times New Roman" w:hAnsi="Times New Roman" w:cs="Times New Roman" w:eastAsia="Times New Roman" w:hint="default"/>
        </w:rPr>
        <w:t>3</w:t>
      </w:r>
      <w:r>
        <w:rPr/>
        <w:t>．利宣广告收入确认方法 利宣广告的营业收入类别主要分为社会化媒体营销服务收入和其他媒体营销服务收入等。</w:t>
      </w:r>
    </w:p>
    <w:p>
      <w:pPr>
        <w:pStyle w:val="BodyText"/>
        <w:spacing w:line="316" w:lineRule="auto" w:before="31"/>
        <w:ind w:left="233" w:right="1130" w:firstLine="360"/>
        <w:jc w:val="both"/>
      </w:pPr>
      <w:r>
        <w:rPr>
          <w:spacing w:val="-2"/>
        </w:rPr>
        <w:t>社会化媒体营销服务收入的具体确认标准：利宣广告承接业务后，与客户签订相应的合同，按照客户要求对特定品牌形</w:t>
      </w:r>
      <w:r>
        <w:rPr/>
        <w:t> </w:t>
      </w:r>
      <w:r>
        <w:rPr>
          <w:spacing w:val="-2"/>
        </w:rPr>
        <w:t>象或产品进行媒体传播、推广，为客户提供社会化媒体、自媒体等方面的创意及内容的制作、发布、维护和优化等服务，并</w:t>
      </w:r>
      <w:r>
        <w:rPr>
          <w:spacing w:val="-67"/>
        </w:rPr>
        <w:t> </w:t>
      </w:r>
      <w:r>
        <w:rPr>
          <w:spacing w:val="-67"/>
        </w:rPr>
      </w:r>
      <w:r>
        <w:rPr/>
        <w:t>按照合同约定周期或内容形成相应工作量数据，客户确认无异议并经利宣广告财务部门核实后确认收入。</w:t>
      </w:r>
    </w:p>
    <w:p>
      <w:pPr>
        <w:pStyle w:val="BodyText"/>
        <w:spacing w:line="316" w:lineRule="auto"/>
        <w:ind w:left="233" w:right="1131" w:firstLine="360"/>
        <w:jc w:val="both"/>
      </w:pPr>
      <w:r>
        <w:rPr>
          <w:spacing w:val="-2"/>
        </w:rPr>
        <w:t>其他媒体营销服务收入的具体确认标准：利宣广告承接业务后，与客户签订相应的合同，根据客户营销需求，由利宣广</w:t>
      </w:r>
      <w:r>
        <w:rPr/>
        <w:t> </w:t>
      </w:r>
      <w:r>
        <w:rPr>
          <w:spacing w:val="-2"/>
        </w:rPr>
        <w:t>告与媒体沟通并编制媒介排期表同时提供相应的营销服务。广告发布后，利宣广告定期收集投放数据信息送客户核实，经客</w:t>
      </w:r>
      <w:r>
        <w:rPr>
          <w:spacing w:val="-66"/>
        </w:rPr>
        <w:t> </w:t>
      </w:r>
      <w:r>
        <w:rPr>
          <w:spacing w:val="-66"/>
        </w:rPr>
      </w:r>
      <w:r>
        <w:rPr/>
        <w:t>户确认无异议且相关成本能够可靠计量时，根据双方签订的合同金额及按照执行排期表上的排期金额，确认收入。</w:t>
      </w:r>
    </w:p>
    <w:p>
      <w:pPr>
        <w:pStyle w:val="BodyText"/>
        <w:spacing w:line="316" w:lineRule="auto"/>
        <w:ind w:left="593" w:right="5713"/>
        <w:jc w:val="left"/>
      </w:pPr>
      <w:r>
        <w:rPr/>
        <w:t>（二）应收款项 </w:t>
      </w:r>
      <w:r>
        <w:rPr>
          <w:rFonts w:ascii="宋体" w:hAnsi="宋体" w:cs="宋体" w:eastAsia="宋体" w:hint="default"/>
        </w:rPr>
        <w:t>1</w:t>
      </w:r>
      <w:r>
        <w:rPr/>
        <w:t>、单项金额重大并单项计提坏账准备的应收款项 单项金额重大并单项计提坏账准备的应收款项的确认标准： 金额在</w:t>
      </w:r>
      <w:r>
        <w:rPr>
          <w:rFonts w:ascii="宋体" w:hAnsi="宋体" w:cs="宋体" w:eastAsia="宋体" w:hint="default"/>
        </w:rPr>
        <w:t>500</w:t>
      </w:r>
      <w:r>
        <w:rPr/>
        <w:t>万元以上（含</w:t>
      </w:r>
      <w:r>
        <w:rPr>
          <w:rFonts w:ascii="宋体" w:hAnsi="宋体" w:cs="宋体" w:eastAsia="宋体" w:hint="default"/>
        </w:rPr>
        <w:t>500</w:t>
      </w:r>
      <w:r>
        <w:rPr/>
        <w:t>万）。</w:t>
      </w:r>
    </w:p>
    <w:p>
      <w:pPr>
        <w:pStyle w:val="BodyText"/>
        <w:spacing w:line="316" w:lineRule="auto"/>
        <w:ind w:left="233" w:right="1132" w:firstLine="360"/>
        <w:jc w:val="both"/>
      </w:pPr>
      <w:r>
        <w:rPr>
          <w:spacing w:val="-2"/>
        </w:rPr>
        <w:t>单项金额重大的应收款项坏账准备的计提方法：单独进行减值测试，按预计未来现金流量现值低于其账面价值的差额计</w:t>
      </w:r>
      <w:r>
        <w:rPr/>
        <w:t> 提坏账准备，计入当期损益。单独测试未发生减值的应收款项，将其归入相应组合计提坏账准备。</w:t>
      </w:r>
    </w:p>
    <w:p>
      <w:pPr>
        <w:pStyle w:val="BodyText"/>
        <w:spacing w:line="240" w:lineRule="auto"/>
        <w:ind w:left="593" w:right="1033"/>
        <w:jc w:val="left"/>
      </w:pPr>
      <w:r>
        <w:rPr>
          <w:rFonts w:ascii="宋体" w:hAnsi="宋体" w:cs="宋体" w:eastAsia="宋体" w:hint="default"/>
        </w:rPr>
        <w:t>2</w:t>
      </w:r>
      <w:r>
        <w:rPr/>
        <w:t>、按信用风险特征组合计提坏账准备的应收账款</w:t>
      </w:r>
    </w:p>
    <w:p>
      <w:pPr>
        <w:pStyle w:val="BodyText"/>
        <w:spacing w:line="319" w:lineRule="auto" w:before="76"/>
        <w:ind w:left="593" w:right="1033"/>
        <w:jc w:val="left"/>
      </w:pPr>
      <w:r>
        <w:rPr/>
        <w:t>（</w:t>
      </w:r>
      <w:r>
        <w:rPr>
          <w:rFonts w:ascii="宋体" w:hAnsi="宋体" w:cs="宋体" w:eastAsia="宋体" w:hint="default"/>
        </w:rPr>
        <w:t>1</w:t>
      </w:r>
      <w:r>
        <w:rPr/>
        <w:t>）信用风险特征组合的确定依据 </w:t>
      </w:r>
      <w:r>
        <w:rPr>
          <w:spacing w:val="-2"/>
        </w:rPr>
        <w:t>对于单项金额不重大的应收款项，与经单独测试后未减值的单项金额重大的应收款项一起按信用风险特征划分为若干组</w:t>
      </w:r>
    </w:p>
    <w:p>
      <w:pPr>
        <w:pStyle w:val="BodyText"/>
        <w:spacing w:line="316" w:lineRule="auto" w:before="17"/>
        <w:ind w:left="594" w:right="1032" w:hanging="360"/>
        <w:jc w:val="left"/>
      </w:pPr>
      <w:r>
        <w:rPr/>
        <w:t>合，根据以前年度与之具有类似信用风险特征的应收款项组合的实际损失率为基础，结合现时情况确定应计提的坏账准备。 确定组合的依据：</w:t>
      </w:r>
    </w:p>
    <w:tbl>
      <w:tblPr>
        <w:tblW w:w="0" w:type="auto"/>
        <w:jc w:val="left"/>
        <w:tblInd w:w="111" w:type="dxa"/>
        <w:tblLayout w:type="fixed"/>
        <w:tblCellMar>
          <w:top w:w="0" w:type="dxa"/>
          <w:left w:w="0" w:type="dxa"/>
          <w:bottom w:w="0" w:type="dxa"/>
          <w:right w:w="0" w:type="dxa"/>
        </w:tblCellMar>
        <w:tblLook w:val="01E0"/>
      </w:tblPr>
      <w:tblGrid>
        <w:gridCol w:w="1632"/>
        <w:gridCol w:w="1619"/>
        <w:gridCol w:w="6619"/>
      </w:tblGrid>
      <w:tr>
        <w:trPr>
          <w:trHeight w:val="370" w:hRule="exact"/>
        </w:trPr>
        <w:tc>
          <w:tcPr>
            <w:tcW w:w="163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161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计提方法</w:t>
            </w:r>
          </w:p>
        </w:tc>
        <w:tc>
          <w:tcPr>
            <w:tcW w:w="661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after="0" w:line="240" w:lineRule="auto"/>
        <w:jc w:val="left"/>
        <w:rPr>
          <w:rFonts w:ascii="宋体" w:hAnsi="宋体" w:cs="宋体" w:eastAsia="宋体"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632"/>
        <w:gridCol w:w="1619"/>
        <w:gridCol w:w="6619"/>
      </w:tblGrid>
      <w:tr>
        <w:trPr>
          <w:trHeight w:val="644" w:hRule="exact"/>
        </w:trPr>
        <w:tc>
          <w:tcPr>
            <w:tcW w:w="1632" w:type="dxa"/>
            <w:tcBorders>
              <w:top w:val="single" w:sz="12" w:space="0" w:color="000000"/>
              <w:left w:val="nil" w:sz="6" w:space="0" w:color="auto"/>
              <w:bottom w:val="nil" w:sz="6" w:space="0" w:color="auto"/>
              <w:right w:val="single" w:sz="4" w:space="0" w:color="000000"/>
            </w:tcBorders>
          </w:tcPr>
          <w:p>
            <w:pPr>
              <w:pStyle w:val="TableParagraph"/>
              <w:spacing w:line="316" w:lineRule="auto" w:before="10"/>
              <w:ind w:left="122" w:right="152" w:firstLine="3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r>
              <w:rPr>
                <w:rFonts w:ascii="宋体" w:hAnsi="宋体" w:cs="宋体" w:eastAsia="宋体" w:hint="default"/>
                <w:sz w:val="18"/>
                <w:szCs w:val="18"/>
              </w:rPr>
              <w:t>：账龄 分析法组合</w:t>
            </w:r>
          </w:p>
        </w:tc>
        <w:tc>
          <w:tcPr>
            <w:tcW w:w="161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6619" w:type="dxa"/>
            <w:tcBorders>
              <w:top w:val="single" w:sz="12" w:space="0" w:color="000000"/>
              <w:left w:val="single" w:sz="4" w:space="0" w:color="000000"/>
              <w:bottom w:val="nil" w:sz="6" w:space="0" w:color="auto"/>
              <w:right w:val="nil" w:sz="6" w:space="0" w:color="auto"/>
            </w:tcBorders>
          </w:tcPr>
          <w:p>
            <w:pPr>
              <w:pStyle w:val="TableParagraph"/>
              <w:spacing w:line="316" w:lineRule="auto" w:before="10"/>
              <w:ind w:left="103" w:right="106" w:firstLine="360"/>
              <w:jc w:val="left"/>
              <w:rPr>
                <w:rFonts w:ascii="宋体" w:hAnsi="宋体" w:cs="宋体" w:eastAsia="宋体" w:hint="default"/>
                <w:sz w:val="18"/>
                <w:szCs w:val="18"/>
              </w:rPr>
            </w:pPr>
            <w:r>
              <w:rPr>
                <w:rFonts w:ascii="宋体" w:hAnsi="宋体" w:cs="宋体" w:eastAsia="宋体" w:hint="default"/>
                <w:spacing w:val="-3"/>
                <w:sz w:val="18"/>
                <w:szCs w:val="18"/>
              </w:rPr>
              <w:t>本公司根据以往的历史经验对应收款项计提比例作出最佳估计，参考应收款项</w:t>
            </w:r>
            <w:r>
              <w:rPr>
                <w:rFonts w:ascii="宋体" w:hAnsi="宋体" w:cs="宋体" w:eastAsia="宋体" w:hint="default"/>
                <w:sz w:val="18"/>
                <w:szCs w:val="18"/>
              </w:rPr>
              <w:t> 的账龄进行信用风险组合分类</w:t>
            </w:r>
          </w:p>
        </w:tc>
      </w:tr>
      <w:tr>
        <w:trPr>
          <w:trHeight w:val="956" w:hRule="exact"/>
        </w:trPr>
        <w:tc>
          <w:tcPr>
            <w:tcW w:w="1632" w:type="dxa"/>
            <w:tcBorders>
              <w:top w:val="nil" w:sz="6" w:space="0" w:color="auto"/>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2" w:right="152" w:firstLine="3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r>
              <w:rPr>
                <w:rFonts w:ascii="宋体" w:hAnsi="宋体" w:cs="宋体" w:eastAsia="宋体" w:hint="default"/>
                <w:sz w:val="18"/>
                <w:szCs w:val="18"/>
              </w:rPr>
              <w:t>：特殊 风险组合</w:t>
            </w:r>
          </w:p>
        </w:tc>
        <w:tc>
          <w:tcPr>
            <w:tcW w:w="16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3" w:right="245" w:firstLine="360"/>
              <w:jc w:val="left"/>
              <w:rPr>
                <w:rFonts w:ascii="宋体" w:hAnsi="宋体" w:cs="宋体" w:eastAsia="宋体" w:hint="default"/>
                <w:sz w:val="18"/>
                <w:szCs w:val="18"/>
              </w:rPr>
            </w:pPr>
            <w:r>
              <w:rPr>
                <w:rFonts w:ascii="宋体" w:hAnsi="宋体" w:cs="宋体" w:eastAsia="宋体" w:hint="default"/>
                <w:sz w:val="18"/>
                <w:szCs w:val="18"/>
              </w:rPr>
              <w:t>不计提坏账 准备</w:t>
            </w:r>
          </w:p>
        </w:tc>
        <w:tc>
          <w:tcPr>
            <w:tcW w:w="6619" w:type="dxa"/>
            <w:tcBorders>
              <w:top w:val="nil" w:sz="6" w:space="0" w:color="auto"/>
              <w:left w:val="single" w:sz="4" w:space="0" w:color="000000"/>
              <w:bottom w:val="single" w:sz="12" w:space="0" w:color="000000"/>
              <w:right w:val="nil" w:sz="6" w:space="0" w:color="auto"/>
            </w:tcBorders>
          </w:tcPr>
          <w:p>
            <w:pPr>
              <w:pStyle w:val="TableParagraph"/>
              <w:spacing w:line="319" w:lineRule="auto" w:before="15"/>
              <w:ind w:left="103" w:right="28" w:firstLine="360"/>
              <w:jc w:val="left"/>
              <w:rPr>
                <w:rFonts w:ascii="宋体" w:hAnsi="宋体" w:cs="宋体" w:eastAsia="宋体" w:hint="default"/>
                <w:sz w:val="18"/>
                <w:szCs w:val="18"/>
              </w:rPr>
            </w:pPr>
            <w:r>
              <w:rPr>
                <w:rFonts w:ascii="宋体" w:hAnsi="宋体" w:cs="宋体" w:eastAsia="宋体" w:hint="default"/>
                <w:sz w:val="18"/>
                <w:szCs w:val="18"/>
              </w:rPr>
              <w:t>根据业务性质，认定无信用风险；包括应收出口退税款，合并范围内应收款， </w:t>
            </w:r>
            <w:r>
              <w:rPr>
                <w:rFonts w:ascii="宋体" w:hAnsi="宋体" w:cs="宋体" w:eastAsia="宋体" w:hint="default"/>
                <w:spacing w:val="-3"/>
                <w:sz w:val="18"/>
                <w:szCs w:val="18"/>
              </w:rPr>
              <w:t>押金、保证金款项，员工往来款项等，一般不计提坏账，除非有客观证据表明其发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生了减值。</w:t>
            </w:r>
          </w:p>
        </w:tc>
      </w:tr>
    </w:tbl>
    <w:p>
      <w:pPr>
        <w:pStyle w:val="BodyText"/>
        <w:spacing w:line="240" w:lineRule="auto" w:before="10"/>
        <w:ind w:left="594" w:right="1033"/>
        <w:jc w:val="left"/>
      </w:pPr>
      <w:r>
        <w:rPr/>
        <w:pict>
          <v:group style="position:absolute;margin-left:51.300003pt;margin-top:-48.828262pt;width:492.8pt;height:.5pt;mso-position-horizontal-relative:page;mso-position-vertical-relative:paragraph;z-index:-996232" coordorigin="1026,-977" coordsize="9856,10">
            <v:shape style="position:absolute;left:1026;top:-977;width:1613;height:10" type="#_x0000_t75" stroked="false">
              <v:imagedata r:id="rId20" o:title=""/>
            </v:shape>
            <v:shape style="position:absolute;left:2634;top:-977;width:1624;height:10" type="#_x0000_t75" stroked="false">
              <v:imagedata r:id="rId21" o:title=""/>
            </v:shape>
            <v:shape style="position:absolute;left:4253;top:-977;width:6628;height:10" type="#_x0000_t75" stroked="false">
              <v:imagedata r:id="rId22" o:title=""/>
            </v:shape>
            <w10:wrap type="none"/>
          </v:group>
        </w:pict>
      </w:r>
      <w:r>
        <w:rPr/>
        <w:t>（</w:t>
      </w:r>
      <w:r>
        <w:rPr>
          <w:rFonts w:ascii="宋体" w:hAnsi="宋体" w:cs="宋体" w:eastAsia="宋体" w:hint="default"/>
        </w:rPr>
        <w:t>2</w:t>
      </w:r>
      <w:r>
        <w:rPr/>
        <w:t>）根据信用风险特征组合确定的计提方法</w:t>
      </w:r>
    </w:p>
    <w:p>
      <w:pPr>
        <w:pStyle w:val="BodyText"/>
        <w:spacing w:line="316" w:lineRule="auto" w:before="76"/>
        <w:ind w:left="593" w:right="7693"/>
        <w:jc w:val="left"/>
      </w:pPr>
      <w:r>
        <w:rPr/>
        <w:pict>
          <v:group style="position:absolute;margin-left:51.300003pt;margin-top:67.171768pt;width:492.8pt;height:.5pt;mso-position-horizontal-relative:page;mso-position-vertical-relative:paragraph;z-index:-996208" coordorigin="1026,1343" coordsize="9856,10">
            <v:shape style="position:absolute;left:1026;top:1343;width:3280;height:10" type="#_x0000_t75" stroked="false">
              <v:imagedata r:id="rId23" o:title=""/>
            </v:shape>
            <v:shape style="position:absolute;left:4301;top:1343;width:3290;height:10" type="#_x0000_t75" stroked="false">
              <v:imagedata r:id="rId24" o:title=""/>
            </v:shape>
            <v:shape style="position:absolute;left:7586;top:1343;width:3296;height:10" type="#_x0000_t75" stroked="false">
              <v:imagedata r:id="rId25" o:title=""/>
            </v:shape>
            <w10:wrap type="none"/>
          </v:group>
        </w:pict>
      </w:r>
      <w:r>
        <w:rPr/>
        <w:pict>
          <v:group style="position:absolute;margin-left:51.300003pt;margin-top:80.131790pt;width:492.8pt;height:5.05pt;mso-position-horizontal-relative:page;mso-position-vertical-relative:paragraph;z-index:-996184" coordorigin="1026,1603" coordsize="9856,101">
            <v:shape style="position:absolute;left:1026;top:1603;width:3299;height:101" type="#_x0000_t75" stroked="false">
              <v:imagedata r:id="rId26" o:title=""/>
            </v:shape>
            <v:shape style="position:absolute;left:4301;top:1694;width:3290;height:10" type="#_x0000_t75" stroked="false">
              <v:imagedata r:id="rId24" o:title=""/>
            </v:shape>
            <v:shape style="position:absolute;left:7586;top:1694;width:3296;height:10" type="#_x0000_t75" stroked="false">
              <v:imagedata r:id="rId25" o:title=""/>
            </v:shape>
            <w10:wrap type="none"/>
          </v:group>
        </w:pict>
      </w:r>
      <w:r>
        <w:rPr/>
        <w:t>①采用账龄分析法计提坏账准备的 应收账款计提比例：</w:t>
      </w:r>
    </w:p>
    <w:tbl>
      <w:tblPr>
        <w:tblW w:w="0" w:type="auto"/>
        <w:jc w:val="left"/>
        <w:tblInd w:w="111" w:type="dxa"/>
        <w:tblLayout w:type="fixed"/>
        <w:tblCellMar>
          <w:top w:w="0" w:type="dxa"/>
          <w:left w:w="0" w:type="dxa"/>
          <w:bottom w:w="0" w:type="dxa"/>
          <w:right w:w="0" w:type="dxa"/>
        </w:tblCellMar>
        <w:tblLook w:val="01E0"/>
      </w:tblPr>
      <w:tblGrid>
        <w:gridCol w:w="3299"/>
        <w:gridCol w:w="3285"/>
        <w:gridCol w:w="3286"/>
      </w:tblGrid>
      <w:tr>
        <w:trPr>
          <w:trHeight w:val="651" w:hRule="exact"/>
        </w:trPr>
        <w:tc>
          <w:tcPr>
            <w:tcW w:w="329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285"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10"/>
              <w:ind w:left="103" w:right="111" w:firstLine="360"/>
              <w:jc w:val="left"/>
              <w:rPr>
                <w:rFonts w:ascii="宋体" w:hAnsi="宋体" w:cs="宋体" w:eastAsia="宋体" w:hint="default"/>
                <w:sz w:val="18"/>
                <w:szCs w:val="18"/>
              </w:rPr>
            </w:pPr>
            <w:r>
              <w:rPr>
                <w:rFonts w:ascii="宋体" w:hAnsi="宋体" w:cs="宋体" w:eastAsia="宋体" w:hint="default"/>
                <w:sz w:val="18"/>
                <w:szCs w:val="18"/>
              </w:rPr>
              <w:t>本公司及下属制造业板块子公司应 收账款计提比例</w:t>
            </w:r>
            <w:r>
              <w:rPr>
                <w:rFonts w:ascii="宋体" w:hAnsi="宋体" w:cs="宋体" w:eastAsia="宋体" w:hint="default"/>
                <w:sz w:val="18"/>
                <w:szCs w:val="18"/>
              </w:rPr>
              <w:t>(%)</w:t>
            </w:r>
          </w:p>
        </w:tc>
        <w:tc>
          <w:tcPr>
            <w:tcW w:w="3286" w:type="dxa"/>
            <w:tcBorders>
              <w:top w:val="single" w:sz="12" w:space="0" w:color="000000"/>
              <w:left w:val="single" w:sz="4" w:space="0" w:color="000000"/>
              <w:bottom w:val="nil" w:sz="6" w:space="0" w:color="auto"/>
              <w:right w:val="nil" w:sz="6" w:space="0" w:color="auto"/>
            </w:tcBorders>
          </w:tcPr>
          <w:p>
            <w:pPr>
              <w:pStyle w:val="TableParagraph"/>
              <w:spacing w:line="316" w:lineRule="auto" w:before="10"/>
              <w:ind w:left="103" w:right="117" w:firstLine="360"/>
              <w:jc w:val="left"/>
              <w:rPr>
                <w:rFonts w:ascii="宋体" w:hAnsi="宋体" w:cs="宋体" w:eastAsia="宋体" w:hint="default"/>
                <w:sz w:val="18"/>
                <w:szCs w:val="18"/>
              </w:rPr>
            </w:pPr>
            <w:r>
              <w:rPr>
                <w:rFonts w:ascii="宋体" w:hAnsi="宋体" w:cs="宋体" w:eastAsia="宋体" w:hint="default"/>
                <w:sz w:val="18"/>
                <w:szCs w:val="18"/>
              </w:rPr>
              <w:t>本公司下属互联网及广告板块子公 司应收账款计提比例</w:t>
            </w:r>
            <w:r>
              <w:rPr>
                <w:rFonts w:ascii="宋体" w:hAnsi="宋体" w:cs="宋体" w:eastAsia="宋体" w:hint="default"/>
                <w:sz w:val="18"/>
                <w:szCs w:val="18"/>
              </w:rPr>
              <w:t>(%)</w:t>
            </w:r>
          </w:p>
        </w:tc>
      </w:tr>
      <w:tr>
        <w:trPr>
          <w:trHeight w:val="247"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sz w:val="18"/>
              </w:rPr>
              <w:t>5.00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463" w:right="0"/>
              <w:jc w:val="left"/>
              <w:rPr>
                <w:rFonts w:ascii="宋体" w:hAnsi="宋体" w:cs="宋体" w:eastAsia="宋体" w:hint="default"/>
                <w:sz w:val="18"/>
                <w:szCs w:val="18"/>
              </w:rPr>
            </w:pPr>
            <w:r>
              <w:rPr>
                <w:rFonts w:ascii="宋体"/>
                <w:sz w:val="18"/>
              </w:rPr>
              <w:t>0.50</w:t>
            </w:r>
          </w:p>
        </w:tc>
      </w:tr>
      <w:tr>
        <w:trPr>
          <w:trHeight w:val="451"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sz w:val="18"/>
              </w:rPr>
              <w:t>20.00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left="463" w:right="0"/>
              <w:jc w:val="left"/>
              <w:rPr>
                <w:rFonts w:ascii="宋体" w:hAnsi="宋体" w:cs="宋体" w:eastAsia="宋体" w:hint="default"/>
                <w:sz w:val="18"/>
                <w:szCs w:val="18"/>
              </w:rPr>
            </w:pPr>
            <w:r>
              <w:rPr>
                <w:rFonts w:ascii="宋体"/>
                <w:sz w:val="18"/>
              </w:rPr>
              <w:t>10.00</w:t>
            </w:r>
          </w:p>
        </w:tc>
      </w:tr>
      <w:tr>
        <w:trPr>
          <w:trHeight w:val="345"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sz w:val="18"/>
              </w:rPr>
              <w:t>50.00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463" w:right="0"/>
              <w:jc w:val="left"/>
              <w:rPr>
                <w:rFonts w:ascii="宋体" w:hAnsi="宋体" w:cs="宋体" w:eastAsia="宋体" w:hint="default"/>
                <w:sz w:val="18"/>
                <w:szCs w:val="18"/>
              </w:rPr>
            </w:pPr>
            <w:r>
              <w:rPr>
                <w:rFonts w:ascii="宋体"/>
                <w:sz w:val="18"/>
              </w:rPr>
              <w:t>20.00</w:t>
            </w:r>
          </w:p>
        </w:tc>
      </w:tr>
      <w:tr>
        <w:trPr>
          <w:trHeight w:val="360"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2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100.00</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100.00</w:t>
            </w:r>
          </w:p>
        </w:tc>
      </w:tr>
    </w:tbl>
    <w:p>
      <w:pPr>
        <w:pStyle w:val="BodyText"/>
        <w:spacing w:line="240" w:lineRule="auto"/>
        <w:ind w:left="594" w:right="1033"/>
        <w:jc w:val="left"/>
      </w:pPr>
      <w:r>
        <w:rPr/>
        <w:pict>
          <v:group style="position:absolute;margin-left:51.300003pt;margin-top:-40.618252pt;width:492.8pt;height:5.05pt;mso-position-horizontal-relative:page;mso-position-vertical-relative:paragraph;z-index:-996160" coordorigin="1026,-812" coordsize="9856,101">
            <v:shape style="position:absolute;left:1026;top:-812;width:3299;height:101" type="#_x0000_t75" stroked="false">
              <v:imagedata r:id="rId27" o:title=""/>
            </v:shape>
            <v:shape style="position:absolute;left:4301;top:-721;width:3290;height:10" type="#_x0000_t75" stroked="false">
              <v:imagedata r:id="rId24" o:title=""/>
            </v:shape>
            <v:shape style="position:absolute;left:7586;top:-721;width:3296;height:10" type="#_x0000_t75" stroked="false">
              <v:imagedata r:id="rId25" o:title=""/>
            </v:shape>
            <w10:wrap type="none"/>
          </v:group>
        </w:pict>
      </w:r>
      <w:r>
        <w:rPr/>
        <w:pict>
          <v:group style="position:absolute;margin-left:51.300003pt;margin-top:-18.598339pt;width:492.8pt;height:.5pt;mso-position-horizontal-relative:page;mso-position-vertical-relative:paragraph;z-index:-996136" coordorigin="1026,-372" coordsize="9856,10">
            <v:shape style="position:absolute;left:1026;top:-372;width:3280;height:10" type="#_x0000_t75" stroked="false">
              <v:imagedata r:id="rId23" o:title=""/>
            </v:shape>
            <v:shape style="position:absolute;left:4301;top:-372;width:3290;height:10" type="#_x0000_t75" stroked="false">
              <v:imagedata r:id="rId24" o:title=""/>
            </v:shape>
            <v:shape style="position:absolute;left:7586;top:-372;width:3296;height:10" type="#_x0000_t75" stroked="false">
              <v:imagedata r:id="rId25" o:title=""/>
            </v:shape>
            <w10:wrap type="none"/>
          </v:group>
        </w:pict>
      </w:r>
      <w:r>
        <w:rPr/>
        <w:pict>
          <v:group style="position:absolute;margin-left:51.300003pt;margin-top:48.721729pt;width:492.8pt;height:.5pt;mso-position-horizontal-relative:page;mso-position-vertical-relative:paragraph;z-index:-996112" coordorigin="1026,974" coordsize="9856,10">
            <v:shape style="position:absolute;left:1026;top:974;width:3280;height:10" type="#_x0000_t75" stroked="false">
              <v:imagedata r:id="rId23" o:title=""/>
            </v:shape>
            <v:shape style="position:absolute;left:4301;top:974;width:3290;height:10" type="#_x0000_t75" stroked="false">
              <v:imagedata r:id="rId24" o:title=""/>
            </v:shape>
            <v:shape style="position:absolute;left:7586;top:974;width:3296;height:10" type="#_x0000_t75" stroked="false">
              <v:imagedata r:id="rId25" o:title=""/>
            </v:shape>
            <w10:wrap type="none"/>
          </v:group>
        </w:pict>
      </w:r>
      <w:r>
        <w:rPr/>
        <w:pict>
          <v:group style="position:absolute;margin-left:51.300003pt;margin-top:61.681721pt;width:492.8pt;height:5.05pt;mso-position-horizontal-relative:page;mso-position-vertical-relative:paragraph;z-index:-996088" coordorigin="1026,1234" coordsize="9856,101">
            <v:shape style="position:absolute;left:1026;top:1234;width:3299;height:101" type="#_x0000_t75" stroked="false">
              <v:imagedata r:id="rId27" o:title=""/>
            </v:shape>
            <v:shape style="position:absolute;left:4301;top:1325;width:3290;height:10" type="#_x0000_t75" stroked="false">
              <v:imagedata r:id="rId28" o:title=""/>
            </v:shape>
            <v:shape style="position:absolute;left:7586;top:1325;width:3296;height:10" type="#_x0000_t75" stroked="false">
              <v:imagedata r:id="rId29" o:title=""/>
            </v:shape>
            <w10:wrap type="none"/>
          </v:group>
        </w:pict>
      </w:r>
      <w:r>
        <w:rPr/>
        <w:t>其他应收款计提比例：</w:t>
      </w: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99"/>
        <w:gridCol w:w="3285"/>
        <w:gridCol w:w="3286"/>
      </w:tblGrid>
      <w:tr>
        <w:trPr>
          <w:trHeight w:val="651" w:hRule="exact"/>
        </w:trPr>
        <w:tc>
          <w:tcPr>
            <w:tcW w:w="329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285"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10"/>
              <w:ind w:left="103" w:right="111" w:firstLine="360"/>
              <w:jc w:val="left"/>
              <w:rPr>
                <w:rFonts w:ascii="宋体" w:hAnsi="宋体" w:cs="宋体" w:eastAsia="宋体" w:hint="default"/>
                <w:sz w:val="18"/>
                <w:szCs w:val="18"/>
              </w:rPr>
            </w:pPr>
            <w:r>
              <w:rPr>
                <w:rFonts w:ascii="宋体" w:hAnsi="宋体" w:cs="宋体" w:eastAsia="宋体" w:hint="default"/>
                <w:sz w:val="18"/>
                <w:szCs w:val="18"/>
              </w:rPr>
              <w:t>本公司及下属制造业板块子公司其 他应收款计提比例</w:t>
            </w:r>
            <w:r>
              <w:rPr>
                <w:rFonts w:ascii="宋体" w:hAnsi="宋体" w:cs="宋体" w:eastAsia="宋体" w:hint="default"/>
                <w:sz w:val="18"/>
                <w:szCs w:val="18"/>
              </w:rPr>
              <w:t>(%)</w:t>
            </w:r>
          </w:p>
        </w:tc>
        <w:tc>
          <w:tcPr>
            <w:tcW w:w="3286" w:type="dxa"/>
            <w:tcBorders>
              <w:top w:val="single" w:sz="12" w:space="0" w:color="000000"/>
              <w:left w:val="single" w:sz="4" w:space="0" w:color="000000"/>
              <w:bottom w:val="nil" w:sz="6" w:space="0" w:color="auto"/>
              <w:right w:val="nil" w:sz="6" w:space="0" w:color="auto"/>
            </w:tcBorders>
          </w:tcPr>
          <w:p>
            <w:pPr>
              <w:pStyle w:val="TableParagraph"/>
              <w:spacing w:line="316" w:lineRule="auto" w:before="10"/>
              <w:ind w:left="103" w:right="117" w:firstLine="360"/>
              <w:jc w:val="left"/>
              <w:rPr>
                <w:rFonts w:ascii="宋体" w:hAnsi="宋体" w:cs="宋体" w:eastAsia="宋体" w:hint="default"/>
                <w:sz w:val="18"/>
                <w:szCs w:val="18"/>
              </w:rPr>
            </w:pPr>
            <w:r>
              <w:rPr>
                <w:rFonts w:ascii="宋体" w:hAnsi="宋体" w:cs="宋体" w:eastAsia="宋体" w:hint="default"/>
                <w:sz w:val="18"/>
                <w:szCs w:val="18"/>
              </w:rPr>
              <w:t>本公司下属互联网及广告板块子公 司其他应收款计提比例</w:t>
            </w:r>
            <w:r>
              <w:rPr>
                <w:rFonts w:ascii="宋体" w:hAnsi="宋体" w:cs="宋体" w:eastAsia="宋体" w:hint="default"/>
                <w:sz w:val="18"/>
                <w:szCs w:val="18"/>
              </w:rPr>
              <w:t>(%)</w:t>
            </w:r>
          </w:p>
        </w:tc>
      </w:tr>
      <w:tr>
        <w:trPr>
          <w:trHeight w:val="247"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sz w:val="18"/>
              </w:rPr>
              <w:t>5.00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463" w:right="0"/>
              <w:jc w:val="left"/>
              <w:rPr>
                <w:rFonts w:ascii="宋体" w:hAnsi="宋体" w:cs="宋体" w:eastAsia="宋体" w:hint="default"/>
                <w:sz w:val="18"/>
                <w:szCs w:val="18"/>
              </w:rPr>
            </w:pPr>
            <w:r>
              <w:rPr>
                <w:rFonts w:ascii="宋体"/>
                <w:sz w:val="18"/>
              </w:rPr>
              <w:t>0.50</w:t>
            </w:r>
          </w:p>
        </w:tc>
      </w:tr>
      <w:tr>
        <w:trPr>
          <w:trHeight w:val="446"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sz w:val="18"/>
              </w:rPr>
              <w:t>20.00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left="463" w:right="0"/>
              <w:jc w:val="left"/>
              <w:rPr>
                <w:rFonts w:ascii="宋体" w:hAnsi="宋体" w:cs="宋体" w:eastAsia="宋体" w:hint="default"/>
                <w:sz w:val="18"/>
                <w:szCs w:val="18"/>
              </w:rPr>
            </w:pPr>
            <w:r>
              <w:rPr>
                <w:rFonts w:ascii="宋体"/>
                <w:sz w:val="18"/>
              </w:rPr>
              <w:t>10.00</w:t>
            </w:r>
          </w:p>
        </w:tc>
      </w:tr>
      <w:tr>
        <w:trPr>
          <w:trHeight w:val="354"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32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50.00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20.00</w:t>
            </w:r>
          </w:p>
        </w:tc>
      </w:tr>
      <w:tr>
        <w:trPr>
          <w:trHeight w:val="356"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2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sz w:val="18"/>
              </w:rPr>
              <w:t>100.00</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25"/>
              <w:ind w:left="463" w:right="0"/>
              <w:jc w:val="left"/>
              <w:rPr>
                <w:rFonts w:ascii="宋体" w:hAnsi="宋体" w:cs="宋体" w:eastAsia="宋体" w:hint="default"/>
                <w:sz w:val="18"/>
                <w:szCs w:val="18"/>
              </w:rPr>
            </w:pPr>
            <w:r>
              <w:rPr>
                <w:rFonts w:ascii="宋体"/>
                <w:sz w:val="18"/>
              </w:rPr>
              <w:t>100.00</w:t>
            </w:r>
          </w:p>
        </w:tc>
      </w:tr>
    </w:tbl>
    <w:p>
      <w:pPr>
        <w:pStyle w:val="BodyText"/>
        <w:spacing w:line="240" w:lineRule="auto" w:before="10"/>
        <w:ind w:left="594" w:right="1033"/>
        <w:jc w:val="left"/>
      </w:pPr>
      <w:r>
        <w:rPr/>
        <w:pict>
          <v:group style="position:absolute;margin-left:51.300003pt;margin-top:-36.588303pt;width:492.8pt;height:.5pt;mso-position-horizontal-relative:page;mso-position-vertical-relative:paragraph;z-index:-996064" coordorigin="1026,-732" coordsize="9856,10">
            <v:shape style="position:absolute;left:1026;top:-732;width:3280;height:10" type="#_x0000_t75" stroked="false">
              <v:imagedata r:id="rId23" o:title=""/>
            </v:shape>
            <v:shape style="position:absolute;left:4301;top:-732;width:3290;height:10" type="#_x0000_t75" stroked="false">
              <v:imagedata r:id="rId24" o:title=""/>
            </v:shape>
            <v:shape style="position:absolute;left:7586;top:-732;width:3296;height:10" type="#_x0000_t75" stroked="false">
              <v:imagedata r:id="rId25" o:title=""/>
            </v:shape>
            <w10:wrap type="none"/>
          </v:group>
        </w:pict>
      </w:r>
      <w:r>
        <w:rPr/>
        <w:pict>
          <v:group style="position:absolute;margin-left:51.300003pt;margin-top:-23.628281pt;width:492.8pt;height:5.05pt;mso-position-horizontal-relative:page;mso-position-vertical-relative:paragraph;z-index:-996040" coordorigin="1026,-473" coordsize="9856,101">
            <v:shape style="position:absolute;left:1026;top:-473;width:3299;height:101" type="#_x0000_t75" stroked="false">
              <v:imagedata r:id="rId26" o:title=""/>
            </v:shape>
            <v:shape style="position:absolute;left:4301;top:-381;width:3290;height:10" type="#_x0000_t75" stroked="false">
              <v:imagedata r:id="rId24" o:title=""/>
            </v:shape>
            <v:shape style="position:absolute;left:7586;top:-381;width:3296;height:10" type="#_x0000_t75" stroked="false">
              <v:imagedata r:id="rId25" o:title=""/>
            </v:shape>
            <w10:wrap type="none"/>
          </v:group>
        </w:pict>
      </w:r>
      <w:r>
        <w:rPr/>
        <w:t>②采用其他方法计提坏账准备的</w:t>
      </w: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99"/>
        <w:gridCol w:w="3285"/>
        <w:gridCol w:w="3286"/>
      </w:tblGrid>
      <w:tr>
        <w:trPr>
          <w:trHeight w:val="360" w:hRule="exact"/>
        </w:trPr>
        <w:tc>
          <w:tcPr>
            <w:tcW w:w="3299"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286"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60"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32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0.00</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29"/>
              <w:ind w:left="463" w:right="0"/>
              <w:jc w:val="left"/>
              <w:rPr>
                <w:rFonts w:ascii="宋体" w:hAnsi="宋体" w:cs="宋体" w:eastAsia="宋体" w:hint="default"/>
                <w:sz w:val="18"/>
                <w:szCs w:val="18"/>
              </w:rPr>
            </w:pPr>
            <w:r>
              <w:rPr>
                <w:rFonts w:ascii="宋体"/>
                <w:sz w:val="18"/>
              </w:rPr>
              <w:t>0.00</w:t>
            </w:r>
          </w:p>
        </w:tc>
      </w:tr>
    </w:tbl>
    <w:p>
      <w:pPr>
        <w:pStyle w:val="BodyText"/>
        <w:spacing w:line="316" w:lineRule="auto" w:before="10"/>
        <w:ind w:left="593" w:right="2653"/>
        <w:jc w:val="left"/>
      </w:pPr>
      <w:r>
        <w:rPr/>
        <w:pict>
          <v:group style="position:absolute;margin-left:51.300003pt;margin-top:-19.048279pt;width:492.8pt;height:.5pt;mso-position-horizontal-relative:page;mso-position-vertical-relative:paragraph;z-index:-996016" coordorigin="1026,-381" coordsize="9856,10">
            <v:shape style="position:absolute;left:1026;top:-381;width:3280;height:10" type="#_x0000_t75" stroked="false">
              <v:imagedata r:id="rId23" o:title=""/>
            </v:shape>
            <v:shape style="position:absolute;left:4301;top:-381;width:3290;height:10" type="#_x0000_t75" stroked="false">
              <v:imagedata r:id="rId28" o:title=""/>
            </v:shape>
            <v:shape style="position:absolute;left:7586;top:-381;width:3296;height:10" type="#_x0000_t75" stroked="false">
              <v:imagedata r:id="rId29" o:title=""/>
            </v:shape>
            <w10:wrap type="none"/>
          </v:group>
        </w:pict>
      </w:r>
      <w:r>
        <w:rPr/>
        <w:t>单项金额虽不重大但单项计提坏账准备的应收款项 单项计提坏账准备的理由为：存在客观证据表明本公司将无法按应收款项的原有条款收回款项。 坏账准备的计提方法为：根据应收款项的预计未来现金流量现值低于其账面价值的差额进行计提。</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233" w:right="1033"/>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2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234" w:right="1033"/>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23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233"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日，公司设立全资子公司深圳市哇塞宝贝网络科技有限公司，自设立起该公司纳入合并范围。</w:t>
      </w:r>
    </w:p>
    <w:p>
      <w:pPr>
        <w:pStyle w:val="BodyText"/>
        <w:spacing w:line="240" w:lineRule="auto" w:before="63"/>
        <w:ind w:left="233"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日，公司设立全资子公司深圳市元通孵化有限公司，自设立起该公司纳入合并范围。</w:t>
      </w:r>
    </w:p>
    <w:p>
      <w:pPr>
        <w:pStyle w:val="BodyText"/>
        <w:spacing w:line="240" w:lineRule="auto" w:before="63"/>
        <w:ind w:left="233"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日，公司设立全资子公司深圳市实益达工业有限公司，自设立起该公司纳入合并范围。</w:t>
      </w:r>
    </w:p>
    <w:p>
      <w:pPr>
        <w:pStyle w:val="BodyText"/>
        <w:spacing w:line="300" w:lineRule="auto" w:before="63"/>
        <w:ind w:left="233" w:right="1033"/>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日，公司收购的标的资产上海顺为广告传播有限公司、上海地幔广告传播有限公司、上海利宣广告有限公司完</w:t>
      </w:r>
      <w:r>
        <w:rPr>
          <w:spacing w:val="-58"/>
        </w:rPr>
        <w:t> </w:t>
      </w:r>
      <w:r>
        <w:rPr>
          <w:spacing w:val="-58"/>
        </w:rPr>
      </w:r>
      <w:r>
        <w:rPr/>
        <w:t>成工商变更登记，自登记完成日之起该公司纳入合并范围。</w:t>
      </w:r>
    </w:p>
    <w:p>
      <w:pPr>
        <w:spacing w:after="0" w:line="300" w:lineRule="auto"/>
        <w:jc w:val="left"/>
        <w:sectPr>
          <w:pgSz w:w="11910" w:h="16840"/>
          <w:pgMar w:header="747" w:footer="979" w:top="1060" w:bottom="1160" w:left="900" w:right="0"/>
        </w:sectPr>
      </w:pPr>
    </w:p>
    <w:p>
      <w:pPr>
        <w:spacing w:line="240" w:lineRule="auto" w:before="12"/>
        <w:rPr>
          <w:rFonts w:ascii="宋体" w:hAnsi="宋体" w:cs="宋体" w:eastAsia="宋体" w:hint="default"/>
          <w:sz w:val="25"/>
          <w:szCs w:val="25"/>
        </w:rPr>
      </w:pPr>
    </w:p>
    <w:p>
      <w:pPr>
        <w:pStyle w:val="BodyText"/>
        <w:spacing w:line="300" w:lineRule="auto" w:before="44"/>
        <w:ind w:right="1118"/>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日，公司收购的标的资产奇思国际广告（北京）有限公司完成工商变更登记，自登记完成日之起起该公司纳入</w:t>
      </w:r>
      <w:r>
        <w:rPr>
          <w:spacing w:val="-58"/>
        </w:rPr>
        <w:t> </w:t>
      </w:r>
      <w:r>
        <w:rPr>
          <w:spacing w:val="-58"/>
        </w:rPr>
      </w:r>
      <w:r>
        <w:rPr/>
        <w:t>合并范围。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857" w:type="dxa"/>
        <w:tblLayout w:type="fixed"/>
        <w:tblCellMar>
          <w:top w:w="0" w:type="dxa"/>
          <w:left w:w="0" w:type="dxa"/>
          <w:bottom w:w="0" w:type="dxa"/>
          <w:right w:w="0" w:type="dxa"/>
        </w:tblCellMar>
        <w:tblLook w:val="01E0"/>
      </w:tblPr>
      <w:tblGrid>
        <w:gridCol w:w="3875"/>
        <w:gridCol w:w="4349"/>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张兴、张朝铖</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报告期内，公司因发行股份及支付现金购买资产并募集配套资金暨关联交易，聘请广发证券股份有限公司为公司财务顾</w:t>
      </w:r>
    </w:p>
    <w:p>
      <w:pPr>
        <w:pStyle w:val="BodyText"/>
        <w:spacing w:line="240" w:lineRule="auto" w:before="2"/>
        <w:ind w:right="0"/>
        <w:jc w:val="left"/>
      </w:pPr>
      <w:r>
        <w:rPr/>
        <w:t>问，期间共支付财务顾问费</w:t>
      </w:r>
      <w:r>
        <w:rPr>
          <w:rFonts w:ascii="Times New Roman" w:hAnsi="Times New Roman" w:cs="Times New Roman" w:eastAsia="Times New Roman" w:hint="default"/>
        </w:rPr>
        <w:t>100</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w:t>
      </w:r>
    </w:p>
    <w:p>
      <w:pPr>
        <w:pStyle w:val="BodyText"/>
        <w:spacing w:line="316" w:lineRule="auto" w:before="101"/>
        <w:ind w:right="1130" w:firstLine="360"/>
        <w:jc w:val="both"/>
      </w:pPr>
      <w:r>
        <w:rPr/>
        <w:t>因客户</w:t>
      </w:r>
      <w:r>
        <w:rPr>
          <w:rFonts w:ascii="宋体" w:hAnsi="宋体" w:cs="宋体" w:eastAsia="宋体" w:hint="default"/>
        </w:rPr>
        <w:t>PERCEPTION DIGITAL LIMITED/PD TRADING (HONG KONG) LIMITED</w:t>
      </w:r>
      <w:r>
        <w:rPr/>
        <w:t>逾期支付货款，经公司多次索要无果，公司于 </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14</w:t>
      </w:r>
      <w:r>
        <w:rPr/>
        <w:t>日向香港高等法院提交《申索陈述书》，并于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30</w:t>
      </w:r>
      <w:r>
        <w:rPr/>
        <w:t>日正式向香港高等法院提交简易程序申请，索偿货 </w:t>
      </w:r>
      <w:r>
        <w:rPr>
          <w:spacing w:val="-2"/>
        </w:rPr>
        <w:t>款及业务往来过程中的各项款项合计</w:t>
      </w:r>
      <w:r>
        <w:rPr>
          <w:rFonts w:ascii="宋体" w:hAnsi="宋体" w:cs="宋体" w:eastAsia="宋体" w:hint="default"/>
          <w:spacing w:val="-2"/>
        </w:rPr>
        <w:t>USD292.31</w:t>
      </w:r>
      <w:r>
        <w:rPr>
          <w:spacing w:val="-2"/>
        </w:rPr>
        <w:t>万元，</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16</w:t>
      </w:r>
      <w:r>
        <w:rPr>
          <w:spacing w:val="-2"/>
        </w:rPr>
        <w:t>日公司收到香港高等法院不予进入简易程序的裁定，截止</w:t>
      </w:r>
      <w:r>
        <w:rPr>
          <w:spacing w:val="-48"/>
        </w:rPr>
        <w:t> </w:t>
      </w:r>
      <w:r>
        <w:rPr>
          <w:spacing w:val="-48"/>
        </w:rPr>
      </w:r>
      <w:r>
        <w:rPr/>
        <w:t>本报告报出之日，本案件正在普通程序审理中。</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、首期员工持股计划事宜</w:t>
      </w:r>
    </w:p>
    <w:p>
      <w:pPr>
        <w:pStyle w:val="BodyText"/>
        <w:spacing w:line="300" w:lineRule="auto" w:before="63"/>
        <w:ind w:left="154" w:right="1132"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14</w:t>
      </w:r>
      <w:r>
        <w:rPr>
          <w:spacing w:val="-1"/>
        </w:rPr>
        <w:t>日，公司召开第四届董事会第九次会议，审议通过了《关于</w:t>
      </w:r>
      <w:r>
        <w:rPr>
          <w:rFonts w:ascii="Times New Roman" w:hAnsi="Times New Roman" w:cs="Times New Roman" w:eastAsia="Times New Roman" w:hint="default"/>
          <w:spacing w:val="-1"/>
        </w:rPr>
        <w:t>&lt;</w:t>
      </w:r>
      <w:r>
        <w:rPr>
          <w:spacing w:val="-1"/>
        </w:rPr>
        <w:t>公司首期员工持股计划（草案）</w:t>
      </w:r>
      <w:r>
        <w:rPr>
          <w:rFonts w:ascii="Times New Roman" w:hAnsi="Times New Roman" w:cs="Times New Roman" w:eastAsia="Times New Roman" w:hint="default"/>
          <w:spacing w:val="-1"/>
        </w:rPr>
        <w:t>&gt;</w:t>
      </w:r>
      <w:r>
        <w:rPr>
          <w:spacing w:val="-1"/>
        </w:rPr>
        <w:t>及摘要的议</w:t>
      </w:r>
      <w:r>
        <w:rPr/>
        <w:t> 案》。详见公司于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日，刊载于证券时报、中国证券报和巨潮资讯网的《深圳市实益达科技股份有限公司首期员 工持股计划（草案）》。</w:t>
      </w:r>
    </w:p>
    <w:p>
      <w:pPr>
        <w:pStyle w:val="BodyText"/>
        <w:spacing w:line="300" w:lineRule="auto" w:before="31"/>
        <w:ind w:right="103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日，公司召开第四届董事会第十次会议，审议通过了《关于公司首期员工持股计划方案调整的议案》，公 司首期员工持股计划方案为：国联实益达</w:t>
      </w:r>
      <w:r>
        <w:rPr>
          <w:rFonts w:ascii="Times New Roman" w:hAnsi="Times New Roman" w:cs="Times New Roman" w:eastAsia="Times New Roman" w:hint="default"/>
        </w:rPr>
        <w:t>1</w:t>
      </w:r>
      <w:r>
        <w:rPr/>
        <w:t>号份额上限为</w:t>
      </w:r>
      <w:r>
        <w:rPr>
          <w:rFonts w:ascii="Times New Roman" w:hAnsi="Times New Roman" w:cs="Times New Roman" w:eastAsia="Times New Roman" w:hint="default"/>
        </w:rPr>
        <w:t>1750</w:t>
      </w:r>
      <w:r>
        <w:rPr/>
        <w:t>万份，按照不超过</w:t>
      </w:r>
      <w:r>
        <w:rPr>
          <w:rFonts w:ascii="Times New Roman" w:hAnsi="Times New Roman" w:cs="Times New Roman" w:eastAsia="Times New Roman" w:hint="default"/>
        </w:rPr>
        <w:t>1.5:1</w:t>
      </w:r>
      <w:r>
        <w:rPr/>
        <w:t>的比例设立优先级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份额和风险级份 额，风险级份额又分为风险级</w:t>
      </w:r>
      <w:r>
        <w:rPr>
          <w:rFonts w:ascii="Times New Roman" w:hAnsi="Times New Roman" w:cs="Times New Roman" w:eastAsia="Times New Roman" w:hint="default"/>
        </w:rPr>
        <w:t>B</w:t>
      </w:r>
      <w:r>
        <w:rPr/>
        <w:t>份额和风险级</w:t>
      </w:r>
      <w:r>
        <w:rPr>
          <w:rFonts w:ascii="Times New Roman" w:hAnsi="Times New Roman" w:cs="Times New Roman" w:eastAsia="Times New Roman" w:hint="default"/>
        </w:rPr>
        <w:t>C</w:t>
      </w:r>
      <w:r>
        <w:rPr/>
        <w:t>份额，风险级</w:t>
      </w:r>
      <w:r>
        <w:rPr>
          <w:rFonts w:ascii="Times New Roman" w:hAnsi="Times New Roman" w:cs="Times New Roman" w:eastAsia="Times New Roman" w:hint="default"/>
        </w:rPr>
        <w:t>B</w:t>
      </w:r>
      <w:r>
        <w:rPr/>
        <w:t>份额和风险级</w:t>
      </w:r>
      <w:r>
        <w:rPr>
          <w:rFonts w:ascii="Times New Roman" w:hAnsi="Times New Roman" w:cs="Times New Roman" w:eastAsia="Times New Roman" w:hint="default"/>
        </w:rPr>
        <w:t>C</w:t>
      </w:r>
      <w:r>
        <w:rPr/>
        <w:t>份额的比例不超过</w:t>
      </w:r>
      <w:r>
        <w:rPr>
          <w:rFonts w:ascii="Times New Roman" w:hAnsi="Times New Roman" w:cs="Times New Roman" w:eastAsia="Times New Roman" w:hint="default"/>
        </w:rPr>
        <w:t>9:1</w:t>
      </w:r>
      <w:r>
        <w:rPr/>
        <w:t>，优先级</w:t>
      </w:r>
      <w:r>
        <w:rPr>
          <w:rFonts w:ascii="Times New Roman" w:hAnsi="Times New Roman" w:cs="Times New Roman" w:eastAsia="Times New Roman" w:hint="default"/>
        </w:rPr>
        <w:t>A</w:t>
      </w:r>
      <w:r>
        <w:rPr/>
        <w:t>份额和风险级 </w:t>
      </w:r>
      <w:r>
        <w:rPr>
          <w:rFonts w:ascii="Times New Roman" w:hAnsi="Times New Roman" w:cs="Times New Roman" w:eastAsia="Times New Roman" w:hint="default"/>
        </w:rPr>
        <w:t>B</w:t>
      </w:r>
      <w:r>
        <w:rPr/>
        <w:t>份额享有预期收益率。公司实际控制人乔昕先生全额认购国联实益达</w:t>
      </w:r>
      <w:r>
        <w:rPr>
          <w:rFonts w:ascii="Times New Roman" w:hAnsi="Times New Roman" w:cs="Times New Roman" w:eastAsia="Times New Roman" w:hint="default"/>
        </w:rPr>
        <w:t>1</w:t>
      </w:r>
      <w:r>
        <w:rPr/>
        <w:t>号风险级</w:t>
      </w:r>
      <w:r>
        <w:rPr>
          <w:rFonts w:ascii="Times New Roman" w:hAnsi="Times New Roman" w:cs="Times New Roman" w:eastAsia="Times New Roman" w:hint="default"/>
        </w:rPr>
        <w:t>B</w:t>
      </w:r>
      <w:r>
        <w:rPr/>
        <w:t>份额约为</w:t>
      </w:r>
      <w:r>
        <w:rPr>
          <w:rFonts w:ascii="Times New Roman" w:hAnsi="Times New Roman" w:cs="Times New Roman" w:eastAsia="Times New Roman" w:hint="default"/>
        </w:rPr>
        <w:t>630</w:t>
      </w:r>
      <w:r>
        <w:rPr/>
        <w:t>万份，本员工持股计划认购 国联实益达</w:t>
      </w:r>
      <w:r>
        <w:rPr>
          <w:rFonts w:ascii="Times New Roman" w:hAnsi="Times New Roman" w:cs="Times New Roman" w:eastAsia="Times New Roman" w:hint="default"/>
        </w:rPr>
        <w:t>1</w:t>
      </w:r>
      <w:r>
        <w:rPr/>
        <w:t>号的风险级</w:t>
      </w:r>
      <w:r>
        <w:rPr>
          <w:rFonts w:ascii="Times New Roman" w:hAnsi="Times New Roman" w:cs="Times New Roman" w:eastAsia="Times New Roman" w:hint="default"/>
        </w:rPr>
        <w:t>C</w:t>
      </w:r>
      <w:r>
        <w:rPr/>
        <w:t>份额约为</w:t>
      </w:r>
      <w:r>
        <w:rPr>
          <w:rFonts w:ascii="Times New Roman" w:hAnsi="Times New Roman" w:cs="Times New Roman" w:eastAsia="Times New Roman" w:hint="default"/>
        </w:rPr>
        <w:t>70</w:t>
      </w:r>
      <w:r>
        <w:rPr/>
        <w:t>万份，风险级</w:t>
      </w:r>
      <w:r>
        <w:rPr>
          <w:rFonts w:ascii="Times New Roman" w:hAnsi="Times New Roman" w:cs="Times New Roman" w:eastAsia="Times New Roman" w:hint="default"/>
        </w:rPr>
        <w:t>B</w:t>
      </w:r>
      <w:r>
        <w:rPr/>
        <w:t>份额和风险级</w:t>
      </w:r>
      <w:r>
        <w:rPr>
          <w:rFonts w:ascii="Times New Roman" w:hAnsi="Times New Roman" w:cs="Times New Roman" w:eastAsia="Times New Roman" w:hint="default"/>
        </w:rPr>
        <w:t>C</w:t>
      </w:r>
      <w:r>
        <w:rPr/>
        <w:t>份额对优先级</w:t>
      </w:r>
      <w:r>
        <w:rPr>
          <w:rFonts w:ascii="Times New Roman" w:hAnsi="Times New Roman" w:cs="Times New Roman" w:eastAsia="Times New Roman" w:hint="default"/>
        </w:rPr>
        <w:t>A</w:t>
      </w:r>
      <w:r>
        <w:rPr/>
        <w:t>份额的本金及预期年化收益提供无限连 带担保责任，风险级</w:t>
      </w:r>
      <w:r>
        <w:rPr>
          <w:rFonts w:ascii="Times New Roman" w:hAnsi="Times New Roman" w:cs="Times New Roman" w:eastAsia="Times New Roman" w:hint="default"/>
        </w:rPr>
        <w:t>C</w:t>
      </w:r>
      <w:r>
        <w:rPr/>
        <w:t>份额以参与金额为限对风险级</w:t>
      </w:r>
      <w:r>
        <w:rPr>
          <w:rFonts w:ascii="Times New Roman" w:hAnsi="Times New Roman" w:cs="Times New Roman" w:eastAsia="Times New Roman" w:hint="default"/>
        </w:rPr>
        <w:t>B</w:t>
      </w:r>
      <w:r>
        <w:rPr/>
        <w:t>份额的本金及预期年化收益承担有限补偿责任，各级具体份额最终以 </w:t>
      </w:r>
      <w:r>
        <w:rPr>
          <w:spacing w:val="-3"/>
        </w:rPr>
        <w:t>实际认购的份额为准。本次员工持股计划购买实益达股票的上限为</w:t>
      </w:r>
      <w:r>
        <w:rPr>
          <w:rFonts w:ascii="Times New Roman" w:hAnsi="Times New Roman" w:cs="Times New Roman" w:eastAsia="Times New Roman" w:hint="default"/>
          <w:spacing w:val="-3"/>
        </w:rPr>
        <w:t>2,138,167</w:t>
      </w:r>
      <w:r>
        <w:rPr>
          <w:spacing w:val="-3"/>
        </w:rPr>
        <w:t>股。同日，公司首期员工持股计划全部实施完毕。</w:t>
      </w:r>
      <w:r>
        <w:rPr>
          <w:spacing w:val="-85"/>
        </w:rPr>
        <w:t> </w:t>
      </w:r>
      <w:r>
        <w:rPr>
          <w:spacing w:val="-85"/>
        </w:rPr>
      </w:r>
      <w:r>
        <w:rPr>
          <w:spacing w:val="-5"/>
        </w:rPr>
        <w:t>详见公司于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14</w:t>
      </w:r>
      <w:r>
        <w:rPr>
          <w:spacing w:val="-5"/>
        </w:rPr>
        <w:t>日，刊载于证券时报、中国证券报和巨潮资讯网的《关于对公司首期员工持股计划进行调整的公告》、</w:t>
      </w:r>
    </w:p>
    <w:p>
      <w:pPr>
        <w:pStyle w:val="BodyText"/>
        <w:spacing w:line="240" w:lineRule="auto" w:before="13"/>
        <w:ind w:left="154" w:right="0"/>
        <w:jc w:val="both"/>
      </w:pPr>
      <w:r>
        <w:rPr/>
        <w:t>《关于公司首期员工持股计划完成股票购买的公告》。</w:t>
      </w:r>
    </w:p>
    <w:p>
      <w:pPr>
        <w:pStyle w:val="BodyText"/>
        <w:spacing w:line="240" w:lineRule="auto" w:before="76"/>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日，公司首期员工持股计划持有人会议第四次会议审议通过了《关于将刘爱民的全部持有份额转让给</w:t>
      </w:r>
    </w:p>
    <w:p>
      <w:pPr>
        <w:pStyle w:val="BodyText"/>
        <w:spacing w:line="309" w:lineRule="auto" w:before="63"/>
        <w:ind w:right="1130"/>
        <w:jc w:val="both"/>
      </w:pPr>
      <w:r>
        <w:rPr>
          <w:spacing w:val="-4"/>
        </w:rPr>
        <w:t>持有人代表指定人的议案》；</w:t>
      </w:r>
      <w:r>
        <w:rPr>
          <w:rFonts w:ascii="Times New Roman" w:hAnsi="Times New Roman" w:cs="Times New Roman" w:eastAsia="Times New Roman" w:hint="default"/>
          <w:spacing w:val="-4"/>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日公司召开的第四届董事会第二十次会议，在股东大会授权权限范围内审议 </w:t>
      </w:r>
      <w:r>
        <w:rPr>
          <w:spacing w:val="-2"/>
        </w:rPr>
        <w:t>通过了《关于首期员工持股计划持有人份额调整的议案》，因公司首期员工持股计划原持有对象刘爱民先生因个人原因向公</w:t>
      </w:r>
      <w:r>
        <w:rPr>
          <w:spacing w:val="-65"/>
        </w:rPr>
        <w:t> </w:t>
      </w:r>
      <w:r>
        <w:rPr>
          <w:spacing w:val="-65"/>
        </w:rPr>
      </w:r>
      <w:r>
        <w:rPr>
          <w:spacing w:val="-2"/>
        </w:rPr>
        <w:t>司提出辞职并已获得公司同意，根据公司《首期员工持股计划（草案）》的相关规定，并经首期员工持股计划持有人会议第</w:t>
      </w:r>
      <w:r>
        <w:rPr>
          <w:spacing w:val="-68"/>
        </w:rPr>
        <w:t> </w:t>
      </w:r>
      <w:r>
        <w:rPr>
          <w:spacing w:val="-68"/>
        </w:rPr>
      </w:r>
      <w:r>
        <w:rPr>
          <w:spacing w:val="-1"/>
        </w:rPr>
        <w:t>四次会议审议，刘爱民持有的</w:t>
      </w:r>
      <w:r>
        <w:rPr>
          <w:rFonts w:ascii="Times New Roman" w:hAnsi="Times New Roman" w:cs="Times New Roman" w:eastAsia="Times New Roman" w:hint="default"/>
          <w:spacing w:val="-1"/>
        </w:rPr>
        <w:t>20%</w:t>
      </w:r>
      <w:r>
        <w:rPr>
          <w:spacing w:val="-1"/>
        </w:rPr>
        <w:t>持有份额将按照单位份额参与价格转让给现有持有人朱蕾女士。详见公司于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40"/>
        </w:rPr>
        <w:t> </w:t>
      </w:r>
      <w:r>
        <w:rPr/>
        <w:t>日，刊载于证券时报、中国证券报和巨潮资讯网的《关于首期员工持股计划持有人份额调整的公告》。</w:t>
      </w:r>
    </w:p>
    <w:p>
      <w:pPr>
        <w:pStyle w:val="BodyText"/>
        <w:spacing w:line="309" w:lineRule="auto" w:before="24"/>
        <w:ind w:left="154" w:right="0"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日，公司首期员工持股计划持有人会议第四次会议审议通过了《关于将宋安的全部持有份额转让给持有人</w:t>
      </w:r>
      <w:r>
        <w:rPr/>
        <w:t> </w:t>
      </w:r>
      <w:r>
        <w:rPr>
          <w:spacing w:val="-4"/>
        </w:rPr>
        <w:t>代表指定人的议案》，因原持有人宋安先生自公司离职，根据《深圳市实益达科技股份有限公司首期员工持股计划（草案）》</w:t>
      </w:r>
      <w:r>
        <w:rPr>
          <w:spacing w:val="-44"/>
        </w:rPr>
        <w:t> </w:t>
      </w:r>
      <w:r>
        <w:rPr>
          <w:spacing w:val="-44"/>
        </w:rPr>
      </w:r>
      <w:r>
        <w:rPr/>
        <w:t>的规定，宋安先生将其获授的员工持股计划全部份额，按单位份额参与价格转让给薛桂香女士。</w:t>
      </w:r>
    </w:p>
    <w:p>
      <w:pPr>
        <w:pStyle w:val="BodyText"/>
        <w:spacing w:line="240" w:lineRule="auto" w:before="24"/>
        <w:ind w:left="513" w:right="0"/>
        <w:jc w:val="left"/>
      </w:pPr>
      <w:r>
        <w:rPr>
          <w:rFonts w:ascii="Times New Roman" w:hAnsi="Times New Roman" w:cs="Times New Roman" w:eastAsia="Times New Roman" w:hint="default"/>
        </w:rPr>
        <w:t>2</w:t>
      </w:r>
      <w:r>
        <w:rPr/>
        <w:t>、股权激励计划事宜</w:t>
      </w:r>
    </w:p>
    <w:p>
      <w:pPr>
        <w:pStyle w:val="BodyText"/>
        <w:spacing w:line="307" w:lineRule="auto" w:before="63"/>
        <w:ind w:left="154"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日，公司召开第四届董事会第十一次会议，审议通过了《关于回购注销部分限制性股票的议案》，因激励 </w:t>
      </w:r>
      <w:r>
        <w:rPr>
          <w:spacing w:val="-2"/>
        </w:rPr>
        <w:t>对象李维、张成因个人原因向公司提出辞职并已获得公司同意，且已办理完毕离职手续，同意公司回购并注销其已获授但尚</w:t>
      </w:r>
      <w:r>
        <w:rPr>
          <w:spacing w:val="-66"/>
        </w:rPr>
        <w:t> </w:t>
      </w:r>
      <w:r>
        <w:rPr>
          <w:spacing w:val="-66"/>
        </w:rPr>
      </w:r>
      <w:r>
        <w:rPr>
          <w:spacing w:val="-2"/>
        </w:rPr>
        <w:t>未解锁的合计</w:t>
      </w:r>
      <w:r>
        <w:rPr>
          <w:rFonts w:ascii="Times New Roman" w:hAnsi="Times New Roman" w:cs="Times New Roman" w:eastAsia="Times New Roman" w:hint="default"/>
          <w:spacing w:val="-2"/>
        </w:rPr>
        <w:t>6</w:t>
      </w:r>
      <w:r>
        <w:rPr>
          <w:spacing w:val="-2"/>
        </w:rPr>
        <w:t>万股限制性股票。详见公司于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日，刊载于证券时报、中国证券报和巨潮资讯网的《关于回购注销</w:t>
      </w:r>
      <w:r>
        <w:rPr>
          <w:spacing w:val="-58"/>
        </w:rPr>
        <w:t> </w:t>
      </w:r>
      <w:r>
        <w:rPr>
          <w:spacing w:val="-58"/>
        </w:rPr>
      </w:r>
      <w:r>
        <w:rPr/>
        <w:t>部分已不符合激励条件的激励对象已获授权但未解锁的限制性股票事宜的公告》、《减资公告》。</w:t>
      </w:r>
    </w:p>
    <w:p>
      <w:pPr>
        <w:pStyle w:val="BodyText"/>
        <w:spacing w:line="302" w:lineRule="auto" w:before="26"/>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日，公司召开第四届董事会第十三次会议，审议通过了《关于注销部分股票期权的议案》，因部分激励对象</w:t>
      </w:r>
      <w:r>
        <w:rPr/>
        <w:t> 因个人原因向公司提出辞职并已获得公司同意，且已办理完毕离职手续，同意公司注销其已获授但尚未行权的</w:t>
      </w:r>
      <w:r>
        <w:rPr>
          <w:rFonts w:ascii="Times New Roman" w:hAnsi="Times New Roman" w:cs="Times New Roman" w:eastAsia="Times New Roman" w:hint="default"/>
        </w:rPr>
        <w:t>120</w:t>
      </w:r>
      <w:r>
        <w:rPr/>
        <w:t>万份股票 期权，股票期权注销手续已于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日在中国证券登记结算有限责任公司深圳分公司办理完成；本次董事会同时审议 通过了《关于公司股票期权与限制性股票激励计划第一个行权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解锁条件成就的议案》，根据股权激励计划的相 </w:t>
      </w:r>
      <w:r>
        <w:rPr>
          <w:spacing w:val="-1"/>
        </w:rPr>
        <w:t>关规定，董事会认为首次授予的股票期权</w:t>
      </w:r>
      <w:r>
        <w:rPr>
          <w:rFonts w:ascii="Times New Roman" w:hAnsi="Times New Roman" w:cs="Times New Roman" w:eastAsia="Times New Roman" w:hint="default"/>
          <w:spacing w:val="-1"/>
        </w:rPr>
        <w:t>/</w:t>
      </w:r>
      <w:r>
        <w:rPr>
          <w:spacing w:val="-1"/>
        </w:rPr>
        <w:t>限制性股票第一个行权</w:t>
      </w:r>
      <w:r>
        <w:rPr>
          <w:rFonts w:ascii="Times New Roman" w:hAnsi="Times New Roman" w:cs="Times New Roman" w:eastAsia="Times New Roman" w:hint="default"/>
          <w:spacing w:val="-1"/>
        </w:rPr>
        <w:t>/</w:t>
      </w:r>
      <w:r>
        <w:rPr>
          <w:spacing w:val="-1"/>
        </w:rPr>
        <w:t>解锁期行权</w:t>
      </w:r>
      <w:r>
        <w:rPr>
          <w:rFonts w:ascii="Times New Roman" w:hAnsi="Times New Roman" w:cs="Times New Roman" w:eastAsia="Times New Roman" w:hint="default"/>
          <w:spacing w:val="-1"/>
        </w:rPr>
        <w:t>/</w:t>
      </w:r>
      <w:r>
        <w:rPr>
          <w:spacing w:val="-1"/>
        </w:rPr>
        <w:t>解锁条件已经成就，根据公司</w:t>
      </w:r>
      <w:r>
        <w:rPr>
          <w:rFonts w:ascii="Times New Roman" w:hAnsi="Times New Roman" w:cs="Times New Roman" w:eastAsia="Times New Roman" w:hint="default"/>
          <w:spacing w:val="-1"/>
        </w:rPr>
        <w:t>2014</w:t>
      </w:r>
      <w:r>
        <w:rPr>
          <w:spacing w:val="-1"/>
        </w:rPr>
        <w:t>年度第一次</w:t>
      </w:r>
      <w:r>
        <w:rPr>
          <w:spacing w:val="-86"/>
        </w:rPr>
        <w:t> </w:t>
      </w:r>
      <w:r>
        <w:rPr/>
        <w:t>临时股东大会的授权，同意按照股权激励计划的相关规定办理第一期行权</w:t>
      </w:r>
      <w:r>
        <w:rPr>
          <w:rFonts w:ascii="Times New Roman" w:hAnsi="Times New Roman" w:cs="Times New Roman" w:eastAsia="Times New Roman" w:hint="default"/>
        </w:rPr>
        <w:t>/</w:t>
      </w:r>
      <w:r>
        <w:rPr/>
        <w:t>解锁事宜。详见公司于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日，刊载于证 </w:t>
      </w:r>
      <w:r>
        <w:rPr>
          <w:spacing w:val="-2"/>
        </w:rPr>
        <w:t>券时报、中国证券报和巨潮资讯网的《关于注销部分股票期权的公告》、《关于公司股票期权与限制性股票激励计划第一个</w:t>
      </w:r>
      <w:r>
        <w:rPr>
          <w:spacing w:val="-66"/>
        </w:rPr>
        <w:t> </w:t>
      </w:r>
      <w:r>
        <w:rPr>
          <w:spacing w:val="-66"/>
        </w:rPr>
      </w:r>
      <w:r>
        <w:rPr/>
        <w:t>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解锁条件成就的公告》。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日，本次解锁的限制性股票</w:t>
      </w:r>
      <w:r>
        <w:rPr>
          <w:rFonts w:ascii="Times New Roman" w:hAnsi="Times New Roman" w:cs="Times New Roman" w:eastAsia="Times New Roman" w:hint="default"/>
        </w:rPr>
        <w:t>63.9</w:t>
      </w:r>
      <w:r>
        <w:rPr/>
        <w:t>万股上市流通；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日，本次 行权的</w:t>
      </w:r>
      <w:r>
        <w:rPr>
          <w:rFonts w:ascii="Times New Roman" w:hAnsi="Times New Roman" w:cs="Times New Roman" w:eastAsia="Times New Roman" w:hint="default"/>
        </w:rPr>
        <w:t>41.94</w:t>
      </w:r>
      <w:r>
        <w:rPr/>
        <w:t>万份股票期权的股份上市流通。</w:t>
      </w:r>
    </w:p>
    <w:p>
      <w:pPr>
        <w:pStyle w:val="BodyText"/>
        <w:spacing w:line="309" w:lineRule="auto" w:before="11"/>
        <w:ind w:left="154" w:right="1131"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日，公司召开第四届董事会第二十次会议，审议通过了《关于回购注销部分限制性股票的议案》，因激励</w:t>
      </w:r>
      <w:r>
        <w:rPr/>
        <w:t> </w:t>
      </w:r>
      <w:r>
        <w:rPr>
          <w:spacing w:val="-2"/>
        </w:rPr>
        <w:t>对象胡敏阅、刘爱民因个人原因向公司提出辞职并已获得公司同意，且已办理完毕离职手续，同意公司回购并注销其已获授</w:t>
      </w:r>
      <w:r>
        <w:rPr>
          <w:spacing w:val="-66"/>
        </w:rPr>
        <w:t> </w:t>
      </w:r>
      <w:r>
        <w:rPr>
          <w:spacing w:val="-66"/>
        </w:rPr>
      </w:r>
      <w:r>
        <w:rPr>
          <w:spacing w:val="-1"/>
        </w:rPr>
        <w:t>但尚未解锁的合计</w:t>
      </w:r>
      <w:r>
        <w:rPr>
          <w:rFonts w:ascii="Times New Roman" w:hAnsi="Times New Roman" w:cs="Times New Roman" w:eastAsia="Times New Roman" w:hint="default"/>
          <w:spacing w:val="-1"/>
        </w:rPr>
        <w:t>45.5</w:t>
      </w:r>
      <w:r>
        <w:rPr>
          <w:spacing w:val="-1"/>
        </w:rPr>
        <w:t>万股限制性股票。详见公司于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日，刊载于证券时报、中国证券报和巨潮资讯网的《关于</w:t>
      </w:r>
      <w:r>
        <w:rPr>
          <w:spacing w:val="-71"/>
        </w:rPr>
        <w:t> </w:t>
      </w:r>
      <w:r>
        <w:rPr>
          <w:spacing w:val="-71"/>
        </w:rPr>
      </w:r>
      <w:r>
        <w:rPr/>
        <w:t>回购注销部分已不符合激励条件的激励对象已获授权但未解锁的限制性股票事宜的公告》、《减资公告》。 </w:t>
      </w:r>
      <w:r>
        <w:rPr>
          <w:spacing w:val="-1"/>
        </w:rPr>
        <w:t>报告期内摊销的股权激励总成本为</w:t>
      </w:r>
      <w:r>
        <w:rPr>
          <w:rFonts w:ascii="Times New Roman" w:hAnsi="Times New Roman" w:cs="Times New Roman" w:eastAsia="Times New Roman" w:hint="default"/>
          <w:spacing w:val="-1"/>
        </w:rPr>
        <w:t>-393,054.67</w:t>
      </w:r>
      <w:r>
        <w:rPr>
          <w:spacing w:val="-1"/>
        </w:rPr>
        <w:t>元，相应减增加公司净利润</w:t>
      </w:r>
      <w:r>
        <w:rPr>
          <w:rFonts w:ascii="Times New Roman" w:hAnsi="Times New Roman" w:cs="Times New Roman" w:eastAsia="Times New Roman" w:hint="default"/>
          <w:spacing w:val="-1"/>
        </w:rPr>
        <w:t>393,054.67</w:t>
      </w:r>
      <w:r>
        <w:rPr>
          <w:spacing w:val="-1"/>
        </w:rPr>
        <w:t>元</w:t>
      </w:r>
      <w:r>
        <w:rPr>
          <w:rFonts w:ascii="Times New Roman" w:hAnsi="Times New Roman" w:cs="Times New Roman" w:eastAsia="Times New Roman" w:hint="default"/>
          <w:spacing w:val="-1"/>
        </w:rPr>
        <w:t>,</w:t>
      </w:r>
      <w:r>
        <w:rPr>
          <w:spacing w:val="-1"/>
        </w:rPr>
        <w:t>但不会直接减少公司净资产，也不会</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直接影响公司的现金流量。考虑到股权激励计划对公司发展产生的正向作用，由此激发管理、业务、技术团队的积极性，提</w:t>
      </w:r>
      <w:r>
        <w:rPr>
          <w:spacing w:val="-66"/>
        </w:rPr>
        <w:t> </w:t>
      </w:r>
      <w:r>
        <w:rPr>
          <w:spacing w:val="-66"/>
        </w:rPr>
      </w:r>
      <w:r>
        <w:rPr/>
        <w:t>高经营效率，激励计划带来的公司业绩提升将高于因其带来的费用增加。</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79"/>
      <w:bookmarkEnd w:id="79"/>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39" w:firstLine="360"/>
        <w:jc w:val="both"/>
      </w:pPr>
      <w:r>
        <w:rPr>
          <w:rFonts w:ascii="Times New Roman" w:hAnsi="Times New Roman" w:cs="Times New Roman" w:eastAsia="Times New Roman" w:hint="default"/>
        </w:rPr>
        <w:t>1</w:t>
      </w:r>
      <w:r>
        <w:rPr/>
        <w:t>、</w:t>
      </w:r>
      <w:r>
        <w:rPr>
          <w:spacing w:val="-19"/>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日，公司与深圳先进微电子科技有限公司（以下简称</w:t>
      </w:r>
      <w:r>
        <w:rPr>
          <w:rFonts w:ascii="Times New Roman" w:hAnsi="Times New Roman" w:cs="Times New Roman" w:eastAsia="Times New Roman" w:hint="default"/>
        </w:rPr>
        <w:t>“</w:t>
      </w:r>
      <w:r>
        <w:rPr/>
        <w:t>先进微</w:t>
      </w:r>
      <w:r>
        <w:rPr>
          <w:rFonts w:ascii="Times New Roman" w:hAnsi="Times New Roman" w:cs="Times New Roman" w:eastAsia="Times New Roman" w:hint="default"/>
        </w:rPr>
        <w:t>”</w:t>
      </w:r>
      <w:r>
        <w:rPr/>
        <w:t>）签署《实益达科技园租赁合同书》， 公司将部分厂房、设备租赁给先进微做经营及办公之用，合同期为</w:t>
      </w:r>
      <w:r>
        <w:rPr>
          <w:rFonts w:ascii="Times New Roman" w:hAnsi="Times New Roman" w:cs="Times New Roman" w:eastAsia="Times New Roman" w:hint="default"/>
        </w:rPr>
        <w:t>5</w:t>
      </w:r>
      <w:r>
        <w:rPr/>
        <w:t>年，合同期前</w:t>
      </w:r>
      <w:r>
        <w:rPr>
          <w:rFonts w:ascii="Times New Roman" w:hAnsi="Times New Roman" w:cs="Times New Roman" w:eastAsia="Times New Roman" w:hint="default"/>
        </w:rPr>
        <w:t>45</w:t>
      </w:r>
      <w:r>
        <w:rPr/>
        <w:t>天为免租期（装修等产生的水、电费由 先进微承担），合同期内双方提前</w:t>
      </w:r>
      <w:r>
        <w:rPr>
          <w:rFonts w:ascii="Times New Roman" w:hAnsi="Times New Roman" w:cs="Times New Roman" w:eastAsia="Times New Roman" w:hint="default"/>
        </w:rPr>
        <w:t>6</w:t>
      </w:r>
      <w:r>
        <w:rPr/>
        <w:t>个月通知对方且支付相当于月租金</w:t>
      </w:r>
      <w:r>
        <w:rPr>
          <w:rFonts w:ascii="Times New Roman" w:hAnsi="Times New Roman" w:cs="Times New Roman" w:eastAsia="Times New Roman" w:hint="default"/>
        </w:rPr>
        <w:t>2</w:t>
      </w:r>
      <w:r>
        <w:rPr/>
        <w:t>倍的违约金后可解除合同。</w:t>
      </w:r>
    </w:p>
    <w:p>
      <w:pPr>
        <w:pStyle w:val="BodyText"/>
        <w:spacing w:line="300" w:lineRule="auto" w:before="13"/>
        <w:ind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日，公司与深圳市三讯电子有限公司以下简称</w:t>
      </w:r>
      <w:r>
        <w:rPr>
          <w:rFonts w:ascii="Times New Roman" w:hAnsi="Times New Roman" w:cs="Times New Roman" w:eastAsia="Times New Roman" w:hint="default"/>
        </w:rPr>
        <w:t>“</w:t>
      </w:r>
      <w:r>
        <w:rPr/>
        <w:t>三讯</w:t>
      </w:r>
      <w:r>
        <w:rPr>
          <w:rFonts w:ascii="Times New Roman" w:hAnsi="Times New Roman" w:cs="Times New Roman" w:eastAsia="Times New Roman" w:hint="default"/>
        </w:rPr>
        <w:t>”</w:t>
      </w:r>
      <w:r>
        <w:rPr/>
        <w:t>）签署《厂房租赁合同书》，公司将锦龙路园区厂 </w:t>
      </w:r>
      <w:r>
        <w:rPr>
          <w:spacing w:val="-2"/>
        </w:rPr>
        <w:t>房租赁给三讯做经营及办公之用，合同期为</w:t>
      </w:r>
      <w:r>
        <w:rPr>
          <w:rFonts w:ascii="Times New Roman" w:hAnsi="Times New Roman" w:cs="Times New Roman" w:eastAsia="Times New Roman" w:hint="default"/>
          <w:spacing w:val="-2"/>
        </w:rPr>
        <w:t>8</w:t>
      </w:r>
      <w:r>
        <w:rPr>
          <w:spacing w:val="-2"/>
        </w:rPr>
        <w:t>年，合同期前</w:t>
      </w:r>
      <w:r>
        <w:rPr>
          <w:rFonts w:ascii="Times New Roman" w:hAnsi="Times New Roman" w:cs="Times New Roman" w:eastAsia="Times New Roman" w:hint="default"/>
          <w:spacing w:val="-2"/>
        </w:rPr>
        <w:t>60</w:t>
      </w:r>
      <w:r>
        <w:rPr>
          <w:spacing w:val="-2"/>
        </w:rPr>
        <w:t>天为免租期（装修等产生的水、电费由三讯承担），合同期前</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9"/>
        </w:rPr>
        <w:t> </w:t>
      </w:r>
      <w:r>
        <w:rPr/>
        <w:t>年不得解除，合同期满</w:t>
      </w:r>
      <w:r>
        <w:rPr>
          <w:rFonts w:ascii="Times New Roman" w:hAnsi="Times New Roman" w:cs="Times New Roman" w:eastAsia="Times New Roman" w:hint="default"/>
        </w:rPr>
        <w:t>2</w:t>
      </w:r>
      <w:r>
        <w:rPr/>
        <w:t>年内双方需提前</w:t>
      </w:r>
      <w:r>
        <w:rPr>
          <w:rFonts w:ascii="Times New Roman" w:hAnsi="Times New Roman" w:cs="Times New Roman" w:eastAsia="Times New Roman" w:hint="default"/>
        </w:rPr>
        <w:t>6</w:t>
      </w:r>
      <w:r>
        <w:rPr/>
        <w:t>个月通知对方且支付相当于月租金</w:t>
      </w:r>
      <w:r>
        <w:rPr>
          <w:rFonts w:ascii="Times New Roman" w:hAnsi="Times New Roman" w:cs="Times New Roman" w:eastAsia="Times New Roman" w:hint="default"/>
        </w:rPr>
        <w:t>2</w:t>
      </w:r>
      <w:r>
        <w:rPr/>
        <w:t>倍的违约金后可解除合同。</w:t>
      </w:r>
    </w:p>
    <w:p>
      <w:pPr>
        <w:pStyle w:val="BodyText"/>
        <w:spacing w:line="240" w:lineRule="auto" w:before="53"/>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338"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深圳市实 益达科技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深圳先进 微电子科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租赁收入 减去租赁 成本及相 关税费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left"/>
              <w:rPr>
                <w:rFonts w:ascii="宋体" w:hAnsi="宋体" w:cs="宋体" w:eastAsia="宋体" w:hint="default"/>
                <w:sz w:val="18"/>
                <w:szCs w:val="18"/>
              </w:rPr>
            </w:pPr>
            <w:r>
              <w:rPr>
                <w:rFonts w:ascii="宋体" w:hAnsi="宋体" w:cs="宋体" w:eastAsia="宋体" w:hint="default"/>
                <w:sz w:val="18"/>
                <w:szCs w:val="18"/>
              </w:rPr>
              <w:t>增加租赁 收益</w:t>
            </w:r>
          </w:p>
          <w:p>
            <w:pPr>
              <w:pStyle w:val="TableParagraph"/>
              <w:spacing w:line="302" w:lineRule="auto" w:before="19"/>
              <w:ind w:left="2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731.82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深圳市实 益达科技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深圳市三 讯电子有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租赁收入 减去租赁 成本及相 关税费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left"/>
              <w:rPr>
                <w:rFonts w:ascii="宋体" w:hAnsi="宋体" w:cs="宋体" w:eastAsia="宋体" w:hint="default"/>
                <w:sz w:val="18"/>
                <w:szCs w:val="18"/>
              </w:rPr>
            </w:pPr>
            <w:r>
              <w:rPr>
                <w:rFonts w:ascii="宋体" w:hAnsi="宋体" w:cs="宋体" w:eastAsia="宋体" w:hint="default"/>
                <w:sz w:val="18"/>
                <w:szCs w:val="18"/>
              </w:rPr>
              <w:t>增加租赁 收益</w:t>
            </w:r>
          </w:p>
          <w:p>
            <w:pPr>
              <w:pStyle w:val="TableParagraph"/>
              <w:spacing w:line="302" w:lineRule="auto" w:before="19"/>
              <w:ind w:left="2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252.53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1276"/>
        <w:gridCol w:w="4112"/>
        <w:gridCol w:w="255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7"/>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文件名称</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刊登媒体</w:t>
            </w:r>
            <w:r>
              <w:rPr>
                <w:rFonts w:ascii="宋体" w:hAnsi="宋体" w:cs="宋体" w:eastAsia="宋体" w:hint="default"/>
                <w:sz w:val="18"/>
                <w:szCs w:val="18"/>
              </w:rPr>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关于公司筹划员工持股计划股票停牌的进展公告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关于陈亚妹获得中国证监会核准豁免要约收购义务</w:t>
            </w:r>
            <w:r>
              <w:rPr>
                <w:rFonts w:ascii="宋体" w:hAnsi="宋体" w:cs="宋体" w:eastAsia="宋体" w:hint="default"/>
                <w:sz w:val="18"/>
                <w:szCs w:val="18"/>
              </w:rPr>
              <w:t> 的批复的公告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关于公司筹划员工持股计划股票停牌的进展公告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关于公司完成工商变更登记的公告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2015/1/14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关于使用部分暂时闲置募集资金进行现金管理的公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0"/>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首期员工持股计划（草案）</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2015/1/23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关于实际控制人协议受让控股股东股份之股份过户</w:t>
            </w:r>
            <w:r>
              <w:rPr>
                <w:rFonts w:ascii="宋体" w:hAnsi="宋体" w:cs="宋体" w:eastAsia="宋体" w:hint="default"/>
                <w:sz w:val="18"/>
                <w:szCs w:val="18"/>
              </w:rPr>
              <w:t> 完成的公告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2015/2/3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告（一）</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2015/2/4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关于公司实际控制人进行股票质押式回购交易的公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2015/2/4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关于公司实际控制人进行股票质押式回购交易的公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2015/2/12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关于公司实际控制人进行股票质押式回购交易的公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0"/>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2015/3/3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关于公司首期员工持股计划实施的进展公告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2015-019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2015/3/11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告（二）</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2015-020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2015/3/12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关于高新技术企业资格到期的公告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2015/4/3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关于公司首期员工持股计划实施的进展公告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2015/4/10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告（三）</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2015/4/10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告（四）</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0"/>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关于对公司首期员工持股计划进行调整的公告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2015-031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关于公司首期员工持股计划完成股票购买的公告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2015/4/17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关于监事会主席辞职及补选职工代表监事的公告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年年度报告摘要</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关于回购注销部分已不符合激励条件的激励对象已</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40" w:lineRule="auto" w:before="21"/>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1276"/>
        <w:gridCol w:w="4112"/>
        <w:gridCol w:w="255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获授权但未解锁的限制性股票事宜的公告</w:t>
            </w:r>
          </w:p>
        </w:tc>
        <w:tc>
          <w:tcPr>
            <w:tcW w:w="255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2015/4/28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年第一季度报告正文</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2015/5/4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关于实际控制人部分股份质押的公告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2015/5/6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关于实际控制人部分股份质押延期购回的公告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2015-046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2015/5/11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关于筹划重大资产重组的停牌进展公告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0"/>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2015/5/11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关于公司首期员工持股计划调整完成的公告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2015/5/19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2015/5/19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告（五）</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2015/5/21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关于实际控制人解除部分股份质押的公告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告（六）</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关于归还暂时性补充流动资金的募集资金的公告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0"/>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关于终止非公开发行募集资金投资项目并将剩余募</w:t>
            </w:r>
            <w:r>
              <w:rPr>
                <w:rFonts w:ascii="宋体" w:hAnsi="宋体" w:cs="宋体" w:eastAsia="宋体" w:hint="default"/>
                <w:sz w:val="18"/>
                <w:szCs w:val="18"/>
              </w:rPr>
              <w:t> 集资金永久补充流动资金的公告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关于注销部分股票期权的公告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2015-061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关于公司股票期权与限制性股票激励计划第一个行</w:t>
            </w:r>
            <w:r>
              <w:rPr>
                <w:rFonts w:ascii="宋体" w:hAnsi="宋体" w:cs="宋体" w:eastAsia="宋体" w:hint="default"/>
                <w:sz w:val="18"/>
                <w:szCs w:val="18"/>
              </w:rPr>
              <w:t> 权</w:t>
            </w:r>
            <w:r>
              <w:rPr>
                <w:rFonts w:ascii="宋体" w:hAnsi="宋体" w:cs="宋体" w:eastAsia="宋体" w:hint="default"/>
                <w:sz w:val="18"/>
                <w:szCs w:val="18"/>
              </w:rPr>
              <w:t>/</w:t>
            </w:r>
            <w:r>
              <w:rPr>
                <w:rFonts w:ascii="宋体" w:hAnsi="宋体" w:cs="宋体" w:eastAsia="宋体" w:hint="default"/>
                <w:sz w:val="18"/>
                <w:szCs w:val="18"/>
              </w:rPr>
              <w:t>解锁期行权</w:t>
            </w:r>
            <w:r>
              <w:rPr>
                <w:rFonts w:ascii="宋体" w:hAnsi="宋体" w:cs="宋体" w:eastAsia="宋体" w:hint="default"/>
                <w:sz w:val="18"/>
                <w:szCs w:val="18"/>
              </w:rPr>
              <w:t>/</w:t>
            </w:r>
            <w:r>
              <w:rPr>
                <w:rFonts w:ascii="宋体" w:hAnsi="宋体" w:cs="宋体" w:eastAsia="宋体" w:hint="default"/>
                <w:sz w:val="18"/>
                <w:szCs w:val="18"/>
              </w:rPr>
              <w:t>解锁条件成就的公告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2015/6/8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关于使用部分闲置募集资金进行现金管理的进展公</w:t>
            </w:r>
            <w:r>
              <w:rPr>
                <w:rFonts w:ascii="宋体" w:hAnsi="宋体" w:cs="宋体" w:eastAsia="宋体" w:hint="default"/>
                <w:sz w:val="18"/>
                <w:szCs w:val="18"/>
              </w:rPr>
              <w:t> 告（七）</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2015/6/12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关于部分股票期权注销完成的公告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2015/6/15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关于启用银行授信并提供抵押担保的公告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0"/>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39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2015-074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关于发行股份及支付现金购买资产并募集配套资金</w:t>
            </w:r>
            <w:r>
              <w:rPr>
                <w:rFonts w:ascii="宋体" w:hAnsi="宋体" w:cs="宋体" w:eastAsia="宋体" w:hint="default"/>
                <w:sz w:val="18"/>
                <w:szCs w:val="18"/>
              </w:rPr>
              <w:t> 暨关联交易的一般风险提示公告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2015-075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关于披露发行股份及支付现金购买资产并募集配套</w:t>
            </w:r>
            <w:r>
              <w:rPr>
                <w:rFonts w:ascii="宋体" w:hAnsi="宋体" w:cs="宋体" w:eastAsia="宋体" w:hint="default"/>
                <w:sz w:val="18"/>
                <w:szCs w:val="18"/>
              </w:rPr>
              <w:t> 资金暨关联交易报告书暨公司股票继续停牌的公告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关于股东权益变动的提示性公告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独立董事关于公司发行股份及支付现金购买资产并</w:t>
            </w:r>
            <w:r>
              <w:rPr>
                <w:rFonts w:ascii="宋体" w:hAnsi="宋体" w:cs="宋体" w:eastAsia="宋体" w:hint="default"/>
                <w:sz w:val="18"/>
                <w:szCs w:val="18"/>
              </w:rPr>
              <w:t> 募集配套资金的独立意见</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2015-079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2015/7/6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关于首次授予的限制性股票第一个解锁期解锁股份</w:t>
            </w:r>
            <w:r>
              <w:rPr>
                <w:rFonts w:ascii="宋体" w:hAnsi="宋体" w:cs="宋体" w:eastAsia="宋体" w:hint="default"/>
                <w:sz w:val="18"/>
                <w:szCs w:val="18"/>
              </w:rPr>
              <w:t> 并募集配套资金的独立意见</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2015/7/8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关于股票期权与限制性股票激励计划股票期权第一</w:t>
            </w:r>
            <w:r>
              <w:rPr>
                <w:rFonts w:ascii="宋体" w:hAnsi="宋体" w:cs="宋体" w:eastAsia="宋体" w:hint="default"/>
                <w:sz w:val="18"/>
                <w:szCs w:val="18"/>
              </w:rPr>
              <w:t> 个行权期行权情况的公告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0"/>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2015/7/10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关于积极响应维护证券市场持续稳定倡议的公告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2015-083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2015/7/14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关于审计部负责人辞职的公告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2015-084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2015/7/16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关于重大资产重组事项进展暨继续筹划重大事项停</w:t>
            </w:r>
            <w:r>
              <w:rPr>
                <w:rFonts w:ascii="宋体" w:hAnsi="宋体" w:cs="宋体" w:eastAsia="宋体" w:hint="default"/>
                <w:sz w:val="18"/>
                <w:szCs w:val="18"/>
              </w:rPr>
              <w:t> 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2015/7/16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关于发行股份及支付现金购买资产并募集配套资金</w:t>
            </w:r>
            <w:r>
              <w:rPr>
                <w:rFonts w:ascii="宋体" w:hAnsi="宋体" w:cs="宋体" w:eastAsia="宋体" w:hint="default"/>
                <w:sz w:val="18"/>
                <w:szCs w:val="18"/>
              </w:rPr>
              <w:t> 暨关联交易报告书修订说明公告</w:t>
            </w:r>
            <w:r>
              <w:rPr>
                <w:rFonts w:ascii="宋体" w:hAnsi="宋体" w:cs="宋体" w:eastAsia="宋体" w:hint="default"/>
                <w:sz w:val="18"/>
                <w:szCs w:val="18"/>
              </w:rPr>
              <w:t>(3)</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2015/7/29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关于收到《中国证监会行政许可申请受理通知书》的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339" w:val="left" w:leader="none"/>
              </w:tabs>
              <w:spacing w:line="240" w:lineRule="auto" w:before="21"/>
              <w:ind w:right="52"/>
              <w:jc w:val="righ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8.679993pt;margin-top:85.919983pt;width:117pt;height:.1pt;mso-position-horizontal-relative:page;mso-position-vertical-relative:page;z-index:-995992" coordorigin="8374,1718" coordsize="2340,2">
            <v:shape style="position:absolute;left:8374;top:1718;width:2340;height:2" coordorigin="8374,1718" coordsize="2340,0" path="m8374,1718l10714,1718e" filled="false" stroked="true" strokeweight=".48pt" strokecolor="#0000ff">
              <v:path arrowok="t"/>
            </v:shape>
            <w10:wrap type="none"/>
          </v:group>
        </w:pict>
      </w:r>
      <w:r>
        <w:rPr/>
        <w:pict>
          <v:group style="position:absolute;margin-left:418.679993pt;margin-top:103.259979pt;width:117pt;height:.1pt;mso-position-horizontal-relative:page;mso-position-vertical-relative:page;z-index:-995968" coordorigin="8374,2065" coordsize="2340,2">
            <v:shape style="position:absolute;left:8374;top:2065;width:2340;height:2" coordorigin="8374,2065" coordsize="2340,0" path="m8374,2065l10714,2065e" filled="false" stroked="true" strokeweight=".48pt" strokecolor="#0000ff">
              <v:path arrowok="t"/>
            </v:shape>
            <w10:wrap type="none"/>
          </v:group>
        </w:pict>
      </w:r>
      <w:r>
        <w:rPr/>
        <w:pict>
          <v:group style="position:absolute;margin-left:418.679993pt;margin-top:120.599983pt;width:117pt;height:.1pt;mso-position-horizontal-relative:page;mso-position-vertical-relative:page;z-index:-995944" coordorigin="8374,2412" coordsize="2340,2">
            <v:shape style="position:absolute;left:8374;top:2412;width:2340;height:2" coordorigin="8374,2412" coordsize="2340,0" path="m8374,2412l10714,2412e" filled="false" stroked="true" strokeweight=".48pt" strokecolor="#0000ff">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1276"/>
        <w:gridCol w:w="4112"/>
        <w:gridCol w:w="255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2015-092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sz w:val="18"/>
              </w:rPr>
              <w:t>2015/8/3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关于实际控制人部分股份质押的公告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hyperlink r:id="rId12">
              <w:r>
                <w:rPr>
                  <w:rFonts w:ascii="宋体"/>
                  <w:color w:val="0000FF"/>
                  <w:sz w:val="18"/>
                </w:rPr>
                <w:t>http://www.cninfo.com.cn/</w:t>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2015-093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sz w:val="18"/>
              </w:rPr>
              <w:t>2015/8/6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关于实际控制人解除部分股份质押的公告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hyperlink r:id="rId12">
              <w:r>
                <w:rPr>
                  <w:rFonts w:ascii="宋体"/>
                  <w:color w:val="0000FF"/>
                  <w:sz w:val="18"/>
                </w:rPr>
                <w:t>http://www.cninfo.com.cn/</w:t>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2015/8/17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关于股权激励对象所持已获授但尚未解锁的限制性</w:t>
            </w:r>
            <w:r>
              <w:rPr>
                <w:rFonts w:ascii="宋体" w:hAnsi="宋体" w:cs="宋体" w:eastAsia="宋体" w:hint="default"/>
                <w:sz w:val="18"/>
                <w:szCs w:val="18"/>
              </w:rPr>
              <w:t> 股票回购注销完成的公告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hyperlink r:id="rId12">
              <w:r>
                <w:rPr>
                  <w:rFonts w:ascii="宋体"/>
                  <w:color w:val="0000FF"/>
                  <w:sz w:val="18"/>
                </w:rPr>
                <w:t>http://www.cninfo.com.cn/</w:t>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2015-098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2015/8/24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关于收到《中国证监会行政许可项目审查一次反馈意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见通知书》的公告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2015-099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sz w:val="18"/>
              </w:rPr>
              <w:t>2015/8/25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年半年度报告摘要</w:t>
            </w:r>
            <w:r>
              <w:rPr>
                <w:rFonts w:ascii="宋体" w:hAnsi="宋体" w:cs="宋体" w:eastAsia="宋体" w:hint="default"/>
                <w:sz w:val="18"/>
                <w:szCs w:val="18"/>
              </w:rPr>
              <w:t>.</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0"/>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2015/8/25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关于东林电子回购公司持有的萤火虫节能股份的公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2015/9/10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关于《中国证监会行政许可项目审查一次反馈意见通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知书》之反馈意见回复的公告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2015/9/23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关于中国证监会上市公司并购重组审核委员会审核</w:t>
            </w:r>
            <w:r>
              <w:rPr>
                <w:rFonts w:ascii="宋体" w:hAnsi="宋体" w:cs="宋体" w:eastAsia="宋体" w:hint="default"/>
                <w:sz w:val="18"/>
                <w:szCs w:val="18"/>
              </w:rPr>
              <w:t> 公司重大资产重组事项的公告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2015/9/24</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关于《中国证监会行政许可项目审查一次反馈意见通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知书》之反馈意见回复修订的公告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2015/9/30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关于公司重大资产重组事项获得中国证监会上市公</w:t>
            </w:r>
            <w:r>
              <w:rPr>
                <w:rFonts w:ascii="宋体" w:hAnsi="宋体" w:cs="宋体" w:eastAsia="宋体" w:hint="default"/>
                <w:sz w:val="18"/>
                <w:szCs w:val="18"/>
              </w:rPr>
              <w:t> 司并购重组审核委员会审核通过的公告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2015-119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sz w:val="18"/>
              </w:rPr>
              <w:t>2015/10/23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年第三季度报告正文</w:t>
            </w:r>
            <w:r>
              <w:rPr>
                <w:rFonts w:ascii="宋体" w:hAnsi="宋体" w:cs="宋体" w:eastAsia="宋体" w:hint="default"/>
                <w:sz w:val="18"/>
                <w:szCs w:val="18"/>
              </w:rPr>
              <w:t>10.26</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0"/>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2015/10/27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5"/>
                <w:sz w:val="18"/>
                <w:szCs w:val="18"/>
              </w:rPr>
              <w:t>关于公司</w:t>
            </w:r>
            <w:r>
              <w:rPr>
                <w:rFonts w:ascii="宋体" w:hAnsi="宋体" w:cs="宋体" w:eastAsia="宋体" w:hint="default"/>
                <w:spacing w:val="5"/>
                <w:sz w:val="18"/>
                <w:szCs w:val="18"/>
              </w:rPr>
              <w:t>2014</w:t>
            </w:r>
            <w:r>
              <w:rPr>
                <w:rFonts w:ascii="宋体" w:hAnsi="宋体" w:cs="宋体" w:eastAsia="宋体" w:hint="default"/>
                <w:spacing w:val="5"/>
                <w:sz w:val="18"/>
                <w:szCs w:val="18"/>
              </w:rPr>
              <w:t>年度日常关联交易情况及</w:t>
            </w:r>
            <w:r>
              <w:rPr>
                <w:rFonts w:ascii="宋体" w:hAnsi="宋体" w:cs="宋体" w:eastAsia="宋体" w:hint="default"/>
                <w:spacing w:val="5"/>
                <w:sz w:val="18"/>
                <w:szCs w:val="18"/>
              </w:rPr>
              <w:t>2015</w:t>
            </w:r>
            <w:r>
              <w:rPr>
                <w:rFonts w:ascii="宋体" w:hAnsi="宋体" w:cs="宋体" w:eastAsia="宋体" w:hint="default"/>
                <w:spacing w:val="5"/>
                <w:sz w:val="18"/>
                <w:szCs w:val="18"/>
              </w:rPr>
              <w:t>年度日</w:t>
            </w:r>
            <w:r>
              <w:rPr>
                <w:rFonts w:ascii="宋体" w:hAnsi="宋体" w:cs="宋体" w:eastAsia="宋体" w:hint="default"/>
                <w:spacing w:val="-86"/>
                <w:sz w:val="18"/>
                <w:szCs w:val="18"/>
              </w:rPr>
              <w:t> </w:t>
            </w:r>
            <w:r>
              <w:rPr>
                <w:rFonts w:ascii="宋体" w:hAnsi="宋体" w:cs="宋体" w:eastAsia="宋体" w:hint="default"/>
                <w:sz w:val="18"/>
                <w:szCs w:val="18"/>
              </w:rPr>
              <w:t>常关联交易预计的公告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关于变更银行授信主体的公告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2015-131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关于公司重大资产重组事项获得中国证监会核准的</w:t>
            </w:r>
            <w:r>
              <w:rPr>
                <w:rFonts w:ascii="宋体" w:hAnsi="宋体" w:cs="宋体" w:eastAsia="宋体" w:hint="default"/>
                <w:sz w:val="18"/>
                <w:szCs w:val="18"/>
              </w:rPr>
              <w:t> 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both"/>
              <w:rPr>
                <w:rFonts w:ascii="宋体" w:hAnsi="宋体" w:cs="宋体" w:eastAsia="宋体" w:hint="default"/>
                <w:sz w:val="18"/>
                <w:szCs w:val="18"/>
              </w:rPr>
            </w:pPr>
            <w:r>
              <w:rPr>
                <w:rFonts w:ascii="宋体" w:hAnsi="宋体" w:cs="宋体" w:eastAsia="宋体" w:hint="default"/>
                <w:spacing w:val="5"/>
                <w:sz w:val="18"/>
                <w:szCs w:val="18"/>
              </w:rPr>
              <w:t>深圳市实益达科技股份有限公司关于发行股份及支</w:t>
            </w:r>
            <w:r>
              <w:rPr>
                <w:rFonts w:ascii="宋体" w:hAnsi="宋体" w:cs="宋体" w:eastAsia="宋体" w:hint="default"/>
                <w:sz w:val="18"/>
                <w:szCs w:val="18"/>
              </w:rPr>
              <w:t> </w:t>
            </w:r>
            <w:r>
              <w:rPr>
                <w:rFonts w:ascii="宋体" w:hAnsi="宋体" w:cs="宋体" w:eastAsia="宋体" w:hint="default"/>
                <w:spacing w:val="5"/>
                <w:sz w:val="18"/>
                <w:szCs w:val="18"/>
              </w:rPr>
              <w:t>付现金购买资产并募集配套资金暨关联交易报告书</w:t>
            </w:r>
            <w:r>
              <w:rPr>
                <w:rFonts w:ascii="宋体" w:hAnsi="宋体" w:cs="宋体" w:eastAsia="宋体" w:hint="default"/>
                <w:sz w:val="18"/>
                <w:szCs w:val="18"/>
              </w:rPr>
              <w:t> 修订说明</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关于披露重大资产出售暨关联交易预案暨公司股票</w:t>
            </w:r>
            <w:r>
              <w:rPr>
                <w:rFonts w:ascii="宋体" w:hAnsi="宋体" w:cs="宋体" w:eastAsia="宋体" w:hint="default"/>
                <w:sz w:val="18"/>
                <w:szCs w:val="18"/>
              </w:rPr>
              <w:t> 继续停牌的公告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2015-143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sz w:val="18"/>
              </w:rPr>
              <w:t>2015/11/16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关于董事、财务负责人辞职及选举董事、聘任财务负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责人的公告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0"/>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关于回购注销部分已不符合激励条件的激励对象已</w:t>
            </w:r>
            <w:r>
              <w:rPr>
                <w:rFonts w:ascii="宋体" w:hAnsi="宋体" w:cs="宋体" w:eastAsia="宋体" w:hint="default"/>
                <w:sz w:val="18"/>
                <w:szCs w:val="18"/>
              </w:rPr>
              <w:t> 获授权但未解锁的限制性股票事宜的公告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2015-146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关于首期员工持股计划持有人份额调整的公告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2015-148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关于深圳证券交易所《关于对深圳市实益达科技股份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有限公司的重组问询函》回复暨股票复牌的公告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关于股票交易异常波动的公告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2015/11/20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关于股票交易异常波动的补充公告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2015-154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sz w:val="18"/>
              </w:rPr>
              <w:t>2015/11/21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8"/>
              <w:jc w:val="left"/>
              <w:rPr>
                <w:rFonts w:ascii="宋体" w:hAnsi="宋体" w:cs="宋体" w:eastAsia="宋体" w:hint="default"/>
                <w:sz w:val="18"/>
                <w:szCs w:val="18"/>
              </w:rPr>
            </w:pPr>
            <w:r>
              <w:rPr>
                <w:rFonts w:ascii="宋体" w:hAnsi="宋体" w:cs="宋体" w:eastAsia="宋体" w:hint="default"/>
                <w:spacing w:val="5"/>
                <w:sz w:val="18"/>
                <w:szCs w:val="18"/>
              </w:rPr>
              <w:t>关于与深圳比亚迪国际融资租赁有限公司开展融资</w:t>
            </w:r>
            <w:r>
              <w:rPr>
                <w:rFonts w:ascii="宋体" w:hAnsi="宋体" w:cs="宋体" w:eastAsia="宋体" w:hint="default"/>
                <w:sz w:val="18"/>
                <w:szCs w:val="18"/>
              </w:rPr>
              <w:t> 租赁业务的公告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0"/>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2015/11/25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发行股份及支付现金购买资产并募集配套资金暨关</w:t>
            </w:r>
            <w:r>
              <w:rPr>
                <w:rFonts w:ascii="宋体" w:hAnsi="宋体" w:cs="宋体" w:eastAsia="宋体" w:hint="default"/>
                <w:sz w:val="18"/>
                <w:szCs w:val="18"/>
              </w:rPr>
              <w:t> 联交易标的资产交割完成公告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8.679993pt;margin-top:85.919983pt;width:117pt;height:.1pt;mso-position-horizontal-relative:page;mso-position-vertical-relative:page;z-index:-995920" coordorigin="8374,1718" coordsize="2340,2">
            <v:shape style="position:absolute;left:8374;top:1718;width:2340;height:2" coordorigin="8374,1718" coordsize="2340,0" path="m8374,1718l10714,1718e" filled="false" stroked="true" strokeweight=".48pt" strokecolor="#0000ff">
              <v:path arrowok="t"/>
            </v:shape>
            <w10:wrap type="none"/>
          </v:group>
        </w:pict>
      </w:r>
      <w:r>
        <w:rPr/>
        <w:pict>
          <v:group style="position:absolute;margin-left:418.679993pt;margin-top:103.259979pt;width:117pt;height:.1pt;mso-position-horizontal-relative:page;mso-position-vertical-relative:page;z-index:-995896" coordorigin="8374,2065" coordsize="2340,2">
            <v:shape style="position:absolute;left:8374;top:2065;width:2340;height:2" coordorigin="8374,2065" coordsize="2340,0" path="m8374,2065l10714,2065e" filled="false" stroked="true" strokeweight=".48pt" strokecolor="#0000ff">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1276"/>
        <w:gridCol w:w="4112"/>
        <w:gridCol w:w="255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2015/11/26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关于实际控制人解除股份质押的公告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hyperlink r:id="rId12">
              <w:r>
                <w:rPr>
                  <w:rFonts w:ascii="宋体"/>
                  <w:color w:val="0000FF"/>
                  <w:sz w:val="18"/>
                </w:rPr>
                <w:t>http://www.cninfo.com.cn/</w:t>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2015/11/26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关于公司实际控制人进行股票质押式回购交易的公</w:t>
            </w:r>
            <w:r>
              <w:rPr>
                <w:rFonts w:ascii="宋体" w:hAnsi="宋体" w:cs="宋体" w:eastAsia="宋体" w:hint="default"/>
                <w:sz w:val="18"/>
                <w:szCs w:val="18"/>
              </w:rPr>
              <w:t> 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hyperlink r:id="rId12">
              <w:r>
                <w:rPr>
                  <w:rFonts w:ascii="宋体"/>
                  <w:color w:val="0000FF"/>
                  <w:sz w:val="18"/>
                </w:rPr>
                <w:t>http://www.cninfo.com.cn/</w:t>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2015/12/7</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关于变更公司名称及股票简称的公告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2015-163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2015/12/8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关于股票交易异常波动的公告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78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sz w:val="18"/>
              </w:rPr>
              <w:t>2015-166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sz w:val="18"/>
              </w:rPr>
              <w:t>2015/12/28</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关于公司成立数字研究院的公告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0"/>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sz w:val="18"/>
              </w:rPr>
              <w:t>79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2015-169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sz w:val="18"/>
              </w:rPr>
              <w:t>2015/12/30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5"/>
                <w:sz w:val="18"/>
                <w:szCs w:val="18"/>
              </w:rPr>
              <w:t>关于调整公司发行股份购买资产并募集配套资金暨</w:t>
            </w:r>
            <w:r>
              <w:rPr>
                <w:rFonts w:ascii="宋体" w:hAnsi="宋体" w:cs="宋体" w:eastAsia="宋体" w:hint="default"/>
                <w:sz w:val="18"/>
                <w:szCs w:val="18"/>
              </w:rPr>
              <w:t> 关联交易方案的公告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82" w:val="left" w:leader="none"/>
              </w:tabs>
              <w:spacing w:line="240" w:lineRule="auto" w:before="21"/>
              <w:ind w:left="142" w:right="0"/>
              <w:jc w:val="left"/>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left="154" w:right="0"/>
        <w:jc w:val="left"/>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1276"/>
        <w:gridCol w:w="4112"/>
        <w:gridCol w:w="2551"/>
      </w:tblGrid>
      <w:tr>
        <w:trPr>
          <w:trHeight w:val="26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b/>
                <w:bCs/>
                <w:sz w:val="18"/>
                <w:szCs w:val="18"/>
              </w:rPr>
              <w:t>文件名称</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b/>
                <w:bCs/>
                <w:sz w:val="18"/>
                <w:szCs w:val="18"/>
              </w:rPr>
              <w:t>刊登媒体</w:t>
            </w:r>
            <w:r>
              <w:rPr>
                <w:rFonts w:ascii="宋体" w:hAnsi="宋体" w:cs="宋体" w:eastAsia="宋体" w:hint="default"/>
                <w:sz w:val="18"/>
                <w:szCs w:val="18"/>
              </w:rPr>
            </w:r>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8"/>
              <w:jc w:val="right"/>
              <w:rPr>
                <w:rFonts w:ascii="宋体" w:hAnsi="宋体" w:cs="宋体" w:eastAsia="宋体" w:hint="default"/>
                <w:sz w:val="18"/>
                <w:szCs w:val="18"/>
              </w:rPr>
            </w:pPr>
            <w:r>
              <w:rPr>
                <w:rFonts w:ascii="宋体"/>
                <w:sz w:val="18"/>
              </w:rPr>
              <w:t>2015-087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25" w:right="0"/>
              <w:jc w:val="left"/>
              <w:rPr>
                <w:rFonts w:ascii="宋体" w:hAnsi="宋体" w:cs="宋体" w:eastAsia="宋体" w:hint="default"/>
                <w:sz w:val="18"/>
                <w:szCs w:val="18"/>
              </w:rPr>
            </w:pPr>
            <w:r>
              <w:rPr>
                <w:rFonts w:ascii="宋体"/>
                <w:sz w:val="18"/>
              </w:rPr>
              <w:t>2015/7/21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2" w:right="133"/>
              <w:jc w:val="left"/>
              <w:rPr>
                <w:rFonts w:ascii="宋体" w:hAnsi="宋体" w:cs="宋体" w:eastAsia="宋体" w:hint="default"/>
                <w:sz w:val="18"/>
                <w:szCs w:val="18"/>
              </w:rPr>
            </w:pPr>
            <w:r>
              <w:rPr>
                <w:rFonts w:ascii="宋体" w:hAnsi="宋体" w:cs="宋体" w:eastAsia="宋体" w:hint="default"/>
                <w:sz w:val="18"/>
                <w:szCs w:val="18"/>
              </w:rPr>
              <w:t>关于子公司深圳市汇大光电科技有限公司拟改申请 在全国中小企业股份转让系统的公告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5"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8"/>
              <w:jc w:val="right"/>
              <w:rPr>
                <w:rFonts w:ascii="宋体" w:hAnsi="宋体" w:cs="宋体" w:eastAsia="宋体" w:hint="default"/>
                <w:sz w:val="18"/>
                <w:szCs w:val="18"/>
              </w:rPr>
            </w:pPr>
            <w:r>
              <w:rPr>
                <w:rFonts w:ascii="宋体"/>
                <w:sz w:val="18"/>
              </w:rPr>
              <w:t>2015-125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79" w:right="0"/>
              <w:jc w:val="left"/>
              <w:rPr>
                <w:rFonts w:ascii="宋体" w:hAnsi="宋体" w:cs="宋体" w:eastAsia="宋体" w:hint="default"/>
                <w:sz w:val="18"/>
                <w:szCs w:val="18"/>
              </w:rPr>
            </w:pPr>
            <w:r>
              <w:rPr>
                <w:rFonts w:ascii="宋体"/>
                <w:sz w:val="18"/>
              </w:rPr>
              <w:t>2015/10/30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33"/>
              <w:jc w:val="left"/>
              <w:rPr>
                <w:rFonts w:ascii="宋体" w:hAnsi="宋体" w:cs="宋体" w:eastAsia="宋体" w:hint="default"/>
                <w:sz w:val="18"/>
                <w:szCs w:val="18"/>
              </w:rPr>
            </w:pPr>
            <w:r>
              <w:rPr>
                <w:rFonts w:ascii="宋体" w:hAnsi="宋体" w:cs="宋体" w:eastAsia="宋体" w:hint="default"/>
                <w:sz w:val="18"/>
                <w:szCs w:val="18"/>
              </w:rPr>
              <w:t>关于参股公司深圳市电明科技股份有限公司在全国 中小企业股份转让系统挂牌申请获得受理的公告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6"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8"/>
              <w:jc w:val="right"/>
              <w:rPr>
                <w:rFonts w:ascii="宋体" w:hAnsi="宋体" w:cs="宋体" w:eastAsia="宋体" w:hint="default"/>
                <w:sz w:val="18"/>
                <w:szCs w:val="18"/>
              </w:rPr>
            </w:pPr>
            <w:r>
              <w:rPr>
                <w:rFonts w:ascii="宋体"/>
                <w:sz w:val="18"/>
              </w:rPr>
              <w:t>2015-127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25" w:right="0"/>
              <w:jc w:val="left"/>
              <w:rPr>
                <w:rFonts w:ascii="宋体" w:hAnsi="宋体" w:cs="宋体" w:eastAsia="宋体" w:hint="default"/>
                <w:sz w:val="18"/>
                <w:szCs w:val="18"/>
              </w:rPr>
            </w:pPr>
            <w:r>
              <w:rPr>
                <w:rFonts w:ascii="宋体"/>
                <w:sz w:val="18"/>
              </w:rPr>
              <w:t>2015/11/2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33"/>
              <w:jc w:val="left"/>
              <w:rPr>
                <w:rFonts w:ascii="宋体" w:hAnsi="宋体" w:cs="宋体" w:eastAsia="宋体" w:hint="default"/>
                <w:sz w:val="18"/>
                <w:szCs w:val="18"/>
              </w:rPr>
            </w:pPr>
            <w:r>
              <w:rPr>
                <w:rFonts w:ascii="宋体" w:hAnsi="宋体" w:cs="宋体" w:eastAsia="宋体" w:hint="default"/>
                <w:sz w:val="18"/>
                <w:szCs w:val="18"/>
              </w:rPr>
              <w:t>关于子公司深圳市实益达照明有限公司增资扩股的 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6"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8"/>
              <w:jc w:val="right"/>
              <w:rPr>
                <w:rFonts w:ascii="宋体" w:hAnsi="宋体" w:cs="宋体" w:eastAsia="宋体" w:hint="default"/>
                <w:sz w:val="18"/>
                <w:szCs w:val="18"/>
              </w:rPr>
            </w:pPr>
            <w:r>
              <w:rPr>
                <w:rFonts w:ascii="宋体"/>
                <w:sz w:val="18"/>
              </w:rPr>
              <w:t>2015-128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25" w:right="0"/>
              <w:jc w:val="left"/>
              <w:rPr>
                <w:rFonts w:ascii="宋体" w:hAnsi="宋体" w:cs="宋体" w:eastAsia="宋体" w:hint="default"/>
                <w:sz w:val="18"/>
                <w:szCs w:val="18"/>
              </w:rPr>
            </w:pPr>
            <w:r>
              <w:rPr>
                <w:rFonts w:ascii="宋体"/>
                <w:sz w:val="18"/>
              </w:rPr>
              <w:t>2015/11/2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2" w:right="133"/>
              <w:jc w:val="left"/>
              <w:rPr>
                <w:rFonts w:ascii="宋体" w:hAnsi="宋体" w:cs="宋体" w:eastAsia="宋体" w:hint="default"/>
                <w:sz w:val="18"/>
                <w:szCs w:val="18"/>
              </w:rPr>
            </w:pPr>
            <w:r>
              <w:rPr>
                <w:rFonts w:ascii="宋体" w:hAnsi="宋体" w:cs="宋体" w:eastAsia="宋体" w:hint="default"/>
                <w:sz w:val="18"/>
                <w:szCs w:val="18"/>
              </w:rPr>
              <w:t>关于对全资子公司深圳市元通孵化有限公司增资的 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6"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8"/>
              <w:jc w:val="right"/>
              <w:rPr>
                <w:rFonts w:ascii="宋体" w:hAnsi="宋体" w:cs="宋体" w:eastAsia="宋体" w:hint="default"/>
                <w:sz w:val="18"/>
                <w:szCs w:val="18"/>
              </w:rPr>
            </w:pPr>
            <w:r>
              <w:rPr>
                <w:rFonts w:ascii="宋体"/>
                <w:sz w:val="18"/>
              </w:rPr>
              <w:t>2015-130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25" w:right="0"/>
              <w:jc w:val="left"/>
              <w:rPr>
                <w:rFonts w:ascii="宋体" w:hAnsi="宋体" w:cs="宋体" w:eastAsia="宋体" w:hint="default"/>
                <w:sz w:val="18"/>
                <w:szCs w:val="18"/>
              </w:rPr>
            </w:pPr>
            <w:r>
              <w:rPr>
                <w:rFonts w:ascii="宋体"/>
                <w:sz w:val="18"/>
              </w:rPr>
              <w:t>2015/11/3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2" w:right="133"/>
              <w:jc w:val="left"/>
              <w:rPr>
                <w:rFonts w:ascii="宋体" w:hAnsi="宋体" w:cs="宋体" w:eastAsia="宋体" w:hint="default"/>
                <w:sz w:val="18"/>
                <w:szCs w:val="18"/>
              </w:rPr>
            </w:pPr>
            <w:r>
              <w:rPr>
                <w:rFonts w:ascii="宋体" w:hAnsi="宋体" w:cs="宋体" w:eastAsia="宋体" w:hint="default"/>
                <w:sz w:val="18"/>
                <w:szCs w:val="18"/>
              </w:rPr>
              <w:t>关于子公司深圳市汇大光电科技股份有限公司在全 国中小企业股份转让系统挂牌申请获得受理的公告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5"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8"/>
              <w:jc w:val="right"/>
              <w:rPr>
                <w:rFonts w:ascii="宋体" w:hAnsi="宋体" w:cs="宋体" w:eastAsia="宋体" w:hint="default"/>
                <w:sz w:val="18"/>
                <w:szCs w:val="18"/>
              </w:rPr>
            </w:pPr>
            <w:r>
              <w:rPr>
                <w:rFonts w:ascii="宋体"/>
                <w:sz w:val="18"/>
              </w:rPr>
              <w:t>2015-138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25" w:right="0"/>
              <w:jc w:val="left"/>
              <w:rPr>
                <w:rFonts w:ascii="宋体" w:hAnsi="宋体" w:cs="宋体" w:eastAsia="宋体" w:hint="default"/>
                <w:sz w:val="18"/>
                <w:szCs w:val="18"/>
              </w:rPr>
            </w:pPr>
            <w:r>
              <w:rPr>
                <w:rFonts w:ascii="宋体"/>
                <w:sz w:val="18"/>
              </w:rPr>
              <w:t>2015/11/9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33"/>
              <w:jc w:val="left"/>
              <w:rPr>
                <w:rFonts w:ascii="宋体" w:hAnsi="宋体" w:cs="宋体" w:eastAsia="宋体" w:hint="default"/>
                <w:sz w:val="18"/>
                <w:szCs w:val="18"/>
              </w:rPr>
            </w:pPr>
            <w:r>
              <w:rPr>
                <w:rFonts w:ascii="宋体" w:hAnsi="宋体" w:cs="宋体" w:eastAsia="宋体" w:hint="default"/>
                <w:sz w:val="18"/>
                <w:szCs w:val="18"/>
              </w:rPr>
              <w:t>关于以公司部分资产对子公司深圳市元通孵化有限 公司增资的公告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6"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26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98"/>
              <w:jc w:val="right"/>
              <w:rPr>
                <w:rFonts w:ascii="宋体" w:hAnsi="宋体" w:cs="宋体" w:eastAsia="宋体" w:hint="default"/>
                <w:sz w:val="18"/>
                <w:szCs w:val="18"/>
              </w:rPr>
            </w:pPr>
            <w:r>
              <w:rPr>
                <w:rFonts w:ascii="宋体"/>
                <w:sz w:val="18"/>
              </w:rPr>
              <w:t>2015-165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79" w:right="0"/>
              <w:jc w:val="left"/>
              <w:rPr>
                <w:rFonts w:ascii="宋体" w:hAnsi="宋体" w:cs="宋体" w:eastAsia="宋体" w:hint="default"/>
                <w:sz w:val="18"/>
                <w:szCs w:val="18"/>
              </w:rPr>
            </w:pPr>
            <w:r>
              <w:rPr>
                <w:rFonts w:ascii="宋体"/>
                <w:sz w:val="18"/>
              </w:rPr>
              <w:t>2015/12/16</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关于参股公司获准新三板挂牌的公告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6"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r>
        <w:trPr>
          <w:trHeight w:val="50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98"/>
              <w:jc w:val="right"/>
              <w:rPr>
                <w:rFonts w:ascii="宋体" w:hAnsi="宋体" w:cs="宋体" w:eastAsia="宋体" w:hint="default"/>
                <w:sz w:val="18"/>
                <w:szCs w:val="18"/>
              </w:rPr>
            </w:pPr>
            <w:r>
              <w:rPr>
                <w:rFonts w:ascii="宋体"/>
                <w:sz w:val="18"/>
              </w:rPr>
              <w:t>2015-168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79" w:right="0"/>
              <w:jc w:val="left"/>
              <w:rPr>
                <w:rFonts w:ascii="宋体" w:hAnsi="宋体" w:cs="宋体" w:eastAsia="宋体" w:hint="default"/>
                <w:sz w:val="18"/>
                <w:szCs w:val="18"/>
              </w:rPr>
            </w:pPr>
            <w:r>
              <w:rPr>
                <w:rFonts w:ascii="宋体"/>
                <w:sz w:val="18"/>
              </w:rPr>
              <w:t>2015/12/30</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2" w:right="133"/>
              <w:jc w:val="left"/>
              <w:rPr>
                <w:rFonts w:ascii="宋体" w:hAnsi="宋体" w:cs="宋体" w:eastAsia="宋体" w:hint="default"/>
                <w:sz w:val="18"/>
                <w:szCs w:val="18"/>
              </w:rPr>
            </w:pPr>
            <w:r>
              <w:rPr>
                <w:rFonts w:ascii="宋体" w:hAnsi="宋体" w:cs="宋体" w:eastAsia="宋体" w:hint="default"/>
                <w:sz w:val="18"/>
                <w:szCs w:val="18"/>
              </w:rPr>
              <w:t>关于控股子公司深圳市实益达照明有限公司拟申请 在全国中小企业股份转让系统的公告</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tabs>
                <w:tab w:pos="2428" w:val="left" w:leader="none"/>
              </w:tabs>
              <w:spacing w:line="215" w:lineRule="exact"/>
              <w:ind w:left="88" w:right="0"/>
              <w:jc w:val="center"/>
              <w:rPr>
                <w:rFonts w:ascii="宋体" w:hAnsi="宋体" w:cs="宋体" w:eastAsia="宋体" w:hint="default"/>
                <w:sz w:val="18"/>
                <w:szCs w:val="18"/>
              </w:rPr>
            </w:pPr>
            <w:r>
              <w:rPr>
                <w:rFonts w:ascii="宋体"/>
                <w:color w:val="0000FF"/>
                <w:sz w:val="18"/>
              </w:rPr>
            </w:r>
            <w:hyperlink r:id="rId12">
              <w:r>
                <w:rPr>
                  <w:rFonts w:ascii="宋体"/>
                  <w:color w:val="0000FF"/>
                  <w:sz w:val="18"/>
                  <w:u w:val="single" w:color="0000FF"/>
                </w:rPr>
                <w:t>http://www.cninfo.com.cn/</w:t>
                <w:tab/>
              </w:r>
              <w:r>
                <w:rPr>
                  <w:rFonts w:ascii="宋体"/>
                  <w:color w:val="0000FF"/>
                  <w:sz w:val="18"/>
                </w:rPr>
              </w:r>
              <w:r>
                <w:rPr>
                  <w:rFonts w:ascii="宋体"/>
                  <w:sz w:val="18"/>
                </w:rPr>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二十、社会责任情况" w:id="97"/>
      <w:bookmarkEnd w:id="97"/>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作为上市公司，公司始终坚持可持续发展与有效益扩张的原则，努力提升经营业绩、规范运作，不断完善公司治理，严</w:t>
      </w:r>
    </w:p>
    <w:p>
      <w:pPr>
        <w:pStyle w:val="BodyText"/>
        <w:spacing w:line="316" w:lineRule="auto" w:before="2"/>
        <w:ind w:left="514" w:right="0" w:hanging="360"/>
        <w:jc w:val="left"/>
      </w:pPr>
      <w:r>
        <w:rPr/>
        <w:t>格防范风险，持续回报股东信任并为股东创造价值。 </w:t>
      </w:r>
      <w:r>
        <w:rPr>
          <w:spacing w:val="-2"/>
        </w:rPr>
        <w:t>保障股东特别是中小股东的权益，是公司最基本的社会责任。公司严格按照《公司章程》、《股东大会议事规则》的规</w:t>
      </w:r>
    </w:p>
    <w:p>
      <w:pPr>
        <w:pStyle w:val="BodyText"/>
        <w:spacing w:line="316" w:lineRule="auto"/>
        <w:ind w:left="154" w:right="0"/>
        <w:jc w:val="left"/>
      </w:pPr>
      <w:r>
        <w:rPr>
          <w:spacing w:val="-2"/>
        </w:rPr>
        <w:t>定和要求，规范股东大会的召集、召开、表决程序，通过合法有效的方式，让更多的股东能够参加股东大会，确保股东对公</w:t>
      </w:r>
      <w:r>
        <w:rPr>
          <w:spacing w:val="-67"/>
        </w:rPr>
        <w:t> </w:t>
      </w:r>
      <w:r>
        <w:rPr>
          <w:spacing w:val="-67"/>
        </w:rPr>
      </w:r>
      <w:r>
        <w:rPr/>
        <w:t>司重大事项的知情权、参与权和表决权；认真履行信息披露义务，秉持公平、公正、公开的原则对待全体投资者。</w:t>
      </w:r>
    </w:p>
    <w:p>
      <w:pPr>
        <w:pStyle w:val="BodyText"/>
        <w:spacing w:line="319" w:lineRule="auto"/>
        <w:ind w:right="1130" w:firstLine="360"/>
        <w:jc w:val="both"/>
      </w:pPr>
      <w:r>
        <w:rPr>
          <w:spacing w:val="-2"/>
        </w:rPr>
        <w:t>公司结合内部控制设计与运行的实际情况，进一步梳理各业务流程的内部控制制度，评估和确定关键控制活动及控制风</w:t>
      </w:r>
      <w:r>
        <w:rPr/>
        <w:t> </w:t>
      </w:r>
      <w:r>
        <w:rPr>
          <w:spacing w:val="-2"/>
        </w:rPr>
        <w:t>险，制定了应对策略；组织各部门开展自评价工作，识别内部控制缺陷，并依据相应的整改机制进行整改。报告期内，公司</w:t>
      </w:r>
      <w:r>
        <w:rPr>
          <w:spacing w:val="-68"/>
        </w:rPr>
        <w:t> </w:t>
      </w:r>
      <w:r>
        <w:rPr>
          <w:spacing w:val="-68"/>
        </w:rPr>
      </w:r>
      <w:r>
        <w:rPr>
          <w:spacing w:val="-2"/>
        </w:rPr>
        <w:t>已建立了完善的法人治理结构，公司现行的内部控制制度较为完整、合理和健全有效，各项制度得到了有效的实施，为公司</w:t>
      </w:r>
      <w:r>
        <w:rPr>
          <w:spacing w:val="-65"/>
        </w:rPr>
        <w:t> </w:t>
      </w:r>
      <w:r>
        <w:rPr>
          <w:spacing w:val="-65"/>
        </w:rPr>
      </w:r>
      <w:r>
        <w:rPr/>
        <w:t>经营管理的合法合规、资产安全、财务报告及相关信息的真实、完整提供了合理保障。</w:t>
      </w:r>
    </w:p>
    <w:p>
      <w:pPr>
        <w:pStyle w:val="BodyText"/>
        <w:spacing w:line="309" w:lineRule="auto" w:before="17"/>
        <w:ind w:right="1131" w:firstLine="360"/>
        <w:jc w:val="both"/>
      </w:pPr>
      <w:r>
        <w:rPr>
          <w:spacing w:val="-2"/>
        </w:rPr>
        <w:t>在维护员工权益方面，公司始终坚持以人为本的核心价值观，视员工为企业生存和发展最宝贵的资源，把人文关怀和企</w:t>
      </w:r>
      <w:r>
        <w:rPr/>
        <w:t> </w:t>
      </w:r>
      <w:r>
        <w:rPr>
          <w:spacing w:val="-2"/>
        </w:rPr>
        <w:t>业文化建设作为公司人力资源体系努力的立足点，以</w:t>
      </w:r>
      <w:r>
        <w:rPr>
          <w:rFonts w:ascii="Times New Roman" w:hAnsi="Times New Roman" w:cs="Times New Roman" w:eastAsia="Times New Roman" w:hint="default"/>
          <w:spacing w:val="-2"/>
        </w:rPr>
        <w:t>“</w:t>
      </w:r>
      <w:r>
        <w:rPr>
          <w:spacing w:val="-2"/>
        </w:rPr>
        <w:t>分享简单的快乐</w:t>
      </w:r>
      <w:r>
        <w:rPr>
          <w:rFonts w:ascii="Times New Roman" w:hAnsi="Times New Roman" w:cs="Times New Roman" w:eastAsia="Times New Roman" w:hint="default"/>
          <w:spacing w:val="-2"/>
        </w:rPr>
        <w:t>”</w:t>
      </w:r>
      <w:r>
        <w:rPr>
          <w:spacing w:val="-2"/>
        </w:rPr>
        <w:t>为出发点，关心员工的工作、生活、健康与回报，切</w:t>
      </w:r>
      <w:r>
        <w:rPr>
          <w:spacing w:val="-48"/>
        </w:rPr>
        <w:t> </w:t>
      </w:r>
      <w:r>
        <w:rPr>
          <w:spacing w:val="-48"/>
        </w:rPr>
      </w:r>
      <w:r>
        <w:rPr/>
        <w:t>实保护员工的各项权益，提升企业的凝聚力与创造力，实现员工与企业的共同成长。</w:t>
      </w:r>
    </w:p>
    <w:p>
      <w:pPr>
        <w:pStyle w:val="BodyText"/>
        <w:spacing w:line="240" w:lineRule="auto" w:before="24"/>
        <w:ind w:left="513" w:right="0"/>
        <w:jc w:val="left"/>
      </w:pPr>
      <w:r>
        <w:rPr/>
        <w:t>公司将环境保护作为企业可持续发展的重要内容，节能环保、可持续发展是一个企业的社会责任，也是践行可持续发展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社会的精神的展现。近年来，公司始终坚持绿色发展观，认真落实各项节能环保措施，公司每一步的发展都坚持节能降耗、 </w:t>
      </w:r>
      <w:r>
        <w:rPr>
          <w:spacing w:val="-2"/>
        </w:rPr>
        <w:t>环境和谐的社会环保理念。在日常的经营活动和办公中，公司积极践行低碳、环保、绿色办公理念，公司高度重视和严格控</w:t>
      </w:r>
      <w:r>
        <w:rPr>
          <w:spacing w:val="-66"/>
        </w:rPr>
        <w:t> </w:t>
      </w:r>
      <w:r>
        <w:rPr>
          <w:spacing w:val="-66"/>
        </w:rPr>
      </w:r>
      <w:r>
        <w:rPr>
          <w:spacing w:val="-2"/>
        </w:rPr>
        <w:t>制企业运营对环境的影响，提倡低碳节能和绿色环保，加强办公节能管理，倡导绿色办公。积极推进信息化建设，推进无纸</w:t>
      </w:r>
      <w:r>
        <w:rPr>
          <w:spacing w:val="-66"/>
        </w:rPr>
        <w:t> </w:t>
      </w:r>
      <w:r>
        <w:rPr>
          <w:spacing w:val="-66"/>
        </w:rPr>
      </w:r>
      <w:r>
        <w:rPr/>
        <w:t>化办公，使用费用远程报销系统、报表系统等业务模块。</w:t>
      </w:r>
    </w:p>
    <w:p>
      <w:pPr>
        <w:pStyle w:val="BodyText"/>
        <w:spacing w:line="309" w:lineRule="auto"/>
        <w:ind w:right="1130" w:firstLine="360"/>
        <w:jc w:val="both"/>
      </w:pPr>
      <w:r>
        <w:rPr>
          <w:rFonts w:ascii="Times New Roman" w:hAnsi="Times New Roman" w:cs="Times New Roman" w:eastAsia="Times New Roman" w:hint="default"/>
          <w:spacing w:val="-2"/>
        </w:rPr>
        <w:t>2015</w:t>
      </w:r>
      <w:r>
        <w:rPr>
          <w:spacing w:val="-2"/>
        </w:rPr>
        <w:t>年度，公司在股东权益、职工、消费者等利益相关方权益保护、环境保护、可持续发展、公共关系及社会关系事业</w:t>
      </w:r>
      <w:r>
        <w:rPr/>
        <w:t> </w:t>
      </w:r>
      <w:r>
        <w:rPr>
          <w:spacing w:val="-2"/>
        </w:rPr>
        <w:t>等方面开展了一系列扎实有效的工作，并取得了一定的成绩。良好的社会环境和健康的行业态势，也促使公司受益其中，我</w:t>
      </w:r>
      <w:r>
        <w:rPr>
          <w:spacing w:val="-66"/>
        </w:rPr>
        <w:t> </w:t>
      </w:r>
      <w:r>
        <w:rPr>
          <w:spacing w:val="-66"/>
        </w:rPr>
      </w:r>
      <w:r>
        <w:rPr>
          <w:spacing w:val="-2"/>
        </w:rPr>
        <w:t>们充分意识到企业的成长与承担社会责任是相辅相成、密不可分的，但与社会期望和公司目标仍有一定距离，在</w:t>
      </w:r>
      <w:r>
        <w:rPr>
          <w:rFonts w:ascii="Times New Roman" w:hAnsi="Times New Roman" w:cs="Times New Roman" w:eastAsia="Times New Roman" w:hint="default"/>
          <w:spacing w:val="-2"/>
        </w:rPr>
        <w:t>2016</w:t>
      </w:r>
      <w:r>
        <w:rPr>
          <w:spacing w:val="-2"/>
        </w:rPr>
        <w:t>年，公</w:t>
      </w:r>
      <w:r>
        <w:rPr>
          <w:spacing w:val="-61"/>
        </w:rPr>
        <w:t> </w:t>
      </w:r>
      <w:r>
        <w:rPr>
          <w:spacing w:val="-61"/>
        </w:rPr>
      </w:r>
      <w:r>
        <w:rPr>
          <w:spacing w:val="-2"/>
        </w:rPr>
        <w:t>司将不断完善企业社会责任管理体系，在公司治理上强化组织管理控制能力，完善经营机制和考核机制，激活企业发展的内</w:t>
      </w:r>
      <w:r>
        <w:rPr>
          <w:spacing w:val="-66"/>
        </w:rPr>
        <w:t> </w:t>
      </w:r>
      <w:r>
        <w:rPr>
          <w:spacing w:val="-66"/>
        </w:rPr>
      </w:r>
      <w:r>
        <w:rPr/>
        <w:t>生动力，进一步加强社会责任实践，实现经济效益与社会效益的和谐统一。</w:t>
      </w:r>
    </w:p>
    <w:p>
      <w:pPr>
        <w:pStyle w:val="BodyText"/>
        <w:spacing w:line="240" w:lineRule="auto" w:before="65"/>
        <w:ind w:left="154" w:right="0"/>
        <w:jc w:val="left"/>
      </w:pPr>
      <w:r>
        <w:rPr/>
        <w:t>上市公司及其子公司是否属于国家环境保护部门规定的重污染行业</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85" w:right="0"/>
        <w:jc w:val="left"/>
        <w:rPr>
          <w:b w:val="0"/>
          <w:bCs w:val="0"/>
        </w:rPr>
      </w:pPr>
      <w:bookmarkStart w:name="第六节 股份变动及股东情况" w:id="98"/>
      <w:bookmarkEnd w:id="98"/>
      <w:r>
        <w:rPr>
          <w:b w:val="0"/>
          <w:bCs w:val="0"/>
        </w:rPr>
      </w:r>
      <w:bookmarkStart w:name="_bookmark4"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73"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3"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20"/>
        <w:gridCol w:w="1004"/>
        <w:gridCol w:w="708"/>
        <w:gridCol w:w="993"/>
        <w:gridCol w:w="426"/>
        <w:gridCol w:w="708"/>
        <w:gridCol w:w="1134"/>
        <w:gridCol w:w="1134"/>
        <w:gridCol w:w="1134"/>
        <w:gridCol w:w="709"/>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43,482,334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49,339,376</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162,584,334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211,923,710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255,406,044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43,482,334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49,339,376</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162,584,334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211,923,710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255,406,044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43,482,334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49,339,376</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162,584,334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211,923,710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255,406,044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417,428,266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-162,644,334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-162,224,934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255,203,332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417,428,266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-162,644,334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-162,224,934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255,203,332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460,910,600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49,758,776</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49,698,776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510,609,376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74" w:right="0"/>
        <w:jc w:val="left"/>
      </w:pPr>
      <w:r>
        <w:rPr/>
        <w:t>股份变动的原因</w:t>
      </w:r>
    </w:p>
    <w:p>
      <w:pPr>
        <w:pStyle w:val="BodyText"/>
        <w:spacing w:line="240" w:lineRule="auto" w:before="117"/>
        <w:ind w:left="1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33" w:right="0"/>
        <w:jc w:val="left"/>
      </w:pPr>
      <w:r>
        <w:rPr>
          <w:rFonts w:ascii="Times New Roman" w:hAnsi="Times New Roman" w:cs="Times New Roman" w:eastAsia="Times New Roman" w:hint="default"/>
        </w:rPr>
        <w:t>1</w:t>
      </w:r>
      <w:r>
        <w:rPr/>
        <w:t>、关于发行新股</w:t>
      </w:r>
      <w:r>
        <w:rPr>
          <w:rFonts w:ascii="Times New Roman" w:hAnsi="Times New Roman" w:cs="Times New Roman" w:eastAsia="Times New Roman" w:hint="default"/>
        </w:rPr>
        <w:t>49,339,376</w:t>
      </w:r>
      <w:r>
        <w:rPr/>
        <w:t>股事宜：</w:t>
      </w:r>
    </w:p>
    <w:p>
      <w:pPr>
        <w:pStyle w:val="BodyText"/>
        <w:spacing w:line="300" w:lineRule="auto" w:before="63"/>
        <w:ind w:left="173"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日，公司召开第四届董事会第十四次会议，审议通过《发行股份及支付现金购买资产并募集配套资金暨关联</w:t>
      </w:r>
      <w:r>
        <w:rPr/>
        <w:t> </w:t>
      </w:r>
      <w:r>
        <w:rPr>
          <w:spacing w:val="-3"/>
        </w:rPr>
        <w:t>交易报告书》、签订《购买资产协议》等相关议案。公司通过发行股份及支付现金的方式购买张伟、姚俊所持顺为广告</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20"/>
        </w:rPr>
        <w:t> </w:t>
      </w:r>
      <w:r>
        <w:rPr>
          <w:spacing w:val="-1"/>
        </w:rPr>
        <w:t>股权，伏虎、逄淑涌、曹建华所持奇思广告</w:t>
      </w:r>
      <w:r>
        <w:rPr>
          <w:rFonts w:ascii="Times New Roman" w:hAnsi="Times New Roman" w:cs="Times New Roman" w:eastAsia="Times New Roman" w:hint="default"/>
          <w:spacing w:val="-1"/>
        </w:rPr>
        <w:t>100%</w:t>
      </w:r>
      <w:r>
        <w:rPr>
          <w:spacing w:val="-1"/>
        </w:rPr>
        <w:t>股权，袁琪、张晓艳所持利宣广告</w:t>
      </w:r>
      <w:r>
        <w:rPr>
          <w:rFonts w:ascii="Times New Roman" w:hAnsi="Times New Roman" w:cs="Times New Roman" w:eastAsia="Times New Roman" w:hint="default"/>
          <w:spacing w:val="-1"/>
        </w:rPr>
        <w:t>100%</w:t>
      </w:r>
      <w:r>
        <w:rPr>
          <w:spacing w:val="-1"/>
        </w:rPr>
        <w:t>股权。公司本次共向交易对方发行</w:t>
      </w:r>
      <w:r>
        <w:rPr>
          <w:spacing w:val="-57"/>
        </w:rPr>
        <w:t> </w:t>
      </w:r>
      <w:r>
        <w:rPr>
          <w:spacing w:val="-57"/>
        </w:rPr>
      </w:r>
      <w:r>
        <w:rPr>
          <w:rFonts w:ascii="Times New Roman" w:hAnsi="Times New Roman" w:cs="Times New Roman" w:eastAsia="Times New Roman" w:hint="default"/>
          <w:spacing w:val="-5"/>
        </w:rPr>
        <w:t>49,339,376</w:t>
      </w:r>
      <w:r>
        <w:rPr>
          <w:spacing w:val="-5"/>
        </w:rPr>
        <w:t>股新股，其中交易对方张伟认购</w:t>
      </w:r>
      <w:r>
        <w:rPr>
          <w:rFonts w:ascii="Times New Roman" w:hAnsi="Times New Roman" w:cs="Times New Roman" w:eastAsia="Times New Roman" w:hint="default"/>
          <w:spacing w:val="-5"/>
        </w:rPr>
        <w:t>21,049,222</w:t>
      </w:r>
      <w:r>
        <w:rPr>
          <w:spacing w:val="-5"/>
        </w:rPr>
        <w:t>股、伏虎认购</w:t>
      </w:r>
      <w:r>
        <w:rPr>
          <w:rFonts w:ascii="Times New Roman" w:hAnsi="Times New Roman" w:cs="Times New Roman" w:eastAsia="Times New Roman" w:hint="default"/>
          <w:spacing w:val="-5"/>
        </w:rPr>
        <w:t>19,585,492</w:t>
      </w:r>
      <w:r>
        <w:rPr>
          <w:spacing w:val="-5"/>
        </w:rPr>
        <w:t>股、逄淑涌认购</w:t>
      </w:r>
      <w:r>
        <w:rPr>
          <w:rFonts w:ascii="Times New Roman" w:hAnsi="Times New Roman" w:cs="Times New Roman" w:eastAsia="Times New Roman" w:hint="default"/>
          <w:spacing w:val="-5"/>
        </w:rPr>
        <w:t>1,632,124</w:t>
      </w:r>
      <w:r>
        <w:rPr>
          <w:spacing w:val="-5"/>
        </w:rPr>
        <w:t>股、曹建华认购</w:t>
      </w:r>
      <w:r>
        <w:rPr>
          <w:rFonts w:ascii="Times New Roman" w:hAnsi="Times New Roman" w:cs="Times New Roman" w:eastAsia="Times New Roman" w:hint="default"/>
          <w:spacing w:val="-5"/>
        </w:rPr>
        <w:t>1,632,124</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股、袁琪认购</w:t>
      </w:r>
      <w:r>
        <w:rPr>
          <w:rFonts w:ascii="Times New Roman" w:hAnsi="Times New Roman" w:cs="Times New Roman" w:eastAsia="Times New Roman" w:hint="default"/>
        </w:rPr>
        <w:t>2,176,166</w:t>
      </w:r>
      <w:r>
        <w:rPr/>
        <w:t>股、张晓艳认购</w:t>
      </w:r>
      <w:r>
        <w:rPr>
          <w:rFonts w:ascii="Times New Roman" w:hAnsi="Times New Roman" w:cs="Times New Roman" w:eastAsia="Times New Roman" w:hint="default"/>
        </w:rPr>
        <w:t>3,264,248</w:t>
      </w:r>
      <w:r>
        <w:rPr/>
        <w:t>股。上述事项导致公司限售股份增加</w:t>
      </w:r>
      <w:r>
        <w:rPr>
          <w:rFonts w:ascii="Times New Roman" w:hAnsi="Times New Roman" w:cs="Times New Roman" w:eastAsia="Times New Roman" w:hint="default"/>
        </w:rPr>
        <w:t>49,339,376</w:t>
      </w:r>
      <w:r>
        <w:rPr/>
        <w:t>股。</w:t>
      </w:r>
    </w:p>
    <w:p>
      <w:pPr>
        <w:pStyle w:val="BodyText"/>
        <w:spacing w:line="240" w:lineRule="auto" w:before="13"/>
        <w:ind w:left="533" w:right="0"/>
        <w:jc w:val="left"/>
      </w:pPr>
      <w:r>
        <w:rPr>
          <w:rFonts w:ascii="Times New Roman" w:hAnsi="Times New Roman" w:cs="Times New Roman" w:eastAsia="Times New Roman" w:hint="default"/>
        </w:rPr>
        <w:t>2</w:t>
      </w:r>
      <w:r>
        <w:rPr/>
        <w:t>、关于发行新股</w:t>
      </w:r>
      <w:r>
        <w:rPr>
          <w:rFonts w:ascii="Times New Roman" w:hAnsi="Times New Roman" w:cs="Times New Roman" w:eastAsia="Times New Roman" w:hint="default"/>
        </w:rPr>
        <w:t>419,400</w:t>
      </w:r>
      <w:r>
        <w:rPr/>
        <w:t>股事宜：</w:t>
      </w:r>
    </w:p>
    <w:p>
      <w:pPr>
        <w:pStyle w:val="BodyText"/>
        <w:spacing w:line="300" w:lineRule="auto" w:before="63"/>
        <w:ind w:left="173" w:right="113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日，公司召开第四届董事会第十三次会议，审议通过了《关于公司股票期权与限制性股票激励计划第一个行</w:t>
      </w:r>
      <w:r>
        <w:rPr/>
        <w:t> 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解锁条件成就的议案》，根据公司《股票期权与限制性股票激励计划（草案）》，董事会认为上述股票期权</w:t>
      </w:r>
    </w:p>
    <w:p>
      <w:pPr>
        <w:pStyle w:val="BodyText"/>
        <w:spacing w:line="300" w:lineRule="auto" w:before="13"/>
        <w:ind w:left="174" w:right="0"/>
        <w:jc w:val="left"/>
      </w:pPr>
      <w:r>
        <w:rPr>
          <w:rFonts w:ascii="Times New Roman" w:hAnsi="Times New Roman" w:cs="Times New Roman" w:eastAsia="Times New Roman" w:hint="default"/>
        </w:rPr>
        <w:t>/</w:t>
      </w:r>
      <w:r>
        <w:rPr/>
        <w:t>限制性股票第一个行权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解锁条件已经成就，根据公司</w:t>
      </w:r>
      <w:r>
        <w:rPr>
          <w:rFonts w:ascii="Times New Roman" w:hAnsi="Times New Roman" w:cs="Times New Roman" w:eastAsia="Times New Roman" w:hint="default"/>
        </w:rPr>
        <w:t>2014</w:t>
      </w:r>
      <w:r>
        <w:rPr/>
        <w:t>年度第一次临时股东大会的授权，同意按照相关规定 </w:t>
      </w:r>
      <w:r>
        <w:rPr>
          <w:spacing w:val="-3"/>
        </w:rPr>
        <w:t>办理股权激励计划第一期行权</w:t>
      </w:r>
      <w:r>
        <w:rPr>
          <w:rFonts w:ascii="Times New Roman" w:hAnsi="Times New Roman" w:cs="Times New Roman" w:eastAsia="Times New Roman" w:hint="default"/>
          <w:spacing w:val="-3"/>
        </w:rPr>
        <w:t>/</w:t>
      </w:r>
      <w:r>
        <w:rPr>
          <w:spacing w:val="-3"/>
        </w:rPr>
        <w:t>解锁事宜。本次可申请行权的股票期权为</w:t>
      </w:r>
      <w:r>
        <w:rPr>
          <w:rFonts w:ascii="Times New Roman" w:hAnsi="Times New Roman" w:cs="Times New Roman" w:eastAsia="Times New Roman" w:hint="default"/>
          <w:spacing w:val="-3"/>
        </w:rPr>
        <w:t>41.94</w:t>
      </w:r>
      <w:r>
        <w:rPr>
          <w:spacing w:val="-3"/>
        </w:rPr>
        <w:t>万份，从而导致公司无限售股份增加</w:t>
      </w:r>
      <w:r>
        <w:rPr>
          <w:rFonts w:ascii="Times New Roman" w:hAnsi="Times New Roman" w:cs="Times New Roman" w:eastAsia="Times New Roman" w:hint="default"/>
          <w:spacing w:val="-3"/>
        </w:rPr>
        <w:t>419,400</w:t>
      </w:r>
      <w:r>
        <w:rPr>
          <w:spacing w:val="-3"/>
        </w:rPr>
        <w:t>股。</w:t>
      </w:r>
    </w:p>
    <w:p>
      <w:pPr>
        <w:pStyle w:val="BodyText"/>
        <w:spacing w:line="240" w:lineRule="auto" w:before="13"/>
        <w:ind w:left="533" w:right="0"/>
        <w:jc w:val="left"/>
      </w:pPr>
      <w:r>
        <w:rPr>
          <w:rFonts w:ascii="Times New Roman" w:hAnsi="Times New Roman" w:cs="Times New Roman" w:eastAsia="Times New Roman" w:hint="default"/>
        </w:rPr>
        <w:t>3</w:t>
      </w:r>
      <w:r>
        <w:rPr/>
        <w:t>、报告期内其他变动的主要原因为：</w:t>
      </w:r>
    </w:p>
    <w:p>
      <w:pPr>
        <w:pStyle w:val="BodyText"/>
        <w:spacing w:line="304" w:lineRule="auto" w:before="63"/>
        <w:ind w:left="173" w:right="1132" w:firstLine="360"/>
        <w:jc w:val="both"/>
      </w:pPr>
      <w:r>
        <w:rPr/>
        <w:t>（</w:t>
      </w:r>
      <w:r>
        <w:rPr>
          <w:rFonts w:ascii="Times New Roman" w:hAnsi="Times New Roman" w:cs="Times New Roman" w:eastAsia="Times New Roman" w:hint="default"/>
        </w:rPr>
        <w:t>1</w:t>
      </w:r>
      <w:r>
        <w:rPr/>
        <w:t>）公司实际控制人陈亚妹女士于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日与新余天道酬勤投资发展有限公司签署了《股份转让协议书》，新 余天道酬勤投资发展有限公司将其持有的公司全部股份</w:t>
      </w:r>
      <w:r>
        <w:rPr>
          <w:rFonts w:ascii="Times New Roman" w:hAnsi="Times New Roman" w:cs="Times New Roman" w:eastAsia="Times New Roman" w:hint="default"/>
        </w:rPr>
        <w:t>217,741,121</w:t>
      </w:r>
      <w:r>
        <w:rPr/>
        <w:t>股协议转让给陈亚妹女士，该部分股份于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 完成股份过户登记手续，中国证券登记结算有限责任公司深圳分公司于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日出具了《证券过户登记确认书》，本 </w:t>
      </w:r>
      <w:r>
        <w:rPr>
          <w:spacing w:val="-5"/>
        </w:rPr>
        <w:t>次股份转让过户事项全部完成，本次股份转让过户完成后股份性质仍为无限售流通股，但因陈亚妹女士系公司董事，根据《公</w:t>
      </w:r>
      <w:r>
        <w:rPr>
          <w:spacing w:val="-82"/>
        </w:rPr>
        <w:t> </w:t>
      </w:r>
      <w:r>
        <w:rPr>
          <w:spacing w:val="-82"/>
        </w:rPr>
      </w:r>
      <w:r>
        <w:rPr>
          <w:spacing w:val="-1"/>
        </w:rPr>
        <w:t>司法》等相关法律法规的规定，在其在职期间，其所持有的实益达股份的</w:t>
      </w:r>
      <w:r>
        <w:rPr>
          <w:rFonts w:ascii="Times New Roman" w:hAnsi="Times New Roman" w:cs="Times New Roman" w:eastAsia="Times New Roman" w:hint="default"/>
          <w:spacing w:val="-1"/>
        </w:rPr>
        <w:t>75%</w:t>
      </w:r>
      <w:r>
        <w:rPr>
          <w:spacing w:val="-1"/>
        </w:rPr>
        <w:t>锁定，锁定部分的股份性质为高管锁定股，从</w:t>
      </w:r>
      <w:r>
        <w:rPr/>
        <w:t> 而导致公司限售股份增加</w:t>
      </w:r>
      <w:r>
        <w:rPr>
          <w:rFonts w:ascii="Times New Roman" w:hAnsi="Times New Roman" w:cs="Times New Roman" w:eastAsia="Times New Roman" w:hint="default"/>
        </w:rPr>
        <w:t>163,305,840</w:t>
      </w:r>
      <w:r>
        <w:rPr/>
        <w:t>股，同时无限售股份减少</w:t>
      </w:r>
      <w:r>
        <w:rPr>
          <w:rFonts w:ascii="Times New Roman" w:hAnsi="Times New Roman" w:cs="Times New Roman" w:eastAsia="Times New Roman" w:hint="default"/>
        </w:rPr>
        <w:t>163,305,840</w:t>
      </w:r>
      <w:r>
        <w:rPr/>
        <w:t>股。</w:t>
      </w:r>
    </w:p>
    <w:p>
      <w:pPr>
        <w:pStyle w:val="BodyText"/>
        <w:spacing w:line="309" w:lineRule="auto" w:before="9"/>
        <w:ind w:left="173" w:right="1133"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日，公司召开第四届董事会第十一次会议审议通过了《关于回购注销部分限制性股票的议案》，鉴于</w:t>
      </w:r>
      <w:r>
        <w:rPr/>
        <w:t> </w:t>
      </w:r>
      <w:r>
        <w:rPr>
          <w:spacing w:val="-2"/>
        </w:rPr>
        <w:t>原激励对象张成、李维因离职而不再符合激励条件，根据《公司股票期权与限制性股票激励计划（草案）》的相关规定，公</w:t>
      </w:r>
      <w:r>
        <w:rPr>
          <w:spacing w:val="-72"/>
        </w:rPr>
        <w:t> </w:t>
      </w:r>
      <w:r>
        <w:rPr>
          <w:spacing w:val="-72"/>
        </w:rPr>
      </w:r>
      <w:r>
        <w:rPr/>
        <w:t>司董事会对张成、李维持有的已获授但尚未解锁的限制性股票共计</w:t>
      </w:r>
      <w:r>
        <w:rPr>
          <w:rFonts w:ascii="Times New Roman" w:hAnsi="Times New Roman" w:cs="Times New Roman" w:eastAsia="Times New Roman" w:hint="default"/>
        </w:rPr>
        <w:t>6</w:t>
      </w:r>
      <w:r>
        <w:rPr/>
        <w:t>万股进行回购注销。上述事项导致公司限售股份减少</w:t>
      </w:r>
    </w:p>
    <w:p>
      <w:pPr>
        <w:spacing w:after="0" w:line="309" w:lineRule="auto"/>
        <w:jc w:val="both"/>
        <w:sectPr>
          <w:pgSz w:w="11910" w:h="16840"/>
          <w:pgMar w:header="747" w:footer="979" w:top="1060" w:bottom="1160" w:left="96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60,000</w:t>
      </w:r>
      <w:r>
        <w:rPr/>
        <w:t>股。</w:t>
      </w:r>
    </w:p>
    <w:p>
      <w:pPr>
        <w:pStyle w:val="BodyText"/>
        <w:spacing w:line="300" w:lineRule="auto" w:before="63"/>
        <w:ind w:right="1130" w:firstLine="360"/>
        <w:jc w:val="both"/>
      </w:pPr>
      <w:r>
        <w:rPr/>
        <w:t>（</w:t>
      </w:r>
      <w:r>
        <w:rPr>
          <w:rFonts w:ascii="Times New Roman" w:hAnsi="Times New Roman" w:cs="Times New Roman" w:eastAsia="Times New Roman" w:hint="default"/>
        </w:rPr>
        <w:t>3</w:t>
      </w:r>
      <w:r>
        <w:rPr/>
        <w:t>）因公司董事吕昌荣先生于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日离任，根据相关规定，其离任后</w:t>
      </w:r>
      <w:r>
        <w:rPr>
          <w:rFonts w:ascii="Times New Roman" w:hAnsi="Times New Roman" w:cs="Times New Roman" w:eastAsia="Times New Roman" w:hint="default"/>
        </w:rPr>
        <w:t>6</w:t>
      </w:r>
      <w:r>
        <w:rPr/>
        <w:t>个月内股份全部锁定，</w:t>
      </w:r>
      <w:r>
        <w:rPr>
          <w:rFonts w:ascii="Times New Roman" w:hAnsi="Times New Roman" w:cs="Times New Roman" w:eastAsia="Times New Roman" w:hint="default"/>
        </w:rPr>
        <w:t>6</w:t>
      </w:r>
      <w:r>
        <w:rPr/>
        <w:t>个月后按</w:t>
      </w:r>
      <w:r>
        <w:rPr>
          <w:rFonts w:ascii="Times New Roman" w:hAnsi="Times New Roman" w:cs="Times New Roman" w:eastAsia="Times New Roman" w:hint="default"/>
        </w:rPr>
        <w:t>50% </w:t>
      </w:r>
      <w:r>
        <w:rPr>
          <w:spacing w:val="-1"/>
        </w:rPr>
        <w:t>的比例锁定</w:t>
      </w:r>
      <w:r>
        <w:rPr>
          <w:rFonts w:ascii="Times New Roman" w:hAnsi="Times New Roman" w:cs="Times New Roman" w:eastAsia="Times New Roman" w:hint="default"/>
          <w:spacing w:val="-1"/>
        </w:rPr>
        <w:t>12</w:t>
      </w:r>
      <w:r>
        <w:rPr>
          <w:spacing w:val="-1"/>
        </w:rPr>
        <w:t>个月。报告期内，吕昌荣先生所持有的股份</w:t>
      </w:r>
      <w:r>
        <w:rPr>
          <w:rFonts w:ascii="Times New Roman" w:hAnsi="Times New Roman" w:cs="Times New Roman" w:eastAsia="Times New Roman" w:hint="default"/>
          <w:spacing w:val="-1"/>
        </w:rPr>
        <w:t>100%</w:t>
      </w:r>
      <w:r>
        <w:rPr>
          <w:spacing w:val="-1"/>
        </w:rPr>
        <w:t>解锁，从而导致公司限售股份减少</w:t>
      </w:r>
      <w:r>
        <w:rPr>
          <w:rFonts w:ascii="Times New Roman" w:hAnsi="Times New Roman" w:cs="Times New Roman" w:eastAsia="Times New Roman" w:hint="default"/>
          <w:spacing w:val="-1"/>
        </w:rPr>
        <w:t>187,506</w:t>
      </w:r>
      <w:r>
        <w:rPr>
          <w:spacing w:val="-1"/>
        </w:rPr>
        <w:t>股，同时无限售股</w:t>
      </w:r>
      <w:r>
        <w:rPr>
          <w:spacing w:val="-41"/>
        </w:rPr>
        <w:t> </w:t>
      </w:r>
      <w:r>
        <w:rPr>
          <w:spacing w:val="-41"/>
        </w:rPr>
      </w:r>
      <w:r>
        <w:rPr/>
        <w:t>份增加</w:t>
      </w:r>
      <w:r>
        <w:rPr>
          <w:rFonts w:ascii="Times New Roman" w:hAnsi="Times New Roman" w:cs="Times New Roman" w:eastAsia="Times New Roman" w:hint="default"/>
        </w:rPr>
        <w:t>187,506</w:t>
      </w:r>
      <w:r>
        <w:rPr/>
        <w:t>股。</w:t>
      </w:r>
    </w:p>
    <w:p>
      <w:pPr>
        <w:pStyle w:val="BodyText"/>
        <w:spacing w:line="300" w:lineRule="auto" w:before="13"/>
        <w:ind w:right="1113" w:firstLine="36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日，公司召开第四届董事会第十三次会议，审议通过了《关于公司股票期权与限制性股票激励计划第 一个行权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解锁条件成就的议案》，根据公司《股票期权与限制性股票激励计划（草案）》，董事会认为上述股 票期权</w:t>
      </w:r>
      <w:r>
        <w:rPr>
          <w:rFonts w:ascii="Times New Roman" w:hAnsi="Times New Roman" w:cs="Times New Roman" w:eastAsia="Times New Roman" w:hint="default"/>
        </w:rPr>
        <w:t>/</w:t>
      </w:r>
      <w:r>
        <w:rPr/>
        <w:t>限制性股票第一个行权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解锁条件已经成就，本次可申请解锁的限制性股票数量为</w:t>
      </w:r>
      <w:r>
        <w:rPr>
          <w:rFonts w:ascii="Times New Roman" w:hAnsi="Times New Roman" w:cs="Times New Roman" w:eastAsia="Times New Roman" w:hint="default"/>
        </w:rPr>
        <w:t>63.90</w:t>
      </w:r>
      <w:r>
        <w:rPr/>
        <w:t>万股，其中：中 层管理人员、核心业务（技术）人员解锁</w:t>
      </w:r>
      <w:r>
        <w:rPr>
          <w:rFonts w:ascii="Times New Roman" w:hAnsi="Times New Roman" w:cs="Times New Roman" w:eastAsia="Times New Roman" w:hint="default"/>
        </w:rPr>
        <w:t>399,000</w:t>
      </w:r>
      <w:r>
        <w:rPr/>
        <w:t>股股份；公司副总裁、董事会秘书朱蕾女士，董事、副总裁、财务总监刘 爱民先生，首期共解锁</w:t>
      </w:r>
      <w:r>
        <w:rPr>
          <w:rFonts w:ascii="Times New Roman" w:hAnsi="Times New Roman" w:cs="Times New Roman" w:eastAsia="Times New Roman" w:hint="default"/>
        </w:rPr>
        <w:t>240,000</w:t>
      </w:r>
      <w:r>
        <w:rPr/>
        <w:t>股股份，但根据《公司法》等相关法律法规的规定，在高管任职期间，其所持有的公司股份 </w:t>
      </w:r>
      <w:r>
        <w:rPr>
          <w:spacing w:val="-1"/>
        </w:rPr>
        <w:t>的</w:t>
      </w:r>
      <w:r>
        <w:rPr>
          <w:rFonts w:ascii="Times New Roman" w:hAnsi="Times New Roman" w:cs="Times New Roman" w:eastAsia="Times New Roman" w:hint="default"/>
          <w:spacing w:val="-1"/>
        </w:rPr>
        <w:t>75%</w:t>
      </w:r>
      <w:r>
        <w:rPr>
          <w:spacing w:val="-1"/>
        </w:rPr>
        <w:t>锁定，其高管离任后</w:t>
      </w:r>
      <w:r>
        <w:rPr>
          <w:rFonts w:ascii="Times New Roman" w:hAnsi="Times New Roman" w:cs="Times New Roman" w:eastAsia="Times New Roman" w:hint="default"/>
          <w:spacing w:val="-1"/>
        </w:rPr>
        <w:t>6</w:t>
      </w:r>
      <w:r>
        <w:rPr>
          <w:spacing w:val="-1"/>
        </w:rPr>
        <w:t>个月内股份全部锁定，上述事项导致公司无限售股份增加</w:t>
      </w:r>
      <w:r>
        <w:rPr>
          <w:rFonts w:ascii="Times New Roman" w:hAnsi="Times New Roman" w:cs="Times New Roman" w:eastAsia="Times New Roman" w:hint="default"/>
          <w:spacing w:val="-1"/>
        </w:rPr>
        <w:t>474,000</w:t>
      </w:r>
      <w:r>
        <w:rPr>
          <w:spacing w:val="-1"/>
        </w:rPr>
        <w:t>股，同时限售股份减少</w:t>
      </w:r>
      <w:r>
        <w:rPr>
          <w:rFonts w:ascii="Times New Roman" w:hAnsi="Times New Roman" w:cs="Times New Roman" w:eastAsia="Times New Roman" w:hint="default"/>
          <w:spacing w:val="-1"/>
        </w:rPr>
        <w:t>474,000</w:t>
      </w:r>
      <w:r>
        <w:rPr>
          <w:rFonts w:ascii="Times New Roman" w:hAnsi="Times New Roman" w:cs="Times New Roman" w:eastAsia="Times New Roman" w:hint="default"/>
          <w:spacing w:val="-37"/>
        </w:rPr>
        <w:t> </w:t>
      </w:r>
      <w:r>
        <w:rPr/>
        <w:t>股。</w:t>
      </w:r>
    </w:p>
    <w:p>
      <w:pPr>
        <w:pStyle w:val="BodyText"/>
        <w:spacing w:line="338" w:lineRule="auto" w:before="72"/>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公司实际控制人陈亚妹女士于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日与新余天道酬勤投资发展有限公司签署了《股份转让协议书》，陈亚妹女</w:t>
      </w:r>
    </w:p>
    <w:p>
      <w:pPr>
        <w:pStyle w:val="BodyText"/>
        <w:spacing w:line="230" w:lineRule="exact" w:before="0"/>
        <w:ind w:right="0"/>
        <w:jc w:val="both"/>
      </w:pPr>
      <w:r>
        <w:rPr/>
        <w:t>士通过协议转让方式受让天道酬勤持有的公司全部股份</w:t>
      </w:r>
      <w:r>
        <w:rPr>
          <w:rFonts w:ascii="Times New Roman" w:hAnsi="Times New Roman" w:cs="Times New Roman" w:eastAsia="Times New Roman" w:hint="default"/>
        </w:rPr>
        <w:t>217,741,121</w:t>
      </w:r>
      <w:r>
        <w:rPr/>
        <w:t>股，并已于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日完成股份过户登记手续。因天</w:t>
      </w:r>
    </w:p>
    <w:p>
      <w:pPr>
        <w:pStyle w:val="BodyText"/>
        <w:spacing w:line="309" w:lineRule="auto" w:before="63"/>
        <w:ind w:right="1131"/>
        <w:jc w:val="both"/>
      </w:pPr>
      <w:r>
        <w:rPr>
          <w:spacing w:val="-2"/>
        </w:rPr>
        <w:t>道酬勤系系由陈亚妹女士和另一实际控制人乔昕先生共同控制的公司，本次转让系同一控制下的转让，公司已根据相关规定</w:t>
      </w:r>
      <w:r>
        <w:rPr>
          <w:spacing w:val="-64"/>
        </w:rPr>
        <w:t> </w:t>
      </w:r>
      <w:r>
        <w:rPr>
          <w:spacing w:val="-64"/>
        </w:rPr>
      </w:r>
      <w:r>
        <w:rPr>
          <w:spacing w:val="-2"/>
        </w:rPr>
        <w:t>履行了信息披露义务，详见公司于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日刊载于证券时报、中国证券报、巨潮资讯网的《关于实际控制人受让控股</w:t>
      </w:r>
      <w:r>
        <w:rPr>
          <w:spacing w:val="-58"/>
        </w:rPr>
        <w:t> </w:t>
      </w:r>
      <w:r>
        <w:rPr>
          <w:spacing w:val="-58"/>
        </w:rPr>
      </w:r>
      <w:r>
        <w:rPr/>
        <w:t>股东股份暨提出豁免要约收购申请的提示性公告</w:t>
      </w:r>
      <w:r>
        <w:rPr>
          <w:spacing w:val="-18"/>
        </w:rPr>
        <w:t> </w:t>
      </w:r>
      <w:r>
        <w:rPr/>
        <w:t>》和《简式权益变动报告书》。</w:t>
      </w:r>
    </w:p>
    <w:p>
      <w:pPr>
        <w:pStyle w:val="BodyText"/>
        <w:spacing w:line="240" w:lineRule="auto" w:before="65"/>
        <w:ind w:right="0"/>
        <w:jc w:val="both"/>
      </w:pPr>
      <w:r>
        <w:rPr/>
        <w:t>股份变动对最近一年和最近一期基本每股收益和稀释每股收益、归属于公司普通股股东的每股净资产等财务指标的影响</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276"/>
        <w:gridCol w:w="1277"/>
        <w:gridCol w:w="1274"/>
        <w:gridCol w:w="2694"/>
        <w:gridCol w:w="1207"/>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3"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21,049,222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21,049,222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 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伏虎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19,585,492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19,585,492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 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逄淑涌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1,632,124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1,632,124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 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曹建华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1,632,124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1,632,124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 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2,176,166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2,176,166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276"/>
        <w:gridCol w:w="1277"/>
        <w:gridCol w:w="1274"/>
        <w:gridCol w:w="2694"/>
        <w:gridCol w:w="1207"/>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张晓艳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3,264,248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3,264,248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因法律法规的相关规定，其所持有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的公司股份为公司收购标的资产 所定向增发部分的股份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163,305,841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165,063,824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公司实际控制人因通过协议转让 方式受让天道酬勤持有的公司全 部股份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217,741,121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股，根据相关 </w:t>
            </w:r>
            <w:r>
              <w:rPr>
                <w:rFonts w:ascii="宋体" w:hAnsi="宋体" w:cs="宋体" w:eastAsia="宋体" w:hint="default"/>
                <w:spacing w:val="-7"/>
                <w:sz w:val="18"/>
                <w:szCs w:val="18"/>
              </w:rPr>
              <w:t>法律法规，该部分股份的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需锁 定为高管锁定股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公司高级管理人员因公司限制性 股票激励计划第一期解锁条件成 </w:t>
            </w:r>
            <w:r>
              <w:rPr>
                <w:rFonts w:ascii="宋体" w:hAnsi="宋体" w:cs="宋体" w:eastAsia="宋体" w:hint="default"/>
                <w:spacing w:val="-7"/>
                <w:sz w:val="18"/>
                <w:szCs w:val="18"/>
              </w:rPr>
              <w:t>就，而解锁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股，但根据相关</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法律法规</w:t>
            </w:r>
            <w:r>
              <w:rPr>
                <w:rFonts w:ascii="宋体" w:hAnsi="宋体" w:cs="宋体" w:eastAsia="宋体" w:hint="default"/>
                <w:spacing w:val="-77"/>
                <w:sz w:val="18"/>
                <w:szCs w:val="18"/>
              </w:rPr>
              <w:t>，</w:t>
            </w:r>
            <w:r>
              <w:rPr>
                <w:rFonts w:ascii="宋体" w:hAnsi="宋体" w:cs="宋体" w:eastAsia="宋体" w:hint="default"/>
                <w:sz w:val="18"/>
                <w:szCs w:val="18"/>
              </w:rPr>
              <w:t>其所持有的股份的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需锁定为高管锁定股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张成、李 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原公司员工因离职而注销其已获 授予但为解锁的股份</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中层管理 人员、核 心业务</w:t>
            </w:r>
          </w:p>
          <w:p>
            <w:pPr>
              <w:pStyle w:val="TableParagraph"/>
              <w:spacing w:line="319" w:lineRule="auto" w:before="19"/>
              <w:ind w:left="22" w:right="96"/>
              <w:jc w:val="both"/>
              <w:rPr>
                <w:rFonts w:ascii="宋体" w:hAnsi="宋体" w:cs="宋体" w:eastAsia="宋体" w:hint="default"/>
                <w:sz w:val="18"/>
                <w:szCs w:val="18"/>
              </w:rPr>
            </w:pPr>
            <w:r>
              <w:rPr>
                <w:rFonts w:ascii="宋体" w:hAnsi="宋体" w:cs="宋体" w:eastAsia="宋体" w:hint="default"/>
                <w:sz w:val="18"/>
                <w:szCs w:val="18"/>
              </w:rPr>
              <w:t>（技术） 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因公司限制性股票激励计划第一 期解锁条件成就，而解锁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399,000 </w:t>
            </w:r>
            <w:r>
              <w:rPr>
                <w:rFonts w:ascii="宋体" w:hAnsi="宋体" w:cs="宋体" w:eastAsia="宋体" w:hint="default"/>
                <w:sz w:val="18"/>
                <w:szCs w:val="18"/>
              </w:rPr>
              <w:t>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因原高管离职满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个月解锁</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3,645,489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212,645,217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215,569,200</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513" w:right="116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公司因发行股份及支付现金购买资产、股权激励第一期行权</w:t>
      </w:r>
      <w:r>
        <w:rPr>
          <w:rFonts w:ascii="Times New Roman" w:hAnsi="Times New Roman" w:cs="Times New Roman" w:eastAsia="Times New Roman" w:hint="default"/>
        </w:rPr>
        <w:t>/</w:t>
      </w:r>
      <w:r>
        <w:rPr/>
        <w:t>解锁、回购注销离职员工已获尚未解锁的限制性股票，导</w:t>
      </w:r>
    </w:p>
    <w:p>
      <w:pPr>
        <w:pStyle w:val="BodyText"/>
        <w:spacing w:line="230" w:lineRule="exact" w:before="0"/>
        <w:ind w:right="0"/>
        <w:jc w:val="left"/>
      </w:pPr>
      <w:r>
        <w:rPr/>
        <w:t>致报告期内公司股份总数及股东结构发生，变动情况请见本节</w:t>
      </w:r>
      <w:r>
        <w:rPr>
          <w:rFonts w:ascii="Times New Roman" w:hAnsi="Times New Roman" w:cs="Times New Roman" w:eastAsia="Times New Roman" w:hint="default"/>
        </w:rPr>
        <w:t>“</w:t>
      </w:r>
      <w:r>
        <w:rPr/>
        <w:t>股份变动情况</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850"/>
        <w:gridCol w:w="175"/>
        <w:gridCol w:w="960"/>
        <w:gridCol w:w="259"/>
        <w:gridCol w:w="875"/>
        <w:gridCol w:w="298"/>
        <w:gridCol w:w="696"/>
        <w:gridCol w:w="524"/>
        <w:gridCol w:w="467"/>
        <w:gridCol w:w="706"/>
        <w:gridCol w:w="145"/>
        <w:gridCol w:w="1062"/>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b/>
                <w:sz w:val="18"/>
              </w:rPr>
              <w:t>21,272</w:t>
            </w:r>
            <w:r>
              <w:rPr>
                <w:rFonts w:ascii="Times New Roman"/>
                <w:sz w:val="18"/>
              </w:rPr>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b/>
                <w:sz w:val="18"/>
              </w:rPr>
              <w:t>26,458</w:t>
            </w:r>
            <w:r>
              <w:rPr>
                <w:rFonts w:ascii="Times New Roman"/>
                <w:sz w:val="18"/>
              </w:rPr>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220,085,099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217,741,121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165,063,824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55,021,275</w:t>
            </w:r>
          </w:p>
        </w:tc>
        <w:tc>
          <w:tcPr>
            <w:tcW w:w="85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129" w:right="0"/>
              <w:jc w:val="left"/>
              <w:rPr>
                <w:rFonts w:ascii="Times New Roman" w:hAnsi="Times New Roman" w:cs="Times New Roman" w:eastAsia="Times New Roman" w:hint="default"/>
                <w:sz w:val="18"/>
                <w:szCs w:val="18"/>
              </w:rPr>
            </w:pPr>
            <w:r>
              <w:rPr>
                <w:rFonts w:ascii="Times New Roman"/>
                <w:sz w:val="18"/>
              </w:rPr>
              <w:t>125,380,000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52,049,126</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39,036,844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13,012,282</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21,049,222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21,049,222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21,049,222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伏虎</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19,585,492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19,585,492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19,585,492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份有限公司－易 方达创新驱动灵 活配置混合型证 券投资基金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8,920,445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8,920,445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8,920,445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7,460,000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-4,540,000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7,460,000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中国邮政储蓄银 行股份有限公司</w:t>
            </w:r>
          </w:p>
          <w:p>
            <w:pPr>
              <w:pStyle w:val="TableParagraph"/>
              <w:spacing w:line="319" w:lineRule="auto" w:before="19"/>
              <w:ind w:left="22" w:right="174"/>
              <w:jc w:val="both"/>
              <w:rPr>
                <w:rFonts w:ascii="宋体" w:hAnsi="宋体" w:cs="宋体" w:eastAsia="宋体" w:hint="default"/>
                <w:sz w:val="18"/>
                <w:szCs w:val="18"/>
              </w:rPr>
            </w:pPr>
            <w:r>
              <w:rPr>
                <w:rFonts w:ascii="宋体" w:hAnsi="宋体" w:cs="宋体" w:eastAsia="宋体" w:hint="default"/>
                <w:sz w:val="18"/>
                <w:szCs w:val="18"/>
              </w:rPr>
              <w:t>－农银汇理消费 主题混合型证券 投资基金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3,762,595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3,762,595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3,762,595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份有限公司－农 银汇理中小盘混 合型证券投资基 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3,582,410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3,582,410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3,582,410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份有限公司－南 方创新经济灵活 配置混合型证券 投资基金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3,293,732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3,293,732</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3,293,732</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left="0" w:right="1139"/>
        <w:jc w:val="right"/>
      </w:pPr>
      <w:r>
        <w:rPr/>
        <w:pict>
          <v:shape style="position:absolute;margin-left:56.459999pt;margin-top:-450.648285pt;width:479.2pt;height:478.1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072"/>
                    <w:gridCol w:w="862"/>
                    <w:gridCol w:w="710"/>
                    <w:gridCol w:w="425"/>
                    <w:gridCol w:w="1134"/>
                    <w:gridCol w:w="994"/>
                    <w:gridCol w:w="208"/>
                    <w:gridCol w:w="784"/>
                    <w:gridCol w:w="565"/>
                    <w:gridCol w:w="286"/>
                    <w:gridCol w:w="1062"/>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张晓艳</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0.64%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3,264,248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3,264,248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3,264,248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2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上述股东中，乔昕先生与陈亚妹女士为夫妻关系，为一致行动人；未知其他股东相互之间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是否存在关联关系，也未知是否属于一致行动人。</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11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11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6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112" w:type="dxa"/>
                        <w:gridSpan w:val="4"/>
                        <w:vMerge/>
                        <w:tcBorders>
                          <w:left w:val="single" w:sz="4" w:space="0" w:color="000000"/>
                          <w:bottom w:val="nil" w:sz="6" w:space="0" w:color="auto"/>
                          <w:right w:val="single" w:sz="4" w:space="0" w:color="000000"/>
                        </w:tcBorders>
                        <w:shd w:val="clear" w:color="auto" w:fill="D2D2D2"/>
                      </w:tcPr>
                      <w:p>
                        <w:pPr/>
                      </w:p>
                    </w:tc>
                    <w:tc>
                      <w:tcPr>
                        <w:tcW w:w="2760" w:type="dxa"/>
                        <w:gridSpan w:val="4"/>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11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7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55,021,275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55,021,275</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13,012,282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13,012,282</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中国建设银行股份有限公司－易方达创新驱动灵活 配置混合型证券投资基金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8,920,445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8,920,445</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7,460,000</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中国邮政储蓄银行股份有限公司－农银汇理消费主 题混合型证券投资基金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3,762,595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3,762,595</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中国建设银行股份有限公司－农银汇理中小盘混合 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3,582,410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3,582,410</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中国工商银行股份有限公司－南方创新经济灵活配 置混合型证券投资基金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3,293,732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3,293,732</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中国建设银行股份有限公司－富国天博创新主题混 合型证券投资基金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3,203,445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3,203,445</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中国工商银行股份有限公司－招商移动互联网产业 股票型证券投资基金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3,106,537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3,106,537</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中国工商银行股份有限公司－易方达安心回报债券 型证券投资基金</w:t>
                        </w:r>
                      </w:p>
                    </w:tc>
                    <w:tc>
                      <w:tcPr>
                        <w:tcW w:w="2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3,094,115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3,094,115</w:t>
                        </w:r>
                      </w:p>
                    </w:tc>
                  </w:tr>
                  <w:tr>
                    <w:trPr>
                      <w:trHeight w:val="1026"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2"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54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上述股东中，乔昕先生与陈亚妹女士为夫妻关系，为一致行动人；未 </w:t>
                        </w:r>
                        <w:r>
                          <w:rPr>
                            <w:rFonts w:ascii="宋体" w:hAnsi="宋体" w:cs="宋体" w:eastAsia="宋体" w:hint="default"/>
                            <w:spacing w:val="-3"/>
                            <w:sz w:val="18"/>
                            <w:szCs w:val="18"/>
                          </w:rPr>
                          <w:t>知其他股东相互之间是否存在关联关系，也未知是否属于一致行动人</w:t>
                        </w:r>
                      </w:p>
                    </w:tc>
                  </w:tr>
                </w:tbl>
                <w:p>
                  <w:pPr/>
                </w:p>
              </w:txbxContent>
            </v:textbox>
            <w10:wrap type="none"/>
          </v:shape>
        </w:pict>
      </w:r>
      <w:r>
        <w:rPr/>
        <w:t>。</w:t>
      </w:r>
    </w:p>
    <w:p>
      <w:pPr>
        <w:spacing w:line="240" w:lineRule="auto" w:before="2"/>
        <w:rPr>
          <w:rFonts w:ascii="宋体" w:hAnsi="宋体" w:cs="宋体" w:eastAsia="宋体" w:hint="default"/>
          <w:sz w:val="21"/>
          <w:szCs w:val="21"/>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4"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陈亚妹女士现任麦达数字董事长，无锡实益达电子有限公司董事，实益达科技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1"/>
                <w:sz w:val="18"/>
                <w:szCs w:val="18"/>
              </w:rPr>
              <w:t>（香港）有限公司执行董事，拉萨市冠德成科技发展有限公司监事，凯扬商贸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98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both"/>
              <w:rPr>
                <w:rFonts w:ascii="宋体" w:hAnsi="宋体" w:cs="宋体" w:eastAsia="宋体" w:hint="default"/>
                <w:sz w:val="18"/>
                <w:szCs w:val="18"/>
              </w:rPr>
            </w:pPr>
            <w:r>
              <w:rPr>
                <w:rFonts w:ascii="宋体" w:hAnsi="宋体" w:cs="宋体" w:eastAsia="宋体" w:hint="default"/>
                <w:spacing w:val="-1"/>
                <w:sz w:val="18"/>
                <w:szCs w:val="18"/>
              </w:rPr>
              <w:t>（香港）有限公司执行董事，深圳市前海实益达投资发展有限公司董事，新余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九派凯阳投资合伙企业（有限合伙）有限合伙人，新余元通投资管理有限公司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执行董事、总经理，深圳市日升投资有限公司总经理。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4"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59999pt;margin-top:-221.128281pt;width:479.2pt;height:292.2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2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陈亚妹女士：现任本公司董事长、无锡实益达电子有限公司董事，实益达科技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1"/>
                            <w:sz w:val="18"/>
                            <w:szCs w:val="18"/>
                          </w:rPr>
                          <w:t>（香港）有限公司执行董事，拉萨市冠德成科技发展有限公司监事，凯扬商贸</w:t>
                        </w:r>
                      </w:p>
                      <w:p>
                        <w:pPr>
                          <w:pStyle w:val="TableParagraph"/>
                          <w:spacing w:line="319" w:lineRule="auto" w:before="76"/>
                          <w:ind w:left="23" w:right="20"/>
                          <w:jc w:val="both"/>
                          <w:rPr>
                            <w:rFonts w:ascii="宋体" w:hAnsi="宋体" w:cs="宋体" w:eastAsia="宋体" w:hint="default"/>
                            <w:sz w:val="18"/>
                            <w:szCs w:val="18"/>
                          </w:rPr>
                        </w:pPr>
                        <w:r>
                          <w:rPr>
                            <w:rFonts w:ascii="宋体" w:hAnsi="宋体" w:cs="宋体" w:eastAsia="宋体" w:hint="default"/>
                            <w:spacing w:val="-1"/>
                            <w:sz w:val="18"/>
                            <w:szCs w:val="18"/>
                          </w:rPr>
                          <w:t>（香港）有限公司执行董事，深圳市前海实益达投资发展有限公司董事，新余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九派凯阳投资合伙企业（有限合伙）有限合伙人，新余元通投资管理有限公司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执行董事、总经理，深圳市日升投资有限公司总经理。</w:t>
                        </w:r>
                      </w:p>
                      <w:p>
                        <w:pPr>
                          <w:pStyle w:val="TableParagraph"/>
                          <w:spacing w:line="316" w:lineRule="auto" w:before="96"/>
                          <w:ind w:left="23" w:right="19"/>
                          <w:jc w:val="left"/>
                          <w:rPr>
                            <w:rFonts w:ascii="宋体" w:hAnsi="宋体" w:cs="宋体" w:eastAsia="宋体" w:hint="default"/>
                            <w:sz w:val="18"/>
                            <w:szCs w:val="18"/>
                          </w:rPr>
                        </w:pPr>
                        <w:r>
                          <w:rPr>
                            <w:rFonts w:ascii="宋体" w:hAnsi="宋体" w:cs="宋体" w:eastAsia="宋体" w:hint="default"/>
                            <w:spacing w:val="-1"/>
                            <w:sz w:val="18"/>
                            <w:szCs w:val="18"/>
                          </w:rPr>
                          <w:t>乔昕先生：现任本公司董事兼总裁、百华科技发展有限公司执行董事，广州讯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友数码科技有限公司董事，拉萨市冠德成科技发展有限公司执行董事，深圳前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海实益达投资发展有限公司董事长、总经理，深圳市电明科技股份有限公司董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事，深圳市汇大光电科技股份有限公司董事长，无锡实益达电子有限公司董事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长、总经理，无锡实益达照明科技有限公司总经理，新余九派凯阳投资合伙企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业（有限合伙）有限合伙人，新余益瑞投资合伙企业（有限合伙）普通合伙人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新余元通投资管理有限公司监事，深圳市日升投资有限公司执行董事，上海顺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为广告传播有限公司董事，深圳市实益达照明有限公司董事长。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1656" w:lineRule="exact"/>
        <w:ind w:left="2080"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673474" cy="1051559"/>
            <wp:effectExtent l="0" t="0" r="0" b="0"/>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30" cstate="print"/>
                    <a:stretch>
                      <a:fillRect/>
                    </a:stretch>
                  </pic:blipFill>
                  <pic:spPr>
                    <a:xfrm>
                      <a:off x="0" y="0"/>
                      <a:ext cx="3673474" cy="1051559"/>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8"/>
        <w:rPr>
          <w:rFonts w:ascii="宋体" w:hAnsi="宋体" w:cs="宋体" w:eastAsia="宋体" w:hint="default"/>
          <w:sz w:val="18"/>
          <w:szCs w:val="18"/>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3"/>
      <w:bookmarkEnd w:id="113"/>
      <w:r>
        <w:rPr>
          <w:b w:val="0"/>
          <w:bCs w:val="0"/>
        </w:rPr>
      </w:r>
      <w:bookmarkStart w:name="_bookmark5"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5"/>
      <w:bookmarkEnd w:id="115"/>
      <w:r>
        <w:rPr>
          <w:b w:val="0"/>
          <w:bCs w:val="0"/>
        </w:rPr>
      </w:r>
      <w:bookmarkStart w:name="_bookmark6" w:id="116"/>
      <w:bookmarkEnd w:id="11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86"/>
        <w:gridCol w:w="797"/>
        <w:gridCol w:w="798"/>
        <w:gridCol w:w="798"/>
        <w:gridCol w:w="797"/>
        <w:gridCol w:w="798"/>
        <w:gridCol w:w="798"/>
        <w:gridCol w:w="798"/>
        <w:gridCol w:w="798"/>
        <w:gridCol w:w="798"/>
        <w:gridCol w:w="798"/>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2,343,978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217,741,1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14"/>
                <w:sz w:val="18"/>
                <w:szCs w:val="18"/>
              </w:rPr>
              <w:t>董事、总裁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52,049,12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52,049,12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4"/>
                <w:sz w:val="18"/>
                <w:szCs w:val="18"/>
              </w:rPr>
              <w:t>董事、财务</w:t>
            </w:r>
            <w:r>
              <w:rPr>
                <w:rFonts w:ascii="宋体" w:hAnsi="宋体" w:cs="宋体" w:eastAsia="宋体" w:hint="default"/>
                <w:sz w:val="18"/>
                <w:szCs w:val="18"/>
              </w:rPr>
              <w:t>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300,000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  宜</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曾惠明</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979" w:header="747" w:top="1060" w:bottom="1160" w:left="980" w:right="0"/>
          <w:pgNumType w:start="6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886"/>
        <w:gridCol w:w="797"/>
        <w:gridCol w:w="798"/>
        <w:gridCol w:w="798"/>
        <w:gridCol w:w="797"/>
        <w:gridCol w:w="798"/>
        <w:gridCol w:w="798"/>
        <w:gridCol w:w="798"/>
        <w:gridCol w:w="798"/>
        <w:gridCol w:w="798"/>
        <w:gridCol w:w="798"/>
      </w:tblGrid>
      <w:tr>
        <w:trPr>
          <w:trHeight w:val="674"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316</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w:t>
            </w:r>
            <w:r>
              <w:rPr>
                <w:rFonts w:ascii="宋体" w:hAnsi="宋体" w:cs="宋体" w:eastAsia="宋体" w:hint="default"/>
                <w:spacing w:val="-14"/>
                <w:sz w:val="18"/>
                <w:szCs w:val="18"/>
              </w:rPr>
              <w:t>裁、财务总</w:t>
            </w:r>
            <w:r>
              <w:rPr>
                <w:rFonts w:ascii="宋体" w:hAnsi="宋体" w:cs="宋体" w:eastAsia="宋体" w:hint="default"/>
                <w:sz w:val="18"/>
                <w:szCs w:val="18"/>
              </w:rPr>
              <w:t>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55,193,42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272,934,5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因个人原因主动离职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00" w:lineRule="auto" w:before="116"/>
        <w:ind w:left="514" w:right="0"/>
        <w:jc w:val="left"/>
      </w:pPr>
      <w:r>
        <w:rPr>
          <w:rFonts w:ascii="Times New Roman" w:hAnsi="Times New Roman" w:cs="Times New Roman" w:eastAsia="Times New Roman" w:hint="default"/>
        </w:rPr>
        <w:t>1</w:t>
      </w:r>
      <w:r>
        <w:rPr/>
        <w:t>、公司现任董事的任职情况 </w:t>
      </w:r>
      <w:r>
        <w:rPr>
          <w:spacing w:val="-2"/>
        </w:rPr>
        <w:t>陈亚妹女士：</w:t>
      </w:r>
      <w:r>
        <w:rPr>
          <w:rFonts w:ascii="Times New Roman" w:hAnsi="Times New Roman" w:cs="Times New Roman" w:eastAsia="Times New Roman" w:hint="default"/>
          <w:spacing w:val="-2"/>
        </w:rPr>
        <w:t>1975</w:t>
      </w:r>
      <w:r>
        <w:rPr>
          <w:spacing w:val="-2"/>
        </w:rPr>
        <w:t>年出生，中国国籍，无境外永久居留权，大专学历。陈亚妹女士</w:t>
      </w:r>
      <w:r>
        <w:rPr>
          <w:rFonts w:ascii="Times New Roman" w:hAnsi="Times New Roman" w:cs="Times New Roman" w:eastAsia="Times New Roman" w:hint="default"/>
          <w:spacing w:val="-2"/>
        </w:rPr>
        <w:t>1998</w:t>
      </w:r>
      <w:r>
        <w:rPr>
          <w:spacing w:val="-2"/>
        </w:rPr>
        <w:t>年与乔昕先生一起创办本公司前</w:t>
      </w:r>
    </w:p>
    <w:p>
      <w:pPr>
        <w:pStyle w:val="BodyText"/>
        <w:spacing w:line="316" w:lineRule="auto" w:before="13"/>
        <w:ind w:right="1032"/>
        <w:jc w:val="left"/>
      </w:pPr>
      <w:r>
        <w:rPr>
          <w:spacing w:val="-4"/>
        </w:rPr>
        <w:t>身深圳市实益达实业有限公司，现任本公司董事长、无锡实益达电子有限公司董事，实益达科技（香港）有限公司执行董事，</w:t>
      </w:r>
      <w:r>
        <w:rPr>
          <w:spacing w:val="-44"/>
        </w:rPr>
        <w:t> </w:t>
      </w:r>
      <w:r>
        <w:rPr>
          <w:spacing w:val="-44"/>
        </w:rPr>
      </w:r>
      <w:r>
        <w:rPr>
          <w:spacing w:val="-2"/>
        </w:rPr>
        <w:t>拉萨市冠德成科技发展有限公司监事，凯扬商贸（香港）有限公司执行董事，深圳市前海实益达投资发展有限公司董事，新</w:t>
      </w:r>
      <w:r>
        <w:rPr>
          <w:spacing w:val="-66"/>
        </w:rPr>
        <w:t> </w:t>
      </w:r>
      <w:r>
        <w:rPr>
          <w:spacing w:val="-66"/>
        </w:rPr>
      </w:r>
      <w:r>
        <w:rPr>
          <w:spacing w:val="-2"/>
        </w:rPr>
        <w:t>余九派凯阳投资合伙企业（有限合伙）有限合伙人，新余元通投资管理有限公司执行董事、总经理，深圳市日升投资有限公</w:t>
      </w:r>
      <w:r>
        <w:rPr>
          <w:spacing w:val="-66"/>
        </w:rPr>
        <w:t> </w:t>
      </w:r>
      <w:r>
        <w:rPr>
          <w:spacing w:val="-66"/>
        </w:rPr>
      </w:r>
      <w:r>
        <w:rPr/>
        <w:t>司总经理。</w:t>
      </w:r>
    </w:p>
    <w:p>
      <w:pPr>
        <w:pStyle w:val="BodyText"/>
        <w:spacing w:line="312" w:lineRule="auto"/>
        <w:ind w:right="1033" w:firstLine="360"/>
        <w:jc w:val="left"/>
      </w:pPr>
      <w:r>
        <w:rPr/>
        <w:t>乔昕先生：</w:t>
      </w:r>
      <w:r>
        <w:rPr>
          <w:spacing w:val="-18"/>
        </w:rPr>
        <w:t> </w:t>
      </w:r>
      <w:r>
        <w:rPr>
          <w:rFonts w:ascii="Times New Roman" w:hAnsi="Times New Roman" w:cs="Times New Roman" w:eastAsia="Times New Roman" w:hint="default"/>
        </w:rPr>
        <w:t>1963</w:t>
      </w:r>
      <w:r>
        <w:rPr/>
        <w:t>年出生，中国国籍，无境外永久居留权，硕士学历。乔昕先生大学毕业后曾先后在无锡机床研究所、 日本北陆电气工业株式会社深圳办事处工作，</w:t>
      </w:r>
      <w:r>
        <w:rPr>
          <w:rFonts w:ascii="Times New Roman" w:hAnsi="Times New Roman" w:cs="Times New Roman" w:eastAsia="Times New Roman" w:hint="default"/>
        </w:rPr>
        <w:t>1998</w:t>
      </w:r>
      <w:r>
        <w:rPr/>
        <w:t>年创办本公司前身深圳市实益达实业有限公司，现任本公司董事兼总裁、 </w:t>
      </w:r>
      <w:r>
        <w:rPr>
          <w:spacing w:val="-2"/>
        </w:rPr>
        <w:t>百华科技发展有限公司执行董事，广州讯友数码科技有限公司董事，拉萨市冠德成科技发展有限公司执行董事，深圳前海实</w:t>
      </w:r>
      <w:r>
        <w:rPr>
          <w:spacing w:val="-66"/>
        </w:rPr>
        <w:t> </w:t>
      </w:r>
      <w:r>
        <w:rPr>
          <w:spacing w:val="-66"/>
        </w:rPr>
      </w:r>
      <w:r>
        <w:rPr>
          <w:spacing w:val="-2"/>
        </w:rPr>
        <w:t>益达投资发展有限公司董事长、总经理，深圳市电明科技股份有限公司董事，深圳市汇大光电科技股份有限公司董事长，无</w:t>
      </w:r>
      <w:r>
        <w:rPr>
          <w:spacing w:val="-66"/>
        </w:rPr>
        <w:t> </w:t>
      </w:r>
      <w:r>
        <w:rPr>
          <w:spacing w:val="-66"/>
        </w:rPr>
      </w:r>
      <w:r>
        <w:rPr>
          <w:spacing w:val="-2"/>
        </w:rPr>
        <w:t>锡实益达电子有限公司董事长、总经理，无锡实益达照明科技有限公司总经理，新余九派凯阳投资合伙企业（有限合伙）有</w:t>
      </w:r>
      <w:r>
        <w:rPr>
          <w:spacing w:val="-66"/>
        </w:rPr>
        <w:t> </w:t>
      </w:r>
      <w:r>
        <w:rPr>
          <w:spacing w:val="-66"/>
        </w:rPr>
      </w:r>
      <w:r>
        <w:rPr>
          <w:spacing w:val="-2"/>
        </w:rPr>
        <w:t>限合伙人，新余益瑞投资合伙企业（有限合伙）普通合伙人，新余元通投资管理有限公司监事，深圳市日升投资有限公司执</w:t>
      </w:r>
      <w:r>
        <w:rPr>
          <w:spacing w:val="-66"/>
        </w:rPr>
        <w:t> </w:t>
      </w:r>
      <w:r>
        <w:rPr>
          <w:spacing w:val="-66"/>
        </w:rPr>
      </w:r>
      <w:r>
        <w:rPr/>
        <w:t>行董事，上海顺为广告传播有限公司董事，深圳市实益达照明有限公司董事长。</w:t>
      </w:r>
    </w:p>
    <w:p>
      <w:pPr>
        <w:pStyle w:val="BodyText"/>
        <w:spacing w:line="240" w:lineRule="auto" w:before="22"/>
        <w:ind w:left="513" w:right="0"/>
        <w:jc w:val="left"/>
      </w:pPr>
      <w:r>
        <w:rPr/>
        <w:t>廖建中先生：</w:t>
      </w:r>
      <w:r>
        <w:rPr>
          <w:rFonts w:ascii="Times New Roman" w:hAnsi="Times New Roman" w:cs="Times New Roman" w:eastAsia="Times New Roman" w:hint="default"/>
        </w:rPr>
        <w:t>1970</w:t>
      </w:r>
      <w:r>
        <w:rPr/>
        <w:t>年出生，中国国籍，无境外永久居留权，硕士学历、注册会计师非执业资格。曾任职华宝国际控股有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限公司集团财务部副总经理、广东省金叶科技开发有限公司副总经理、财务总监职务，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月加入本公司，现任公司董 事、财务总监，上海利宣广告有限公司董事，新余益瑞投资合伙企业（有限合伙）有限合伙人。</w:t>
      </w:r>
    </w:p>
    <w:p>
      <w:pPr>
        <w:pStyle w:val="BodyText"/>
        <w:spacing w:line="300" w:lineRule="auto" w:before="31"/>
        <w:ind w:left="513" w:right="0"/>
        <w:jc w:val="left"/>
      </w:pPr>
      <w:r>
        <w:rPr/>
        <w:t>洪兵先生：</w:t>
      </w:r>
      <w:r>
        <w:rPr>
          <w:rFonts w:ascii="Times New Roman" w:hAnsi="Times New Roman" w:cs="Times New Roman" w:eastAsia="Times New Roman" w:hint="default"/>
        </w:rPr>
        <w:t>1969</w:t>
      </w:r>
      <w:r>
        <w:rPr/>
        <w:t>年出生，中国国籍，无境外永久居留权，硕士学历。现任无锡立德时代科技有限公司总经理。 </w:t>
      </w:r>
      <w:r>
        <w:rPr>
          <w:spacing w:val="-4"/>
        </w:rPr>
        <w:t>胡宜女士：</w:t>
      </w:r>
      <w:r>
        <w:rPr>
          <w:rFonts w:ascii="Times New Roman" w:hAnsi="Times New Roman" w:cs="Times New Roman" w:eastAsia="Times New Roman" w:hint="default"/>
          <w:spacing w:val="-4"/>
        </w:rPr>
        <w:t>1970</w:t>
      </w:r>
      <w:r>
        <w:rPr>
          <w:spacing w:val="-4"/>
        </w:rPr>
        <w:t>年出生，中国国籍，无境外永久居留权，中山大学法学士、北京大学经济学硕士、深圳市注册执业律师。</w:t>
      </w:r>
    </w:p>
    <w:p>
      <w:pPr>
        <w:pStyle w:val="BodyText"/>
        <w:spacing w:line="316" w:lineRule="auto" w:before="13"/>
        <w:ind w:left="513" w:right="0" w:hanging="360"/>
        <w:jc w:val="left"/>
      </w:pPr>
      <w:r>
        <w:rPr/>
        <w:t>现任北京市中伦律师事务所派驻深圳办公室合伙人、本公司独立董事。 </w:t>
      </w:r>
      <w:r>
        <w:rPr>
          <w:spacing w:val="-2"/>
        </w:rPr>
        <w:t>唐忠诚先生：</w:t>
      </w:r>
      <w:r>
        <w:rPr>
          <w:rFonts w:ascii="Times New Roman" w:hAnsi="Times New Roman" w:cs="Times New Roman" w:eastAsia="Times New Roman" w:hint="default"/>
          <w:spacing w:val="-2"/>
        </w:rPr>
        <w:t>1963</w:t>
      </w:r>
      <w:r>
        <w:rPr>
          <w:spacing w:val="-2"/>
        </w:rPr>
        <w:t>年出生，中国国籍，无境外永久居留权，南京财经大学经济学学士、南开大学经济学硕士、拥有加拿</w:t>
      </w:r>
    </w:p>
    <w:p>
      <w:pPr>
        <w:pStyle w:val="BodyText"/>
        <w:spacing w:line="300" w:lineRule="auto" w:before="0"/>
        <w:ind w:left="154" w:right="1162"/>
        <w:jc w:val="left"/>
      </w:pPr>
      <w:r>
        <w:rPr/>
        <w:t>大约克大学</w:t>
      </w:r>
      <w:r>
        <w:rPr>
          <w:rFonts w:ascii="Times New Roman" w:hAnsi="Times New Roman" w:cs="Times New Roman" w:eastAsia="Times New Roman" w:hint="default"/>
        </w:rPr>
        <w:t>MBA</w:t>
      </w:r>
      <w:r>
        <w:rPr/>
        <w:t>项目合格证书、高级会计师。现任深圳文科园林股份有限公司董事、东莞雄林新材有限公司董事、深圳同 创伟业创业投资公司合伙人、宁夏银利电气有限公司董事、河南金苑种业有限公司董事和本公司独立董事。</w:t>
      </w:r>
    </w:p>
    <w:p>
      <w:pPr>
        <w:pStyle w:val="BodyText"/>
        <w:spacing w:line="307" w:lineRule="auto" w:before="31"/>
        <w:ind w:right="1033" w:firstLine="360"/>
        <w:jc w:val="left"/>
      </w:pPr>
      <w:r>
        <w:rPr/>
        <w:t>陶向南先生：</w:t>
      </w:r>
      <w:r>
        <w:rPr>
          <w:rFonts w:ascii="Times New Roman" w:hAnsi="Times New Roman" w:cs="Times New Roman" w:eastAsia="Times New Roman" w:hint="default"/>
        </w:rPr>
        <w:t>1966</w:t>
      </w:r>
      <w:r>
        <w:rPr/>
        <w:t>年出生，中国国籍，无境外永久居留权，南京大学商学院管理学博士。现任南京大学商学院副教授、 澳门科技大学兼职副教授、本公司独立董事。 </w:t>
      </w:r>
      <w:r>
        <w:rPr>
          <w:spacing w:val="-2"/>
        </w:rPr>
        <w:t>曹军波先生：</w:t>
      </w:r>
      <w:r>
        <w:rPr>
          <w:rFonts w:ascii="Times New Roman" w:hAnsi="Times New Roman" w:cs="Times New Roman" w:eastAsia="Times New Roman" w:hint="default"/>
          <w:spacing w:val="-2"/>
        </w:rPr>
        <w:t>1977</w:t>
      </w:r>
      <w:r>
        <w:rPr>
          <w:spacing w:val="-2"/>
        </w:rPr>
        <w:t>年出生，中国国籍，无境外永久居留权，外交学院国际经济关系专业硕士学历。现任上海艾瑞市场咨询有</w:t>
      </w:r>
      <w:r>
        <w:rPr>
          <w:spacing w:val="-62"/>
        </w:rPr>
        <w:t> </w:t>
      </w:r>
      <w:r>
        <w:rPr>
          <w:spacing w:val="-62"/>
        </w:rPr>
      </w:r>
      <w:r>
        <w:rPr/>
        <w:t>限公司副总裁、首席分析师、研究院院长。</w:t>
      </w:r>
    </w:p>
    <w:p>
      <w:pPr>
        <w:pStyle w:val="BodyText"/>
        <w:spacing w:line="300" w:lineRule="auto" w:before="26"/>
        <w:ind w:right="1130" w:firstLine="360"/>
        <w:jc w:val="both"/>
      </w:pPr>
      <w:r>
        <w:rPr>
          <w:spacing w:val="-2"/>
        </w:rPr>
        <w:t>马旗戟先生：</w:t>
      </w:r>
      <w:r>
        <w:rPr>
          <w:rFonts w:ascii="Times New Roman" w:hAnsi="Times New Roman" w:cs="Times New Roman" w:eastAsia="Times New Roman" w:hint="default"/>
          <w:spacing w:val="-2"/>
        </w:rPr>
        <w:t>1966</w:t>
      </w:r>
      <w:r>
        <w:rPr>
          <w:spacing w:val="-2"/>
        </w:rPr>
        <w:t>年出生，中国国籍，无境外永久居留权，青岛海洋大学（现中国海洋大学）大学应用数学本科。曾任</w:t>
      </w:r>
      <w:r>
        <w:rPr/>
        <w:t> 职互联网实验室高级副总裁兼首席运营官、新生代市场监测机构副总经理、</w:t>
      </w:r>
      <w:r>
        <w:rPr>
          <w:rFonts w:ascii="Times New Roman" w:hAnsi="Times New Roman" w:cs="Times New Roman" w:eastAsia="Times New Roman" w:hint="default"/>
        </w:rPr>
        <w:t>Nielsen Online</w:t>
      </w:r>
      <w:r>
        <w:rPr>
          <w:rFonts w:ascii="Times New Roman" w:hAnsi="Times New Roman" w:cs="Times New Roman" w:eastAsia="Times New Roman" w:hint="default"/>
          <w:spacing w:val="-25"/>
        </w:rPr>
        <w:t> </w:t>
      </w:r>
      <w:r>
        <w:rPr>
          <w:rFonts w:ascii="Times New Roman" w:hAnsi="Times New Roman" w:cs="Times New Roman" w:eastAsia="Times New Roman" w:hint="default"/>
        </w:rPr>
        <w:t>China</w:t>
      </w:r>
      <w:r>
        <w:rPr/>
        <w:t>高级副总裁、互帮国际技术 有限公司</w:t>
      </w:r>
      <w:r>
        <w:rPr>
          <w:spacing w:val="-19"/>
        </w:rPr>
        <w:t> </w:t>
      </w:r>
      <w:r>
        <w:rPr/>
        <w:t>高级副总裁、首席市场官职务。现任北京大学新媒体营销传播研究中心研究员。</w:t>
      </w:r>
    </w:p>
    <w:p>
      <w:pPr>
        <w:pStyle w:val="BodyText"/>
        <w:spacing w:line="300" w:lineRule="auto" w:before="31"/>
        <w:ind w:left="514" w:right="0"/>
        <w:jc w:val="left"/>
      </w:pPr>
      <w:r>
        <w:rPr>
          <w:rFonts w:ascii="Times New Roman" w:hAnsi="Times New Roman" w:cs="Times New Roman" w:eastAsia="Times New Roman" w:hint="default"/>
        </w:rPr>
        <w:t>2</w:t>
      </w:r>
      <w:r>
        <w:rPr/>
        <w:t>、公司现任监事的任职情况 </w:t>
      </w:r>
      <w:r>
        <w:rPr>
          <w:spacing w:val="-2"/>
        </w:rPr>
        <w:t>曾惠明先生：</w:t>
      </w:r>
      <w:r>
        <w:rPr>
          <w:rFonts w:ascii="Times New Roman" w:hAnsi="Times New Roman" w:cs="Times New Roman" w:eastAsia="Times New Roman" w:hint="default"/>
          <w:spacing w:val="-2"/>
        </w:rPr>
        <w:t>1966</w:t>
      </w:r>
      <w:r>
        <w:rPr>
          <w:spacing w:val="-2"/>
        </w:rPr>
        <w:t>年出生，中国国籍，无境外永久居留权，大专学历。</w:t>
      </w:r>
      <w:r>
        <w:rPr>
          <w:rFonts w:ascii="Times New Roman" w:hAnsi="Times New Roman" w:cs="Times New Roman" w:eastAsia="Times New Roman" w:hint="default"/>
          <w:spacing w:val="-2"/>
        </w:rPr>
        <w:t>2007</w:t>
      </w:r>
      <w:r>
        <w:rPr>
          <w:spacing w:val="-2"/>
        </w:rPr>
        <w:t>年至今曾先后任职于深圳市实益达科技股份</w:t>
      </w:r>
    </w:p>
    <w:p>
      <w:pPr>
        <w:pStyle w:val="BodyText"/>
        <w:spacing w:line="316" w:lineRule="auto" w:before="13"/>
        <w:ind w:left="514" w:right="1122" w:hanging="360"/>
        <w:jc w:val="left"/>
      </w:pPr>
      <w:r>
        <w:rPr/>
        <w:t>有限公司采购部、行政部等部门，现任行政部主管。 张维先生：</w:t>
      </w:r>
      <w:r>
        <w:rPr>
          <w:rFonts w:ascii="Times New Roman" w:hAnsi="Times New Roman" w:cs="Times New Roman" w:eastAsia="Times New Roman" w:hint="default"/>
        </w:rPr>
        <w:t>1982</w:t>
      </w:r>
      <w:r>
        <w:rPr/>
        <w:t>年出生，中国国籍，无境外永久居留权，本科学历。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月至今任职于深圳市实益达科技股份有限</w:t>
      </w:r>
    </w:p>
    <w:p>
      <w:pPr>
        <w:pStyle w:val="BodyText"/>
        <w:spacing w:line="248" w:lineRule="exact" w:before="0"/>
        <w:ind w:right="0"/>
        <w:jc w:val="left"/>
      </w:pPr>
      <w:r>
        <w:rPr/>
        <w:t>公司</w:t>
      </w:r>
      <w:r>
        <w:rPr>
          <w:rFonts w:ascii="Times New Roman" w:hAnsi="Times New Roman" w:cs="Times New Roman" w:eastAsia="Times New Roman" w:hint="default"/>
        </w:rPr>
        <w:t>EMS</w:t>
      </w:r>
      <w:r>
        <w:rPr/>
        <w:t>事业部项目管理中心。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日起至今任本公司非职工代表监事。</w:t>
      </w:r>
    </w:p>
    <w:p>
      <w:pPr>
        <w:pStyle w:val="BodyText"/>
        <w:spacing w:line="300" w:lineRule="auto" w:before="63"/>
        <w:ind w:right="1132" w:firstLine="360"/>
        <w:jc w:val="both"/>
      </w:pPr>
      <w:r>
        <w:rPr/>
        <w:t>陈晓燕女士：</w:t>
      </w:r>
      <w:r>
        <w:rPr>
          <w:rFonts w:ascii="Times New Roman" w:hAnsi="Times New Roman" w:cs="Times New Roman" w:eastAsia="Times New Roman" w:hint="default"/>
        </w:rPr>
        <w:t>1983</w:t>
      </w:r>
      <w:r>
        <w:rPr>
          <w:rFonts w:ascii="Times New Roman" w:hAnsi="Times New Roman" w:cs="Times New Roman" w:eastAsia="Times New Roman" w:hint="default"/>
          <w:spacing w:val="26"/>
        </w:rPr>
        <w:t> </w:t>
      </w:r>
      <w:r>
        <w:rPr/>
        <w:t>年出生，中国国籍，无境外永久居留权，中专学历。</w:t>
      </w:r>
      <w:r>
        <w:rPr>
          <w:rFonts w:ascii="Times New Roman" w:hAnsi="Times New Roman" w:cs="Times New Roman" w:eastAsia="Times New Roman" w:hint="default"/>
        </w:rPr>
        <w:t>2003</w:t>
      </w:r>
      <w:r>
        <w:rPr/>
        <w:t>年至今任职于深圳市实益达科技股份有限 </w:t>
      </w:r>
      <w:r>
        <w:rPr>
          <w:spacing w:val="-2"/>
        </w:rPr>
        <w:t>公司人力资源部，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日起至今任本公司非职工代表监事，兼任深圳市汇大光电科技股份有限公司监事，深圳市元通</w:t>
      </w:r>
      <w:r>
        <w:rPr>
          <w:spacing w:val="-60"/>
        </w:rPr>
        <w:t> </w:t>
      </w:r>
      <w:r>
        <w:rPr>
          <w:spacing w:val="-60"/>
        </w:rPr>
      </w:r>
      <w:r>
        <w:rPr/>
        <w:t>孵化有限公司监事，深圳市实益达工业有限公司监事。</w:t>
      </w:r>
    </w:p>
    <w:p>
      <w:pPr>
        <w:pStyle w:val="BodyText"/>
        <w:spacing w:line="300" w:lineRule="auto" w:before="31"/>
        <w:ind w:left="513" w:right="5803"/>
        <w:jc w:val="left"/>
      </w:pPr>
      <w:r>
        <w:rPr>
          <w:rFonts w:ascii="Times New Roman" w:hAnsi="Times New Roman" w:cs="Times New Roman" w:eastAsia="Times New Roman" w:hint="default"/>
        </w:rPr>
        <w:t>3</w:t>
      </w:r>
      <w:r>
        <w:rPr/>
        <w:t>、高级管理人员的任职情况 乔昕简历参见</w:t>
      </w:r>
      <w:r>
        <w:rPr>
          <w:rFonts w:ascii="Times New Roman" w:hAnsi="Times New Roman" w:cs="Times New Roman" w:eastAsia="Times New Roman" w:hint="default"/>
        </w:rPr>
        <w:t>“</w:t>
      </w:r>
      <w:r>
        <w:rPr/>
        <w:t>本节、（三）、</w:t>
      </w:r>
      <w:r>
        <w:rPr>
          <w:rFonts w:ascii="Times New Roman" w:hAnsi="Times New Roman" w:cs="Times New Roman" w:eastAsia="Times New Roman" w:hint="default"/>
        </w:rPr>
        <w:t>1</w:t>
      </w:r>
      <w:r>
        <w:rPr/>
        <w:t>、董事的任职情况</w:t>
      </w:r>
      <w:r>
        <w:rPr>
          <w:rFonts w:ascii="Times New Roman" w:hAnsi="Times New Roman" w:cs="Times New Roman" w:eastAsia="Times New Roman" w:hint="default"/>
        </w:rPr>
        <w:t>”</w:t>
      </w:r>
      <w:r>
        <w:rPr/>
        <w:t>。 廖建中简历参见“本节、（三）、</w:t>
      </w:r>
      <w:r>
        <w:rPr>
          <w:rFonts w:ascii="宋体" w:hAnsi="宋体" w:cs="宋体" w:eastAsia="宋体" w:hint="default"/>
        </w:rPr>
        <w:t>1</w:t>
      </w:r>
      <w:r>
        <w:rPr/>
        <w:t>、董事的任职情况”。</w:t>
      </w:r>
    </w:p>
    <w:p>
      <w:pPr>
        <w:pStyle w:val="BodyText"/>
        <w:spacing w:line="300" w:lineRule="auto" w:before="31"/>
        <w:ind w:right="1031" w:firstLine="360"/>
        <w:jc w:val="left"/>
      </w:pPr>
      <w:r>
        <w:rPr>
          <w:spacing w:val="-3"/>
        </w:rPr>
        <w:t>朱蕾女士：</w:t>
      </w:r>
      <w:r>
        <w:rPr>
          <w:rFonts w:ascii="Times New Roman" w:hAnsi="Times New Roman" w:cs="Times New Roman" w:eastAsia="Times New Roman" w:hint="default"/>
          <w:spacing w:val="-3"/>
        </w:rPr>
        <w:t>1984</w:t>
      </w:r>
      <w:r>
        <w:rPr>
          <w:spacing w:val="-3"/>
        </w:rPr>
        <w:t>年出生，中国国籍，无境外永久居留权，硕士研究生学历。曾任职于</w:t>
      </w:r>
      <w:r>
        <w:rPr>
          <w:rFonts w:ascii="Times New Roman" w:hAnsi="Times New Roman" w:cs="Times New Roman" w:eastAsia="Times New Roman" w:hint="default"/>
          <w:spacing w:val="-3"/>
        </w:rPr>
        <w:t>DTZ</w:t>
      </w:r>
      <w:r>
        <w:rPr>
          <w:spacing w:val="-3"/>
        </w:rPr>
        <w:t>戴德梁行深圳公司工业物流部、</w:t>
      </w:r>
      <w:r>
        <w:rPr/>
        <w:t> 浙江星星瑞金科技股份有限公司董事会办公室，</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月加入公司，现任公司副总裁、董事会秘书，兼任新余益瑞投资合 伙企业（有限合伙）有限合伙人，奇思国际广告（北京）有限公司董事。</w:t>
      </w:r>
    </w:p>
    <w:p>
      <w:pPr>
        <w:pStyle w:val="BodyText"/>
        <w:spacing w:line="240" w:lineRule="auto" w:before="72"/>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2835"/>
        <w:gridCol w:w="1417"/>
        <w:gridCol w:w="1586"/>
        <w:gridCol w:w="1360"/>
        <w:gridCol w:w="1376"/>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深圳市前海实益达投资发展有限公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新余九派凯阳投资合伙企业（有限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835"/>
        <w:gridCol w:w="1417"/>
        <w:gridCol w:w="1586"/>
        <w:gridCol w:w="1360"/>
        <w:gridCol w:w="1376"/>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新余元通投资管理有限公司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广州讯友数码科技有限公司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深圳前海实益达投资发展有限公司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深圳市电明科技股份有限公司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新余九派凯阳投资合伙企业（有限 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新余益瑞投资合伙企业（有限合伙）</w:t>
            </w:r>
            <w:r>
              <w:rPr>
                <w:rFonts w:ascii="宋体" w:hAnsi="宋体" w:cs="宋体" w:eastAsia="宋体" w:hint="default"/>
                <w:sz w:val="18"/>
                <w:szCs w:val="18"/>
              </w:rPr>
            </w:r>
          </w:p>
        </w:tc>
        <w:tc>
          <w:tcPr>
            <w:tcW w:w="14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普通合伙人</w:t>
            </w:r>
          </w:p>
          <w:p>
            <w:pPr>
              <w:pStyle w:val="TableParagraph"/>
              <w:spacing w:line="39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8.05pt;height:19.650pt;mso-position-horizontal-relative:char;mso-position-vertical-relative:line" coordorigin="0,0" coordsize="1361,393">
                  <v:group style="position:absolute;left:0;top:0;width:1361;height:393" coordorigin="0,0" coordsize="1361,393">
                    <v:shape style="position:absolute;left:0;top:0;width:1361;height:393" coordorigin="0,0" coordsize="1361,393" path="m0,392l1361,392,1361,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深圳市日升投资有限公司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深圳市实益达照明有限公司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新余元通投资管理有限公司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283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新余益瑞投资合伙企业（有限合伙）</w:t>
            </w:r>
            <w:r>
              <w:rPr>
                <w:rFonts w:ascii="宋体" w:hAnsi="宋体" w:cs="宋体" w:eastAsia="宋体" w:hint="default"/>
                <w:sz w:val="18"/>
                <w:szCs w:val="18"/>
              </w:rPr>
            </w:r>
          </w:p>
        </w:tc>
        <w:tc>
          <w:tcPr>
            <w:tcW w:w="14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39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8.05pt;height:19.650pt;mso-position-horizontal-relative:char;mso-position-vertical-relative:line" coordorigin="0,0" coordsize="1361,393">
                  <v:group style="position:absolute;left:0;top:0;width:1361;height:393" coordorigin="0,0" coordsize="1361,393">
                    <v:shape style="position:absolute;left:0;top:0;width:1361;height:393" coordorigin="0,0" coordsize="1361,393" path="m0,392l1361,392,1361,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无锡立德时代科技有限公司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北京市中伦律师事务所深圳分所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深圳文科园林股份有限公司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深圳市同创伟业创业投资公司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东莞雄林新材有限公司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宁夏银利电气股份有限公司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河南金苑种业有限公司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澳门科技大学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南京大学商学院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北京大学新媒体营销传播研究中心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上海艾瑞市场咨询有限公司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副总裁、首席分析</w:t>
            </w:r>
            <w:r>
              <w:rPr>
                <w:rFonts w:ascii="宋体" w:hAnsi="宋体" w:cs="宋体" w:eastAsia="宋体" w:hint="default"/>
                <w:sz w:val="18"/>
                <w:szCs w:val="18"/>
              </w:rPr>
              <w:t> 师、研究院院长</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283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新余益瑞投资合伙企业（有限合伙）</w:t>
            </w:r>
            <w:r>
              <w:rPr>
                <w:rFonts w:ascii="宋体" w:hAnsi="宋体" w:cs="宋体" w:eastAsia="宋体" w:hint="default"/>
                <w:sz w:val="18"/>
                <w:szCs w:val="18"/>
              </w:rPr>
            </w:r>
          </w:p>
        </w:tc>
        <w:tc>
          <w:tcPr>
            <w:tcW w:w="14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39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8.05pt;height:19.650pt;mso-position-horizontal-relative:char;mso-position-vertical-relative:line" coordorigin="0,0" coordsize="1361,393">
                  <v:group style="position:absolute;left:0;top:0;width:1361;height:393" coordorigin="0,0" coordsize="1361,393">
                    <v:shape style="position:absolute;left:0;top:0;width:1361;height:393" coordorigin="0,0" coordsize="1361,393" path="m0,392l1361,392,1361,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835"/>
        <w:gridCol w:w="1417"/>
        <w:gridCol w:w="1586"/>
        <w:gridCol w:w="1360"/>
        <w:gridCol w:w="137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5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513" w:right="0" w:hanging="360"/>
        <w:jc w:val="left"/>
      </w:pPr>
      <w:r>
        <w:rPr/>
        <w:t>董事、监事、高级管理人员报酬的决策程序、确定依据、实际支付情况 </w:t>
      </w:r>
      <w:r>
        <w:rPr>
          <w:spacing w:val="-2"/>
        </w:rPr>
        <w:t>公司董事、监事、高级管理人员报酬的决策程序是依据董事会和监事会成员的报酬和支付方法由股东大会确定，高级管</w:t>
      </w:r>
    </w:p>
    <w:p>
      <w:pPr>
        <w:pStyle w:val="BodyText"/>
        <w:spacing w:line="224" w:lineRule="exact" w:before="0"/>
        <w:ind w:right="0"/>
        <w:jc w:val="left"/>
      </w:pPr>
      <w:r>
        <w:rPr/>
        <w:t>理人员的报酬和支付方法由总经理提议并报董事会确定。</w:t>
      </w:r>
    </w:p>
    <w:p>
      <w:pPr>
        <w:pStyle w:val="BodyText"/>
        <w:spacing w:line="316" w:lineRule="auto" w:before="76"/>
        <w:ind w:left="154" w:right="0" w:firstLine="360"/>
        <w:jc w:val="left"/>
      </w:pPr>
      <w:r>
        <w:rPr>
          <w:spacing w:val="-2"/>
        </w:rPr>
        <w:t>董事、监事、高级管理人员报酬确定依据是按照《公司章程》的规定，根据岗位的主要范围、职责、重要性以及其他相</w:t>
      </w:r>
      <w:r>
        <w:rPr/>
        <w:t> 关企业相关岗位的薪酬水平确定董事、监事和高级管理人员的报酬。</w:t>
      </w:r>
    </w:p>
    <w:p>
      <w:pPr>
        <w:pStyle w:val="BodyText"/>
        <w:spacing w:line="360" w:lineRule="auto"/>
        <w:ind w:left="154" w:right="1032" w:firstLine="360"/>
        <w:jc w:val="left"/>
      </w:pPr>
      <w:r>
        <w:rPr/>
        <w:t>董事、监事和高级管理人员报酬的实际支付情况为，根据公司相关规定，如期支付董事、监事和高级管理人员的报酬。 公司报告期内董事、监事和高级管理人员报酬情况</w:t>
      </w:r>
    </w:p>
    <w:p>
      <w:pPr>
        <w:pStyle w:val="BodyText"/>
        <w:spacing w:line="240" w:lineRule="auto" w:before="2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曾惠明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9"/>
        <w:jc w:val="left"/>
      </w:pPr>
      <w:r>
        <w:rPr/>
        <w:t>公司董事、监事、高级管理人员报告期内被授予的股权激励情况</w:t>
      </w:r>
    </w:p>
    <w:p>
      <w:pPr>
        <w:pStyle w:val="BodyText"/>
        <w:spacing w:line="240" w:lineRule="auto" w:before="11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单位：股</w:t>
      </w:r>
    </w:p>
    <w:p>
      <w:pPr>
        <w:spacing w:after="0" w:line="240" w:lineRule="auto"/>
        <w:jc w:val="left"/>
        <w:sectPr>
          <w:type w:val="continuous"/>
          <w:pgSz w:w="11910" w:h="16840"/>
          <w:pgMar w:top="1060" w:bottom="1160" w:left="980" w:right="0"/>
          <w:cols w:num="2" w:equalWidth="0">
            <w:col w:w="5195" w:space="37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54" w:right="1133"/>
        <w:jc w:val="both"/>
      </w:pPr>
      <w:r>
        <w:rPr/>
        <w:t>公司始终秉持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的理念，依法向员工提供稳定而具有竞争力的薪酬体系，报告期内公司进一步完善了</w:t>
      </w:r>
      <w:r>
        <w:rPr>
          <w:rFonts w:ascii="Times New Roman" w:hAnsi="Times New Roman" w:cs="Times New Roman" w:eastAsia="Times New Roman" w:hint="default"/>
        </w:rPr>
        <w:t>KPI</w:t>
      </w:r>
      <w:r>
        <w:rPr/>
        <w:t>绩效考核 </w:t>
      </w:r>
      <w:r>
        <w:rPr>
          <w:spacing w:val="-2"/>
        </w:rPr>
        <w:t>及薪酬激励机制，通过绩效责任书的形式确立员工的工作目标，并通过季度及年度考评程序实施相应的激励，将员工的个人</w:t>
      </w:r>
      <w:r>
        <w:rPr>
          <w:spacing w:val="-66"/>
        </w:rPr>
        <w:t> </w:t>
      </w:r>
      <w:r>
        <w:rPr>
          <w:spacing w:val="-66"/>
        </w:rPr>
      </w:r>
      <w:r>
        <w:rPr/>
        <w:t>利益与公司利益、个人目标与公司目标有机结合，极大的调动了员工的积极性和主动性。</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54" w:right="1032"/>
        <w:jc w:val="left"/>
      </w:pPr>
      <w:r>
        <w:rPr>
          <w:spacing w:val="-2"/>
        </w:rPr>
        <w:t>为贯彻公司</w:t>
      </w:r>
      <w:r>
        <w:rPr>
          <w:rFonts w:ascii="Times New Roman" w:hAnsi="Times New Roman" w:cs="Times New Roman" w:eastAsia="Times New Roman" w:hint="default"/>
          <w:spacing w:val="-2"/>
        </w:rPr>
        <w:t>“</w:t>
      </w:r>
      <w:r>
        <w:rPr>
          <w:spacing w:val="-2"/>
        </w:rPr>
        <w:t>以文化治企</w:t>
      </w:r>
      <w:r>
        <w:rPr>
          <w:rFonts w:ascii="Times New Roman" w:hAnsi="Times New Roman" w:cs="Times New Roman" w:eastAsia="Times New Roman" w:hint="default"/>
          <w:spacing w:val="-2"/>
        </w:rPr>
        <w:t>”</w:t>
      </w:r>
      <w:r>
        <w:rPr>
          <w:spacing w:val="-2"/>
        </w:rPr>
        <w:t>的管理理念，满足员工个人职业发展的需求，公司建立了系统的人才培训体系，针对员工入职、在</w:t>
      </w:r>
      <w:r>
        <w:rPr>
          <w:spacing w:val="-44"/>
        </w:rPr>
        <w:t> </w:t>
      </w:r>
      <w:r>
        <w:rPr>
          <w:spacing w:val="-44"/>
        </w:rPr>
      </w:r>
      <w:r>
        <w:rPr/>
        <w:t>职、晋升和提升等不同成长阶段的需求，采取内部培训和送外培训、主动培训和被动培训、现场培训和远程培训等多渠道、 多资源相结合的方式，全方位提高员工的业务能力和管理水平，实现企业和员工的双赢。</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26"/>
      <w:bookmarkEnd w:id="126"/>
      <w:r>
        <w:rPr>
          <w:b w:val="0"/>
          <w:bCs w:val="0"/>
        </w:rPr>
      </w:r>
      <w:bookmarkStart w:name="_bookmark7"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33" w:firstLine="360"/>
        <w:jc w:val="left"/>
      </w:pPr>
      <w:r>
        <w:rPr>
          <w:spacing w:val="-2"/>
        </w:rPr>
        <w:t>报告期内，公司严格按照相关法律法规及规范性文件的要求，不断提高公司规范运作水平，完善法人治理结构，建立健</w:t>
      </w:r>
      <w:r>
        <w:rPr/>
        <w:t> </w:t>
      </w:r>
      <w:r>
        <w:rPr>
          <w:spacing w:val="-2"/>
        </w:rPr>
        <w:t>全公司内部控制管理体系。截至报告期末，公司整体运作规范，独立性强，信息披露规范，公司治理基本符合证监会有关上</w:t>
      </w:r>
      <w:r>
        <w:rPr>
          <w:spacing w:val="-66"/>
        </w:rPr>
        <w:t> </w:t>
      </w:r>
      <w:r>
        <w:rPr>
          <w:spacing w:val="-66"/>
        </w:rPr>
      </w:r>
      <w:r>
        <w:rPr/>
        <w:t>市公司治理规范性文件的要求。公司将按照有关法律、行政法规的要求，进一步规范公司运作，不断提高公司的治理水平， 维护股东和公司利益。</w:t>
      </w:r>
    </w:p>
    <w:p>
      <w:pPr>
        <w:pStyle w:val="BodyText"/>
        <w:spacing w:line="300" w:lineRule="auto"/>
        <w:ind w:left="514" w:right="0"/>
        <w:jc w:val="left"/>
      </w:pPr>
      <w:r>
        <w:rPr>
          <w:rFonts w:ascii="Times New Roman" w:hAnsi="Times New Roman" w:cs="Times New Roman" w:eastAsia="Times New Roman" w:hint="default"/>
        </w:rPr>
        <w:t>1</w:t>
      </w:r>
      <w:r>
        <w:rPr/>
        <w:t>、关于三会运作 </w:t>
      </w:r>
      <w:r>
        <w:rPr>
          <w:spacing w:val="-2"/>
        </w:rPr>
        <w:t>报告期内，公司股东大会、董事会和监事会均严格按照相关法律、法规的规定规范运作，三会与其他内部机构也都保持</w:t>
      </w:r>
    </w:p>
    <w:p>
      <w:pPr>
        <w:pStyle w:val="BodyText"/>
        <w:spacing w:line="312" w:lineRule="auto" w:before="31"/>
        <w:ind w:right="0"/>
        <w:jc w:val="left"/>
      </w:pPr>
      <w:r>
        <w:rPr>
          <w:spacing w:val="-2"/>
        </w:rPr>
        <w:t>了独立运作，各位董事、监事均能认真履行自己的职责，勤勉尽责。报告期内，公司共召开了</w:t>
      </w:r>
      <w:r>
        <w:rPr>
          <w:rFonts w:ascii="Times New Roman" w:hAnsi="Times New Roman" w:cs="Times New Roman" w:eastAsia="Times New Roman" w:hint="default"/>
          <w:spacing w:val="-2"/>
        </w:rPr>
        <w:t>6</w:t>
      </w:r>
      <w:r>
        <w:rPr>
          <w:spacing w:val="-2"/>
        </w:rPr>
        <w:t>次股东大会、</w:t>
      </w:r>
      <w:r>
        <w:rPr>
          <w:rFonts w:ascii="Times New Roman" w:hAnsi="Times New Roman" w:cs="Times New Roman" w:eastAsia="Times New Roman" w:hint="default"/>
          <w:spacing w:val="-2"/>
        </w:rPr>
        <w:t>14</w:t>
      </w:r>
      <w:r>
        <w:rPr>
          <w:spacing w:val="-2"/>
        </w:rPr>
        <w:t>次董事会和</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8"/>
        </w:rPr>
        <w:t> </w:t>
      </w:r>
      <w:r>
        <w:rPr>
          <w:spacing w:val="-2"/>
        </w:rPr>
        <w:t>次监事会，会议召集、召开及表决程序均符合法律法规的规定，各位董事、监事都能积极参加会议，行使法律法规赋予的权</w:t>
      </w:r>
      <w:r>
        <w:rPr>
          <w:spacing w:val="-66"/>
        </w:rPr>
        <w:t> </w:t>
      </w:r>
      <w:r>
        <w:rPr>
          <w:spacing w:val="-66"/>
        </w:rPr>
      </w:r>
      <w:r>
        <w:rPr>
          <w:spacing w:val="-4"/>
        </w:rPr>
        <w:t>利，履行法律法规赋予的职责和义务，各位高级管理人员也严格按照相关法律法规以及《公司章程》的规定列席了相关会议，</w:t>
      </w:r>
      <w:r>
        <w:rPr>
          <w:spacing w:val="-46"/>
        </w:rPr>
        <w:t> </w:t>
      </w:r>
      <w:r>
        <w:rPr>
          <w:spacing w:val="-46"/>
        </w:rPr>
      </w:r>
      <w:r>
        <w:rPr/>
        <w:t>就公司未来发展与股东和董事开展多层次、深入的沟通交流，并回答质询。</w:t>
      </w:r>
    </w:p>
    <w:p>
      <w:pPr>
        <w:pStyle w:val="BodyText"/>
        <w:spacing w:line="300" w:lineRule="auto" w:before="22"/>
        <w:ind w:left="514" w:right="1032"/>
        <w:jc w:val="left"/>
      </w:pPr>
      <w:r>
        <w:rPr>
          <w:rFonts w:ascii="Times New Roman" w:hAnsi="Times New Roman" w:cs="Times New Roman" w:eastAsia="Times New Roman" w:hint="default"/>
        </w:rPr>
        <w:t>2</w:t>
      </w:r>
      <w:r>
        <w:rPr/>
        <w:t>、关于控股股东与上市公司 公司在业务、人员、资产和财务等方面均保持了独立性，与控股股东各自独立运作、独立核算并独立承担责任和风险。</w:t>
      </w:r>
    </w:p>
    <w:p>
      <w:pPr>
        <w:pStyle w:val="BodyText"/>
        <w:spacing w:line="316" w:lineRule="auto" w:before="31"/>
        <w:ind w:left="154" w:right="1131"/>
        <w:jc w:val="both"/>
      </w:pPr>
      <w:r>
        <w:rPr>
          <w:spacing w:val="-2"/>
        </w:rPr>
        <w:t>控股股东均能严格规范自己的行为，没有发生超越股东大会直接或间接干预公司的决策和经营活动的行为，公司不存在为控</w:t>
      </w:r>
      <w:r>
        <w:rPr>
          <w:spacing w:val="-64"/>
        </w:rPr>
        <w:t> </w:t>
      </w:r>
      <w:r>
        <w:rPr>
          <w:spacing w:val="-64"/>
        </w:rPr>
      </w:r>
      <w:r>
        <w:rPr>
          <w:spacing w:val="-2"/>
        </w:rPr>
        <w:t>股股东、实际控制人及其关联人提供资金等财务资助的行为，也不存在控股股东及实际控制人占用公司资金或非经营性资金</w:t>
      </w:r>
      <w:r>
        <w:rPr>
          <w:spacing w:val="-64"/>
        </w:rPr>
        <w:t> </w:t>
      </w:r>
      <w:r>
        <w:rPr>
          <w:spacing w:val="-64"/>
        </w:rPr>
      </w:r>
      <w:r>
        <w:rPr>
          <w:spacing w:val="-2"/>
        </w:rPr>
        <w:t>往来的情况，公司日常经营性关联交易定价公允，公司严格按照相关法律法规的规定进行了披露，控股股东和实际控制人也</w:t>
      </w:r>
      <w:r>
        <w:rPr>
          <w:spacing w:val="-66"/>
        </w:rPr>
        <w:t> </w:t>
      </w:r>
      <w:r>
        <w:rPr>
          <w:spacing w:val="-66"/>
        </w:rPr>
      </w:r>
      <w:r>
        <w:rPr/>
        <w:t>不存在同业竞争及其他违反法律法规损害公司利益的行为。</w:t>
      </w:r>
    </w:p>
    <w:p>
      <w:pPr>
        <w:pStyle w:val="BodyText"/>
        <w:spacing w:line="300" w:lineRule="auto"/>
        <w:ind w:left="514" w:right="0"/>
        <w:jc w:val="left"/>
      </w:pPr>
      <w:r>
        <w:rPr>
          <w:rFonts w:ascii="Times New Roman" w:hAnsi="Times New Roman" w:cs="Times New Roman" w:eastAsia="Times New Roman" w:hint="default"/>
        </w:rPr>
        <w:t>3</w:t>
      </w:r>
      <w:r>
        <w:rPr/>
        <w:t>、关于公司治理 </w:t>
      </w:r>
      <w:r>
        <w:rPr>
          <w:spacing w:val="-2"/>
        </w:rPr>
        <w:t>报告期内，公司结合实际情况，并根据法律法规的调整、变化，修订了《募集资金管理办法》、《公司章程》，并新制</w:t>
      </w:r>
    </w:p>
    <w:p>
      <w:pPr>
        <w:pStyle w:val="BodyText"/>
        <w:spacing w:line="240" w:lineRule="auto" w:before="31"/>
        <w:ind w:left="154" w:right="0"/>
        <w:jc w:val="left"/>
      </w:pPr>
      <w:r>
        <w:rPr/>
        <w:t>定了《关联交易决策制度》、《合同管理制度》。</w:t>
      </w:r>
    </w:p>
    <w:p>
      <w:pPr>
        <w:pStyle w:val="BodyText"/>
        <w:spacing w:line="300" w:lineRule="auto" w:before="76"/>
        <w:ind w:left="513" w:right="0"/>
        <w:jc w:val="left"/>
      </w:pPr>
      <w:r>
        <w:rPr>
          <w:rFonts w:ascii="Times New Roman" w:hAnsi="Times New Roman" w:cs="Times New Roman" w:eastAsia="Times New Roman" w:hint="default"/>
        </w:rPr>
        <w:t>4</w:t>
      </w:r>
      <w:r>
        <w:rPr/>
        <w:t>、关于绩效评价与激励约束机制 </w:t>
      </w:r>
      <w:r>
        <w:rPr>
          <w:spacing w:val="-2"/>
        </w:rPr>
        <w:t>公司董事、监事、高级管理人员的任免程序公开、透明，符合法律、法规及《公司章程》的有关规定，公司已初步建立</w:t>
      </w:r>
    </w:p>
    <w:p>
      <w:pPr>
        <w:pStyle w:val="BodyText"/>
        <w:spacing w:line="240" w:lineRule="auto" w:before="31"/>
        <w:ind w:right="0"/>
        <w:jc w:val="left"/>
      </w:pPr>
      <w:r>
        <w:rPr/>
        <w:t>了公正透明的董事、监事、高级管理人员绩效评价标准和激励约束机制。</w:t>
      </w:r>
    </w:p>
    <w:p>
      <w:pPr>
        <w:pStyle w:val="BodyText"/>
        <w:spacing w:line="300" w:lineRule="auto" w:before="76"/>
        <w:ind w:left="514" w:right="0"/>
        <w:jc w:val="left"/>
      </w:pPr>
      <w:r>
        <w:rPr>
          <w:rFonts w:ascii="Times New Roman" w:hAnsi="Times New Roman" w:cs="Times New Roman" w:eastAsia="Times New Roman" w:hint="default"/>
        </w:rPr>
        <w:t>5</w:t>
      </w:r>
      <w:r>
        <w:rPr/>
        <w:t>、关于信息披露与透明度 </w:t>
      </w:r>
      <w:r>
        <w:rPr>
          <w:spacing w:val="-2"/>
        </w:rPr>
        <w:t>公司制定并严格执行了《信息披露制度》、《投资者关系管理制度》、《内幕信息知情人登记和报备制度》，同时指定</w:t>
      </w:r>
    </w:p>
    <w:p>
      <w:pPr>
        <w:pStyle w:val="BodyText"/>
        <w:spacing w:line="316" w:lineRule="auto" w:before="31"/>
        <w:ind w:left="154" w:right="0"/>
        <w:jc w:val="left"/>
      </w:pPr>
      <w:r>
        <w:rPr>
          <w:spacing w:val="-4"/>
        </w:rPr>
        <w:t>董事会秘书全面负责公司投资者关系管理和信息披露工作，接待股东及相关人员来访和咨询。公司依照有关规定真实、准确、</w:t>
      </w:r>
      <w:r>
        <w:rPr>
          <w:spacing w:val="-44"/>
        </w:rPr>
        <w:t> </w:t>
      </w:r>
      <w:r>
        <w:rPr>
          <w:spacing w:val="-44"/>
        </w:rPr>
      </w:r>
      <w:r>
        <w:rPr/>
        <w:t>完整、及时地披露有关信息，确保公司所有投资者公平的享有知情权。</w:t>
      </w:r>
    </w:p>
    <w:p>
      <w:pPr>
        <w:pStyle w:val="BodyText"/>
        <w:spacing w:line="300" w:lineRule="auto"/>
        <w:ind w:left="513" w:right="1118"/>
        <w:jc w:val="left"/>
      </w:pPr>
      <w:r>
        <w:rPr>
          <w:rFonts w:ascii="Times New Roman" w:hAnsi="Times New Roman" w:cs="Times New Roman" w:eastAsia="Times New Roman" w:hint="default"/>
        </w:rPr>
        <w:t>6</w:t>
      </w:r>
      <w:r>
        <w:rPr/>
        <w:t>、培训和学习 </w:t>
      </w:r>
      <w:r>
        <w:rPr>
          <w:spacing w:val="-2"/>
        </w:rPr>
        <w:t>报告期内，公司积极参加深圳证监局组织召开的深圳上市公司内幕交易防控工作会议、深圳上市公司</w:t>
      </w:r>
      <w:r>
        <w:rPr>
          <w:rFonts w:ascii="Times New Roman" w:hAnsi="Times New Roman" w:cs="Times New Roman" w:eastAsia="Times New Roman" w:hint="default"/>
          <w:spacing w:val="-2"/>
        </w:rPr>
        <w:t>2015</w:t>
      </w:r>
      <w:r>
        <w:rPr>
          <w:spacing w:val="-2"/>
        </w:rPr>
        <w:t>年监管工作暨</w:t>
      </w:r>
    </w:p>
    <w:p>
      <w:pPr>
        <w:pStyle w:val="BodyText"/>
        <w:spacing w:line="316" w:lineRule="auto" w:before="13"/>
        <w:ind w:right="0"/>
        <w:jc w:val="left"/>
      </w:pPr>
      <w:r>
        <w:rPr>
          <w:spacing w:val="-2"/>
        </w:rPr>
        <w:t>经验交流会议等专项会议，公司积极参加深圳证券交易所组织的各类培训活动，并开展了对董监高及其他关键人员的《内幕</w:t>
      </w:r>
      <w:r>
        <w:rPr>
          <w:spacing w:val="-66"/>
        </w:rPr>
        <w:t> </w:t>
      </w:r>
      <w:r>
        <w:rPr>
          <w:spacing w:val="-66"/>
        </w:rPr>
      </w:r>
      <w:r>
        <w:rPr/>
        <w:t>信息泄露及内幕交易防控专题培训》及其他系列培训。</w:t>
      </w:r>
    </w:p>
    <w:p>
      <w:pPr>
        <w:pStyle w:val="BodyText"/>
        <w:spacing w:line="240" w:lineRule="auto" w:before="59"/>
        <w:ind w:left="514" w:right="0"/>
        <w:jc w:val="left"/>
      </w:pPr>
      <w:r>
        <w:rPr/>
        <w:t>公司治理的实际状况与中国证监会发布的有关上市公司治理的规范性文件是否存在重大差异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513" w:right="0"/>
        <w:jc w:val="left"/>
      </w:pPr>
      <w:r>
        <w:rPr/>
        <w:t>公司治理的实际状况与中国证监会发布的有关上市公司治理的规范性文件不存在重大差异。</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公司具有独立的生产经营能力，独立的产供销体系，公司业务、人员、资产、机构、财务等方面均独立于控股股东及主</w:t>
      </w:r>
      <w:r>
        <w:rPr/>
        <w:t> </w:t>
      </w:r>
      <w:r>
        <w:rPr>
          <w:spacing w:val="-2"/>
        </w:rPr>
        <w:t>要股东。公司拥有生产经营所需的完整的资产，生产经营所需技术为公司合法独立拥有，没有产权争议；公司具有完整的业</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务体系及面向市场独立经营的能力；公司的劳动及工资管理独立于控股股东及主要股东；董事、监事以及高级管理人员、核</w:t>
      </w:r>
      <w:r>
        <w:rPr>
          <w:spacing w:val="-66"/>
        </w:rPr>
        <w:t> </w:t>
      </w:r>
      <w:r>
        <w:rPr>
          <w:spacing w:val="-66"/>
        </w:rPr>
      </w:r>
      <w:r>
        <w:rPr>
          <w:spacing w:val="-2"/>
        </w:rPr>
        <w:t>心技术人员不存在法律禁止的交叉任职现象；公司设有独立的财务部门，建立了独立的财务核算体系并具有独立的财务会计</w:t>
      </w:r>
      <w:r>
        <w:rPr>
          <w:spacing w:val="-64"/>
        </w:rPr>
        <w:t> </w:t>
      </w:r>
      <w:r>
        <w:rPr>
          <w:spacing w:val="-64"/>
        </w:rPr>
      </w:r>
      <w:r>
        <w:rPr/>
        <w:t>制度，开立了独立银行账户并依法独立纳税。具体的独立运营情况如下：</w:t>
      </w:r>
    </w:p>
    <w:p>
      <w:pPr>
        <w:pStyle w:val="BodyText"/>
        <w:spacing w:line="300" w:lineRule="auto"/>
        <w:ind w:left="513" w:right="1118"/>
        <w:jc w:val="left"/>
      </w:pPr>
      <w:r>
        <w:rPr>
          <w:rFonts w:ascii="Times New Roman" w:hAnsi="Times New Roman" w:cs="Times New Roman" w:eastAsia="Times New Roman" w:hint="default"/>
        </w:rPr>
        <w:t>1</w:t>
      </w:r>
      <w:r>
        <w:rPr/>
        <w:t>、业务独立性 </w:t>
      </w:r>
      <w:r>
        <w:rPr>
          <w:spacing w:val="-2"/>
        </w:rPr>
        <w:t>公司是独立从事生产经营的企业法人，拥有独立、完整的研发、生产、采购、销售体系，具有独立完整的业务体系及面</w:t>
      </w:r>
    </w:p>
    <w:p>
      <w:pPr>
        <w:pStyle w:val="BodyText"/>
        <w:spacing w:line="316" w:lineRule="auto" w:before="31"/>
        <w:ind w:right="1133"/>
        <w:jc w:val="both"/>
      </w:pPr>
      <w:r>
        <w:rPr>
          <w:spacing w:val="-2"/>
        </w:rPr>
        <w:t>向市场独立经营的能力，不依赖于股东或其他任何关联方，与控股股东之间无同业竞争，控股股东不存在直接或间接干预公</w:t>
      </w:r>
      <w:r>
        <w:rPr>
          <w:spacing w:val="-66"/>
        </w:rPr>
        <w:t> </w:t>
      </w:r>
      <w:r>
        <w:rPr>
          <w:spacing w:val="-66"/>
        </w:rPr>
      </w:r>
      <w:r>
        <w:rPr/>
        <w:t>司经营运作的情形。</w:t>
      </w:r>
    </w:p>
    <w:p>
      <w:pPr>
        <w:pStyle w:val="BodyText"/>
        <w:spacing w:line="300" w:lineRule="auto"/>
        <w:ind w:left="513" w:right="1118"/>
        <w:jc w:val="left"/>
      </w:pPr>
      <w:r>
        <w:rPr>
          <w:rFonts w:ascii="Times New Roman" w:hAnsi="Times New Roman" w:cs="Times New Roman" w:eastAsia="Times New Roman" w:hint="default"/>
        </w:rPr>
        <w:t>2</w:t>
      </w:r>
      <w:r>
        <w:rPr/>
        <w:t>、人员独立性 </w:t>
      </w:r>
      <w:r>
        <w:rPr>
          <w:spacing w:val="-2"/>
        </w:rPr>
        <w:t>本公司总裁、副总裁、董事会秘书、财务负责人等高级管理人员与核心技术人员均专职在本公司工作并领取报酬，没有</w:t>
      </w:r>
    </w:p>
    <w:p>
      <w:pPr>
        <w:pStyle w:val="BodyText"/>
        <w:spacing w:line="316" w:lineRule="auto" w:before="31"/>
        <w:ind w:right="1133"/>
        <w:jc w:val="both"/>
      </w:pPr>
      <w:r>
        <w:rPr>
          <w:spacing w:val="-2"/>
        </w:rPr>
        <w:t>在股东单位中担任任何行政职务，也没有在股东单位领薪；公司董事、监事及高级管理人员均严格按照《公司法》、《公司</w:t>
      </w:r>
      <w:r>
        <w:rPr>
          <w:spacing w:val="-71"/>
        </w:rPr>
        <w:t> </w:t>
      </w:r>
      <w:r>
        <w:rPr>
          <w:spacing w:val="-71"/>
        </w:rPr>
      </w:r>
      <w:r>
        <w:rPr>
          <w:spacing w:val="-2"/>
        </w:rPr>
        <w:t>章程》的有关规定产生，不存在控股股东越过公司股东大会、董事会、监事会而作出人事任免决定的情况；公司员工独立于</w:t>
      </w:r>
      <w:r>
        <w:rPr>
          <w:spacing w:val="-66"/>
        </w:rPr>
        <w:t> </w:t>
      </w:r>
      <w:r>
        <w:rPr>
          <w:spacing w:val="-66"/>
        </w:rPr>
      </w:r>
      <w:r>
        <w:rPr/>
        <w:t>股东单位及其关联方，并执行独立的劳动、人事及工资管理制度。</w:t>
      </w:r>
    </w:p>
    <w:p>
      <w:pPr>
        <w:pStyle w:val="BodyText"/>
        <w:spacing w:line="300" w:lineRule="auto"/>
        <w:ind w:left="513" w:right="1033"/>
        <w:jc w:val="left"/>
      </w:pPr>
      <w:r>
        <w:rPr>
          <w:rFonts w:ascii="Times New Roman" w:hAnsi="Times New Roman" w:cs="Times New Roman" w:eastAsia="Times New Roman" w:hint="default"/>
        </w:rPr>
        <w:t>3</w:t>
      </w:r>
      <w:r>
        <w:rPr/>
        <w:t>、资产独立性 本公司与控股股东及主要股东资产权属明确，不存在控股股东及主要股东违规占用本公司资金、资产及其他资源情况。</w:t>
      </w:r>
    </w:p>
    <w:p>
      <w:pPr>
        <w:pStyle w:val="BodyText"/>
        <w:spacing w:line="316" w:lineRule="auto" w:before="31"/>
        <w:ind w:right="1131"/>
        <w:jc w:val="both"/>
      </w:pPr>
      <w:r>
        <w:rPr>
          <w:spacing w:val="-2"/>
        </w:rPr>
        <w:t>本公司的土地使用权、房产、机器设备、商标、专利、专有技术及其他资产的权属完全由公司独立享有，没有依赖股东资产</w:t>
      </w:r>
      <w:r>
        <w:rPr>
          <w:spacing w:val="-68"/>
        </w:rPr>
        <w:t> </w:t>
      </w:r>
      <w:r>
        <w:rPr>
          <w:spacing w:val="-68"/>
        </w:rPr>
      </w:r>
      <w:r>
        <w:rPr/>
        <w:t>进行生产经营的情况。公司对所有资产拥有完全的控制和支配权。</w:t>
      </w:r>
    </w:p>
    <w:p>
      <w:pPr>
        <w:pStyle w:val="BodyText"/>
        <w:spacing w:line="300" w:lineRule="auto"/>
        <w:ind w:left="513" w:right="0"/>
        <w:jc w:val="left"/>
      </w:pPr>
      <w:r>
        <w:rPr>
          <w:rFonts w:ascii="Times New Roman" w:hAnsi="Times New Roman" w:cs="Times New Roman" w:eastAsia="Times New Roman" w:hint="default"/>
        </w:rPr>
        <w:t>4</w:t>
      </w:r>
      <w:r>
        <w:rPr/>
        <w:t>、机构独立性 </w:t>
      </w:r>
      <w:r>
        <w:rPr>
          <w:spacing w:val="-7"/>
        </w:rPr>
        <w:t>本公司建立健全了股东大会、董事会、监事会、总经理负责的经理层等机构及相应的三会议事规则和《总经理工作细则》，</w:t>
      </w:r>
    </w:p>
    <w:p>
      <w:pPr>
        <w:pStyle w:val="BodyText"/>
        <w:spacing w:line="316" w:lineRule="auto" w:before="31"/>
        <w:ind w:right="1131"/>
        <w:jc w:val="both"/>
      </w:pPr>
      <w:r>
        <w:rPr>
          <w:spacing w:val="-2"/>
        </w:rPr>
        <w:t>形成完善的法人治理结构；公司适应生产经营需要设置了总经办、技术部、质量部、财务部、生产部、销售部、采购部、人</w:t>
      </w:r>
      <w:r>
        <w:rPr>
          <w:spacing w:val="-67"/>
        </w:rPr>
        <w:t> </w:t>
      </w:r>
      <w:r>
        <w:rPr>
          <w:spacing w:val="-67"/>
        </w:rPr>
      </w:r>
      <w:r>
        <w:rPr>
          <w:spacing w:val="-2"/>
        </w:rPr>
        <w:t>力资源部、审计部、董事会办公室等职能部门，各职能部门按规定的职责独立运作；公司各职能部门与股东单位及其职能部</w:t>
      </w:r>
      <w:r>
        <w:rPr>
          <w:spacing w:val="-66"/>
        </w:rPr>
        <w:t> </w:t>
      </w:r>
      <w:r>
        <w:rPr>
          <w:spacing w:val="-66"/>
        </w:rPr>
      </w:r>
      <w:r>
        <w:rPr/>
        <w:t>门之间不存在上下级关系，不存在股东单位干预本公司组织机构设立与运作情况。</w:t>
      </w:r>
    </w:p>
    <w:p>
      <w:pPr>
        <w:pStyle w:val="BodyText"/>
        <w:spacing w:line="300" w:lineRule="auto"/>
        <w:ind w:left="513" w:right="1118"/>
        <w:jc w:val="left"/>
      </w:pPr>
      <w:r>
        <w:rPr>
          <w:rFonts w:ascii="Times New Roman" w:hAnsi="Times New Roman" w:cs="Times New Roman" w:eastAsia="Times New Roman" w:hint="default"/>
        </w:rPr>
        <w:t>5</w:t>
      </w:r>
      <w:r>
        <w:rPr/>
        <w:t>、财务独立性 </w:t>
      </w:r>
      <w:r>
        <w:rPr>
          <w:spacing w:val="-2"/>
        </w:rPr>
        <w:t>本公司设立了独立的财务部门，建立了独立的会计核算体系和财务管理制度，独立进行财务决策；公司独立在银行开设</w:t>
      </w:r>
    </w:p>
    <w:p>
      <w:pPr>
        <w:pStyle w:val="BodyText"/>
        <w:spacing w:line="316" w:lineRule="auto" w:before="31"/>
        <w:ind w:right="1133"/>
        <w:jc w:val="both"/>
      </w:pPr>
      <w:r>
        <w:rPr>
          <w:spacing w:val="-2"/>
        </w:rPr>
        <w:t>账户，不存在与股东单位共用银行账户的现象，公司依法独立进行纳税申报和履行纳税义务；公司不存在股东单位或其他关</w:t>
      </w:r>
      <w:r>
        <w:rPr>
          <w:spacing w:val="-66"/>
        </w:rPr>
        <w:t> </w:t>
      </w:r>
      <w:r>
        <w:rPr>
          <w:spacing w:val="-66"/>
        </w:rPr>
      </w:r>
      <w:r>
        <w:rPr/>
        <w:t>联方占用本公司货币资金或其他资产的情形；公司独立对外签订合同。</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702"/>
        <w:gridCol w:w="1701"/>
        <w:gridCol w:w="191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次临时股东大会决议公 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东大会决议公告》</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702"/>
        <w:gridCol w:w="1701"/>
        <w:gridCol w:w="1912"/>
      </w:tblGrid>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次临时股东大会决议公 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次临时股东大会决议公 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 次临时股东大会决议公 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pacing w:val="-17"/>
                <w:sz w:val="18"/>
                <w:szCs w:val="18"/>
              </w:rPr>
              <w:t>详见《证券时报》、《中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国证券报》及巨潮资讯 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次临时股东大会决议公 告》</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54" w:right="0"/>
        <w:jc w:val="left"/>
      </w:pPr>
      <w:r>
        <w:rPr/>
        <w:t>连续两次未亲自出席董事会的说明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0" w:firstLine="360"/>
        <w:jc w:val="both"/>
      </w:pPr>
      <w:r>
        <w:rPr>
          <w:spacing w:val="-2"/>
        </w:rPr>
        <w:t>公司独立董事严格按照《公司章程》和《独立董事工作制度》等法律法规的规定，关注公司运作的规范性，独立履行职</w:t>
      </w:r>
      <w:r>
        <w:rPr/>
        <w:t> </w:t>
      </w:r>
      <w:r>
        <w:rPr>
          <w:spacing w:val="-2"/>
        </w:rPr>
        <w:t>责，对公司的制度完善和日常经营决策等方面提出了许多宝贵的专业性意见，对报告期内公司发生的聘请年度审计机构、重</w:t>
      </w:r>
      <w:r>
        <w:rPr>
          <w:spacing w:val="-66"/>
        </w:rPr>
        <w:t> </w:t>
      </w:r>
      <w:r>
        <w:rPr>
          <w:spacing w:val="-66"/>
        </w:rPr>
      </w:r>
      <w:r>
        <w:rPr>
          <w:spacing w:val="-2"/>
        </w:rPr>
        <w:t>大资产重组事项、重大资产出售事项等事项发表了独立、公正的意见，对公司财务及生产经营活动进行了有效监督，为完善</w:t>
      </w:r>
      <w:r>
        <w:rPr>
          <w:spacing w:val="-66"/>
        </w:rPr>
        <w:t> </w:t>
      </w:r>
      <w:r>
        <w:rPr>
          <w:spacing w:val="-66"/>
        </w:rPr>
      </w:r>
      <w:r>
        <w:rPr/>
        <w:t>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513" w:right="0"/>
        <w:jc w:val="left"/>
      </w:pPr>
      <w:r>
        <w:rPr>
          <w:rFonts w:ascii="Times New Roman" w:hAnsi="Times New Roman" w:cs="Times New Roman" w:eastAsia="Times New Roman" w:hint="default"/>
        </w:rPr>
        <w:t>1</w:t>
      </w:r>
      <w:r>
        <w:rPr/>
        <w:t>、董事会审计委员会的履职情况 </w:t>
      </w:r>
      <w:r>
        <w:rPr>
          <w:spacing w:val="-2"/>
        </w:rPr>
        <w:t>报告期内公司董事会审计委员会每季度召开例行会议，审议审计部提交的工作计划和报告，对公司内部审计工作情况进</w:t>
      </w:r>
    </w:p>
    <w:p>
      <w:pPr>
        <w:pStyle w:val="BodyText"/>
        <w:spacing w:line="314" w:lineRule="auto" w:before="31"/>
        <w:ind w:left="154" w:right="0"/>
        <w:jc w:val="left"/>
      </w:pPr>
      <w:r>
        <w:rPr>
          <w:spacing w:val="-2"/>
        </w:rPr>
        <w:t>行检查并提出指导意见；按照年报审计工作相关规程规定，做好</w:t>
      </w:r>
      <w:r>
        <w:rPr>
          <w:rFonts w:ascii="Times New Roman" w:hAnsi="Times New Roman" w:cs="Times New Roman" w:eastAsia="Times New Roman" w:hint="default"/>
          <w:spacing w:val="-2"/>
        </w:rPr>
        <w:t>2014</w:t>
      </w:r>
      <w:r>
        <w:rPr>
          <w:spacing w:val="-2"/>
        </w:rPr>
        <w:t>年度报告审计的相关工作，与审计机构进行及时沟通与</w:t>
      </w:r>
      <w:r>
        <w:rPr>
          <w:spacing w:val="-62"/>
        </w:rPr>
        <w:t> </w:t>
      </w:r>
      <w:r>
        <w:rPr>
          <w:spacing w:val="-62"/>
        </w:rPr>
      </w:r>
      <w:r>
        <w:rPr>
          <w:spacing w:val="-4"/>
        </w:rPr>
        <w:t>交流，对财务报表出具审核意见，对审计机构的审计工作进行总结评价，充分发挥审计委员会的专业职能和监督作用；同时，</w:t>
      </w:r>
      <w:r>
        <w:rPr>
          <w:spacing w:val="-46"/>
        </w:rPr>
        <w:t> </w:t>
      </w:r>
      <w:r>
        <w:rPr>
          <w:spacing w:val="-46"/>
        </w:rPr>
      </w:r>
      <w:r>
        <w:rPr>
          <w:spacing w:val="-2"/>
        </w:rPr>
        <w:t>在公司终止非公开发行募集资金投资项目并将剩余募集资金用于永久补充流动资金，发行股份及支付现金购买资产并募集配</w:t>
      </w:r>
      <w:r>
        <w:rPr>
          <w:spacing w:val="-64"/>
        </w:rPr>
        <w:t> </w:t>
      </w:r>
      <w:r>
        <w:rPr>
          <w:spacing w:val="-64"/>
        </w:rPr>
      </w:r>
      <w:r>
        <w:rPr>
          <w:spacing w:val="-2"/>
        </w:rPr>
        <w:t>套资金，重大资产出售等事项过程中，全面监督相关项目的可行性以及募集资金项目的资金使用效率。报告期内，审计委员</w:t>
      </w:r>
      <w:r>
        <w:rPr>
          <w:spacing w:val="-65"/>
        </w:rPr>
        <w:t> </w:t>
      </w:r>
      <w:r>
        <w:rPr>
          <w:spacing w:val="-65"/>
        </w:rPr>
      </w:r>
      <w:r>
        <w:rPr/>
        <w:t>会切实履行了各项职责，对公司控制风险、完善内部监管机制起着有效的监督作用。</w:t>
      </w:r>
    </w:p>
    <w:p>
      <w:pPr>
        <w:pStyle w:val="BodyText"/>
        <w:spacing w:line="300" w:lineRule="auto" w:before="20"/>
        <w:ind w:left="514" w:right="0" w:hanging="70"/>
        <w:jc w:val="left"/>
      </w:pPr>
      <w:r>
        <w:rPr>
          <w:rFonts w:ascii="Times New Roman" w:hAnsi="Times New Roman" w:cs="Times New Roman" w:eastAsia="Times New Roman" w:hint="default"/>
        </w:rPr>
        <w:t>2</w:t>
      </w:r>
      <w:r>
        <w:rPr/>
        <w:t>、薪酬委员会的履职情况 </w:t>
      </w:r>
      <w:r>
        <w:rPr>
          <w:spacing w:val="-2"/>
        </w:rPr>
        <w:t>报告期内，董事会薪酬委员会按照《公司章程》、《薪酬委员会工作细则》等相关规定行使职能，报告期内薪酬委员会</w:t>
      </w:r>
    </w:p>
    <w:p>
      <w:pPr>
        <w:pStyle w:val="BodyText"/>
        <w:spacing w:line="300" w:lineRule="auto" w:before="31"/>
        <w:ind w:right="0"/>
        <w:jc w:val="left"/>
      </w:pPr>
      <w:r>
        <w:rPr>
          <w:spacing w:val="-2"/>
        </w:rPr>
        <w:t>对公司非独立董事、高级管理人员</w:t>
      </w:r>
      <w:r>
        <w:rPr>
          <w:rFonts w:ascii="Times New Roman" w:hAnsi="Times New Roman" w:cs="Times New Roman" w:eastAsia="Times New Roman" w:hint="default"/>
          <w:spacing w:val="-2"/>
        </w:rPr>
        <w:t>2014</w:t>
      </w:r>
      <w:r>
        <w:rPr>
          <w:spacing w:val="-2"/>
        </w:rPr>
        <w:t>年度的工作履职情况进行评定，并对公司董事、高级管理人员</w:t>
      </w:r>
      <w:r>
        <w:rPr>
          <w:rFonts w:ascii="Times New Roman" w:hAnsi="Times New Roman" w:cs="Times New Roman" w:eastAsia="Times New Roman" w:hint="default"/>
          <w:spacing w:val="-2"/>
        </w:rPr>
        <w:t>2014</w:t>
      </w:r>
      <w:r>
        <w:rPr>
          <w:spacing w:val="-2"/>
        </w:rPr>
        <w:t>年度薪酬发放出具</w:t>
      </w:r>
      <w:r>
        <w:rPr>
          <w:spacing w:val="-58"/>
        </w:rPr>
        <w:t> </w:t>
      </w:r>
      <w:r>
        <w:rPr/>
        <w:t>了审核意见。报告期内，薪酬委员会切实履行了各项职责，对公司董事、高管薪酬政策执行情况进行了有效监督。</w:t>
      </w:r>
    </w:p>
    <w:p>
      <w:pPr>
        <w:pStyle w:val="BodyText"/>
        <w:spacing w:line="300" w:lineRule="auto" w:before="31"/>
        <w:ind w:left="514" w:right="0" w:hanging="70"/>
        <w:jc w:val="left"/>
      </w:pPr>
      <w:r>
        <w:rPr>
          <w:rFonts w:ascii="Times New Roman" w:hAnsi="Times New Roman" w:cs="Times New Roman" w:eastAsia="Times New Roman" w:hint="default"/>
        </w:rPr>
        <w:t>3</w:t>
      </w:r>
      <w:r>
        <w:rPr/>
        <w:t>、提名委员会履职情况 </w:t>
      </w:r>
      <w:r>
        <w:rPr>
          <w:spacing w:val="-2"/>
        </w:rPr>
        <w:t>报告期内，董事会提名委员会按照《公司章程》、《提名委员会工作细则》等相关规定行使职能，对公司股东推荐的增</w:t>
      </w:r>
    </w:p>
    <w:p>
      <w:pPr>
        <w:pStyle w:val="BodyText"/>
        <w:spacing w:line="316" w:lineRule="auto" w:before="31"/>
        <w:ind w:left="154" w:right="0"/>
        <w:jc w:val="left"/>
      </w:pPr>
      <w:r>
        <w:rPr>
          <w:spacing w:val="-2"/>
        </w:rPr>
        <w:t>补第四届董事会董事的任职资格进行了充分考察。报告期内，提名委员会切实履行了各项职责，确保了公司董事、高级管理</w:t>
      </w:r>
      <w:r>
        <w:rPr>
          <w:spacing w:val="-66"/>
        </w:rPr>
        <w:t> </w:t>
      </w:r>
      <w:r>
        <w:rPr>
          <w:spacing w:val="-66"/>
        </w:rPr>
      </w:r>
      <w:r>
        <w:rPr/>
        <w:t>人员等产生的程序公正、合法，聘用的高级管理人员具备拟任职务所要求的经验。</w:t>
      </w:r>
    </w:p>
    <w:p>
      <w:pPr>
        <w:pStyle w:val="BodyText"/>
        <w:spacing w:line="300" w:lineRule="auto"/>
        <w:ind w:left="514" w:right="0" w:hanging="70"/>
        <w:jc w:val="left"/>
      </w:pPr>
      <w:r>
        <w:rPr>
          <w:rFonts w:ascii="Times New Roman" w:hAnsi="Times New Roman" w:cs="Times New Roman" w:eastAsia="Times New Roman" w:hint="default"/>
        </w:rPr>
        <w:t>4</w:t>
      </w:r>
      <w:r>
        <w:rPr/>
        <w:t>、战略委员会履职情况 </w:t>
      </w:r>
      <w:r>
        <w:rPr>
          <w:spacing w:val="-2"/>
        </w:rPr>
        <w:t>报告期内，董事会战略委员会按照《公司章程》、《战略委员会工作细则》等相关规定行使职能，对公司</w:t>
      </w:r>
      <w:r>
        <w:rPr>
          <w:rFonts w:ascii="Times New Roman" w:hAnsi="Times New Roman" w:cs="Times New Roman" w:eastAsia="Times New Roman" w:hint="default"/>
          <w:spacing w:val="-2"/>
        </w:rPr>
        <w:t>2014</w:t>
      </w:r>
      <w:r>
        <w:rPr>
          <w:spacing w:val="-2"/>
        </w:rPr>
        <w:t>年度经营</w:t>
      </w:r>
    </w:p>
    <w:p>
      <w:pPr>
        <w:pStyle w:val="BodyText"/>
        <w:spacing w:line="312" w:lineRule="auto" w:before="13"/>
        <w:ind w:right="1130"/>
        <w:jc w:val="both"/>
      </w:pPr>
      <w:r>
        <w:rPr>
          <w:spacing w:val="-2"/>
        </w:rPr>
        <w:t>战略进行了认真的总结，并对公司未来发展战略提出了意见和建议；根据公司战略发展以及实际情况的需要，经过充分的研</w:t>
      </w:r>
      <w:r>
        <w:rPr>
          <w:spacing w:val="-66"/>
        </w:rPr>
        <w:t> </w:t>
      </w:r>
      <w:r>
        <w:rPr>
          <w:spacing w:val="-66"/>
        </w:rPr>
      </w:r>
      <w:r>
        <w:rPr>
          <w:spacing w:val="-2"/>
        </w:rPr>
        <w:t>究、论证后，提议对公司现有的组织架构进行调整、完善，使得公司的组织架构更为清晰、完整；对公司终止非公开发行募</w:t>
      </w:r>
      <w:r>
        <w:rPr>
          <w:spacing w:val="-67"/>
        </w:rPr>
        <w:t> </w:t>
      </w:r>
      <w:r>
        <w:rPr>
          <w:spacing w:val="-67"/>
        </w:rPr>
      </w:r>
      <w:r>
        <w:rPr>
          <w:spacing w:val="-2"/>
        </w:rPr>
        <w:t>集资金投资项目、公司发行股份及支付现金购买资产并募集配套资金，重大资产出售等事项进行了深入讨论和前期论证，并</w:t>
      </w:r>
      <w:r>
        <w:rPr>
          <w:spacing w:val="-66"/>
        </w:rPr>
        <w:t> </w:t>
      </w:r>
      <w:r>
        <w:rPr>
          <w:spacing w:val="-66"/>
        </w:rPr>
      </w:r>
      <w:r>
        <w:rPr/>
        <w:t>听取了高级管理人员及相关人员的意见；根据公司的发展规划，对公司拟将未来发展战略将调整为</w:t>
      </w:r>
      <w:r>
        <w:rPr>
          <w:rFonts w:ascii="Times New Roman" w:hAnsi="Times New Roman" w:cs="Times New Roman" w:eastAsia="Times New Roman" w:hint="default"/>
        </w:rPr>
        <w:t>“</w:t>
      </w:r>
      <w:r>
        <w:rPr/>
        <w:t>以数字营销为突破口和 </w:t>
      </w:r>
      <w:r>
        <w:rPr>
          <w:spacing w:val="-2"/>
        </w:rPr>
        <w:t>基础层进行延伸，通过数据连接数字营销与企业级</w:t>
      </w:r>
      <w:r>
        <w:rPr>
          <w:rFonts w:ascii="Times New Roman" w:hAnsi="Times New Roman" w:cs="Times New Roman" w:eastAsia="Times New Roman" w:hint="default"/>
          <w:spacing w:val="-2"/>
        </w:rPr>
        <w:t>SaaS</w:t>
      </w:r>
      <w:r>
        <w:rPr>
          <w:spacing w:val="-2"/>
        </w:rPr>
        <w:t>服务，构建企业级</w:t>
      </w:r>
      <w:r>
        <w:rPr>
          <w:rFonts w:ascii="宋体" w:hAnsi="宋体" w:cs="宋体" w:eastAsia="宋体" w:hint="default"/>
          <w:spacing w:val="-2"/>
        </w:rPr>
        <w:t>SaaS</w:t>
      </w:r>
      <w:r>
        <w:rPr>
          <w:spacing w:val="-2"/>
        </w:rPr>
        <w:t>平台和生态圈</w:t>
      </w:r>
      <w:r>
        <w:rPr>
          <w:rFonts w:ascii="Times New Roman" w:hAnsi="Times New Roman" w:cs="Times New Roman" w:eastAsia="Times New Roman" w:hint="default"/>
          <w:spacing w:val="-2"/>
        </w:rPr>
        <w:t>”</w:t>
      </w:r>
      <w:r>
        <w:rPr>
          <w:spacing w:val="-2"/>
        </w:rPr>
        <w:t>等</w:t>
      </w:r>
      <w:r>
        <w:rPr>
          <w:rFonts w:ascii="Times New Roman" w:hAnsi="Times New Roman" w:cs="Times New Roman" w:eastAsia="Times New Roman" w:hint="default"/>
          <w:spacing w:val="-2"/>
        </w:rPr>
        <w:t>”</w:t>
      </w:r>
      <w:r>
        <w:rPr>
          <w:spacing w:val="-2"/>
        </w:rPr>
        <w:t>事项进行了前期论证，并就</w:t>
      </w:r>
      <w:r>
        <w:rPr>
          <w:spacing w:val="-37"/>
        </w:rPr>
        <w:t> </w:t>
      </w:r>
      <w:r>
        <w:rPr>
          <w:spacing w:val="-37"/>
        </w:rPr>
      </w:r>
      <w:r>
        <w:rPr>
          <w:spacing w:val="-2"/>
        </w:rPr>
        <w:t>互联网思维对产业的影响进了谨慎研究和充分论证并提出了专业建议。报告期内，战略委员会切实履行了各项职责，为公司</w:t>
      </w:r>
      <w:r>
        <w:rPr>
          <w:spacing w:val="-66"/>
        </w:rPr>
        <w:t> </w:t>
      </w:r>
      <w:r>
        <w:rPr>
          <w:spacing w:val="-66"/>
        </w:rPr>
      </w:r>
      <w:r>
        <w:rPr/>
        <w:t>的战略规划提出了专业的参谋意见。</w:t>
      </w:r>
    </w:p>
    <w:p>
      <w:pPr>
        <w:spacing w:after="0" w:line="312"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3" w:firstLine="360"/>
        <w:jc w:val="left"/>
      </w:pPr>
      <w:r>
        <w:rPr/>
        <w:t>公司建立了完善的高级管理人员绩效考评体系和薪酬制度，通过科学合理的业绩考核与评价体系，强化责任目标约束， </w:t>
      </w:r>
      <w:r>
        <w:rPr>
          <w:spacing w:val="-2"/>
        </w:rPr>
        <w:t>确保高级管理人员的工作绩效与其收入直接挂钩，充分发挥和调动公司高级管理人员的工作积极性和创造性，提高公司整体</w:t>
      </w:r>
      <w:r>
        <w:rPr>
          <w:spacing w:val="-63"/>
        </w:rPr>
        <w:t> </w:t>
      </w:r>
      <w:r>
        <w:rPr>
          <w:spacing w:val="-63"/>
        </w:rPr>
      </w:r>
      <w:r>
        <w:rPr>
          <w:spacing w:val="-2"/>
        </w:rPr>
        <w:t>管理水平。报告期内，公司董事会薪酬委员会负责对高级管理人员的工作能力、履职情况、责任目标完成情况等进行年终考</w:t>
      </w:r>
      <w:r>
        <w:rPr>
          <w:spacing w:val="-66"/>
        </w:rPr>
        <w:t> </w:t>
      </w:r>
      <w:r>
        <w:rPr>
          <w:spacing w:val="-66"/>
        </w:rPr>
      </w:r>
      <w:r>
        <w:rPr/>
        <w:t>评，制定具体的薪酬方案后上报公司董事会审议批准执行。</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56.459999pt;margin-top:-284.24826pt;width:479.2pt;height:357.6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3688"/>
                    <w:gridCol w:w="3051"/>
                  </w:tblGrid>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《深圳市麦达数字股份有限公司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58"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8" w:type="dxa"/>
                        <w:vMerge w:val="restart"/>
                        <w:tcBorders>
                          <w:top w:val="single" w:sz="4" w:space="0" w:color="000000"/>
                          <w:left w:val="single" w:sz="9" w:space="0" w:color="D2D2D2"/>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公司董事、监事和高级管理人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员舞弊并给公司造成重大的财务损失；</w:t>
                        </w:r>
                        <w:r>
                          <w:rPr>
                            <w:rFonts w:ascii="Times New Roman" w:hAnsi="Times New Roman" w:cs="Times New Roman" w:eastAsia="Times New Roman" w:hint="default"/>
                            <w:sz w:val="18"/>
                            <w:szCs w:val="18"/>
                          </w:rPr>
                          <w:t>B.</w:t>
                        </w:r>
                        <w:r>
                          <w:rPr>
                            <w:rFonts w:ascii="宋体" w:hAnsi="宋体" w:cs="宋体" w:eastAsia="宋体" w:hint="default"/>
                            <w:sz w:val="18"/>
                            <w:szCs w:val="18"/>
                          </w:rPr>
                          <w:t>注册 会计师发现当期财务报表存在重大错报，而内 部控制在运行过程中未能发现错报；</w:t>
                        </w:r>
                        <w:r>
                          <w:rPr>
                            <w:rFonts w:ascii="Times New Roman" w:hAnsi="Times New Roman" w:cs="Times New Roman" w:eastAsia="Times New Roman" w:hint="default"/>
                            <w:sz w:val="18"/>
                            <w:szCs w:val="18"/>
                          </w:rPr>
                          <w:t>C.</w:t>
                        </w:r>
                        <w:r>
                          <w:rPr>
                            <w:rFonts w:ascii="宋体" w:hAnsi="宋体" w:cs="宋体" w:eastAsia="宋体" w:hint="default"/>
                            <w:sz w:val="18"/>
                            <w:szCs w:val="18"/>
                          </w:rPr>
                          <w:t>董事会 或其授权机构及内审部门对公司的内部控制的 </w:t>
                        </w:r>
                        <w:r>
                          <w:rPr>
                            <w:rFonts w:ascii="宋体" w:hAnsi="宋体" w:cs="宋体" w:eastAsia="宋体" w:hint="default"/>
                            <w:spacing w:val="-3"/>
                            <w:sz w:val="18"/>
                            <w:szCs w:val="18"/>
                          </w:rPr>
                          <w:t>监督无效。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未依照公认会计准</w:t>
                        </w:r>
                        <w:r>
                          <w:rPr>
                            <w:rFonts w:ascii="宋体" w:hAnsi="宋体" w:cs="宋体" w:eastAsia="宋体" w:hint="default"/>
                            <w:spacing w:val="-86"/>
                            <w:sz w:val="18"/>
                            <w:szCs w:val="18"/>
                          </w:rPr>
                          <w:t> </w:t>
                        </w:r>
                        <w:r>
                          <w:rPr>
                            <w:rFonts w:ascii="宋体" w:hAnsi="宋体" w:cs="宋体" w:eastAsia="宋体" w:hint="default"/>
                            <w:sz w:val="18"/>
                            <w:szCs w:val="18"/>
                          </w:rPr>
                          <w:t>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未建立反舞弊程序 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对于非常规或特殊交易的账务 处理没有建立相应的控制机制或没有实施且没 有相应的补偿性控制；</w:t>
                        </w: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对于期末财务报告过 程的控制存在一项或多项缺陷且不能合理保证 编制的财务报表达到真实、完整的目标。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一般缺陷：不构成重大缺陷和重要缺陷的其他</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判定。</w:t>
                        </w:r>
                        <w:r>
                          <w:rPr>
                            <w:rFonts w:ascii="Times New Roman" w:hAnsi="Times New Roman" w:cs="Times New Roman" w:eastAsia="Times New Roman" w:hint="default"/>
                            <w:sz w:val="18"/>
                            <w:szCs w:val="18"/>
                          </w:rPr>
                          <w:t>1</w:t>
                        </w:r>
                        <w:r>
                          <w:rPr>
                            <w:rFonts w:ascii="宋体" w:hAnsi="宋体" w:cs="宋体" w:eastAsia="宋体" w:hint="default"/>
                            <w:sz w:val="18"/>
                            <w:szCs w:val="18"/>
                          </w:rPr>
                          <w:t>）如果缺陷发生的可能性高，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期目标为重大缺陷；</w:t>
                        </w:r>
                        <w:r>
                          <w:rPr>
                            <w:rFonts w:ascii="Times New Roman" w:hAnsi="Times New Roman" w:cs="Times New Roman" w:eastAsia="Times New Roman" w:hint="default"/>
                            <w:sz w:val="18"/>
                            <w:szCs w:val="18"/>
                          </w:rPr>
                          <w:t>2</w:t>
                        </w:r>
                        <w:r>
                          <w:rPr>
                            <w:rFonts w:ascii="宋体" w:hAnsi="宋体" w:cs="宋体" w:eastAsia="宋体" w:hint="default"/>
                            <w:sz w:val="18"/>
                            <w:szCs w:val="18"/>
                          </w:rPr>
                          <w:t>）如果缺陷发生 </w:t>
                        </w:r>
                        <w:r>
                          <w:rPr>
                            <w:rFonts w:ascii="宋体" w:hAnsi="宋体" w:cs="宋体" w:eastAsia="宋体" w:hint="default"/>
                            <w:spacing w:val="-4"/>
                            <w:sz w:val="18"/>
                            <w:szCs w:val="18"/>
                          </w:rPr>
                          <w:t>的可能性较高，会显著降低工作效率或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效果，或显著加大效果的不确定性、或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使之显著偏离预期目标为重要缺陷；</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8"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58"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8"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86.703003pt;margin-top:90.599983pt;width:248.2pt;height:85.85pt;mso-position-horizontal-relative:page;mso-position-vertical-relative:page;z-index:-995704" type="#_x0000_t202" filled="false" stroked="false">
            <v:textbox inset="0,0,0,0">
              <w:txbxContent>
                <w:p>
                  <w:pPr>
                    <w:pStyle w:val="BodyText"/>
                    <w:spacing w:line="240" w:lineRule="auto" w:before="51"/>
                    <w:ind w:left="0" w:right="0"/>
                    <w:jc w:val="left"/>
                  </w:pPr>
                  <w:r>
                    <w:rPr/>
                    <w:t>资产总额作为衡量指标。</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5"/>
        <w:gridCol w:w="3683"/>
        <w:gridCol w:w="3051"/>
      </w:tblGrid>
      <w:tr>
        <w:trPr>
          <w:trHeight w:val="36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财务报告内部控制缺陷。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定量标准以营业收入、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）内部控制缺陷可能导致或导致的损失与利润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表相关的，以营业收入指标衡量。如果该缺陷 单独或连同其他缺陷可能导致财务报告错报金 额小于营业收入的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，则认定为一般缺陷；如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果超过营业收入的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 </w:t>
            </w:r>
            <w:r>
              <w:rPr>
                <w:rFonts w:ascii="宋体" w:hAnsi="宋体" w:cs="宋体" w:eastAsia="宋体" w:hint="default"/>
                <w:spacing w:val="-4"/>
                <w:sz w:val="18"/>
                <w:szCs w:val="18"/>
              </w:rPr>
              <w:t>要缺陷；如果超过营业收入的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）内部控制缺陷可能导致或导致的损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失与资产管理相关的，以资产总额指标衡量。 如果该缺陷单独或连同其他缺陷可能导致财务 报告错报金额小于资产总额的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w:t>
            </w:r>
            <w:r>
              <w:rPr>
                <w:rFonts w:ascii="宋体" w:hAnsi="宋体" w:cs="宋体" w:eastAsia="宋体" w:hint="default"/>
                <w:sz w:val="18"/>
                <w:szCs w:val="18"/>
              </w:rPr>
              <w:t> 一般缺陷；如果超过资产总额的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，则认定为重要缺陷；如果超过资产总额的</w:t>
            </w:r>
          </w:p>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152.1pt;height:85.85pt;mso-position-horizontal-relative:char;mso-position-vertical-relative:line" coordorigin="0,0" coordsize="3042,1717">
                  <v:group style="position:absolute;left:0;top:0;width:3042;height:1717" coordorigin="0,0" coordsize="3042,1717">
                    <v:shape style="position:absolute;left:0;top:0;width:3042;height:1717" coordorigin="0,0" coordsize="3042,1717" path="m0,1716l3041,1716,3041,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316"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十节 财务报告" w:id="145"/>
      <w:bookmarkEnd w:id="145"/>
      <w:r>
        <w:rPr>
          <w:b w:val="0"/>
          <w:bCs w:val="0"/>
        </w:rPr>
      </w:r>
      <w:bookmarkStart w:name="_bookmark8"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[2016]004068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张兴、张朝铖</w:t>
            </w:r>
          </w:p>
        </w:tc>
      </w:tr>
    </w:tbl>
    <w:p>
      <w:pPr>
        <w:pStyle w:val="BodyText"/>
        <w:spacing w:line="240" w:lineRule="auto" w:before="51"/>
        <w:ind w:left="0" w:right="976"/>
        <w:jc w:val="center"/>
      </w:pPr>
      <w:r>
        <w:rPr/>
        <w:t>审计报告正文</w:t>
      </w:r>
    </w:p>
    <w:p>
      <w:pPr>
        <w:pStyle w:val="BodyText"/>
        <w:spacing w:line="240" w:lineRule="auto" w:before="115"/>
        <w:ind w:right="0"/>
        <w:jc w:val="left"/>
      </w:pPr>
      <w:r>
        <w:rPr/>
        <w:t>深圳市麦达数字股份有限公司全体股东：</w:t>
      </w:r>
    </w:p>
    <w:p>
      <w:pPr>
        <w:pStyle w:val="BodyText"/>
        <w:spacing w:line="300" w:lineRule="auto" w:before="76"/>
        <w:ind w:right="1130" w:firstLine="360"/>
        <w:jc w:val="both"/>
      </w:pPr>
      <w:r>
        <w:rPr>
          <w:spacing w:val="-1"/>
        </w:rPr>
        <w:t>我们审计了后附的深圳市麦达数字股份有限公司</w:t>
      </w:r>
      <w:r>
        <w:rPr>
          <w:rFonts w:ascii="Times New Roman" w:hAnsi="Times New Roman" w:cs="Times New Roman" w:eastAsia="Times New Roman" w:hint="default"/>
          <w:spacing w:val="-1"/>
        </w:rPr>
        <w:t>(</w:t>
      </w:r>
      <w:r>
        <w:rPr>
          <w:spacing w:val="-1"/>
        </w:rPr>
        <w:t>以下简称麦达数字公司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年度的合并及母公司利润表、合并及母公司现金流量表、合并及母公司股东权益变动表，以及财务报表</w:t>
      </w:r>
      <w:r>
        <w:rPr>
          <w:spacing w:val="-61"/>
        </w:rPr>
        <w:t> </w:t>
      </w:r>
      <w:r>
        <w:rPr>
          <w:spacing w:val="-61"/>
        </w:rPr>
      </w:r>
      <w:r>
        <w:rPr/>
        <w:t>附注。</w:t>
      </w:r>
    </w:p>
    <w:p>
      <w:pPr>
        <w:pStyle w:val="BodyText"/>
        <w:spacing w:line="316" w:lineRule="auto" w:before="31"/>
        <w:ind w:left="513" w:right="0"/>
        <w:jc w:val="left"/>
      </w:pPr>
      <w:r>
        <w:rPr/>
        <w:t>一、管理层对财务报表的责任 </w:t>
      </w:r>
      <w:r>
        <w:rPr>
          <w:spacing w:val="-2"/>
        </w:rPr>
        <w:t>编制和公允列报财务报表是麦达数字公司管理层的责任，这种责任包括：（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309" w:lineRule="auto" w:before="0"/>
        <w:ind w:left="513" w:right="0" w:hanging="36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1118"/>
        <w:jc w:val="left"/>
      </w:pPr>
      <w:r>
        <w:rPr>
          <w:spacing w:val="-2"/>
        </w:rPr>
        <w:t>工作。中国注册会计师审计准则要求我们遵守职业道德守则，计划和执行审计工作以对财务报表是否不存在重大错报获取合</w:t>
      </w:r>
      <w:r>
        <w:rPr>
          <w:spacing w:val="-63"/>
        </w:rPr>
        <w:t> </w:t>
      </w:r>
      <w:r>
        <w:rPr>
          <w:spacing w:val="-63"/>
        </w:rPr>
      </w:r>
      <w:r>
        <w:rPr/>
        <w:t>理保证。</w:t>
      </w:r>
    </w:p>
    <w:p>
      <w:pPr>
        <w:pStyle w:val="BodyText"/>
        <w:spacing w:line="316" w:lineRule="auto"/>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16" w:lineRule="auto"/>
        <w:ind w:left="513" w:right="4093"/>
        <w:jc w:val="left"/>
      </w:pPr>
      <w:r>
        <w:rPr/>
        <w:t>我们相信，我们获取的审计证据是充分、适当的，为发表审计意见提供了基础。 三、审计意见</w:t>
      </w:r>
    </w:p>
    <w:p>
      <w:pPr>
        <w:pStyle w:val="BodyText"/>
        <w:spacing w:line="300" w:lineRule="auto"/>
        <w:ind w:right="0" w:firstLine="360"/>
        <w:jc w:val="left"/>
      </w:pPr>
      <w:r>
        <w:rPr>
          <w:spacing w:val="-2"/>
        </w:rPr>
        <w:t>我们认为，麦达数字公司的财务报表在所有重大方面按照企业会计准则的规定编制，公允反映了麦达数字公司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编制单位：深圳市麦达数字股份有限公司</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54,240,549.53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170,321,490.34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2,971,717.62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225,528,012.58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141,588,680.47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7,182,456.25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683,118.30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333,651.19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23,773,421.41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11,195,703.68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33,730,748.63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27,329,970.57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77,921,749.79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2,437,785.63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428,238,665.69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356,862,117.80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650,163.67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66,736,826.09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65,744,674.72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105,107,765.96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123,643,362.87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51,007,559.24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885,940.05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106,122,600.60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101,583,951.38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541,571,539.43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1,820,364.21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1,544,357.02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2,797,675.24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904,793,851.75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307,052,449.71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1,333,032,517.44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663,914,567.51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177,241,334.95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104,438,379.44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8,268,094.24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2,784,760.55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10,379,710.05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8,335,210.53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53,595,078.27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14,282,755.03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36,778,669.76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14,877,412.31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78,944,631.51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418,280,018.78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151,375,625.65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2,521,886.17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558,333.41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658,333.37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1,120,388.89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3,345,939.83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3,180,219.54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421,625,958.61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154,555,845.19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510,609,376.00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460,910,600.00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444,232,347.76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107,960,672.49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-4,894,610.07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-436,590.65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15,188,942.04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-62,778,666.22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-80,951,133.47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898,091,989.51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500,172,490.41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13,314,569.32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9,186,231.91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911,406,558.83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509,358,722.32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1,333,032,517.44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663,914,567.51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法定代表人：陈亚妹</w:t>
        <w:tab/>
        <w:t>主管会计工作负责人：廖建中</w:t>
        <w:tab/>
        <w:t>会计机构负责人：袁素华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2,029,228.05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26,593,484.32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1,637,039.22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35,872,224.55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85,642,282.41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265,267.63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49,410,724.42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57,621,963.79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19,774,913.01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12,499,017.50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16,581,183.82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1,982,011.19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123,980,601.81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186,353,109.48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992,285,465.73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295,766,622.77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66,736,826.09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65,744,674.72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52,923,517.58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73,781,145.81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50,202,276.17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51,529,650.88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513,297.54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666,996.90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1,165,661,383.11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490,489,091.08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1,289,641,984.92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676,842,200.56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35,672,860.31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64,226,200.32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537,523.23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952,280.54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4,280,234.07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3,978,940.78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535,040.24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732,907.02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192,793,105.25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63,786,462.53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78,944,631.51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362,835,894.61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140,333,898.98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2,521,886.17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558,333.41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658,333.37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2,225,550.94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3,180,219.54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365,061,445.55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143,514,118.52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510,609,376.00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460,910,600.00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443,270,561.84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107,699,452.51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15,188,942.04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-40,222,940.51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-47,970,912.51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924,580,539.37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533,328,082.04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1,289,641,984.92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676,842,200.56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80.599976pt;width:157.7pt;height:19.650pt;mso-position-horizontal-relative:page;mso-position-vertical-relative:page;z-index:-995680"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r>
        <w:rPr/>
        <w:pict>
          <v:group style="position:absolute;margin-left:212.119995pt;margin-top:501.219971pt;width:157.7pt;height:19.650pt;mso-position-horizontal-relative:page;mso-position-vertical-relative:page;z-index:-995656"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17"/>
        <w:gridCol w:w="2106"/>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418,136,133.60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546,517,722.00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418,136,133.60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546,517,722.00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399,557,261.67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541,261,178.98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342,338,479.66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470,677,199.15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2,292,452.68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3,348,444.42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11,442,553.35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18,011,822.27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49,411,258.37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42,469,629.84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2" w:right="0"/>
              <w:jc w:val="left"/>
              <w:rPr>
                <w:rFonts w:ascii="Times New Roman" w:hAnsi="Times New Roman" w:cs="Times New Roman" w:eastAsia="Times New Roman" w:hint="default"/>
                <w:sz w:val="18"/>
                <w:szCs w:val="18"/>
              </w:rPr>
            </w:pPr>
            <w:r>
              <w:rPr>
                <w:rFonts w:ascii="Times New Roman"/>
                <w:sz w:val="18"/>
              </w:rPr>
              <w:t>-10,697,885.47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-6,160,745.00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4,770,403.08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12,914,828.30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1,579,357.31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1,153,495.43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1,579,357.31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-149,836.33</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20,158,229.24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6,410,038.45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3,438,604.25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6,917,676.19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2,068,327.92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553,492.52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488,288.18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210,544.89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488,288.18</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23,043,340.97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12,839,426.46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3,889,970.37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84,280.05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19,153,370.60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12,755,146.41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18,172,467.25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14,276,265.68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980,903.35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-1,521,119.27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-4,458,019.42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-145,138.84</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-4,458,019.42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-145,138.84</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-4,458,019.42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-145,138.84</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-4,458,019.42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-145,138.84</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14,695,351.18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12,610,007.57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13,714,447.83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14,131,126.84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980,903.35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-1,521,119.27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0.0311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0.0310</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法定代表人：陈亚妹</w:t>
        <w:tab/>
        <w:t>主管会计工作负责人：廖建中</w:t>
        <w:tab/>
        <w:t>会计机构负责人：袁素华</w:t>
      </w:r>
    </w:p>
    <w:p>
      <w:pPr>
        <w:pStyle w:val="Heading3"/>
        <w:spacing w:line="240" w:lineRule="auto" w:before="63"/>
        <w:ind w:left="153"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213,069,333.89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306,739,300.01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179,203,310.56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264,088,315.96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1,501,996.28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1,256,052.42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4,763,073.61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4,010,861.29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29,462,757.72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21,147,437.61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-4,074,257.61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-8,480.81</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-1,499,484.18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4,027,356.66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1,606,842.96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1,303,331.76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5,318,780.47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13,521,088.64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2,885,995.57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6,331,238.34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2,153,794.72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456,804.04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471,996.01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140,837.54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471,996.01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7,747,972.00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19,380,330.97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7,747,972.00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19,380,330.97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7,747,972.00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19,380,330.97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502,833,360.30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509,972,945.15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2,950,786.44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7,614,725.28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8,947,406.42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15,089,207.62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514,731,553.16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532,676,878.05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336,860,386.32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406,030,694.18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56,640,759.98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64,170,932.88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13,943,507.08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31,695,382.72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53,340,298.97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26,482,825.24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460,784,952.35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528,379,835.02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53,946,600.81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4,297,043.03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4,274,323.86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4,190,487.50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12,101,013.50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16,375,337.36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108,216,087.50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46,251,986.82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9,219,831.21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186,915,626.86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316,447,613.68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20,019,831.21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-300,072,276.32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88,196,256.29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5,567,540.00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79,997,911.65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98,281,950.00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136,565,451.65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110,064,350.00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202,489,191.98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437,318.13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2,491,055.29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1,916,816.00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326,967.60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8,473,134.13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205,307,214.87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128,092,317.52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-95,242,864.87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1,562,801.18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202,184.01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-116,470,556.81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-2,547,381.54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169,316,490.34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171,863,871.88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52,845,933.53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169,316,490.34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238,773,945.04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228,925,330.70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450,957.12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2,263,344.10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112,085,420.67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7,336,280.31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351,310,322.83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238,524,955.11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127,100,284.29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179,359,486.02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21,902,850.79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18,240,543.59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5,957,268.09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21,005,515.35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41,150,281.78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68,258,569.50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196,110,684.95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286,864,114.46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155,199,637.88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-48,339,159.35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607,867.87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4,190,487.50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13,355,200.11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13,963,067.98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108,216,087.50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3,918,238.87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7,697,174.04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31,547,282.22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317,930,238.87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39,244,456.26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-303,967,170.89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68,971,631.24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1,719,540.00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79,997,911.65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98,281,950.00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131,717,451.65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110,064,350.00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132,798,253.51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400,792.05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2,302,498.72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1,916,816.00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326,967.60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8,436,608.05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135,427,719.83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123,280,843.60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-25,363,369.83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532,817.14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-329,560.81</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-24,953,872.27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-5,060,458.75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25,588,484.32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30,648,943.07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634,612.05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25,588,484.32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460,91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107,960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,672.49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-436,59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0.65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942.04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-80,951,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133.47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9,186,2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31.91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509,358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,722.32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460,91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107,960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,672.49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-436,59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0.65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942.04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-80,951,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133.47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9,186,2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31.91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509,358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,722.32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336,271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,675.27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1,765,4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-4,458,0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4,128,3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402,047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,836.51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-4,458,0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18,172,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980,903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14,695,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351.18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336,271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,675.27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1,765,4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3,147,4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34.06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387,352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,485.33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336,664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,729.94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1,765,4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3,147,4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34.06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387,745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,540.00</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-393,05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-393,05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Times New Roman" w:hAnsi="Times New Roman" w:cs="Times New Roman" w:eastAsia="Times New Roman" w:hint="default"/>
                <w:sz w:val="18"/>
                <w:szCs w:val="18"/>
              </w:rPr>
            </w:pPr>
            <w:r>
              <w:rPr>
                <w:rFonts w:ascii="Times New Roman"/>
                <w:sz w:val="18"/>
              </w:rPr>
              <w:t>4.67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510,60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9,376.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444,232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,347.76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4,265,4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-4,894,6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942.04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-62,778,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666.22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911,406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,558.83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458,41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105,601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,888.26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-291,45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942.04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-95,227,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399.15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10,707,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351.18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494,389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,930.52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458,41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105,601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-291,45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-95,227,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399.15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10,707,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351.18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494,389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,930.52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2,358,7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84.23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-145,13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14,276,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265.68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-1,521,1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14,968,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791.80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-145,13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14,276,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265.68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-1,521,1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12,610,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007.57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2,358,7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84.23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2,358,7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84.23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2,628,8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65.02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2,628,8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65.02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-270,08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-270,08</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460,91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107,960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,672.49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-436,59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-80,951,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133.47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9,186,2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509,358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,722.32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460,910,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107,699,4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52.51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20" w:right="0"/>
              <w:jc w:val="center"/>
              <w:rPr>
                <w:rFonts w:ascii="Times New Roman" w:hAnsi="Times New Roman" w:cs="Times New Roman" w:eastAsia="Times New Roman" w:hint="default"/>
                <w:sz w:val="18"/>
                <w:szCs w:val="18"/>
              </w:rPr>
            </w:pPr>
            <w:r>
              <w:rPr>
                <w:rFonts w:ascii="Times New Roman"/>
                <w:sz w:val="18"/>
              </w:rPr>
              <w:t>-47,970,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912.51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533,328,0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82.04</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460,910,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107,699,4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-47,970,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912.51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533,328,0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82.04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49,698,7</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335,571,1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7,747,9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391,252,4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7,747,9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7,747,972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49,698,7</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335,571,1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1,765,400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383,504,4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49,698,7</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335,571,1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1,765,400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383,897,5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-393,054.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-393,054.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510,609,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443,270,5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4,265,400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-40,222,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940.51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924,580,5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39.37</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458,410,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105,340,6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68.28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20" w:right="0"/>
              <w:jc w:val="center"/>
              <w:rPr>
                <w:rFonts w:ascii="Times New Roman" w:hAnsi="Times New Roman" w:cs="Times New Roman" w:eastAsia="Times New Roman" w:hint="default"/>
                <w:sz w:val="18"/>
                <w:szCs w:val="18"/>
              </w:rPr>
            </w:pPr>
            <w:r>
              <w:rPr>
                <w:rFonts w:ascii="Times New Roman"/>
                <w:sz w:val="18"/>
              </w:rPr>
              <w:t>-67,351,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243.48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34" w:right="0"/>
              <w:jc w:val="left"/>
              <w:rPr>
                <w:rFonts w:ascii="Times New Roman" w:hAnsi="Times New Roman" w:cs="Times New Roman" w:eastAsia="Times New Roman" w:hint="default"/>
                <w:sz w:val="18"/>
                <w:szCs w:val="18"/>
              </w:rPr>
            </w:pPr>
            <w:r>
              <w:rPr>
                <w:rFonts w:ascii="Times New Roman"/>
                <w:sz w:val="18"/>
              </w:rPr>
              <w:t>511,588,9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66.84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458,410,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105,340,6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15,188,94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-67,351,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511,588,9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68.28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243.48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66.84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19,380,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330.97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21,739,11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19,380,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330.97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19,380,33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2,628,865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2,628,865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-270,080.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-270,080.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460,910,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107,699,4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52.51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-47,970,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912.51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533,328,0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公司注册地、组织形式和总部地址</w:t>
      </w:r>
    </w:p>
    <w:p>
      <w:pPr>
        <w:pStyle w:val="BodyText"/>
        <w:spacing w:line="300" w:lineRule="auto" w:before="63"/>
        <w:ind w:right="0" w:firstLine="360"/>
        <w:jc w:val="left"/>
      </w:pPr>
      <w:r>
        <w:rPr/>
        <w:t>深圳市麦达数字股份有限公司（以下简称</w:t>
      </w:r>
      <w:r>
        <w:rPr>
          <w:rFonts w:ascii="Times New Roman" w:hAnsi="Times New Roman" w:cs="Times New Roman" w:eastAsia="Times New Roman" w:hint="default"/>
        </w:rPr>
        <w:t>“</w:t>
      </w:r>
      <w:r>
        <w:rPr/>
        <w:t>麦达数字公司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spacing w:val="-19"/>
        </w:rPr>
        <w:t> </w:t>
      </w:r>
      <w:r>
        <w:rPr/>
        <w:t>前身系深圳市实益达实业有限公司</w:t>
      </w:r>
      <w:r>
        <w:rPr>
          <w:rFonts w:ascii="Times New Roman" w:hAnsi="Times New Roman" w:cs="Times New Roman" w:eastAsia="Times New Roman" w:hint="default"/>
        </w:rPr>
        <w:t>(</w:t>
      </w:r>
      <w:r>
        <w:rPr/>
        <w:t>以下简称原有 限公司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日在深圳市工商管理局注册成立，成立时的注册资本为人民币</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日，原有限 </w:t>
      </w:r>
      <w:r>
        <w:rPr>
          <w:spacing w:val="-1"/>
        </w:rPr>
        <w:t>公司注册资本变更为人民币</w:t>
      </w:r>
      <w:r>
        <w:rPr>
          <w:rFonts w:ascii="Times New Roman" w:hAnsi="Times New Roman" w:cs="Times New Roman" w:eastAsia="Times New Roman" w:hint="default"/>
          <w:spacing w:val="-1"/>
        </w:rPr>
        <w:t>500.00</w:t>
      </w:r>
      <w:r>
        <w:rPr>
          <w:spacing w:val="-1"/>
        </w:rPr>
        <w:t>万元；</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日，原有限公司注册资本变更为人民币</w:t>
      </w:r>
      <w:r>
        <w:rPr>
          <w:rFonts w:ascii="Times New Roman" w:hAnsi="Times New Roman" w:cs="Times New Roman" w:eastAsia="Times New Roman" w:hint="default"/>
          <w:spacing w:val="-1"/>
        </w:rPr>
        <w:t>1,000.00</w:t>
      </w:r>
      <w:r>
        <w:rPr>
          <w:spacing w:val="-1"/>
        </w:rPr>
        <w:t>万元。</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w:t>
      </w:r>
      <w:r>
        <w:rPr>
          <w:spacing w:val="-61"/>
        </w:rPr>
        <w:t> </w:t>
      </w:r>
      <w:r>
        <w:rPr/>
        <w:t>经深圳市人民政府深府股</w:t>
      </w:r>
      <w:r>
        <w:rPr>
          <w:rFonts w:ascii="Times New Roman" w:hAnsi="Times New Roman" w:cs="Times New Roman" w:eastAsia="Times New Roman" w:hint="default"/>
        </w:rPr>
        <w:t>[2005]13</w:t>
      </w:r>
      <w:r>
        <w:rPr/>
        <w:t>号文件批准，以原有限公司净资产折股，深圳市实益达实业有限公司整体变更为深圳市实 益达科技股份有限公司，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日，经</w:t>
      </w:r>
      <w:r>
        <w:rPr>
          <w:rFonts w:ascii="Times New Roman" w:hAnsi="Times New Roman" w:cs="Times New Roman" w:eastAsia="Times New Roman" w:hint="default"/>
        </w:rPr>
        <w:t>2006</w:t>
      </w:r>
      <w:r>
        <w:rPr/>
        <w:t>年第二次临时股东大会决议，麦达数字公司以经审计的截至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 </w:t>
      </w:r>
      <w:r>
        <w:rPr>
          <w:spacing w:val="-2"/>
        </w:rPr>
        <w:t>日止的未分配利润</w:t>
      </w:r>
      <w:r>
        <w:rPr>
          <w:rFonts w:ascii="Times New Roman" w:hAnsi="Times New Roman" w:cs="Times New Roman" w:eastAsia="Times New Roman" w:hint="default"/>
          <w:spacing w:val="-2"/>
        </w:rPr>
        <w:t>35,208,975.00</w:t>
      </w:r>
      <w:r>
        <w:rPr>
          <w:spacing w:val="-2"/>
        </w:rPr>
        <w:t>元实施每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5.4342</w:t>
      </w:r>
      <w:r>
        <w:rPr>
          <w:spacing w:val="-2"/>
        </w:rPr>
        <w:t>股红股的利润分配方案，共送红股</w:t>
      </w:r>
      <w:r>
        <w:rPr>
          <w:rFonts w:ascii="Times New Roman" w:hAnsi="Times New Roman" w:cs="Times New Roman" w:eastAsia="Times New Roman" w:hint="default"/>
          <w:spacing w:val="-2"/>
        </w:rPr>
        <w:t>35,208,975</w:t>
      </w:r>
      <w:r>
        <w:rPr>
          <w:spacing w:val="-2"/>
        </w:rPr>
        <w:t>股，注册资本变更为人</w:t>
      </w:r>
      <w:r>
        <w:rPr>
          <w:spacing w:val="-37"/>
        </w:rPr>
        <w:t> </w:t>
      </w:r>
      <w:r>
        <w:rPr>
          <w:spacing w:val="-37"/>
        </w:rPr>
      </w:r>
      <w:r>
        <w:rPr/>
        <w:t>民币</w:t>
      </w: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日在深圳证券交易所上市，注册资本变更为人民币</w:t>
      </w:r>
      <w:r>
        <w:rPr>
          <w:rFonts w:ascii="Times New Roman" w:hAnsi="Times New Roman" w:cs="Times New Roman" w:eastAsia="Times New Roman" w:hint="default"/>
        </w:rPr>
        <w:t>13,340.00</w:t>
      </w:r>
      <w:r>
        <w:rPr/>
        <w:t>万元。根据麦达数字公司</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2007</w:t>
      </w:r>
      <w:r>
        <w:rPr/>
        <w:t>年度股东大会决议，以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13,340</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5</w:t>
      </w:r>
      <w:r>
        <w:rPr/>
        <w:t>股，共计转增 </w:t>
      </w:r>
      <w:r>
        <w:rPr>
          <w:rFonts w:ascii="Times New Roman" w:hAnsi="Times New Roman" w:cs="Times New Roman" w:eastAsia="Times New Roman" w:hint="default"/>
          <w:spacing w:val="-4"/>
        </w:rPr>
        <w:t>6,670.00</w:t>
      </w:r>
      <w:r>
        <w:rPr>
          <w:spacing w:val="-4"/>
        </w:rPr>
        <w:t>万股，并于</w:t>
      </w:r>
      <w:r>
        <w:rPr>
          <w:rFonts w:ascii="Times New Roman" w:hAnsi="Times New Roman" w:cs="Times New Roman" w:eastAsia="Times New Roman" w:hint="default"/>
          <w:spacing w:val="-4"/>
        </w:rPr>
        <w:t>2008</w:t>
      </w:r>
      <w:r>
        <w:rPr>
          <w:spacing w:val="-4"/>
        </w:rPr>
        <w:t>年度实施。转增后，注册资本增至人民币</w:t>
      </w:r>
      <w:r>
        <w:rPr>
          <w:rFonts w:ascii="Times New Roman" w:hAnsi="Times New Roman" w:cs="Times New Roman" w:eastAsia="Times New Roman" w:hint="default"/>
          <w:spacing w:val="-4"/>
        </w:rPr>
        <w:t>20,010.00</w:t>
      </w:r>
      <w:r>
        <w:rPr>
          <w:spacing w:val="-4"/>
        </w:rPr>
        <w:t>万元。根据麦达数字公司</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7"/>
        </w:rPr>
        <w:t> </w:t>
      </w:r>
      <w:r>
        <w:rPr>
          <w:spacing w:val="-2"/>
        </w:rPr>
        <w:t>年度股东大会决议，以</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20,010.00</w:t>
      </w:r>
      <w:r>
        <w:rPr>
          <w:spacing w:val="-2"/>
        </w:rPr>
        <w:t>万股为基数，按每</w:t>
      </w:r>
      <w:r>
        <w:rPr>
          <w:rFonts w:ascii="Times New Roman" w:hAnsi="Times New Roman" w:cs="Times New Roman" w:eastAsia="Times New Roman" w:hint="default"/>
          <w:spacing w:val="-2"/>
        </w:rPr>
        <w:t>10</w:t>
      </w:r>
      <w:r>
        <w:rPr>
          <w:spacing w:val="-2"/>
        </w:rPr>
        <w:t>股由资本公积金转增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6,003.00</w:t>
      </w:r>
      <w:r>
        <w:rPr>
          <w:spacing w:val="-2"/>
        </w:rPr>
        <w:t>万股，并于</w:t>
      </w:r>
      <w:r>
        <w:rPr>
          <w:spacing w:val="-42"/>
        </w:rPr>
        <w:t> </w:t>
      </w:r>
      <w:r>
        <w:rPr>
          <w:spacing w:val="-42"/>
        </w:rPr>
      </w:r>
      <w:r>
        <w:rPr>
          <w:rFonts w:ascii="Times New Roman" w:hAnsi="Times New Roman" w:cs="Times New Roman" w:eastAsia="Times New Roman" w:hint="default"/>
        </w:rPr>
        <w:t>2009</w:t>
      </w:r>
      <w:r>
        <w:rPr/>
        <w:t>年度实施。转增后，注册资本增至人民币</w:t>
      </w:r>
      <w:r>
        <w:rPr>
          <w:rFonts w:ascii="Times New Roman" w:hAnsi="Times New Roman" w:cs="Times New Roman" w:eastAsia="Times New Roman" w:hint="default"/>
        </w:rPr>
        <w:t>26,013.00</w:t>
      </w:r>
      <w:r>
        <w:rPr/>
        <w:t>万元。</w:t>
      </w:r>
    </w:p>
    <w:p>
      <w:pPr>
        <w:pStyle w:val="BodyText"/>
        <w:spacing w:line="300" w:lineRule="auto" w:before="13"/>
        <w:ind w:right="1130" w:firstLine="360"/>
        <w:jc w:val="both"/>
      </w:pPr>
      <w:r>
        <w:rPr>
          <w:spacing w:val="-2"/>
        </w:rPr>
        <w:t>根据麦达数字公司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日召开的</w:t>
      </w:r>
      <w:r>
        <w:rPr>
          <w:rFonts w:ascii="Times New Roman" w:hAnsi="Times New Roman" w:cs="Times New Roman" w:eastAsia="Times New Roman" w:hint="default"/>
          <w:spacing w:val="-2"/>
        </w:rPr>
        <w:t>2010</w:t>
      </w:r>
      <w:r>
        <w:rPr>
          <w:spacing w:val="-2"/>
        </w:rPr>
        <w:t>年度股东大会决议，公司增加注册资本人民币</w:t>
      </w:r>
      <w:r>
        <w:rPr>
          <w:rFonts w:ascii="Times New Roman" w:hAnsi="Times New Roman" w:cs="Times New Roman" w:eastAsia="Times New Roman" w:hint="default"/>
          <w:spacing w:val="-2"/>
        </w:rPr>
        <w:t>5,202.60</w:t>
      </w:r>
      <w:r>
        <w:rPr>
          <w:spacing w:val="-2"/>
        </w:rPr>
        <w:t>万元，由资本公积转</w:t>
      </w:r>
      <w:r>
        <w:rPr/>
        <w:t> 增股本，转增完成日期为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13</w:t>
      </w:r>
      <w:r>
        <w:rPr/>
        <w:t>日，变更后的注册资本为人民币</w:t>
      </w:r>
      <w:r>
        <w:rPr>
          <w:rFonts w:ascii="Times New Roman" w:hAnsi="Times New Roman" w:cs="Times New Roman" w:eastAsia="Times New Roman" w:hint="default"/>
        </w:rPr>
        <w:t>31,215.60</w:t>
      </w:r>
      <w:r>
        <w:rPr/>
        <w:t>万元。根据公司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 </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31,215.60</w:t>
      </w:r>
      <w:r>
        <w:rPr/>
        <w:t>万股为基数，按每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3.5</w:t>
      </w:r>
      <w:r>
        <w:rPr/>
        <w:t>股，共计转增</w:t>
      </w:r>
      <w:r>
        <w:rPr>
          <w:rFonts w:ascii="Times New Roman" w:hAnsi="Times New Roman" w:cs="Times New Roman" w:eastAsia="Times New Roman" w:hint="default"/>
        </w:rPr>
        <w:t>10,925.46</w:t>
      </w:r>
      <w:r>
        <w:rPr/>
        <w:t>万 </w:t>
      </w:r>
      <w:r>
        <w:rPr>
          <w:spacing w:val="-2"/>
        </w:rPr>
        <w:t>股，转增完成日期为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日，变更后的注册资本为人民币</w:t>
      </w:r>
      <w:r>
        <w:rPr>
          <w:rFonts w:ascii="Times New Roman" w:hAnsi="Times New Roman" w:cs="Times New Roman" w:eastAsia="Times New Roman" w:hint="default"/>
          <w:spacing w:val="-2"/>
        </w:rPr>
        <w:t>42,141.06</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日公司完成非公开发行股票，新</w:t>
      </w:r>
      <w:r>
        <w:rPr>
          <w:spacing w:val="-46"/>
        </w:rPr>
        <w:t> </w:t>
      </w:r>
      <w:r>
        <w:rPr>
          <w:spacing w:val="-46"/>
        </w:rPr>
      </w:r>
      <w:r>
        <w:rPr/>
        <w:t>增股份</w:t>
      </w:r>
      <w:r>
        <w:rPr>
          <w:rFonts w:ascii="Times New Roman" w:hAnsi="Times New Roman" w:cs="Times New Roman" w:eastAsia="Times New Roman" w:hint="default"/>
        </w:rPr>
        <w:t>3,700.00</w:t>
      </w:r>
      <w:r>
        <w:rPr/>
        <w:t>万股于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日上市交易，公司注册资本变更为</w:t>
      </w:r>
      <w:r>
        <w:rPr>
          <w:rFonts w:ascii="Times New Roman" w:hAnsi="Times New Roman" w:cs="Times New Roman" w:eastAsia="Times New Roman" w:hint="default"/>
        </w:rPr>
        <w:t>45,841.06</w:t>
      </w:r>
      <w:r>
        <w:rPr/>
        <w:t>万元。</w:t>
      </w:r>
    </w:p>
    <w:p>
      <w:pPr>
        <w:pStyle w:val="BodyText"/>
        <w:spacing w:line="300" w:lineRule="auto" w:before="13"/>
        <w:ind w:right="1119" w:firstLine="360"/>
        <w:jc w:val="left"/>
      </w:pP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18</w:t>
      </w:r>
      <w:r>
        <w:rPr/>
        <w:t>日召开的第三届董事会第二十一次会议审议通过的《关于公司</w:t>
      </w:r>
      <w:r>
        <w:rPr>
          <w:rFonts w:ascii="Times New Roman" w:hAnsi="Times New Roman" w:cs="Times New Roman" w:eastAsia="Times New Roman" w:hint="default"/>
        </w:rPr>
        <w:t>&lt;</w:t>
      </w:r>
      <w:r>
        <w:rPr/>
        <w:t>股票期权与限制性股票 </w:t>
      </w:r>
      <w:r>
        <w:rPr>
          <w:spacing w:val="-1"/>
        </w:rPr>
        <w:t>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股票期权与限制性股票激励计划实施考核管理办法</w:t>
      </w:r>
      <w:r>
        <w:rPr>
          <w:rFonts w:ascii="Times New Roman" w:hAnsi="Times New Roman" w:cs="Times New Roman" w:eastAsia="Times New Roman" w:hint="default"/>
          <w:spacing w:val="-1"/>
        </w:rPr>
        <w:t>&gt;</w:t>
      </w:r>
      <w:r>
        <w:rPr>
          <w:spacing w:val="-1"/>
        </w:rPr>
        <w:t>的议案》、《关于</w:t>
      </w:r>
      <w:r>
        <w:rPr>
          <w:spacing w:val="-66"/>
        </w:rPr>
        <w:t> </w:t>
      </w:r>
      <w:r>
        <w:rPr>
          <w:spacing w:val="-66"/>
        </w:rPr>
      </w:r>
      <w:r>
        <w:rPr/>
        <w:t>提请股东大会授权董事会办理公司股票期权与限制性股票激励计划相关事宜的议案》；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日召开的第三届监事会 </w:t>
      </w:r>
      <w:r>
        <w:rPr>
          <w:spacing w:val="-1"/>
        </w:rPr>
        <w:t>第十六次会议审议通过的《关于公司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w:t>
      </w:r>
      <w:r>
        <w:rPr>
          <w:spacing w:val="-65"/>
        </w:rPr>
        <w:t> </w:t>
      </w:r>
      <w:r>
        <w:rPr>
          <w:spacing w:val="-2"/>
        </w:rPr>
        <w:t>与限制性股票激励计划实施考核管理办法</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股票期权与限制性股票激励对象名单</w:t>
      </w:r>
      <w:r>
        <w:rPr>
          <w:rFonts w:ascii="Times New Roman" w:hAnsi="Times New Roman" w:cs="Times New Roman" w:eastAsia="Times New Roman" w:hint="default"/>
          <w:spacing w:val="-2"/>
        </w:rPr>
        <w:t>&gt;</w:t>
      </w:r>
      <w:r>
        <w:rPr>
          <w:spacing w:val="-2"/>
        </w:rPr>
        <w:t>的议案》；</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6"/>
        </w:rPr>
        <w:t> </w:t>
      </w:r>
      <w:r>
        <w:rPr/>
        <w:t>年 </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2014</w:t>
      </w:r>
      <w:r>
        <w:rPr>
          <w:spacing w:val="-1"/>
        </w:rPr>
        <w:t>年第一次临时股东大会审议通过的《关于公司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w:t>
      </w:r>
      <w:r>
        <w:rPr>
          <w:spacing w:val="-49"/>
        </w:rPr>
        <w:t> </w:t>
      </w:r>
      <w:r>
        <w:rPr>
          <w:spacing w:val="-49"/>
        </w:rPr>
      </w:r>
      <w:r>
        <w:rPr/>
        <w:t>案》、《关于公司</w:t>
      </w:r>
      <w:r>
        <w:rPr>
          <w:rFonts w:ascii="Times New Roman" w:hAnsi="Times New Roman" w:cs="Times New Roman" w:eastAsia="Times New Roman" w:hint="default"/>
        </w:rPr>
        <w:t>&lt;</w:t>
      </w:r>
      <w:r>
        <w:rPr/>
        <w:t>股票期权与限制性股票激励计划实施考核管理办法</w:t>
      </w:r>
      <w:r>
        <w:rPr>
          <w:rFonts w:ascii="Times New Roman" w:hAnsi="Times New Roman" w:cs="Times New Roman" w:eastAsia="Times New Roman" w:hint="default"/>
        </w:rPr>
        <w:t>&gt;</w:t>
      </w:r>
      <w:r>
        <w:rPr/>
        <w:t>的议案》、《关于提请股东大会授权董事会办理公 司股票期权与限制性股票激励计划相关事宜的议案》；以及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日第四届董事会第一次会议和第四届监事会第一次 </w:t>
      </w:r>
      <w:r>
        <w:rPr>
          <w:spacing w:val="-2"/>
        </w:rPr>
        <w:t>会议决议通过的《关于公司股票期权与限制性股票激励计划授予调整的议案》。本公司向</w:t>
      </w:r>
      <w:r>
        <w:rPr>
          <w:rFonts w:ascii="Times New Roman" w:hAnsi="Times New Roman" w:cs="Times New Roman" w:eastAsia="Times New Roman" w:hint="default"/>
          <w:spacing w:val="-2"/>
        </w:rPr>
        <w:t>13</w:t>
      </w:r>
      <w:r>
        <w:rPr>
          <w:spacing w:val="-2"/>
        </w:rPr>
        <w:t>名激励对象首次授予限制性股票</w:t>
      </w:r>
      <w:r>
        <w:rPr>
          <w:spacing w:val="-64"/>
        </w:rPr>
        <w:t> </w:t>
      </w:r>
      <w:r>
        <w:rPr/>
        <w:t>共</w:t>
      </w:r>
      <w:r>
        <w:rPr>
          <w:rFonts w:ascii="Times New Roman" w:hAnsi="Times New Roman" w:cs="Times New Roman" w:eastAsia="Times New Roman" w:hint="default"/>
        </w:rPr>
        <w:t>279.00</w:t>
      </w:r>
      <w:r>
        <w:rPr/>
        <w:t>万股，授予价格为</w:t>
      </w:r>
      <w:r>
        <w:rPr>
          <w:spacing w:val="-20"/>
        </w:rPr>
        <w:t> </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日止，麦达数字公司已收到股权激励对象共</w:t>
      </w:r>
      <w:r>
        <w:rPr>
          <w:rFonts w:ascii="Times New Roman" w:hAnsi="Times New Roman" w:cs="Times New Roman" w:eastAsia="Times New Roman" w:hint="default"/>
        </w:rPr>
        <w:t>13</w:t>
      </w:r>
      <w:r>
        <w:rPr/>
        <w:t>人缴纳的股权激励增资 款合计人民币</w:t>
      </w:r>
      <w:r>
        <w:rPr>
          <w:rFonts w:ascii="Times New Roman" w:hAnsi="Times New Roman" w:cs="Times New Roman" w:eastAsia="Times New Roman" w:hint="default"/>
        </w:rPr>
        <w:t>558.00</w:t>
      </w:r>
      <w:r>
        <w:rPr/>
        <w:t>万元（大写：人民币伍佰伍拾捌万元整），各股东以货币出资</w:t>
      </w:r>
      <w:r>
        <w:rPr>
          <w:rFonts w:ascii="Times New Roman" w:hAnsi="Times New Roman" w:cs="Times New Roman" w:eastAsia="Times New Roman" w:hint="default"/>
        </w:rPr>
        <w:t>558.00</w:t>
      </w:r>
      <w:r>
        <w:rPr/>
        <w:t>万元。公司增加股本人民币</w:t>
      </w:r>
      <w:r>
        <w:rPr>
          <w:rFonts w:ascii="Times New Roman" w:hAnsi="Times New Roman" w:cs="Times New Roman" w:eastAsia="Times New Roman" w:hint="default"/>
        </w:rPr>
        <w:t>279.00 </w:t>
      </w:r>
      <w:r>
        <w:rPr/>
        <w:t>万元，增加资本公积人民币</w:t>
      </w:r>
      <w:r>
        <w:rPr>
          <w:rFonts w:ascii="Times New Roman" w:hAnsi="Times New Roman" w:cs="Times New Roman" w:eastAsia="Times New Roman" w:hint="default"/>
        </w:rPr>
        <w:t>279.00</w:t>
      </w:r>
      <w:r>
        <w:rPr/>
        <w:t>万元，变更后的股本为人民币</w:t>
      </w:r>
      <w:r>
        <w:rPr>
          <w:rFonts w:ascii="Times New Roman" w:hAnsi="Times New Roman" w:cs="Times New Roman" w:eastAsia="Times New Roman" w:hint="default"/>
        </w:rPr>
        <w:t>46,120.06</w:t>
      </w:r>
      <w:r>
        <w:rPr/>
        <w:t>万元。</w:t>
      </w:r>
    </w:p>
    <w:p>
      <w:pPr>
        <w:pStyle w:val="BodyText"/>
        <w:spacing w:line="300" w:lineRule="auto" w:before="13"/>
        <w:ind w:left="154" w:right="0" w:firstLine="360"/>
        <w:jc w:val="left"/>
      </w:pPr>
      <w:r>
        <w:rPr>
          <w:spacing w:val="-2"/>
        </w:rPr>
        <w:t>根据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日第四届董事会第四次会议决议、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日第四届董事会第八次会议决议和修改后章程的规定，</w:t>
      </w:r>
      <w:r>
        <w:rPr/>
        <w:t> 麦达数字公司申请减少注册资本</w:t>
      </w:r>
      <w:r>
        <w:rPr>
          <w:rFonts w:ascii="Times New Roman" w:hAnsi="Times New Roman" w:cs="Times New Roman" w:eastAsia="Times New Roman" w:hint="default"/>
        </w:rPr>
        <w:t>60.00</w:t>
      </w:r>
      <w:r>
        <w:rPr/>
        <w:t>万元，其中减少陈华明出资</w:t>
      </w:r>
      <w:r>
        <w:rPr>
          <w:rFonts w:ascii="Times New Roman" w:hAnsi="Times New Roman" w:cs="Times New Roman" w:eastAsia="Times New Roman" w:hint="default"/>
        </w:rPr>
        <w:t>30.00</w:t>
      </w:r>
      <w:r>
        <w:rPr/>
        <w:t>万元，减少陈钢出资</w:t>
      </w:r>
      <w:r>
        <w:rPr>
          <w:rFonts w:ascii="Times New Roman" w:hAnsi="Times New Roman" w:cs="Times New Roman" w:eastAsia="Times New Roman" w:hint="default"/>
        </w:rPr>
        <w:t>30.00</w:t>
      </w:r>
      <w:r>
        <w:rPr/>
        <w:t>万元，变更后的注册资本为 </w:t>
      </w:r>
      <w:r>
        <w:rPr>
          <w:rFonts w:ascii="Times New Roman" w:hAnsi="Times New Roman" w:cs="Times New Roman" w:eastAsia="Times New Roman" w:hint="default"/>
        </w:rPr>
        <w:t>46,060.06</w:t>
      </w:r>
      <w:r>
        <w:rPr/>
        <w:t>万元。</w:t>
      </w:r>
    </w:p>
    <w:p>
      <w:pPr>
        <w:pStyle w:val="BodyText"/>
        <w:spacing w:line="300" w:lineRule="auto" w:before="13"/>
        <w:ind w:right="0" w:firstLine="360"/>
        <w:jc w:val="left"/>
      </w:pP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日召开的第四届董事会第七次会议诀议，公司向</w:t>
      </w:r>
      <w:r>
        <w:rPr>
          <w:rFonts w:ascii="Times New Roman" w:hAnsi="Times New Roman" w:cs="Times New Roman" w:eastAsia="Times New Roman" w:hint="default"/>
        </w:rPr>
        <w:t>2</w:t>
      </w:r>
      <w:r>
        <w:rPr/>
        <w:t>名激励对象授予预留限制性股票共 </w:t>
      </w:r>
      <w:r>
        <w:rPr>
          <w:rFonts w:ascii="Times New Roman" w:hAnsi="Times New Roman" w:cs="Times New Roman" w:eastAsia="Times New Roman" w:hint="default"/>
        </w:rPr>
        <w:t>31.00</w:t>
      </w:r>
      <w:r>
        <w:rPr/>
        <w:t>万股，授予价格为</w:t>
      </w:r>
      <w:r>
        <w:rPr>
          <w:rFonts w:ascii="Times New Roman" w:hAnsi="Times New Roman" w:cs="Times New Roman" w:eastAsia="Times New Roman" w:hint="default"/>
        </w:rPr>
        <w:t>4.14</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日止，公司已收到股权激励对象共</w:t>
      </w:r>
      <w:r>
        <w:rPr>
          <w:rFonts w:ascii="Times New Roman" w:hAnsi="Times New Roman" w:cs="Times New Roman" w:eastAsia="Times New Roman" w:hint="default"/>
        </w:rPr>
        <w:t>2</w:t>
      </w:r>
      <w:r>
        <w:rPr/>
        <w:t>人缴纳的股权激励增资款合计人民 </w:t>
      </w:r>
      <w:r>
        <w:rPr>
          <w:spacing w:val="-3"/>
        </w:rPr>
        <w:t>币</w:t>
      </w:r>
      <w:r>
        <w:rPr>
          <w:rFonts w:ascii="Times New Roman" w:hAnsi="Times New Roman" w:cs="Times New Roman" w:eastAsia="Times New Roman" w:hint="default"/>
          <w:spacing w:val="-3"/>
        </w:rPr>
        <w:t>128.34</w:t>
      </w:r>
      <w:r>
        <w:rPr>
          <w:spacing w:val="-3"/>
        </w:rPr>
        <w:t>万元（大写：人民币壹佰贰拾捌万叁仟肆佰元整），各股东以货币出资</w:t>
      </w:r>
      <w:r>
        <w:rPr>
          <w:rFonts w:ascii="Times New Roman" w:hAnsi="Times New Roman" w:cs="Times New Roman" w:eastAsia="Times New Roman" w:hint="default"/>
          <w:spacing w:val="-3"/>
        </w:rPr>
        <w:t>128.34</w:t>
      </w:r>
      <w:r>
        <w:rPr>
          <w:spacing w:val="-3"/>
        </w:rPr>
        <w:t>万元。公司增加股本人民币</w:t>
      </w:r>
      <w:r>
        <w:rPr>
          <w:rFonts w:ascii="Times New Roman" w:hAnsi="Times New Roman" w:cs="Times New Roman" w:eastAsia="Times New Roman" w:hint="default"/>
          <w:spacing w:val="-3"/>
        </w:rPr>
        <w:t>31.00</w:t>
      </w:r>
      <w:r>
        <w:rPr>
          <w:spacing w:val="-3"/>
        </w:rPr>
        <w:t>万元，</w:t>
      </w:r>
      <w:r>
        <w:rPr>
          <w:spacing w:val="-34"/>
        </w:rPr>
        <w:t> </w:t>
      </w:r>
      <w:r>
        <w:rPr/>
        <w:t>增加资本公积人民币</w:t>
      </w:r>
      <w:r>
        <w:rPr>
          <w:rFonts w:ascii="Times New Roman" w:hAnsi="Times New Roman" w:cs="Times New Roman" w:eastAsia="Times New Roman" w:hint="default"/>
        </w:rPr>
        <w:t>97.34</w:t>
      </w:r>
      <w:r>
        <w:rPr/>
        <w:t>万元，变更后的股本为人民币</w:t>
      </w:r>
      <w:r>
        <w:rPr>
          <w:rFonts w:ascii="Times New Roman" w:hAnsi="Times New Roman" w:cs="Times New Roman" w:eastAsia="Times New Roman" w:hint="default"/>
        </w:rPr>
        <w:t>46,091.06</w:t>
      </w:r>
      <w:r>
        <w:rPr/>
        <w:t>万元。</w:t>
      </w:r>
    </w:p>
    <w:p>
      <w:pPr>
        <w:pStyle w:val="BodyText"/>
        <w:spacing w:line="300" w:lineRule="auto" w:before="13"/>
        <w:ind w:right="1123" w:firstLine="360"/>
        <w:jc w:val="left"/>
      </w:pPr>
      <w:r>
        <w:rPr/>
        <w:t>根据麦达数字公司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日召开的第四届董事会第十三次会议决议，公司向</w:t>
      </w:r>
      <w:r>
        <w:rPr>
          <w:rFonts w:ascii="Times New Roman" w:hAnsi="Times New Roman" w:cs="Times New Roman" w:eastAsia="Times New Roman" w:hint="default"/>
        </w:rPr>
        <w:t>40</w:t>
      </w:r>
      <w:r>
        <w:rPr/>
        <w:t>名激励对象共计授予股票期权 </w:t>
      </w:r>
      <w:r>
        <w:rPr>
          <w:rFonts w:ascii="Times New Roman" w:hAnsi="Times New Roman" w:cs="Times New Roman" w:eastAsia="Times New Roman" w:hint="default"/>
        </w:rPr>
        <w:t>41.94</w:t>
      </w:r>
      <w:r>
        <w:rPr/>
        <w:t>万份，行权价格为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12</w:t>
      </w:r>
      <w:r>
        <w:rPr/>
        <w:t>日止，公司已收到股权激励对象共</w:t>
      </w:r>
      <w:r>
        <w:rPr>
          <w:rFonts w:ascii="Times New Roman" w:hAnsi="Times New Roman" w:cs="Times New Roman" w:eastAsia="Times New Roman" w:hint="default"/>
        </w:rPr>
        <w:t>40</w:t>
      </w:r>
      <w:r>
        <w:rPr/>
        <w:t>人缴纳的股权激励增资款合计人 民币</w:t>
      </w:r>
      <w:r>
        <w:rPr>
          <w:rFonts w:ascii="Times New Roman" w:hAnsi="Times New Roman" w:cs="Times New Roman" w:eastAsia="Times New Roman" w:hint="default"/>
        </w:rPr>
        <w:t>1,719,540.00</w:t>
      </w:r>
      <w:r>
        <w:rPr/>
        <w:t>元（大写：人民币壹佰柒拾壹万玖仟伍佰肆拾元整），各股东以货币出资</w:t>
      </w:r>
      <w:r>
        <w:rPr>
          <w:rFonts w:ascii="Times New Roman" w:hAnsi="Times New Roman" w:cs="Times New Roman" w:eastAsia="Times New Roman" w:hint="default"/>
        </w:rPr>
        <w:t>1,719,540.00</w:t>
      </w:r>
      <w:r>
        <w:rPr/>
        <w:t>元。麦达数字公司增 加股本人民币</w:t>
      </w:r>
      <w:r>
        <w:rPr>
          <w:rFonts w:ascii="Times New Roman" w:hAnsi="Times New Roman" w:cs="Times New Roman" w:eastAsia="Times New Roman" w:hint="default"/>
        </w:rPr>
        <w:t>419,400.00</w:t>
      </w:r>
      <w:r>
        <w:rPr/>
        <w:t>元，变更后的股本为人民币</w:t>
      </w:r>
      <w:r>
        <w:rPr>
          <w:rFonts w:ascii="Times New Roman" w:hAnsi="Times New Roman" w:cs="Times New Roman" w:eastAsia="Times New Roman" w:hint="default"/>
        </w:rPr>
        <w:t>461,330,000.00</w:t>
      </w:r>
      <w:r>
        <w:rPr/>
        <w:t>元。</w:t>
      </w:r>
    </w:p>
    <w:p>
      <w:pPr>
        <w:pStyle w:val="BodyText"/>
        <w:spacing w:line="300" w:lineRule="auto" w:before="13"/>
        <w:ind w:right="1123" w:firstLine="360"/>
        <w:jc w:val="left"/>
      </w:pPr>
      <w:r>
        <w:rPr/>
        <w:t>根据麦达数字公司于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日召开第四届董事会第十一次会议决议，审议通过了《关于回购注销部分限制性股票 </w:t>
      </w:r>
      <w:r>
        <w:rPr>
          <w:spacing w:val="-1"/>
        </w:rPr>
        <w:t>的议案》，同意公司将因离职而不再符合激励条件的原激励对象李维、张成已获授但尚未解锁的全部限制性股票</w:t>
      </w:r>
      <w:r>
        <w:rPr>
          <w:rFonts w:ascii="Times New Roman" w:hAnsi="Times New Roman" w:cs="Times New Roman" w:eastAsia="Times New Roman" w:hint="default"/>
          <w:spacing w:val="-1"/>
        </w:rPr>
        <w:t>6.00</w:t>
      </w:r>
      <w:r>
        <w:rPr>
          <w:spacing w:val="-1"/>
        </w:rPr>
        <w:t>万股进</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1"/>
        </w:rPr>
        <w:t>行回购注销，回购价格为</w:t>
      </w:r>
      <w:r>
        <w:rPr>
          <w:rFonts w:ascii="Times New Roman" w:hAnsi="Times New Roman" w:cs="Times New Roman" w:eastAsia="Times New Roman" w:hint="default"/>
          <w:spacing w:val="-1"/>
        </w:rPr>
        <w:t>2.00</w:t>
      </w:r>
      <w:r>
        <w:rPr>
          <w:spacing w:val="-1"/>
        </w:rPr>
        <w:t>元</w:t>
      </w:r>
      <w:r>
        <w:rPr>
          <w:rFonts w:ascii="Times New Roman" w:hAnsi="Times New Roman" w:cs="Times New Roman" w:eastAsia="Times New Roman" w:hint="default"/>
          <w:spacing w:val="-1"/>
        </w:rPr>
        <w:t>/</w:t>
      </w:r>
      <w:r>
        <w:rPr>
          <w:spacing w:val="-1"/>
        </w:rPr>
        <w:t>股，本次回购的股份数量占公司股权激励计划之限制性股票总数的</w:t>
      </w:r>
      <w:r>
        <w:rPr>
          <w:rFonts w:ascii="Times New Roman" w:hAnsi="Times New Roman" w:cs="Times New Roman" w:eastAsia="Times New Roman" w:hint="default"/>
          <w:spacing w:val="-1"/>
        </w:rPr>
        <w:t>3.22%</w:t>
      </w:r>
      <w:r>
        <w:rPr>
          <w:spacing w:val="-1"/>
        </w:rPr>
        <w:t>，占公司回购注销</w:t>
      </w:r>
      <w:r>
        <w:rPr>
          <w:spacing w:val="-47"/>
        </w:rPr>
        <w:t> </w:t>
      </w:r>
      <w:r>
        <w:rPr>
          <w:spacing w:val="-47"/>
        </w:rPr>
      </w:r>
      <w:r>
        <w:rPr>
          <w:spacing w:val="-1"/>
        </w:rPr>
        <w:t>前总股本的</w:t>
      </w:r>
      <w:r>
        <w:rPr>
          <w:rFonts w:ascii="Times New Roman" w:hAnsi="Times New Roman" w:cs="Times New Roman" w:eastAsia="Times New Roman" w:hint="default"/>
          <w:spacing w:val="-1"/>
        </w:rPr>
        <w:t>0.01%</w:t>
      </w:r>
      <w:r>
        <w:rPr>
          <w:spacing w:val="-1"/>
        </w:rPr>
        <w:t>，本次回购完成后公司总股本将由</w:t>
      </w:r>
      <w:r>
        <w:rPr>
          <w:rFonts w:ascii="Times New Roman" w:hAnsi="Times New Roman" w:cs="Times New Roman" w:eastAsia="Times New Roman" w:hint="default"/>
          <w:spacing w:val="-1"/>
        </w:rPr>
        <w:t>46,133.00</w:t>
      </w:r>
      <w:r>
        <w:rPr>
          <w:spacing w:val="-1"/>
        </w:rPr>
        <w:t>万股减少至</w:t>
      </w:r>
      <w:r>
        <w:rPr>
          <w:rFonts w:ascii="Times New Roman" w:hAnsi="Times New Roman" w:cs="Times New Roman" w:eastAsia="Times New Roman" w:hint="default"/>
          <w:spacing w:val="-1"/>
        </w:rPr>
        <w:t>46,127.00</w:t>
      </w:r>
      <w:r>
        <w:rPr>
          <w:spacing w:val="-1"/>
        </w:rPr>
        <w:t>万股，注册资本也相应由</w:t>
      </w:r>
      <w:r>
        <w:rPr>
          <w:rFonts w:ascii="Times New Roman" w:hAnsi="Times New Roman" w:cs="Times New Roman" w:eastAsia="Times New Roman" w:hint="default"/>
          <w:spacing w:val="-1"/>
        </w:rPr>
        <w:t>46,133.00</w:t>
      </w:r>
      <w:r>
        <w:rPr>
          <w:spacing w:val="-1"/>
        </w:rPr>
        <w:t>万元减</w:t>
      </w:r>
      <w:r>
        <w:rPr>
          <w:spacing w:val="-34"/>
        </w:rPr>
        <w:t> </w:t>
      </w:r>
      <w:r>
        <w:rPr>
          <w:spacing w:val="-34"/>
        </w:rPr>
      </w:r>
      <w:r>
        <w:rPr/>
        <w:t>少至</w:t>
      </w:r>
      <w:r>
        <w:rPr>
          <w:rFonts w:ascii="Times New Roman" w:hAnsi="Times New Roman" w:cs="Times New Roman" w:eastAsia="Times New Roman" w:hint="default"/>
        </w:rPr>
        <w:t>46,127.00</w:t>
      </w:r>
      <w:r>
        <w:rPr/>
        <w:t>万元。</w:t>
      </w:r>
    </w:p>
    <w:p>
      <w:pPr>
        <w:pStyle w:val="BodyText"/>
        <w:spacing w:line="300" w:lineRule="auto" w:before="13"/>
        <w:ind w:right="1024" w:firstLine="360"/>
        <w:jc w:val="left"/>
      </w:pPr>
      <w:r>
        <w:rPr/>
        <w:t>根据麦达数字公司</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rPr>
        <w:t>01 </w:t>
      </w:r>
      <w:r>
        <w:rPr>
          <w:spacing w:val="-5"/>
        </w:rPr>
        <w:t>日召开的第四届董事会第十四次会议、</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rPr>
        <w:t>01</w:t>
      </w:r>
      <w:r>
        <w:rPr>
          <w:rFonts w:ascii="Times New Roman" w:hAnsi="Times New Roman" w:cs="Times New Roman" w:eastAsia="Times New Roman" w:hint="default"/>
          <w:spacing w:val="24"/>
        </w:rPr>
        <w:t> </w:t>
      </w:r>
      <w:r>
        <w:rPr>
          <w:spacing w:val="-1"/>
        </w:rPr>
        <w:t>日召开的第四届监事会第</w:t>
      </w:r>
      <w:r>
        <w:rPr/>
        <w:t> 十三次会议决、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2015</w:t>
      </w:r>
      <w:r>
        <w:rPr/>
        <w:t>年度第二次临时股东大会决议，并经中国证券监督管理委员会证监许可〔</w:t>
      </w:r>
      <w:r>
        <w:rPr>
          <w:rFonts w:ascii="Times New Roman" w:hAnsi="Times New Roman" w:cs="Times New Roman" w:eastAsia="Times New Roman" w:hint="default"/>
        </w:rPr>
        <w:t>2015</w:t>
      </w:r>
      <w:r>
        <w:rPr/>
        <w:t>〕 </w:t>
      </w:r>
      <w:r>
        <w:rPr>
          <w:rFonts w:ascii="Times New Roman" w:hAnsi="Times New Roman" w:cs="Times New Roman" w:eastAsia="Times New Roman" w:hint="default"/>
          <w:spacing w:val="-2"/>
        </w:rPr>
        <w:t>2391</w:t>
      </w:r>
      <w:r>
        <w:rPr>
          <w:spacing w:val="-2"/>
        </w:rPr>
        <w:t>号文《关于核准深圳市实益达科技股份有限公司向张伟等发行股份购买资产并募集配套资金的批复》的核准，同意核准</w:t>
      </w:r>
      <w:r>
        <w:rPr>
          <w:spacing w:val="-62"/>
        </w:rPr>
        <w:t> </w:t>
      </w:r>
      <w:r>
        <w:rPr>
          <w:spacing w:val="-62"/>
        </w:rPr>
      </w:r>
      <w:r>
        <w:rPr/>
        <w:t>麦达数字公司向张伟等</w:t>
      </w:r>
      <w:r>
        <w:rPr>
          <w:rFonts w:ascii="Times New Roman" w:hAnsi="Times New Roman" w:cs="Times New Roman" w:eastAsia="Times New Roman" w:hint="default"/>
        </w:rPr>
        <w:t>7</w:t>
      </w:r>
      <w:r>
        <w:rPr/>
        <w:t>人共发行</w:t>
      </w:r>
      <w:r>
        <w:rPr>
          <w:rFonts w:ascii="Times New Roman" w:hAnsi="Times New Roman" w:cs="Times New Roman" w:eastAsia="Times New Roman" w:hint="default"/>
        </w:rPr>
        <w:t>49,339,376</w:t>
      </w:r>
      <w:r>
        <w:rPr/>
        <w:t>股股份和支付现金人民币</w:t>
      </w:r>
      <w:r>
        <w:rPr>
          <w:rFonts w:ascii="Times New Roman" w:hAnsi="Times New Roman" w:cs="Times New Roman" w:eastAsia="Times New Roman" w:hint="default"/>
        </w:rPr>
        <w:t>2.541</w:t>
      </w:r>
      <w:r>
        <w:rPr/>
        <w:t>亿元购买上海顺为广告传播有限公司（以下简称 </w:t>
      </w:r>
      <w:r>
        <w:rPr>
          <w:rFonts w:ascii="Times New Roman" w:hAnsi="Times New Roman" w:cs="Times New Roman" w:eastAsia="Times New Roman" w:hint="default"/>
        </w:rPr>
        <w:t>“</w:t>
      </w:r>
      <w:r>
        <w:rPr/>
        <w:t>顺为广告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股权、奇思国际广告（北京）有限公司（以下简称</w:t>
      </w:r>
      <w:r>
        <w:rPr>
          <w:rFonts w:ascii="Times New Roman" w:hAnsi="Times New Roman" w:cs="Times New Roman" w:eastAsia="Times New Roman" w:hint="default"/>
        </w:rPr>
        <w:t>“</w:t>
      </w:r>
      <w:r>
        <w:rPr/>
        <w:t>奇思广告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股权、上海利宣广告有限公司（以 下简称</w:t>
      </w:r>
      <w:r>
        <w:rPr>
          <w:rFonts w:ascii="Times New Roman" w:hAnsi="Times New Roman" w:cs="Times New Roman" w:eastAsia="Times New Roman" w:hint="default"/>
        </w:rPr>
        <w:t>“</w:t>
      </w:r>
      <w:r>
        <w:rPr/>
        <w:t>利宣广告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t>股权及非公开发行不超过</w:t>
      </w:r>
      <w:r>
        <w:rPr>
          <w:rFonts w:ascii="Times New Roman" w:hAnsi="Times New Roman" w:cs="Times New Roman" w:eastAsia="Times New Roman" w:hint="default"/>
        </w:rPr>
        <w:t>73,837,206</w:t>
      </w:r>
      <w:r>
        <w:rPr/>
        <w:t>股新股募集本次发行股份购买资产的配套资金。每股面值人 民币</w:t>
      </w:r>
      <w:r>
        <w:rPr>
          <w:rFonts w:ascii="Times New Roman" w:hAnsi="Times New Roman" w:cs="Times New Roman" w:eastAsia="Times New Roman" w:hint="default"/>
        </w:rPr>
        <w:t>1.00</w:t>
      </w:r>
      <w:r>
        <w:rPr/>
        <w:t>元，发行股份购买资产的每股发行认购价格不低于本次非公开发行的定价基准日（董事会决议公告日）前六十个交 易日均价的</w:t>
      </w:r>
      <w:r>
        <w:rPr>
          <w:rFonts w:ascii="Times New Roman" w:hAnsi="Times New Roman" w:cs="Times New Roman" w:eastAsia="Times New Roman" w:hint="default"/>
        </w:rPr>
        <w:t>90%</w:t>
      </w:r>
      <w:r>
        <w:rPr/>
        <w:t>，以此为基础，交易各方约定本次发行股份购买资产的发行价格为</w:t>
      </w:r>
      <w:r>
        <w:rPr>
          <w:spacing w:val="-19"/>
        </w:rPr>
        <w:t> </w:t>
      </w:r>
      <w:r>
        <w:rPr>
          <w:rFonts w:ascii="Times New Roman" w:hAnsi="Times New Roman" w:cs="Times New Roman" w:eastAsia="Times New Roman" w:hint="default"/>
        </w:rPr>
        <w:t>7.72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日止，麦 达数字公司已经持有顺为广告</w:t>
      </w:r>
      <w:r>
        <w:rPr>
          <w:rFonts w:ascii="Times New Roman" w:hAnsi="Times New Roman" w:cs="Times New Roman" w:eastAsia="Times New Roman" w:hint="default"/>
        </w:rPr>
        <w:t>100%</w:t>
      </w:r>
      <w:r>
        <w:rPr/>
        <w:t>股权、奇思广告</w:t>
      </w:r>
      <w:r>
        <w:rPr>
          <w:rFonts w:ascii="Times New Roman" w:hAnsi="Times New Roman" w:cs="Times New Roman" w:eastAsia="Times New Roman" w:hint="default"/>
        </w:rPr>
        <w:t>100%</w:t>
      </w:r>
      <w:r>
        <w:rPr/>
        <w:t>股权、利宣广告</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t>股权。新增注册资本人民币</w:t>
      </w:r>
      <w:r>
        <w:rPr>
          <w:rFonts w:ascii="Times New Roman" w:hAnsi="Times New Roman" w:cs="Times New Roman" w:eastAsia="Times New Roman" w:hint="default"/>
        </w:rPr>
        <w:t>49,339,376.00</w:t>
      </w:r>
      <w:r>
        <w:rPr/>
        <w:t>元， 股本人民币</w:t>
      </w:r>
      <w:r>
        <w:rPr>
          <w:rFonts w:ascii="Times New Roman" w:hAnsi="Times New Roman" w:cs="Times New Roman" w:eastAsia="Times New Roman" w:hint="default"/>
        </w:rPr>
        <w:t>49,339,376.00</w:t>
      </w:r>
      <w:r>
        <w:rPr/>
        <w:t>元，变更后的注册资本为人民币</w:t>
      </w:r>
      <w:r>
        <w:rPr>
          <w:rFonts w:ascii="Times New Roman" w:hAnsi="Times New Roman" w:cs="Times New Roman" w:eastAsia="Times New Roman" w:hint="default"/>
        </w:rPr>
        <w:t>510,609,376.00</w:t>
      </w:r>
      <w:r>
        <w:rPr/>
        <w:t>元，股本为人民币</w:t>
      </w:r>
      <w:r>
        <w:rPr>
          <w:rFonts w:ascii="Times New Roman" w:hAnsi="Times New Roman" w:cs="Times New Roman" w:eastAsia="Times New Roman" w:hint="default"/>
        </w:rPr>
        <w:t>510,609,376.00</w:t>
      </w:r>
      <w:r>
        <w:rPr/>
        <w:t>元，增加资本公积</w:t>
      </w:r>
      <w:r>
        <w:rPr>
          <w:rFonts w:ascii="Times New Roman" w:hAnsi="Times New Roman" w:cs="Times New Roman" w:eastAsia="Times New Roman" w:hint="default"/>
        </w:rPr>
        <w:t>- </w:t>
      </w:r>
      <w:r>
        <w:rPr/>
        <w:t>股本溢价</w:t>
      </w:r>
      <w:r>
        <w:rPr>
          <w:rFonts w:ascii="Times New Roman" w:hAnsi="Times New Roman" w:cs="Times New Roman" w:eastAsia="Times New Roman" w:hint="default"/>
        </w:rPr>
        <w:t>331,560,624.00</w:t>
      </w:r>
      <w:r>
        <w:rPr/>
        <w:t>元。</w:t>
      </w:r>
    </w:p>
    <w:p>
      <w:pPr>
        <w:pStyle w:val="BodyText"/>
        <w:spacing w:line="309" w:lineRule="auto" w:before="13"/>
        <w:ind w:left="513" w:right="2653"/>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日，公司累计发行股本总数</w:t>
      </w:r>
      <w:r>
        <w:rPr>
          <w:rFonts w:ascii="Times New Roman" w:hAnsi="Times New Roman" w:cs="Times New Roman" w:eastAsia="Times New Roman" w:hint="default"/>
        </w:rPr>
        <w:t>51,060.9376</w:t>
      </w:r>
      <w:r>
        <w:rPr/>
        <w:t>万股，公司注册资本为</w:t>
      </w:r>
      <w:r>
        <w:rPr>
          <w:rFonts w:ascii="Times New Roman" w:hAnsi="Times New Roman" w:cs="Times New Roman" w:eastAsia="Times New Roman" w:hint="default"/>
        </w:rPr>
        <w:t>51,060.9376</w:t>
      </w:r>
      <w:r>
        <w:rPr/>
        <w:t>万元。 总部地址：深圳市龙岗区宝龙工业城宝龙六路实益达科技园，实际控制人为陈亚妹与乔昕。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公司业务性质和主要经营活动</w:t>
      </w:r>
    </w:p>
    <w:p>
      <w:pPr>
        <w:pStyle w:val="BodyText"/>
        <w:spacing w:line="316" w:lineRule="auto" w:before="5"/>
        <w:ind w:left="513" w:right="0"/>
        <w:jc w:val="left"/>
      </w:pPr>
      <w:r>
        <w:rPr/>
        <w:t>本公司兼属制造及广告行业。 </w:t>
      </w:r>
      <w:r>
        <w:rPr>
          <w:spacing w:val="-2"/>
        </w:rPr>
        <w:t>制造行业主要产品或服务为</w:t>
      </w:r>
      <w:r>
        <w:rPr>
          <w:rFonts w:ascii="Times New Roman" w:hAnsi="Times New Roman" w:cs="Times New Roman" w:eastAsia="Times New Roman" w:hint="default"/>
          <w:spacing w:val="-2"/>
        </w:rPr>
        <w:t>LED</w:t>
      </w:r>
      <w:r>
        <w:rPr>
          <w:spacing w:val="-2"/>
        </w:rPr>
        <w:t>照明光源及灯具、照明驱动电源、电子镇流器，以及应用于各种消费类电子产品贴装后</w:t>
      </w:r>
    </w:p>
    <w:p>
      <w:pPr>
        <w:pStyle w:val="BodyText"/>
        <w:spacing w:line="300" w:lineRule="auto" w:before="0"/>
        <w:ind w:right="1283"/>
        <w:jc w:val="left"/>
      </w:pPr>
      <w:r>
        <w:rPr/>
        <w:t>的</w:t>
      </w:r>
      <w:r>
        <w:rPr>
          <w:rFonts w:ascii="Times New Roman" w:hAnsi="Times New Roman" w:cs="Times New Roman" w:eastAsia="Times New Roman" w:hint="default"/>
        </w:rPr>
        <w:t>PCBA</w:t>
      </w:r>
      <w:r>
        <w:rPr/>
        <w:t>控制板，同时兼营少量高端互联网机顶盒、多功能高清播放器、高清电视演示核心设备码流仪、微型投影仪等。 广告行业主要产品或服务为互联网营销、社会化媒体营销、广告制作、创意策略等。</w:t>
      </w:r>
    </w:p>
    <w:p>
      <w:pPr>
        <w:pStyle w:val="BodyText"/>
        <w:spacing w:line="300" w:lineRule="auto" w:before="31"/>
        <w:ind w:left="514" w:right="580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财务报表的批准报出</w:t>
      </w:r>
      <w:r>
        <w:rPr>
          <w:w w:val="99"/>
        </w:rPr>
        <w:t> </w:t>
      </w:r>
      <w:r>
        <w:rPr/>
        <w:t>本财务报表业经公司全体董事于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日批准报出。</w:t>
      </w:r>
      <w:r>
        <w:rPr>
          <w:w w:val="99"/>
        </w:rPr>
        <w:t> </w:t>
      </w:r>
      <w:r>
        <w:rPr/>
        <w:t>本期纳入合并财务报表范围的主体共</w:t>
      </w:r>
      <w:r>
        <w:rPr>
          <w:rFonts w:ascii="Times New Roman" w:hAnsi="Times New Roman" w:cs="Times New Roman" w:eastAsia="Times New Roman" w:hint="default"/>
        </w:rPr>
        <w:t>14</w:t>
      </w:r>
      <w:r>
        <w:rPr/>
        <w:t>户，具体包括：</w:t>
      </w:r>
    </w:p>
    <w:tbl>
      <w:tblPr>
        <w:tblW w:w="0" w:type="auto"/>
        <w:jc w:val="left"/>
        <w:tblInd w:w="702" w:type="dxa"/>
        <w:tblLayout w:type="fixed"/>
        <w:tblCellMar>
          <w:top w:w="0" w:type="dxa"/>
          <w:left w:w="0" w:type="dxa"/>
          <w:bottom w:w="0" w:type="dxa"/>
          <w:right w:w="0" w:type="dxa"/>
        </w:tblCellMar>
        <w:tblLook w:val="01E0"/>
      </w:tblPr>
      <w:tblGrid>
        <w:gridCol w:w="3510"/>
        <w:gridCol w:w="1260"/>
        <w:gridCol w:w="725"/>
        <w:gridCol w:w="1516"/>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6"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42.40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62.40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深圳市实益达照明有限公司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93.89</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93.89</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126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126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深圳市前海实益达投资发展有限公司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3"/>
        <w:ind w:right="0" w:firstLine="360"/>
        <w:jc w:val="left"/>
      </w:pPr>
      <w:r>
        <w:rPr>
          <w:spacing w:val="-2"/>
        </w:rPr>
        <w:t>子公司的持股比例不同于表决权比例的原因、以及持有半数或以下表决权但仍控制被投资单位的依据说明详见</w:t>
      </w:r>
      <w:r>
        <w:rPr>
          <w:rFonts w:ascii="Times New Roman" w:hAnsi="Times New Roman" w:cs="Times New Roman" w:eastAsia="Times New Roman" w:hint="default"/>
          <w:spacing w:val="-2"/>
        </w:rPr>
        <w:t>“</w:t>
      </w:r>
      <w:r>
        <w:rPr>
          <w:spacing w:val="-2"/>
        </w:rPr>
        <w:t>附注八、</w:t>
      </w:r>
      <w:r>
        <w:rPr/>
        <w:t> 在其他主体中的权益（一）在子公司中的权益</w:t>
      </w:r>
      <w:r>
        <w:rPr>
          <w:rFonts w:ascii="Times New Roman" w:hAnsi="Times New Roman" w:cs="Times New Roman" w:eastAsia="Times New Roman" w:hint="default"/>
        </w:rPr>
        <w:t>”</w:t>
      </w:r>
      <w:r>
        <w:rPr/>
        <w:t>。</w:t>
      </w:r>
    </w:p>
    <w:p>
      <w:pPr>
        <w:pStyle w:val="BodyText"/>
        <w:spacing w:line="240" w:lineRule="auto" w:before="13"/>
        <w:ind w:left="513" w:right="0"/>
        <w:jc w:val="left"/>
      </w:pPr>
      <w:r>
        <w:rPr/>
        <w:t>本期纳入合并财务报表范围的主体较上期相比，增加</w:t>
      </w:r>
      <w:r>
        <w:rPr>
          <w:rFonts w:ascii="Times New Roman" w:hAnsi="Times New Roman" w:cs="Times New Roman" w:eastAsia="Times New Roman" w:hint="default"/>
        </w:rPr>
        <w:t>7</w:t>
      </w:r>
      <w:r>
        <w:rPr/>
        <w:t>户，其中：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702" w:type="dxa"/>
        <w:tblLayout w:type="fixed"/>
        <w:tblCellMar>
          <w:top w:w="0" w:type="dxa"/>
          <w:left w:w="0" w:type="dxa"/>
          <w:bottom w:w="0" w:type="dxa"/>
          <w:right w:w="0" w:type="dxa"/>
        </w:tblCellMar>
        <w:tblLook w:val="01E0"/>
      </w:tblPr>
      <w:tblGrid>
        <w:gridCol w:w="3369"/>
        <w:gridCol w:w="5159"/>
      </w:tblGrid>
      <w:tr>
        <w:trPr>
          <w:trHeight w:val="355" w:hRule="exact"/>
        </w:trPr>
        <w:tc>
          <w:tcPr>
            <w:tcW w:w="3369"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pStyle w:val="BodyText"/>
        <w:spacing w:line="240" w:lineRule="auto" w:before="10"/>
        <w:ind w:left="514" w:right="0"/>
        <w:jc w:val="left"/>
      </w:pPr>
      <w:r>
        <w:rPr/>
        <w:t>合并范围变更主体的具体信息详见</w:t>
      </w:r>
      <w:r>
        <w:rPr>
          <w:rFonts w:ascii="Times New Roman" w:hAnsi="Times New Roman" w:cs="Times New Roman" w:eastAsia="Times New Roman" w:hint="default"/>
        </w:rPr>
        <w:t>“</w:t>
      </w:r>
      <w:r>
        <w:rPr/>
        <w:t>附注七、合并范围的变更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rFonts w:ascii="Times New Roman" w:hAnsi="Times New Roman" w:cs="Times New Roman" w:eastAsia="Times New Roman" w:hint="default"/>
        </w:rPr>
        <w:t>)</w:t>
      </w:r>
      <w:r>
        <w:rPr/>
        <w:t>进行确认和计量，在此基础上，结合中国证券</w:t>
      </w:r>
      <w:r>
        <w:rPr>
          <w:w w:val="99"/>
        </w:rPr>
        <w:t> </w:t>
      </w:r>
      <w:r>
        <w:rPr>
          <w:spacing w:val="-1"/>
        </w:rPr>
        <w:t>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的规定，编制财务</w:t>
      </w:r>
      <w:r>
        <w:rPr>
          <w:spacing w:val="-57"/>
        </w:rPr>
        <w:t> </w:t>
      </w:r>
      <w:r>
        <w:rPr>
          <w:spacing w:val="-57"/>
        </w:rPr>
      </w:r>
      <w:r>
        <w:rPr/>
        <w:t>报表。</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4" w:right="0" w:firstLine="36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具体会计政策和会计估计提示：</w:t>
      </w:r>
    </w:p>
    <w:p>
      <w:pPr>
        <w:pStyle w:val="BodyText"/>
        <w:spacing w:line="300" w:lineRule="auto" w:before="115"/>
        <w:ind w:left="514" w:right="0"/>
        <w:jc w:val="left"/>
      </w:pP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before="31"/>
        <w:ind w:left="154"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ind w:left="154" w:right="0" w:firstLine="360"/>
        <w:jc w:val="left"/>
      </w:pPr>
      <w:r>
        <w:rPr>
          <w:spacing w:val="-2"/>
        </w:rPr>
        <w:t>由于公司销售合同约定商品所有权的主要风险和报酬在送达指定地点时转移给购买方，因此公司以商品发出并经客户验</w:t>
      </w:r>
      <w:r>
        <w:rPr/>
        <w:t> 收为确认销售收入时点。</w:t>
      </w:r>
    </w:p>
    <w:p>
      <w:pPr>
        <w:pStyle w:val="BodyText"/>
        <w:spacing w:line="240" w:lineRule="auto"/>
        <w:ind w:left="514" w:right="0"/>
        <w:jc w:val="left"/>
      </w:pPr>
      <w:r>
        <w:rPr/>
        <w:t>公司销售分为内销和外销。</w:t>
      </w:r>
    </w:p>
    <w:p>
      <w:pPr>
        <w:pStyle w:val="BodyText"/>
        <w:spacing w:line="300" w:lineRule="auto" w:before="76"/>
        <w:ind w:left="154" w:right="1122" w:firstLine="360"/>
        <w:jc w:val="left"/>
      </w:pPr>
      <w:r>
        <w:rPr/>
        <w:t>（</w:t>
      </w:r>
      <w:r>
        <w:rPr>
          <w:rFonts w:ascii="Times New Roman" w:hAnsi="Times New Roman" w:cs="Times New Roman" w:eastAsia="Times New Roman" w:hint="default"/>
        </w:rPr>
        <w:t>1</w:t>
      </w:r>
      <w:r>
        <w:rPr/>
        <w:t>）产品内销收入确认：内销采用的交货方式有快递、物流公司运输和公司车送货。公司根据回签的送货清单和相应 的订单、出库通知单、出厂放行条等确认收入。</w:t>
      </w:r>
    </w:p>
    <w:p>
      <w:pPr>
        <w:pStyle w:val="BodyText"/>
        <w:spacing w:line="300" w:lineRule="auto" w:before="31"/>
        <w:ind w:left="154" w:right="1122" w:firstLine="360"/>
        <w:jc w:val="left"/>
      </w:pPr>
      <w:r>
        <w:rPr/>
        <w:t>（</w:t>
      </w:r>
      <w:r>
        <w:rPr>
          <w:rFonts w:ascii="Times New Roman" w:hAnsi="Times New Roman" w:cs="Times New Roman" w:eastAsia="Times New Roman" w:hint="default"/>
        </w:rPr>
        <w:t>2</w:t>
      </w:r>
      <w:r>
        <w:rPr/>
        <w:t>）产品外销收入确认：外销采用的是物流公司运输方式。公司以取得提单并向银行办妥交单手续的日期作为出口商 品外销收入确认的时点。</w:t>
      </w:r>
    </w:p>
    <w:p>
      <w:pPr>
        <w:pStyle w:val="BodyText"/>
        <w:spacing w:line="316" w:lineRule="auto" w:before="31"/>
        <w:ind w:left="154" w:right="1118"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240" w:lineRule="auto"/>
        <w:ind w:left="514" w:right="0"/>
        <w:jc w:val="left"/>
      </w:pPr>
      <w:r>
        <w:rPr>
          <w:rFonts w:ascii="Times New Roman" w:hAnsi="Times New Roman" w:cs="Times New Roman" w:eastAsia="Times New Roman" w:hint="default"/>
        </w:rPr>
        <w:t>2</w:t>
      </w:r>
      <w:r>
        <w:rPr/>
        <w:t>．确认让渡资产使用权收入的依据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与交易相关的经济利益很可能流入企业，收入的金额能够可靠地计量时，分别下列情况确定让渡资产使用权收入金额：</w:t>
      </w:r>
    </w:p>
    <w:p>
      <w:pPr>
        <w:pStyle w:val="BodyText"/>
        <w:spacing w:line="240" w:lineRule="auto" w:before="76"/>
        <w:ind w:left="51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0" w:lineRule="auto" w:before="63"/>
        <w:ind w:left="514" w:right="0"/>
        <w:jc w:val="left"/>
      </w:pPr>
      <w:r>
        <w:rPr>
          <w:rFonts w:ascii="Times New Roman" w:hAnsi="Times New Roman" w:cs="Times New Roman" w:eastAsia="Times New Roman" w:hint="default"/>
        </w:rPr>
        <w:t>3</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316" w:lineRule="auto" w:before="31"/>
        <w:ind w:left="514" w:right="5532" w:hanging="360"/>
        <w:jc w:val="left"/>
      </w:pPr>
      <w:r>
        <w:rPr/>
        <w:t>依据已完工作的测量确定。 提供劳务交易的结果能够可靠估计，是指同时满足下列条件：</w:t>
      </w:r>
    </w:p>
    <w:p>
      <w:pPr>
        <w:pStyle w:val="BodyText"/>
        <w:spacing w:line="240" w:lineRule="auto"/>
        <w:ind w:left="514"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514"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left="154"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ind w:left="513" w:right="0"/>
        <w:jc w:val="left"/>
      </w:pPr>
      <w:r>
        <w:rPr/>
        <w:t>在资产负债表日提供劳务交易结果不能够可靠估计的，分别下列情况处理：</w:t>
      </w:r>
    </w:p>
    <w:p>
      <w:pPr>
        <w:pStyle w:val="BodyText"/>
        <w:spacing w:line="300" w:lineRule="auto" w:before="76"/>
        <w:ind w:left="154" w:right="1122"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13"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1"/>
        <w:ind w:right="0"/>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pStyle w:val="BodyText"/>
        <w:spacing w:line="240" w:lineRule="auto"/>
        <w:ind w:left="513" w:right="0"/>
        <w:jc w:val="left"/>
      </w:pPr>
      <w:r>
        <w:rPr>
          <w:rFonts w:ascii="Times New Roman" w:hAnsi="Times New Roman" w:cs="Times New Roman" w:eastAsia="Times New Roman" w:hint="default"/>
        </w:rPr>
        <w:t>4</w:t>
      </w:r>
      <w:r>
        <w:rPr/>
        <w:t>．建造合同收入的确认依据和方法</w:t>
      </w:r>
    </w:p>
    <w:p>
      <w:pPr>
        <w:pStyle w:val="BodyText"/>
        <w:spacing w:line="312" w:lineRule="auto" w:before="63"/>
        <w:ind w:right="0" w:firstLine="360"/>
        <w:jc w:val="left"/>
      </w:pPr>
      <w:r>
        <w:rPr>
          <w:spacing w:val="-2"/>
        </w:rPr>
        <w:t>（</w:t>
      </w:r>
      <w:r>
        <w:rPr>
          <w:rFonts w:ascii="Times New Roman" w:hAnsi="Times New Roman" w:cs="Times New Roman" w:eastAsia="Times New Roman" w:hint="default"/>
          <w:spacing w:val="-2"/>
        </w:rPr>
        <w:t>1</w:t>
      </w:r>
      <w:r>
        <w:rPr>
          <w:spacing w:val="-2"/>
        </w:rPr>
        <w:t>）当建造合同的结果能够可靠地估计时，与其相关的合同收入和合同费用在资产负债表日按完工百分比法予以确认。</w:t>
      </w:r>
      <w:r>
        <w:rPr/>
        <w:t> </w:t>
      </w:r>
      <w:r>
        <w:rPr>
          <w:spacing w:val="-2"/>
        </w:rPr>
        <w:t>完工百分比法，是指根据合同完工进度确认合同收入和合同费用的方法。合同完工进度按照累计实际发生的合同费用占合同</w:t>
      </w:r>
      <w:r>
        <w:rPr>
          <w:spacing w:val="-64"/>
        </w:rPr>
        <w:t> </w:t>
      </w:r>
      <w:r>
        <w:rPr>
          <w:spacing w:val="-64"/>
        </w:rPr>
      </w:r>
      <w:r>
        <w:rPr/>
        <w:t>预计总成本的比例【或：已完成的合同工作量占合同预计总工作量的比例、或：实际测定的完工进度】确定。 固定造价合同的结果能够可靠估计，是指同时满足下列条件：</w:t>
      </w:r>
    </w:p>
    <w:p>
      <w:pPr>
        <w:pStyle w:val="BodyText"/>
        <w:spacing w:line="240" w:lineRule="auto" w:before="22"/>
        <w:ind w:left="514" w:right="0"/>
        <w:jc w:val="left"/>
      </w:pPr>
      <w:r>
        <w:rPr>
          <w:rFonts w:ascii="Times New Roman" w:hAnsi="Times New Roman" w:cs="Times New Roman" w:eastAsia="Times New Roman" w:hint="default"/>
        </w:rPr>
        <w:t>1</w:t>
      </w:r>
      <w:r>
        <w:rPr/>
        <w:t>）合同总收入能够可靠地计量；</w:t>
      </w:r>
    </w:p>
    <w:p>
      <w:pPr>
        <w:pStyle w:val="BodyText"/>
        <w:spacing w:line="240" w:lineRule="auto" w:before="63"/>
        <w:ind w:left="513" w:right="0"/>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63"/>
        <w:ind w:left="514" w:right="0"/>
        <w:jc w:val="left"/>
      </w:pPr>
      <w:r>
        <w:rPr>
          <w:rFonts w:ascii="Times New Roman" w:hAnsi="Times New Roman" w:cs="Times New Roman" w:eastAsia="Times New Roman" w:hint="default"/>
        </w:rPr>
        <w:t>3</w:t>
      </w:r>
      <w:r>
        <w:rPr/>
        <w:t>）实际发生的合同成本能够清楚地区分和可靠地计量；</w:t>
      </w:r>
    </w:p>
    <w:p>
      <w:pPr>
        <w:pStyle w:val="BodyText"/>
        <w:spacing w:line="309" w:lineRule="auto" w:before="63"/>
        <w:ind w:left="513" w:right="5263"/>
        <w:jc w:val="left"/>
      </w:pP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 </w:t>
      </w:r>
      <w:r>
        <w:rPr>
          <w:rFonts w:ascii="Times New Roman" w:hAnsi="Times New Roman" w:cs="Times New Roman" w:eastAsia="Times New Roman" w:hint="default"/>
        </w:rPr>
        <w:t>1</w:t>
      </w:r>
      <w:r>
        <w:rPr/>
        <w:t>）与合同相关的经济利益很可能流入企业；</w:t>
      </w:r>
    </w:p>
    <w:p>
      <w:pPr>
        <w:pStyle w:val="BodyText"/>
        <w:spacing w:line="300" w:lineRule="auto" w:before="5"/>
        <w:ind w:left="514" w:right="0"/>
        <w:jc w:val="left"/>
      </w:pPr>
      <w:r>
        <w:rPr>
          <w:rFonts w:ascii="Times New Roman" w:hAnsi="Times New Roman" w:cs="Times New Roman" w:eastAsia="Times New Roman" w:hint="default"/>
        </w:rPr>
        <w:t>2</w:t>
      </w:r>
      <w:r>
        <w:rPr/>
        <w:t>）实际发生的合同成本能够清楚地区分和可靠地计量。 </w:t>
      </w:r>
      <w:r>
        <w:rPr>
          <w:spacing w:val="-2"/>
        </w:rPr>
        <w:t>在资产负债表日，按照合同总收入乘以完工进度扣除以前会计期间累计已确认收入后的金额，确认为当期合同收入；同</w:t>
      </w:r>
    </w:p>
    <w:p>
      <w:pPr>
        <w:pStyle w:val="BodyText"/>
        <w:spacing w:line="316" w:lineRule="auto" w:before="31"/>
        <w:ind w:left="154" w:right="0"/>
        <w:jc w:val="left"/>
      </w:pPr>
      <w:r>
        <w:rPr>
          <w:spacing w:val="-4"/>
        </w:rPr>
        <w:t>时，按照合同预计总成本乘以完工进度扣除以前会计期间累计已确认费用后的金额，确认为当期合同费用。合同工程的变动、</w:t>
      </w:r>
      <w:r>
        <w:rPr>
          <w:spacing w:val="-44"/>
        </w:rPr>
        <w:t> </w:t>
      </w:r>
      <w:r>
        <w:rPr>
          <w:spacing w:val="-44"/>
        </w:rPr>
      </w:r>
      <w:r>
        <w:rPr/>
        <w:t>索赔及奖金以可能带来收入并能可靠计算的数额为限计入合同总收入。</w:t>
      </w:r>
    </w:p>
    <w:p>
      <w:pPr>
        <w:pStyle w:val="BodyText"/>
        <w:spacing w:line="240" w:lineRule="auto"/>
        <w:ind w:left="513" w:right="0"/>
        <w:jc w:val="left"/>
      </w:pPr>
      <w:r>
        <w:rPr/>
        <w:t>（</w:t>
      </w:r>
      <w:r>
        <w:rPr>
          <w:rFonts w:ascii="Times New Roman" w:hAnsi="Times New Roman" w:cs="Times New Roman" w:eastAsia="Times New Roman" w:hint="default"/>
        </w:rPr>
        <w:t>2</w:t>
      </w:r>
      <w:r>
        <w:rPr/>
        <w:t>）建造合同的结果不能可靠估计的，分别下列情况处理：</w:t>
      </w:r>
    </w:p>
    <w:p>
      <w:pPr>
        <w:pStyle w:val="BodyText"/>
        <w:spacing w:line="240" w:lineRule="auto" w:before="63"/>
        <w:ind w:left="514" w:right="0"/>
        <w:jc w:val="left"/>
      </w:pPr>
      <w:r>
        <w:rPr>
          <w:rFonts w:ascii="Times New Roman" w:hAnsi="Times New Roman" w:cs="Times New Roman" w:eastAsia="Times New Roman" w:hint="default"/>
        </w:rPr>
        <w:t>1</w:t>
      </w:r>
      <w:r>
        <w:rPr/>
        <w:t>）合同成本能够收回的，合同收入根据能够收回的实际合同成本予以确认，合同成本在其发生的当期确认为合同费用。</w:t>
      </w:r>
    </w:p>
    <w:p>
      <w:pPr>
        <w:pStyle w:val="BodyText"/>
        <w:spacing w:line="240" w:lineRule="auto" w:before="63"/>
        <w:ind w:left="514" w:right="0"/>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40" w:lineRule="auto" w:before="63"/>
        <w:ind w:left="513" w:right="0"/>
        <w:jc w:val="left"/>
      </w:pPr>
      <w:r>
        <w:rPr/>
        <w:t>（</w:t>
      </w:r>
      <w:r>
        <w:rPr>
          <w:rFonts w:ascii="Times New Roman" w:hAnsi="Times New Roman" w:cs="Times New Roman" w:eastAsia="Times New Roman" w:hint="default"/>
        </w:rPr>
        <w:t>3</w:t>
      </w:r>
      <w:r>
        <w:rPr/>
        <w:t>）如果合同总成本很可能超过合同总收入，则预期损失立即确认为费用。</w:t>
      </w:r>
    </w:p>
    <w:p>
      <w:pPr>
        <w:pStyle w:val="BodyText"/>
        <w:spacing w:line="300" w:lineRule="auto" w:before="63"/>
        <w:ind w:left="514" w:right="0"/>
        <w:jc w:val="left"/>
      </w:pPr>
      <w:r>
        <w:rPr>
          <w:rFonts w:ascii="Times New Roman" w:hAnsi="Times New Roman" w:cs="Times New Roman" w:eastAsia="Times New Roman" w:hint="default"/>
        </w:rPr>
        <w:t>5</w:t>
      </w:r>
      <w:r>
        <w:rPr/>
        <w:t>．附回购条件的资产转让 </w:t>
      </w:r>
      <w:r>
        <w:rPr>
          <w:spacing w:val="-2"/>
        </w:rPr>
        <w:t>公司销售产品或转让其他资产时，与购买方签订了所销售的产品或转让资产回购协议，根据协议条款判断销售商品是否</w:t>
      </w:r>
    </w:p>
    <w:p>
      <w:pPr>
        <w:pStyle w:val="BodyText"/>
        <w:spacing w:line="316" w:lineRule="auto" w:before="31"/>
        <w:ind w:left="154" w:right="0"/>
        <w:jc w:val="left"/>
      </w:pPr>
      <w:r>
        <w:rPr>
          <w:spacing w:val="-2"/>
        </w:rPr>
        <w:t>满足收入确认条件。如售后回购属于融资交易，则在交付产品或资产时，本公司不确认销售收入。回购价款大于销售价款的</w:t>
      </w:r>
      <w:r>
        <w:rPr>
          <w:spacing w:val="-66"/>
        </w:rPr>
        <w:t> </w:t>
      </w:r>
      <w:r>
        <w:rPr>
          <w:spacing w:val="-66"/>
        </w:rPr>
      </w:r>
      <w:r>
        <w:rPr/>
        <w:t>差额，在回购期间按期计提利息，计入财务费用。</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3192"/>
        <w:jc w:val="left"/>
      </w:pPr>
      <w:r>
        <w:rPr>
          <w:rFonts w:ascii="Times New Roman" w:hAnsi="Times New Roman" w:cs="Times New Roman" w:eastAsia="Times New Roman" w:hint="default"/>
        </w:rPr>
        <w:t>6</w:t>
      </w:r>
      <w:r>
        <w:rPr/>
        <w:t>．顺为广告收入确认方法 顺为广告的营业收入类别主要分为互联网媒体营销服务收入和社会化媒体营销服务收入等。</w:t>
      </w:r>
    </w:p>
    <w:p>
      <w:pPr>
        <w:pStyle w:val="BodyText"/>
        <w:spacing w:line="300" w:lineRule="auto" w:before="31"/>
        <w:ind w:left="514" w:right="1162"/>
        <w:jc w:val="left"/>
      </w:pPr>
      <w:r>
        <w:rPr/>
        <w:t>（</w:t>
      </w:r>
      <w:r>
        <w:rPr>
          <w:rFonts w:ascii="Times New Roman" w:hAnsi="Times New Roman" w:cs="Times New Roman" w:eastAsia="Times New Roman" w:hint="default"/>
        </w:rPr>
        <w:t>1</w:t>
      </w:r>
      <w:r>
        <w:rPr/>
        <w:t>）互联网媒体营销服务收入的具体确认标准 顺为广告根据客户所需的服务内容、客户投放的金额预算、预计的媒介购买成本、预计所需人力</w:t>
      </w:r>
      <w:r>
        <w:rPr>
          <w:rFonts w:ascii="Times New Roman" w:hAnsi="Times New Roman" w:cs="Times New Roman" w:eastAsia="Times New Roman" w:hint="default"/>
        </w:rPr>
        <w:t>/</w:t>
      </w:r>
      <w:r>
        <w:rPr/>
        <w:t>物力等因素，综合确</w:t>
      </w:r>
    </w:p>
    <w:p>
      <w:pPr>
        <w:pStyle w:val="BodyText"/>
        <w:spacing w:line="240" w:lineRule="auto" w:before="13"/>
        <w:ind w:right="0"/>
        <w:jc w:val="left"/>
      </w:pPr>
      <w:r>
        <w:rPr/>
        <w:t>定服务报价。</w:t>
      </w:r>
    </w:p>
    <w:p>
      <w:pPr>
        <w:pStyle w:val="BodyText"/>
        <w:spacing w:line="316" w:lineRule="auto" w:before="76"/>
        <w:ind w:left="154" w:right="1130" w:firstLine="360"/>
        <w:jc w:val="both"/>
      </w:pPr>
      <w:r>
        <w:rPr/>
        <w:t>顺为广告主要通过招投标程序或议标方式获取订单，</w:t>
      </w:r>
      <w:r>
        <w:rPr>
          <w:spacing w:val="-18"/>
        </w:rPr>
        <w:t> </w:t>
      </w:r>
      <w:r>
        <w:rPr/>
        <w:t>并签订互联网媒体营销服务年度框架合同或根据客户要求签订单</w:t>
      </w:r>
      <w:r>
        <w:rPr/>
        <w:t> </w:t>
      </w:r>
      <w:r>
        <w:rPr>
          <w:spacing w:val="-2"/>
        </w:rPr>
        <w:t>笔服务合同，该框架服务合同约定服务内容、服务期限、结算方式等相关内容，单笔合同约定服务内容、服务期限、结算方</w:t>
      </w:r>
      <w:r>
        <w:rPr>
          <w:spacing w:val="-68"/>
        </w:rPr>
        <w:t> </w:t>
      </w:r>
      <w:r>
        <w:rPr>
          <w:spacing w:val="-68"/>
        </w:rPr>
      </w:r>
      <w:r>
        <w:rPr>
          <w:spacing w:val="-2"/>
        </w:rPr>
        <w:t>式、合同金额等相关内容。合同约定，顺为广告所提供服务内容最终以双方确认的排期单为准，排期单上将列明拟投放的媒</w:t>
      </w:r>
      <w:r>
        <w:rPr>
          <w:spacing w:val="-66"/>
        </w:rPr>
        <w:t> </w:t>
      </w:r>
      <w:r>
        <w:rPr>
          <w:spacing w:val="-66"/>
        </w:rPr>
      </w:r>
      <w:r>
        <w:rPr/>
        <w:t>体、位置、时间等具体要素。</w:t>
      </w:r>
    </w:p>
    <w:p>
      <w:pPr>
        <w:pStyle w:val="BodyText"/>
        <w:spacing w:line="316" w:lineRule="auto"/>
        <w:ind w:left="154" w:right="1032" w:firstLine="360"/>
        <w:jc w:val="left"/>
      </w:pPr>
      <w:r>
        <w:rPr/>
        <w:t>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w:t>
      </w:r>
      <w:r>
        <w:rPr>
          <w:spacing w:val="-2"/>
        </w:rPr>
        <w:t>投放执行等。广告投放后，顺为广告将对广告投放效果进行监控，如需对广告位置和投放时间进行优化，则与客户确定新的</w:t>
      </w:r>
      <w:r>
        <w:rPr>
          <w:spacing w:val="-66"/>
        </w:rPr>
        <w:t> </w:t>
      </w:r>
      <w:r>
        <w:rPr>
          <w:spacing w:val="-66"/>
        </w:rPr>
      </w:r>
      <w:r>
        <w:rPr>
          <w:spacing w:val="-2"/>
        </w:rPr>
        <w:t>排期单，如需对广告内容进行优化，则在客户认可的情况下更换投放内容。单次投放结束后，公司按照客户要求向客户提交</w:t>
      </w:r>
      <w:r>
        <w:rPr>
          <w:spacing w:val="-66"/>
        </w:rPr>
        <w:t> </w:t>
      </w:r>
      <w:r>
        <w:rPr>
          <w:spacing w:val="-66"/>
        </w:rPr>
      </w:r>
      <w:r>
        <w:rPr/>
        <w:t>单次投放报告，客户根据顺为广告所实际执行的排期单与顺为广告进行结算。</w:t>
      </w:r>
    </w:p>
    <w:p>
      <w:pPr>
        <w:pStyle w:val="BodyText"/>
        <w:spacing w:line="316" w:lineRule="auto"/>
        <w:ind w:left="154" w:right="0" w:firstLine="360"/>
        <w:jc w:val="left"/>
      </w:pPr>
      <w:r>
        <w:rPr>
          <w:spacing w:val="-2"/>
        </w:rPr>
        <w:t>顺为广告与客户协商确定排期单，对已按照排期单完成媒体投放且相关成本能够可靠计量时，按照已执行的排期单所确</w:t>
      </w:r>
      <w:r>
        <w:rPr/>
        <w:t> 定的金额确认当期收入。</w:t>
      </w:r>
    </w:p>
    <w:p>
      <w:pPr>
        <w:pStyle w:val="BodyText"/>
        <w:spacing w:line="240" w:lineRule="auto"/>
        <w:ind w:left="514" w:right="0"/>
        <w:jc w:val="left"/>
      </w:pPr>
      <w:r>
        <w:rPr/>
        <w:t>（</w:t>
      </w:r>
      <w:r>
        <w:rPr>
          <w:rFonts w:ascii="Times New Roman" w:hAnsi="Times New Roman" w:cs="Times New Roman" w:eastAsia="Times New Roman" w:hint="default"/>
        </w:rPr>
        <w:t>2</w:t>
      </w:r>
      <w:r>
        <w:rPr/>
        <w:t>）社会化媒体营销业务收入的具体确认标准</w:t>
      </w:r>
    </w:p>
    <w:p>
      <w:pPr>
        <w:pStyle w:val="BodyText"/>
        <w:spacing w:line="316" w:lineRule="auto" w:before="63"/>
        <w:ind w:left="154" w:right="1121" w:firstLine="360"/>
        <w:jc w:val="left"/>
      </w:pPr>
      <w:r>
        <w:rPr/>
        <w:t>顺为广告根据客户所要求的服务范围、</w:t>
      </w:r>
      <w:r>
        <w:rPr>
          <w:spacing w:val="-22"/>
        </w:rPr>
        <w:t> </w:t>
      </w:r>
      <w:r>
        <w:rPr/>
        <w:t>服务内容、</w:t>
      </w:r>
      <w:r>
        <w:rPr>
          <w:spacing w:val="-22"/>
        </w:rPr>
        <w:t> </w:t>
      </w:r>
      <w:r>
        <w:rPr/>
        <w:t>服务时间等，</w:t>
      </w:r>
      <w:r>
        <w:rPr>
          <w:spacing w:val="-23"/>
        </w:rPr>
        <w:t> </w:t>
      </w:r>
      <w:r>
        <w:rPr/>
        <w:t>预计需投入的人力、</w:t>
      </w:r>
      <w:r>
        <w:rPr>
          <w:spacing w:val="-22"/>
        </w:rPr>
        <w:t> </w:t>
      </w:r>
      <w:r>
        <w:rPr/>
        <w:t>物力成本等因素，综合确定服</w:t>
      </w:r>
      <w:r>
        <w:rPr/>
        <w:t> 务报价。</w:t>
      </w:r>
    </w:p>
    <w:p>
      <w:pPr>
        <w:pStyle w:val="BodyText"/>
        <w:spacing w:line="316" w:lineRule="auto"/>
        <w:ind w:left="154" w:right="1178" w:firstLine="360"/>
        <w:jc w:val="left"/>
      </w:pPr>
      <w:r>
        <w:rPr/>
        <w:t>在提供服务前， 顺为广告将与客户协商确定服务内容、 范围并签署服务合同。</w:t>
      </w:r>
      <w:r>
        <w:rPr>
          <w:spacing w:val="-56"/>
        </w:rPr>
        <w:t> </w:t>
      </w:r>
      <w:r>
        <w:rPr/>
        <w:t>服务提供完毕并结案后，顺为广告将</w:t>
      </w:r>
      <w:r>
        <w:rPr/>
        <w:t> 根据服务合同确定的服务报价确认收入。</w:t>
      </w:r>
    </w:p>
    <w:p>
      <w:pPr>
        <w:pStyle w:val="BodyText"/>
        <w:spacing w:line="240" w:lineRule="auto"/>
        <w:ind w:left="514" w:right="0"/>
        <w:jc w:val="left"/>
      </w:pPr>
      <w:r>
        <w:rPr>
          <w:rFonts w:ascii="Times New Roman" w:hAnsi="Times New Roman" w:cs="Times New Roman" w:eastAsia="Times New Roman" w:hint="default"/>
        </w:rPr>
        <w:t>7</w:t>
      </w:r>
      <w:r>
        <w:rPr/>
        <w:t>．奇思广告收入确认方法</w:t>
      </w:r>
    </w:p>
    <w:p>
      <w:pPr>
        <w:pStyle w:val="BodyText"/>
        <w:spacing w:line="316" w:lineRule="auto" w:before="63"/>
        <w:ind w:right="1033" w:firstLine="360"/>
        <w:jc w:val="left"/>
      </w:pPr>
      <w:r>
        <w:rPr/>
        <w:t>奇思广告的营业收入类别主要分为创意策略类服务收入、</w:t>
      </w:r>
      <w:r>
        <w:rPr>
          <w:spacing w:val="-17"/>
        </w:rPr>
        <w:t> </w:t>
      </w:r>
      <w:r>
        <w:rPr/>
        <w:t>广告制作类服务收入和互联网整合营销服务收入等。</w:t>
      </w:r>
      <w:r>
        <w:rPr/>
        <w:t> </w:t>
      </w:r>
      <w:r>
        <w:rPr>
          <w:spacing w:val="-2"/>
        </w:rPr>
        <w:t>创意策略类服务收入具体确认标准：第一种情况，奇思广告承接业务后，与客户签订合同，根据客户要求提供广告创意、策</w:t>
      </w:r>
      <w:r>
        <w:rPr>
          <w:spacing w:val="-65"/>
        </w:rPr>
        <w:t> </w:t>
      </w:r>
      <w:r>
        <w:rPr>
          <w:spacing w:val="-65"/>
        </w:rPr>
      </w:r>
      <w:r>
        <w:rPr/>
        <w:t>略类服务，按月收取固定服务费，在月度周期结束并经客户确认无异议后，确认收入。第二种情况，奇思广告承接业务后， </w:t>
      </w:r>
      <w:r>
        <w:rPr>
          <w:spacing w:val="-2"/>
        </w:rPr>
        <w:t>与客户签订合同，根据客户要求提供广告创意、策略类服务，按具体项目收取固定服务费，在项目完成并经客户确认无异议</w:t>
      </w:r>
      <w:r>
        <w:rPr>
          <w:spacing w:val="-66"/>
        </w:rPr>
        <w:t> </w:t>
      </w:r>
      <w:r>
        <w:rPr>
          <w:spacing w:val="-66"/>
        </w:rPr>
      </w:r>
      <w:r>
        <w:rPr/>
        <w:t>后，确认收入。</w:t>
      </w:r>
    </w:p>
    <w:p>
      <w:pPr>
        <w:pStyle w:val="BodyText"/>
        <w:spacing w:line="316" w:lineRule="auto"/>
        <w:ind w:right="1033" w:firstLine="360"/>
        <w:jc w:val="left"/>
      </w:pPr>
      <w:r>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 </w:t>
      </w:r>
      <w:r>
        <w:rPr>
          <w:spacing w:val="-2"/>
        </w:rPr>
        <w:t>互联网整合营销服务收入具体确认标准：奇思广告承接业务后，与客户签订合同，根据客户要求提供包括营销策略、创意设</w:t>
      </w:r>
      <w:r>
        <w:rPr>
          <w:spacing w:val="-66"/>
        </w:rPr>
        <w:t> </w:t>
      </w:r>
      <w:r>
        <w:rPr>
          <w:spacing w:val="-66"/>
        </w:rPr>
      </w:r>
      <w:r>
        <w:rPr/>
        <w:t>计、内容制作、线上投放与线下活动策划执行服务，在项目完成并经客户确认无异议后，确认收入。</w:t>
      </w:r>
    </w:p>
    <w:p>
      <w:pPr>
        <w:pStyle w:val="BodyText"/>
        <w:spacing w:line="300" w:lineRule="auto"/>
        <w:ind w:left="514" w:right="3372"/>
        <w:jc w:val="left"/>
      </w:pPr>
      <w:r>
        <w:rPr>
          <w:rFonts w:ascii="Times New Roman" w:hAnsi="Times New Roman" w:cs="Times New Roman" w:eastAsia="Times New Roman" w:hint="default"/>
        </w:rPr>
        <w:t>8</w:t>
      </w:r>
      <w:r>
        <w:rPr/>
        <w:t>．利宣广告收入确认方法 利宣广告的营业收入类别主要分为社会化媒体营销服务收入和其他媒体营销服务收入等。</w:t>
      </w:r>
    </w:p>
    <w:p>
      <w:pPr>
        <w:pStyle w:val="BodyText"/>
        <w:spacing w:line="316" w:lineRule="auto" w:before="31"/>
        <w:ind w:right="1130" w:firstLine="360"/>
        <w:jc w:val="both"/>
      </w:pPr>
      <w:r>
        <w:rPr>
          <w:spacing w:val="-2"/>
        </w:rPr>
        <w:t>社会化媒体营销服务收入的具体确认标准：利宣广告承接业务后，与客户签订相应的合同，按照客户要求对特定品牌形</w:t>
      </w:r>
      <w:r>
        <w:rPr/>
        <w:t> </w:t>
      </w:r>
      <w:r>
        <w:rPr>
          <w:spacing w:val="-2"/>
        </w:rPr>
        <w:t>象或产品进行媒体传播、推广，为客户提供社会化媒体、自媒体等方面的创意及内容的制作、发布、维护和优化等服务，并</w:t>
      </w:r>
      <w:r>
        <w:rPr>
          <w:spacing w:val="-67"/>
        </w:rPr>
        <w:t> </w:t>
      </w:r>
      <w:r>
        <w:rPr>
          <w:spacing w:val="-67"/>
        </w:rPr>
      </w:r>
      <w:r>
        <w:rPr/>
        <w:t>按照合同约定周期或内容形成相应工作量数据，客户确认无异议并经利宣广告财务部门核实后确认收入。</w:t>
      </w:r>
    </w:p>
    <w:p>
      <w:pPr>
        <w:pStyle w:val="BodyText"/>
        <w:spacing w:line="316" w:lineRule="auto"/>
        <w:ind w:right="1131" w:firstLine="360"/>
        <w:jc w:val="both"/>
      </w:pPr>
      <w:r>
        <w:rPr>
          <w:spacing w:val="-2"/>
        </w:rPr>
        <w:t>其他媒体营销服务收入的具体确认标准：利宣广告承接业务后，与客户签订相应的合同，根据客户营销需求，由利宣广</w:t>
      </w:r>
      <w:r>
        <w:rPr/>
        <w:t> </w:t>
      </w:r>
      <w:r>
        <w:rPr>
          <w:spacing w:val="-2"/>
        </w:rPr>
        <w:t>告与媒体沟通并编制媒介排期表同时提供相应的营销服务。广告发布后，利宣广告定期收集投放数据信息送客户核实，经客</w:t>
      </w:r>
      <w:r>
        <w:rPr>
          <w:spacing w:val="-66"/>
        </w:rPr>
        <w:t> </w:t>
      </w:r>
      <w:r>
        <w:rPr>
          <w:spacing w:val="-66"/>
        </w:rPr>
      </w:r>
      <w:r>
        <w:rPr/>
        <w:t>户确认无异议且相关成本能够可靠计量时，根据双方签订的合同金额及按照执行排期表上的排期金额，确认收入。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firstLine="360"/>
        <w:jc w:val="left"/>
      </w:pPr>
      <w:r>
        <w:rPr>
          <w:spacing w:val="-2"/>
        </w:rPr>
        <w:t>本公司所编制的财务报表符合企业会计准则的要求，真实、完整地反映了报告期公司的财务状况、经营成果、现金流量</w:t>
      </w:r>
      <w:r>
        <w:rPr/>
        <w:t> 等有关信息。</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47" w:lineRule="auto" w:before="35"/>
        <w:ind w:left="153" w:right="7153" w:firstLine="0"/>
        <w:jc w:val="left"/>
        <w:rPr>
          <w:rFonts w:ascii="宋体" w:hAnsi="宋体" w:cs="宋体" w:eastAsia="宋体" w:hint="default"/>
          <w:sz w:val="21"/>
          <w:szCs w:val="21"/>
        </w:rPr>
      </w:pPr>
      <w:bookmarkStart w:name="2、会计期间"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64"/>
      <w:bookmarkEnd w:id="16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营业周期为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个月，并且作为资产和负债的流动性划分标准。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4" w:right="1122" w:firstLine="360"/>
        <w:jc w:val="left"/>
      </w:pP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．分步实现企业合并过程中的各项交易的条款、条件以及经济影响符合以下一种或多种情况，将多次交易事项作为一 揽子交易进行会计处理</w:t>
      </w:r>
    </w:p>
    <w:p>
      <w:pPr>
        <w:pStyle w:val="BodyText"/>
        <w:spacing w:line="240" w:lineRule="auto" w:before="31"/>
        <w:ind w:left="51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12" w:lineRule="auto" w:before="63"/>
        <w:ind w:left="154" w:right="1032" w:firstLine="360"/>
        <w:jc w:val="left"/>
      </w:pPr>
      <w:r>
        <w:rPr>
          <w:rFonts w:ascii="Times New Roman" w:hAnsi="Times New Roman" w:cs="Times New Roman" w:eastAsia="Times New Roman" w:hint="default"/>
        </w:rPr>
        <w:t>2</w:t>
      </w:r>
      <w:r>
        <w:rPr/>
        <w:t>．同一控制下的企业合并 本公司在企业合并中取得的资产和负债，按照合并日在被合并方资产、负债（包括最终控制方收购被合并方而形成的商誉） </w:t>
      </w:r>
      <w:r>
        <w:rPr>
          <w:spacing w:val="-2"/>
        </w:rPr>
        <w:t>在最终控制方合并财务报表中的账面价值计量。在合并中取得的净资产账面价值与支付的合并对价账面价值（或发行股份面</w:t>
      </w:r>
      <w:r>
        <w:rPr>
          <w:spacing w:val="-64"/>
        </w:rPr>
        <w:t> </w:t>
      </w:r>
      <w:r>
        <w:rPr>
          <w:spacing w:val="-64"/>
        </w:rPr>
      </w:r>
      <w:r>
        <w:rPr/>
        <w:t>值总额）的差额，调整资本公积中的股本溢价，资本公积中的股本溢价不足冲减的，调整留存收益。</w:t>
      </w:r>
    </w:p>
    <w:p>
      <w:pPr>
        <w:pStyle w:val="BodyText"/>
        <w:spacing w:line="240" w:lineRule="auto" w:before="22"/>
        <w:ind w:left="513" w:right="0"/>
        <w:jc w:val="left"/>
      </w:pPr>
      <w:r>
        <w:rPr/>
        <w:t>如果存在或有对价并需要确认预计负债或资产，该预计负债或资产金额与后续或有对价结算金额的差额，调整资本公积</w:t>
      </w:r>
    </w:p>
    <w:p>
      <w:pPr>
        <w:pStyle w:val="BodyText"/>
        <w:spacing w:line="316" w:lineRule="auto" w:before="76"/>
        <w:ind w:left="514" w:right="0"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ind w:left="154" w:right="1043"/>
        <w:jc w:val="both"/>
      </w:pPr>
      <w:r>
        <w:rPr>
          <w:spacing w:val="-2"/>
        </w:rPr>
        <w:t>属于一揽子交易的，在取得控制权日，长期股权投资初始投资成本，与达到合并前的长期股权投资账面价值加上合并日进一</w:t>
      </w:r>
      <w:r>
        <w:rPr>
          <w:spacing w:val="-66"/>
        </w:rPr>
        <w:t> </w:t>
      </w:r>
      <w:r>
        <w:rPr>
          <w:spacing w:val="-66"/>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300" w:lineRule="auto"/>
        <w:ind w:left="514" w:right="0"/>
        <w:jc w:val="left"/>
      </w:pPr>
      <w:r>
        <w:rPr>
          <w:rFonts w:ascii="Times New Roman" w:hAnsi="Times New Roman" w:cs="Times New Roman" w:eastAsia="Times New Roman" w:hint="default"/>
        </w:rPr>
        <w:t>3</w:t>
      </w:r>
      <w:r>
        <w:rPr/>
        <w:t>．非同一控制下的企业合并 </w:t>
      </w:r>
      <w:r>
        <w:rPr>
          <w:spacing w:val="-4"/>
        </w:rPr>
        <w:t>本公司在购买日对作为企业合并对价付出的资产、发生或承担的负债按照公允价值计量，公允价值与其账面价值的差额，</w:t>
      </w:r>
    </w:p>
    <w:p>
      <w:pPr>
        <w:pStyle w:val="BodyText"/>
        <w:spacing w:line="316" w:lineRule="auto" w:before="31"/>
        <w:ind w:left="513" w:right="1118" w:hanging="360"/>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16" w:lineRule="auto"/>
        <w:ind w:left="513" w:right="0" w:hanging="360"/>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ind w:right="1130"/>
        <w:jc w:val="both"/>
      </w:pPr>
      <w:r>
        <w:rPr>
          <w:spacing w:val="-2"/>
        </w:rPr>
        <w:t>会计处理；不属于一揽子交易的，合并日之前持有的股权投资采用权益法核算的，以购买日之前所持被购买方的股权投资的</w:t>
      </w:r>
      <w:r>
        <w:rPr>
          <w:spacing w:val="-66"/>
        </w:rPr>
        <w:t> </w:t>
      </w:r>
      <w:r>
        <w:rPr>
          <w:spacing w:val="-66"/>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3"/>
        </w:rPr>
        <w:t> </w:t>
      </w:r>
      <w:r>
        <w:rPr>
          <w:spacing w:val="-63"/>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240" w:lineRule="auto"/>
        <w:ind w:left="513" w:right="0"/>
        <w:jc w:val="left"/>
      </w:pPr>
      <w:r>
        <w:rPr>
          <w:rFonts w:ascii="Times New Roman" w:hAnsi="Times New Roman" w:cs="Times New Roman" w:eastAsia="Times New Roman" w:hint="default"/>
        </w:rPr>
        <w:t>4</w:t>
      </w:r>
      <w:r>
        <w:rPr/>
        <w:t>．为合并发生的相关费用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为企业合并发生的审计、法律服务、评估咨询等中介费用以及其他直接相关费用，于发生时计入当期损益；为企业合并</w:t>
      </w:r>
      <w:r>
        <w:rPr/>
        <w:t> 而发行权益性证券的交易费用，可直接归属于权益性交易的从权益中扣减。</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left="513" w:right="1032"/>
        <w:jc w:val="left"/>
      </w:pPr>
      <w:r>
        <w:rPr>
          <w:rFonts w:ascii="Times New Roman" w:hAnsi="Times New Roman" w:cs="Times New Roman" w:eastAsia="Times New Roman" w:hint="default"/>
        </w:rPr>
        <w:t>1</w:t>
      </w:r>
      <w:r>
        <w:rPr/>
        <w:t>．合并范围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16" w:lineRule="auto" w:before="26"/>
        <w:ind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ind w:left="154" w:right="1133"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ind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ind w:left="154"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ind w:left="514" w:right="0"/>
        <w:jc w:val="left"/>
      </w:pPr>
      <w:r>
        <w:rPr/>
        <w:t>对于非同一控制下企业合并取得的子公司，以购买日可辨认净资产公允价值为基础对其财务报表进行调整</w:t>
      </w:r>
    </w:p>
    <w:p>
      <w:pPr>
        <w:pStyle w:val="BodyText"/>
        <w:spacing w:line="300" w:lineRule="auto" w:before="77"/>
        <w:ind w:left="514"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left="15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ind w:left="154" w:right="1132"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ind w:left="154"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ind w:left="514" w:right="0"/>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514" w:right="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154" w:right="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或合并日开始持续计算的净资产的份额与商誉之和的差额，计入丧失控制权当期的投资收益。与原有子公司股权投资相关的</w:t>
      </w:r>
      <w:r>
        <w:rPr>
          <w:spacing w:val="-63"/>
        </w:rPr>
        <w:t> </w:t>
      </w:r>
      <w:r>
        <w:rPr>
          <w:spacing w:val="-63"/>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w:t>
      </w:r>
    </w:p>
    <w:p>
      <w:pPr>
        <w:pStyle w:val="BodyText"/>
        <w:spacing w:line="300" w:lineRule="auto"/>
        <w:ind w:left="514" w:right="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3" w:right="3553"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ind w:left="514"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left="154" w:right="1133"/>
        <w:jc w:val="both"/>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ind w:left="514" w:right="121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31"/>
        <w:ind w:left="154" w:right="1131"/>
        <w:jc w:val="both"/>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0"/>
        <w:jc w:val="left"/>
      </w:pPr>
      <w:r>
        <w:rPr>
          <w:rFonts w:ascii="Times New Roman" w:hAnsi="Times New Roman" w:cs="Times New Roman" w:eastAsia="Times New Roman" w:hint="default"/>
        </w:rPr>
        <w:t>1</w:t>
      </w:r>
      <w:r>
        <w:rPr/>
        <w:t>．合营安排的分类 </w:t>
      </w:r>
      <w:r>
        <w:rPr>
          <w:spacing w:val="-2"/>
        </w:rPr>
        <w:t>本公司根据合营安排的结构、法律形式以及合营安排中约定的条款、其他相关事实和情况等因素，将合营安排分为共同</w:t>
      </w:r>
    </w:p>
    <w:p>
      <w:pPr>
        <w:pStyle w:val="BodyText"/>
        <w:spacing w:line="316" w:lineRule="auto" w:before="31"/>
        <w:ind w:left="513" w:right="1118" w:hanging="360"/>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240" w:lineRule="auto"/>
        <w:ind w:right="0"/>
        <w:jc w:val="left"/>
      </w:pPr>
      <w:r>
        <w:rPr/>
        <w:t>据表明满足下列任一条件并且符合相关法律法规规定的合营安排划分为共同经营：</w:t>
      </w:r>
    </w:p>
    <w:p>
      <w:pPr>
        <w:pStyle w:val="BodyText"/>
        <w:spacing w:line="240" w:lineRule="auto" w:before="76"/>
        <w:ind w:left="513"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left="513"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left="154" w:right="1122" w:firstLine="360"/>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pStyle w:val="BodyText"/>
        <w:spacing w:line="300" w:lineRule="auto" w:before="31"/>
        <w:ind w:left="514" w:right="1752"/>
        <w:jc w:val="left"/>
      </w:pP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本公司确认共同经营中利益份额中与本公司相关的下列项目，并按照相关企业会计准则的规定进行会计处理：</w:t>
      </w:r>
    </w:p>
    <w:p>
      <w:pPr>
        <w:pStyle w:val="BodyText"/>
        <w:spacing w:line="240" w:lineRule="auto" w:before="31"/>
        <w:ind w:left="513"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513" w:right="0"/>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76"/>
        <w:ind w:left="513" w:right="0"/>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77"/>
        <w:ind w:left="514" w:right="0"/>
        <w:jc w:val="left"/>
      </w:pPr>
      <w:r>
        <w:rPr/>
        <w:t>（</w:t>
      </w:r>
      <w:r>
        <w:rPr>
          <w:rFonts w:ascii="宋体" w:hAnsi="宋体" w:cs="宋体" w:eastAsia="宋体" w:hint="default"/>
        </w:rPr>
        <w:t>4</w:t>
      </w:r>
      <w:r>
        <w:rPr/>
        <w:t>）按其份额确认共同经营因出售产出所产生的收入；</w:t>
      </w:r>
    </w:p>
    <w:p>
      <w:pPr>
        <w:pStyle w:val="BodyText"/>
        <w:spacing w:line="316" w:lineRule="auto" w:before="76"/>
        <w:ind w:left="513" w:right="0"/>
        <w:jc w:val="left"/>
      </w:pPr>
      <w:r>
        <w:rPr/>
        <w:t>（</w:t>
      </w:r>
      <w:r>
        <w:rPr>
          <w:rFonts w:ascii="宋体" w:hAnsi="宋体" w:cs="宋体" w:eastAsia="宋体"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240" w:lineRule="auto"/>
        <w:ind w:right="0"/>
        <w:jc w:val="left"/>
      </w:pPr>
      <w:r>
        <w:rPr/>
        <w:t>该交易产生的损益中归属于共同经营其他参与方的部分。投出或出售的资产发生符合《企业会计准则第</w:t>
      </w:r>
      <w:r>
        <w:rPr>
          <w:rFonts w:ascii="宋体" w:hAnsi="宋体" w:cs="宋体" w:eastAsia="宋体" w:hint="default"/>
        </w:rPr>
        <w:t>8</w:t>
      </w:r>
      <w:r>
        <w:rPr/>
        <w:t>号——资产减值》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等规定的资产减值损失的，本公司全额确认该损失。 </w:t>
      </w:r>
      <w:r>
        <w:rPr>
          <w:spacing w:val="-2"/>
        </w:rPr>
        <w:t>本公司自共同经营购买资产等（该资产构成业务的除外），在将该资产等出售给第三方之前，仅确认因该交易产生的损</w:t>
      </w:r>
    </w:p>
    <w:p>
      <w:pPr>
        <w:pStyle w:val="BodyText"/>
        <w:spacing w:line="316" w:lineRule="auto"/>
        <w:ind w:right="1123"/>
        <w:jc w:val="left"/>
      </w:pPr>
      <w:r>
        <w:rPr/>
        <w:t>益中归属于共同经营其他参与方的部分。购入的资产发生符合《企业会计准则第</w:t>
      </w:r>
      <w:r>
        <w:rPr>
          <w:rFonts w:ascii="宋体" w:hAnsi="宋体" w:cs="宋体" w:eastAsia="宋体" w:hint="default"/>
        </w:rPr>
        <w:t>8</w:t>
      </w:r>
      <w:r>
        <w:rPr/>
        <w:t>号——资产减值》等规定的资产减值损失 的，本公司按承担的份额确认该部分损失。</w:t>
      </w:r>
    </w:p>
    <w:p>
      <w:pPr>
        <w:pStyle w:val="BodyText"/>
        <w:spacing w:line="316" w:lineRule="auto"/>
        <w:ind w:right="113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3193"/>
        <w:jc w:val="left"/>
      </w:pPr>
      <w:r>
        <w:rPr>
          <w:rFonts w:ascii="宋体" w:hAnsi="宋体" w:cs="宋体" w:eastAsia="宋体" w:hint="default"/>
        </w:rPr>
        <w:t>1</w:t>
      </w:r>
      <w:r>
        <w:rPr/>
        <w:t>．外币业务 外币业务交易在初始确认时，采用交易发生日的即期汇率作为折算汇率折合成人民币记账。</w:t>
      </w:r>
    </w:p>
    <w:p>
      <w:pPr>
        <w:pStyle w:val="BodyText"/>
        <w:spacing w:line="316" w:lineRule="auto"/>
        <w:ind w:right="113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ind w:right="113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19" w:lineRule="auto"/>
        <w:ind w:left="514" w:right="0"/>
        <w:jc w:val="left"/>
      </w:pPr>
      <w:r>
        <w:rPr>
          <w:rFonts w:ascii="宋体" w:hAnsi="宋体" w:cs="宋体" w:eastAsia="宋体"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17"/>
        <w:ind w:right="0"/>
        <w:jc w:val="left"/>
      </w:pPr>
      <w:r>
        <w:rPr>
          <w:spacing w:val="-2"/>
        </w:rPr>
        <w:t>项目采用发生时的即期汇率折算。利润表中的收入和费用项目，采用交易发生日的即期汇率折算。按照上述折算产生的外币</w:t>
      </w:r>
      <w:r>
        <w:rPr>
          <w:spacing w:val="-66"/>
        </w:rPr>
        <w:t> </w:t>
      </w:r>
      <w:r>
        <w:rPr>
          <w:spacing w:val="-66"/>
        </w:rPr>
      </w:r>
      <w:r>
        <w:rPr/>
        <w:t>财务报表折算差额计入其他综合收益。</w:t>
      </w:r>
    </w:p>
    <w:p>
      <w:pPr>
        <w:pStyle w:val="BodyText"/>
        <w:spacing w:line="316" w:lineRule="auto"/>
        <w:ind w:right="1131"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6"/>
        </w:rPr>
        <w:t> </w:t>
      </w:r>
      <w:r>
        <w:rPr>
          <w:spacing w:val="-66"/>
        </w:rPr>
      </w:r>
      <w:r>
        <w:rPr/>
        <w:t>或合营企业的部分股权时，与该境外经营相关的外币报表折算差额，按处置该境外经营的比例转入处置当期损益。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6612"/>
        <w:jc w:val="left"/>
      </w:pPr>
      <w:r>
        <w:rPr/>
        <w:t>金融工具包括金融资产、金融负债和权益工具。 </w:t>
      </w:r>
      <w:r>
        <w:rPr>
          <w:rFonts w:ascii="宋体" w:hAnsi="宋体" w:cs="宋体" w:eastAsia="宋体" w:hint="default"/>
        </w:rPr>
        <w:t>1</w:t>
      </w:r>
      <w:r>
        <w:rPr/>
        <w:t>．金融工具的分类</w:t>
      </w:r>
    </w:p>
    <w:p>
      <w:pPr>
        <w:pStyle w:val="BodyText"/>
        <w:spacing w:line="316" w:lineRule="auto"/>
        <w:ind w:left="154" w:right="1131" w:firstLine="360"/>
        <w:jc w:val="both"/>
      </w:pPr>
      <w:r>
        <w:rPr>
          <w:spacing w:val="-2"/>
        </w:rPr>
        <w:t>管理层根据所发行金融工具的合同条款及其所反映的经济实质而非仅以法律形式，结合取得持有金融资产和承担金融负</w:t>
      </w:r>
      <w:r>
        <w:rPr/>
        <w:t> </w:t>
      </w:r>
      <w:r>
        <w:rPr>
          <w:spacing w:val="-2"/>
        </w:rPr>
        <w:t>债的目的，将金融资产和金融负债分为不同类别：以公允价值计量且其变动计入当期损益的金融资产（或金融负债）；持有</w:t>
      </w:r>
      <w:r>
        <w:rPr>
          <w:spacing w:val="-67"/>
        </w:rPr>
        <w:t> </w:t>
      </w:r>
      <w:r>
        <w:rPr>
          <w:spacing w:val="-67"/>
        </w:rPr>
      </w:r>
      <w:r>
        <w:rPr/>
        <w:t>至到期投资；应收款项；可供出售金融资产；其他金融负债等。</w:t>
      </w:r>
    </w:p>
    <w:p>
      <w:pPr>
        <w:pStyle w:val="BodyText"/>
        <w:spacing w:line="240" w:lineRule="auto"/>
        <w:ind w:left="514" w:right="0"/>
        <w:jc w:val="left"/>
      </w:pPr>
      <w:r>
        <w:rPr>
          <w:rFonts w:ascii="宋体" w:hAnsi="宋体" w:cs="宋体" w:eastAsia="宋体" w:hint="default"/>
        </w:rPr>
        <w:t>2</w:t>
      </w:r>
      <w:r>
        <w:rPr/>
        <w:t>．金融工具的确认依据和计量方法</w:t>
      </w:r>
    </w:p>
    <w:p>
      <w:pPr>
        <w:pStyle w:val="BodyText"/>
        <w:spacing w:line="316" w:lineRule="auto" w:before="76"/>
        <w:ind w:left="513" w:right="0"/>
        <w:jc w:val="left"/>
      </w:pPr>
      <w:r>
        <w:rPr/>
        <w:t>（</w:t>
      </w:r>
      <w:r>
        <w:rPr>
          <w:rFonts w:ascii="宋体" w:hAnsi="宋体" w:cs="宋体" w:eastAsia="宋体"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ind w:left="513" w:right="4453" w:hanging="360"/>
        <w:jc w:val="left"/>
      </w:pPr>
      <w:r>
        <w:rPr/>
        <w:t>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16" w:lineRule="auto"/>
        <w:ind w:left="154" w:right="1140" w:firstLine="360"/>
        <w:jc w:val="both"/>
      </w:pPr>
      <w:r>
        <w:rPr>
          <w:rFonts w:ascii="宋体" w:hAnsi="宋体" w:cs="宋体" w:eastAsia="宋体" w:hint="default"/>
        </w:rPr>
        <w:t>2</w:t>
      </w:r>
      <w:r>
        <w:rPr/>
        <w:t>）属于进行集中管理的可辨认金融工具组合的一部分，且有客观证据表明本公司近期采用短期获利方式对该组合进行 管理；</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40" w:firstLine="360"/>
        <w:jc w:val="both"/>
      </w:pPr>
      <w:r>
        <w:rPr>
          <w:rFonts w:ascii="宋体" w:hAnsi="宋体" w:cs="宋体" w:eastAsia="宋体"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ind w:right="1130"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16" w:lineRule="auto"/>
        <w:ind w:left="154" w:right="1140" w:firstLine="360"/>
        <w:jc w:val="both"/>
      </w:pPr>
      <w:r>
        <w:rPr>
          <w:rFonts w:ascii="宋体" w:hAnsi="宋体" w:cs="宋体" w:eastAsia="宋体" w:hint="default"/>
        </w:rPr>
        <w:t>1</w:t>
      </w:r>
      <w:r>
        <w:rPr/>
        <w:t>）该项指定可以消除或明显减少由于金融资产或金融负债的计量基础不同所导致的相关利得或损失在确认或计量方面 不一致的情况；</w:t>
      </w:r>
    </w:p>
    <w:p>
      <w:pPr>
        <w:pStyle w:val="BodyText"/>
        <w:spacing w:line="316" w:lineRule="auto"/>
        <w:ind w:left="154" w:right="1140" w:firstLine="360"/>
        <w:jc w:val="both"/>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16" w:lineRule="auto"/>
        <w:ind w:left="154" w:right="1140" w:firstLine="360"/>
        <w:jc w:val="both"/>
      </w:pPr>
      <w:r>
        <w:rPr>
          <w:rFonts w:ascii="宋体" w:hAnsi="宋体" w:cs="宋体" w:eastAsia="宋体"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16" w:lineRule="auto"/>
        <w:ind w:left="513" w:right="0"/>
        <w:jc w:val="left"/>
      </w:pPr>
      <w:r>
        <w:rPr>
          <w:rFonts w:ascii="宋体" w:hAnsi="宋体" w:cs="宋体" w:eastAsia="宋体"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ind w:right="1133"/>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16" w:lineRule="auto"/>
        <w:ind w:left="513" w:right="1118"/>
        <w:jc w:val="left"/>
      </w:pPr>
      <w:r>
        <w:rPr/>
        <w:t>（</w:t>
      </w:r>
      <w:r>
        <w:rPr>
          <w:rFonts w:ascii="宋体" w:hAnsi="宋体" w:cs="宋体" w:eastAsia="宋体"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316" w:lineRule="auto"/>
        <w:ind w:right="1130"/>
        <w:jc w:val="both"/>
      </w:pPr>
      <w:r>
        <w:rPr>
          <w:spacing w:val="-2"/>
        </w:rPr>
        <w:t>债权，包括应收账款、其他应收款、应收票据、预付账款、长期应收款等，以向购货方应收的合同或协议价款作为初始确认</w:t>
      </w:r>
      <w:r>
        <w:rPr>
          <w:spacing w:val="-67"/>
        </w:rPr>
        <w:t> </w:t>
      </w:r>
      <w:r>
        <w:rPr>
          <w:spacing w:val="-67"/>
        </w:rPr>
      </w:r>
      <w:r>
        <w:rPr/>
        <w:t>金额；具有融资性质的，按其现值进行初始确认。</w:t>
      </w:r>
    </w:p>
    <w:p>
      <w:pPr>
        <w:pStyle w:val="BodyText"/>
        <w:spacing w:line="240" w:lineRule="auto"/>
        <w:ind w:left="513" w:right="0"/>
        <w:jc w:val="left"/>
      </w:pPr>
      <w:r>
        <w:rPr/>
        <w:t>收回或处置时，将取得的价款与该应收款项账面价值之间的差额计入当期损益。</w:t>
      </w:r>
    </w:p>
    <w:p>
      <w:pPr>
        <w:pStyle w:val="BodyText"/>
        <w:spacing w:line="319" w:lineRule="auto" w:before="76"/>
        <w:ind w:left="514" w:right="0"/>
        <w:jc w:val="left"/>
      </w:pPr>
      <w:r>
        <w:rPr/>
        <w:t>（</w:t>
      </w:r>
      <w:r>
        <w:rPr>
          <w:rFonts w:ascii="宋体" w:hAnsi="宋体" w:cs="宋体" w:eastAsia="宋体" w:hint="default"/>
        </w:rPr>
        <w:t>3</w:t>
      </w:r>
      <w:r>
        <w:rPr/>
        <w:t>）持有至到期投资 </w:t>
      </w:r>
      <w:r>
        <w:rPr>
          <w:spacing w:val="-4"/>
        </w:rPr>
        <w:t>持有至到期投资是指到期日固定、回收金额固定或可确定，且本公司有明确意图和能力持有至到期的非衍生性金融资产。</w:t>
      </w:r>
      <w:r>
        <w:rPr>
          <w:spacing w:val="-52"/>
        </w:rPr>
        <w:t> </w:t>
      </w:r>
      <w:r>
        <w:rPr>
          <w:spacing w:val="-52"/>
        </w:rPr>
      </w:r>
      <w:r>
        <w:rPr>
          <w:spacing w:val="-2"/>
        </w:rPr>
        <w:t>本公司对持有至到期投资，在取得时按公允价值（扣除已到付息期但尚未领取的债券利息）和相关交易费用之和作为初</w:t>
      </w:r>
    </w:p>
    <w:p>
      <w:pPr>
        <w:pStyle w:val="BodyText"/>
        <w:spacing w:line="316" w:lineRule="auto" w:before="17"/>
        <w:ind w:left="154" w:right="113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6" w:lineRule="auto"/>
        <w:ind w:left="154" w:right="113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16" w:lineRule="auto"/>
        <w:ind w:right="1139" w:firstLine="360"/>
        <w:jc w:val="both"/>
      </w:pPr>
      <w:r>
        <w:rPr>
          <w:rFonts w:ascii="宋体" w:hAnsi="宋体" w:cs="宋体" w:eastAsia="宋体" w:hint="default"/>
        </w:rPr>
        <w:t>1</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，且市场利率变化对该项投资的公允价值 没有显著影响。</w:t>
      </w:r>
    </w:p>
    <w:p>
      <w:pPr>
        <w:pStyle w:val="BodyText"/>
        <w:spacing w:line="240" w:lineRule="auto"/>
        <w:ind w:left="513" w:right="0"/>
        <w:jc w:val="left"/>
      </w:pPr>
      <w:r>
        <w:rPr>
          <w:rFonts w:ascii="宋体" w:hAnsi="宋体" w:cs="宋体" w:eastAsia="宋体" w:hint="default"/>
        </w:rPr>
        <w:t>2</w:t>
      </w:r>
      <w:r>
        <w:rPr/>
        <w:t>）根据合同约定的偿付方式，企业已收回几乎所有初始本金。</w:t>
      </w:r>
    </w:p>
    <w:p>
      <w:pPr>
        <w:pStyle w:val="BodyText"/>
        <w:spacing w:line="240" w:lineRule="auto" w:before="76"/>
        <w:ind w:left="514" w:right="0"/>
        <w:jc w:val="left"/>
      </w:pPr>
      <w:r>
        <w:rPr>
          <w:rFonts w:ascii="宋体" w:hAnsi="宋体" w:cs="宋体" w:eastAsia="宋体" w:hint="default"/>
        </w:rPr>
        <w:t>3</w:t>
      </w:r>
      <w:r>
        <w:rPr/>
        <w:t>）出售或重分类是由于企业无法控制、预期不会重复发生且难以合理预计的独立事件所引起。</w:t>
      </w:r>
    </w:p>
    <w:p>
      <w:pPr>
        <w:pStyle w:val="BodyText"/>
        <w:spacing w:line="316" w:lineRule="auto" w:before="76"/>
        <w:ind w:left="514" w:right="1032"/>
        <w:jc w:val="left"/>
      </w:pPr>
      <w:r>
        <w:rPr/>
        <w:t>（</w:t>
      </w:r>
      <w:r>
        <w:rPr>
          <w:rFonts w:ascii="宋体" w:hAnsi="宋体" w:cs="宋体" w:eastAsia="宋体"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ind w:left="154"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ind w:left="154" w:right="1131" w:firstLine="360"/>
        <w:jc w:val="both"/>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16" w:lineRule="auto"/>
        <w:ind w:left="514" w:right="3732"/>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after="0" w:line="316" w:lineRule="auto"/>
        <w:jc w:val="left"/>
        <w:sectPr>
          <w:footerReference w:type="default" r:id="rId32"/>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rFonts w:ascii="宋体" w:hAnsi="宋体" w:cs="宋体" w:eastAsia="宋体"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ind w:left="513" w:right="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ind w:right="0"/>
        <w:jc w:val="left"/>
      </w:pPr>
      <w:r>
        <w:rPr/>
        <w:t>融资产整体转移和部分转移。金融资产整体转移满足终止确认条件的，将下列两项金额的差额计入当期损益：</w:t>
      </w:r>
    </w:p>
    <w:p>
      <w:pPr>
        <w:pStyle w:val="BodyText"/>
        <w:spacing w:line="240" w:lineRule="auto" w:before="76"/>
        <w:ind w:left="513" w:right="0"/>
        <w:jc w:val="left"/>
      </w:pPr>
      <w:r>
        <w:rPr/>
        <w:t>（</w:t>
      </w:r>
      <w:r>
        <w:rPr>
          <w:rFonts w:ascii="宋体" w:hAnsi="宋体" w:cs="宋体" w:eastAsia="宋体" w:hint="default"/>
        </w:rPr>
        <w:t>1</w:t>
      </w:r>
      <w:r>
        <w:rPr/>
        <w:t>）所转移金融资产的账面价值；</w:t>
      </w:r>
    </w:p>
    <w:p>
      <w:pPr>
        <w:pStyle w:val="BodyText"/>
        <w:spacing w:line="316" w:lineRule="auto" w:before="76"/>
        <w:ind w:left="154" w:right="1122"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6" w:lineRule="auto"/>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ind w:left="513" w:right="0"/>
        <w:jc w:val="left"/>
      </w:pPr>
      <w:r>
        <w:rPr/>
        <w:t>（</w:t>
      </w:r>
      <w:r>
        <w:rPr>
          <w:rFonts w:ascii="宋体" w:hAnsi="宋体" w:cs="宋体" w:eastAsia="宋体" w:hint="default"/>
        </w:rPr>
        <w:t>1</w:t>
      </w:r>
      <w:r>
        <w:rPr/>
        <w:t>）终止确认部分的账面价值；</w:t>
      </w:r>
    </w:p>
    <w:p>
      <w:pPr>
        <w:pStyle w:val="BodyText"/>
        <w:spacing w:line="316" w:lineRule="auto" w:before="76"/>
        <w:ind w:left="154" w:right="1122"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16" w:lineRule="auto"/>
        <w:ind w:left="513" w:right="1118"/>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ind w:left="154"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ind w:left="154"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ind w:left="154"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ind w:left="154"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16" w:lineRule="auto"/>
        <w:ind w:left="514" w:right="0"/>
        <w:jc w:val="left"/>
      </w:pPr>
      <w:r>
        <w:rPr>
          <w:rFonts w:ascii="宋体" w:hAnsi="宋体" w:cs="宋体" w:eastAsia="宋体" w:hint="default"/>
        </w:rPr>
        <w:t>5</w:t>
      </w:r>
      <w:r>
        <w:rPr/>
        <w:t>．金融资产和金融负债公允价值的确定方法 </w:t>
      </w:r>
      <w:r>
        <w:rPr>
          <w:spacing w:val="-2"/>
        </w:rPr>
        <w:t>本公司采用公允价值计量的金融资产和金融负债存在活跃市场的金融资产或金融负债，以活跃市场的报价确定其公允价</w:t>
      </w:r>
    </w:p>
    <w:p>
      <w:pPr>
        <w:pStyle w:val="BodyText"/>
        <w:spacing w:line="316" w:lineRule="auto"/>
        <w:ind w:left="154" w:right="1132"/>
        <w:jc w:val="both"/>
      </w:pPr>
      <w:r>
        <w:rPr>
          <w:spacing w:val="-2"/>
        </w:rPr>
        <w:t>值；初始取得或衍生的金融资产或承担的金融负债，以市场交易价格作为确定其公允价值的基础；不存在活跃市场的金融资</w:t>
      </w:r>
      <w:r>
        <w:rPr>
          <w:spacing w:val="-66"/>
        </w:rPr>
        <w:t> </w:t>
      </w:r>
      <w:r>
        <w:rPr>
          <w:spacing w:val="-66"/>
        </w:rPr>
      </w:r>
      <w:r>
        <w:rPr>
          <w:spacing w:val="-2"/>
        </w:rPr>
        <w:t>产或金融负债，采用估值技术确定其公允价值。在估值时，本公司采用在当前情况下适用并且有足够可利用数据和其他信息</w:t>
      </w:r>
      <w:r>
        <w:rPr>
          <w:spacing w:val="-66"/>
        </w:rPr>
        <w:t> </w:t>
      </w:r>
      <w:r>
        <w:rPr>
          <w:spacing w:val="-66"/>
        </w:rPr>
      </w:r>
      <w:r>
        <w:rPr>
          <w:spacing w:val="-2"/>
        </w:rPr>
        <w:t>支持的估值技术，选择与市场参与者在相关资产或负债的交易中所考虑的资产或负债特征相一致的输入值，并尽可能优先使</w:t>
      </w:r>
      <w:r>
        <w:rPr>
          <w:spacing w:val="-64"/>
        </w:rPr>
        <w:t> </w:t>
      </w:r>
      <w:r>
        <w:rPr>
          <w:spacing w:val="-64"/>
        </w:rPr>
      </w:r>
      <w:r>
        <w:rPr/>
        <w:t>用相关可观察输入值。在相关可观察输入值无法取得或取得不切实可行的情况下，使用不可观察输入值。</w:t>
      </w:r>
    </w:p>
    <w:p>
      <w:pPr>
        <w:pStyle w:val="BodyText"/>
        <w:spacing w:line="316" w:lineRule="auto"/>
        <w:ind w:left="514" w:right="0"/>
        <w:jc w:val="left"/>
      </w:pPr>
      <w:r>
        <w:rPr>
          <w:rFonts w:ascii="宋体" w:hAnsi="宋体" w:cs="宋体" w:eastAsia="宋体" w:hint="default"/>
        </w:rPr>
        <w:t>6</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316" w:lineRule="auto"/>
        <w:ind w:left="513" w:right="6613" w:hanging="360"/>
        <w:jc w:val="left"/>
      </w:pPr>
      <w:r>
        <w:rPr/>
        <w:t>表明该金融资产发生减值的，计提减值准备。 金融资产发生减值的客观证据，包括但不限于：</w:t>
      </w:r>
    </w:p>
    <w:p>
      <w:pPr>
        <w:pStyle w:val="BodyText"/>
        <w:spacing w:line="240" w:lineRule="auto"/>
        <w:ind w:left="514" w:right="0"/>
        <w:jc w:val="left"/>
      </w:pPr>
      <w:r>
        <w:rPr/>
        <w:t>（</w:t>
      </w:r>
      <w:r>
        <w:rPr>
          <w:rFonts w:ascii="宋体" w:hAnsi="宋体" w:cs="宋体" w:eastAsia="宋体" w:hint="default"/>
        </w:rPr>
        <w:t>1</w:t>
      </w:r>
      <w:r>
        <w:rPr/>
        <w:t>）发行方或债务人发生严重财务困难；</w:t>
      </w:r>
    </w:p>
    <w:p>
      <w:pPr>
        <w:pStyle w:val="BodyText"/>
        <w:spacing w:line="240" w:lineRule="auto" w:before="76"/>
        <w:ind w:left="513" w:right="0"/>
        <w:jc w:val="left"/>
      </w:pPr>
      <w:r>
        <w:rPr/>
        <w:t>（</w:t>
      </w:r>
      <w:r>
        <w:rPr>
          <w:rFonts w:ascii="宋体" w:hAnsi="宋体" w:cs="宋体" w:eastAsia="宋体" w:hint="default"/>
        </w:rPr>
        <w:t>2</w:t>
      </w:r>
      <w:r>
        <w:rPr/>
        <w:t>）债务人违反了合同条款，如偿付利息或本金发生违约或逾期等；</w:t>
      </w:r>
    </w:p>
    <w:p>
      <w:pPr>
        <w:pStyle w:val="BodyText"/>
        <w:spacing w:line="240" w:lineRule="auto" w:before="76"/>
        <w:ind w:left="513" w:right="0"/>
        <w:jc w:val="left"/>
      </w:pPr>
      <w:r>
        <w:rPr/>
        <w:t>（</w:t>
      </w: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76"/>
        <w:ind w:left="513" w:right="0"/>
        <w:jc w:val="left"/>
      </w:pPr>
      <w:r>
        <w:rPr/>
        <w:t>（</w:t>
      </w:r>
      <w:r>
        <w:rPr>
          <w:rFonts w:ascii="宋体" w:hAnsi="宋体" w:cs="宋体" w:eastAsia="宋体" w:hint="default"/>
        </w:rPr>
        <w:t>4</w:t>
      </w:r>
      <w:r>
        <w:rPr/>
        <w:t>）债务人很可能倒闭或进行其他财务重组；</w:t>
      </w:r>
    </w:p>
    <w:p>
      <w:pPr>
        <w:pStyle w:val="BodyText"/>
        <w:spacing w:line="240" w:lineRule="auto" w:before="76"/>
        <w:ind w:left="514" w:right="0"/>
        <w:jc w:val="left"/>
      </w:pPr>
      <w:r>
        <w:rPr/>
        <w:t>（</w:t>
      </w:r>
      <w:r>
        <w:rPr>
          <w:rFonts w:ascii="宋体" w:hAnsi="宋体" w:cs="宋体" w:eastAsia="宋体" w:hint="default"/>
        </w:rPr>
        <w:t>5</w:t>
      </w:r>
      <w:r>
        <w:rPr/>
        <w:t>）因发行方发生重大财务困难，该金融资产无法在活跃市场继续交易；</w:t>
      </w:r>
    </w:p>
    <w:p>
      <w:pPr>
        <w:pStyle w:val="BodyText"/>
        <w:spacing w:line="316" w:lineRule="auto" w:before="77"/>
        <w:ind w:left="154" w:right="1131" w:firstLine="360"/>
        <w:jc w:val="both"/>
      </w:pPr>
      <w:r>
        <w:rPr/>
        <w:t>（</w:t>
      </w:r>
      <w:r>
        <w:rPr>
          <w:rFonts w:ascii="宋体" w:hAnsi="宋体" w:cs="宋体" w:eastAsia="宋体" w:hint="default"/>
        </w:rPr>
        <w:t>6</w:t>
      </w:r>
      <w:r>
        <w:rPr/>
        <w:t>）无法辨认一组金融资产中的某项资产的现金流量是否已经减少，但根据公开的数据对其进行总体评价后发现，该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240" w:lineRule="auto"/>
        <w:ind w:left="513" w:right="0"/>
        <w:jc w:val="left"/>
      </w:pPr>
      <w:r>
        <w:rPr/>
        <w:t>（</w:t>
      </w:r>
      <w:r>
        <w:rPr>
          <w:rFonts w:ascii="宋体" w:hAnsi="宋体" w:cs="宋体" w:eastAsia="宋体" w:hint="default"/>
        </w:rPr>
        <w:t>7</w:t>
      </w:r>
      <w:r>
        <w:rPr/>
        <w:t>）权益工具发行方经营所处的技术、市场、经济或法律环境等发生重大不利变化，使权益工具投资人可能无法收回</w:t>
      </w:r>
    </w:p>
    <w:p>
      <w:pPr>
        <w:spacing w:after="0" w:line="240" w:lineRule="auto"/>
        <w:jc w:val="left"/>
        <w:sectPr>
          <w:footerReference w:type="default" r:id="rId33"/>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投资成本；</w:t>
      </w:r>
    </w:p>
    <w:p>
      <w:pPr>
        <w:pStyle w:val="BodyText"/>
        <w:spacing w:line="316" w:lineRule="auto" w:before="76"/>
        <w:ind w:left="514" w:right="5802"/>
        <w:jc w:val="left"/>
      </w:pPr>
      <w:r>
        <w:rPr/>
        <w:t>（</w:t>
      </w:r>
      <w:r>
        <w:rPr>
          <w:rFonts w:ascii="宋体" w:hAnsi="宋体" w:cs="宋体" w:eastAsia="宋体" w:hint="default"/>
        </w:rPr>
        <w:t>8</w:t>
      </w:r>
      <w:r>
        <w:rPr/>
        <w:t>）权益工具投资的公允价值发生严重或非暂时性下跌； 金融资产的具体减值方法如下：</w:t>
      </w:r>
    </w:p>
    <w:p>
      <w:pPr>
        <w:pStyle w:val="BodyText"/>
        <w:spacing w:line="319" w:lineRule="auto"/>
        <w:ind w:left="513" w:right="0"/>
        <w:jc w:val="left"/>
      </w:pPr>
      <w:r>
        <w:rPr/>
        <w:t>（</w:t>
      </w:r>
      <w:r>
        <w:rPr>
          <w:rFonts w:ascii="宋体" w:hAnsi="宋体" w:cs="宋体" w:eastAsia="宋体" w:hint="default"/>
        </w:rPr>
        <w:t>1</w:t>
      </w:r>
      <w:r>
        <w:rPr/>
        <w:t>）可供出售金融资产的减值准备 </w:t>
      </w:r>
      <w:r>
        <w:rPr>
          <w:spacing w:val="-2"/>
        </w:rPr>
        <w:t>本公司于资产负债表日对各项可供出售金融资产采用个别认定的方式评估减值损失，其中：表明可供出售权益工具投资</w:t>
      </w:r>
    </w:p>
    <w:p>
      <w:pPr>
        <w:pStyle w:val="BodyText"/>
        <w:spacing w:line="316" w:lineRule="auto" w:before="17"/>
        <w:ind w:right="0"/>
        <w:jc w:val="left"/>
      </w:pPr>
      <w:r>
        <w:rPr>
          <w:spacing w:val="-2"/>
        </w:rPr>
        <w:t>发生减值的客观证据包括权益工具投资的公允价值发生严重或非暂时性下跌，具体量化标准为：若该权益工具投资于资产负</w:t>
      </w:r>
      <w:r>
        <w:rPr>
          <w:spacing w:val="-64"/>
        </w:rPr>
        <w:t> </w:t>
      </w:r>
      <w:r>
        <w:rPr>
          <w:spacing w:val="-64"/>
        </w:rPr>
      </w:r>
      <w:r>
        <w:rPr/>
        <w:t>债表日的公允价值低于其成本的，则表明其发生减值。</w:t>
      </w:r>
    </w:p>
    <w:p>
      <w:pPr>
        <w:pStyle w:val="BodyText"/>
        <w:spacing w:line="316" w:lineRule="auto"/>
        <w:ind w:left="154" w:right="1131" w:firstLine="360"/>
        <w:jc w:val="both"/>
      </w:pPr>
      <w:r>
        <w:rPr>
          <w:spacing w:val="-2"/>
        </w:rPr>
        <w:t>上段所述“成本”按照可供出售权益工具投资的初始取得成本扣除已收回本金和已摊销金额、原已计入损益的减值损失</w:t>
      </w:r>
      <w:r>
        <w:rPr/>
        <w:t> </w:t>
      </w:r>
      <w:r>
        <w:rPr>
          <w:spacing w:val="-2"/>
        </w:rPr>
        <w:t>确定；“公允价值”根据证券交易所期末收盘价确定，除非该项可供出售权益工具投资存在限售期。对于存在限售期的可供</w:t>
      </w:r>
      <w:r>
        <w:rPr>
          <w:spacing w:val="-67"/>
        </w:rPr>
        <w:t> </w:t>
      </w:r>
      <w:r>
        <w:rPr>
          <w:spacing w:val="-67"/>
        </w:rPr>
      </w:r>
      <w:r>
        <w:rPr>
          <w:spacing w:val="-2"/>
        </w:rPr>
        <w:t>出售权益工具投资，按照证券交易所期末收盘价扣除市场参与者因承担指定期间内无法在公开市场上出售该权益工具的风险</w:t>
      </w:r>
      <w:r>
        <w:rPr>
          <w:spacing w:val="-64"/>
        </w:rPr>
        <w:t> </w:t>
      </w:r>
      <w:r>
        <w:rPr>
          <w:spacing w:val="-64"/>
        </w:rPr>
      </w:r>
      <w:r>
        <w:rPr/>
        <w:t>而要求获得的补偿金额后确定。</w:t>
      </w:r>
    </w:p>
    <w:p>
      <w:pPr>
        <w:pStyle w:val="BodyText"/>
        <w:spacing w:line="316" w:lineRule="auto"/>
        <w:ind w:left="154" w:right="1131"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ind w:right="1131"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16" w:lineRule="auto"/>
        <w:ind w:left="513" w:right="0"/>
        <w:jc w:val="left"/>
      </w:pPr>
      <w:r>
        <w:rPr/>
        <w:t>（</w:t>
      </w:r>
      <w:r>
        <w:rPr>
          <w:rFonts w:ascii="宋体" w:hAnsi="宋体" w:cs="宋体" w:eastAsia="宋体"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6" w:lineRule="auto"/>
        <w:ind w:right="0"/>
        <w:jc w:val="left"/>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pStyle w:val="BodyText"/>
        <w:spacing w:line="316" w:lineRule="auto"/>
        <w:ind w:left="514" w:right="0"/>
        <w:jc w:val="left"/>
      </w:pPr>
      <w:r>
        <w:rPr>
          <w:rFonts w:ascii="宋体" w:hAnsi="宋体" w:cs="宋体" w:eastAsia="宋体" w:hint="default"/>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ind w:left="154" w:right="0"/>
        <w:jc w:val="left"/>
      </w:pPr>
      <w:r>
        <w:rPr/>
        <w:t>产负债表内列示：</w:t>
      </w:r>
    </w:p>
    <w:p>
      <w:pPr>
        <w:pStyle w:val="BodyText"/>
        <w:spacing w:line="240" w:lineRule="auto" w:before="76"/>
        <w:ind w:left="513" w:right="0"/>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76"/>
        <w:ind w:left="513"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单项金额重大并单项计提坏账准备的应收款项的确认标准： 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万）。</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287"/>
        <w:gridCol w:w="3190"/>
      </w:tblGrid>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3" w:right="107" w:hanging="946"/>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本公司及下属制造业板块子公司应收账 款计提比例</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24" w:right="58" w:hanging="765"/>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本公司下属互联网及广告板块子公司应 收账款计提比例</w:t>
            </w:r>
            <w:r>
              <w:rPr>
                <w:rFonts w:ascii="Times New Roman" w:hAnsi="Times New Roman" w:cs="Times New Roman" w:eastAsia="Times New Roman"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账龄</w:t>
            </w:r>
          </w:p>
        </w:tc>
        <w:tc>
          <w:tcPr>
            <w:tcW w:w="3287"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right w:val="single" w:sz="4" w:space="0" w:color="000000"/>
            </w:tcBorders>
            <w:shd w:val="clear" w:color="auto" w:fill="D2D2D2"/>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87"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63" w:right="107" w:hanging="856"/>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本公司及下属制造业板块子公司其他应 收款计提比例</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4" w:right="58"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本公司下属互联网及广告板块子公司其 他应收款计提比例</w:t>
            </w:r>
            <w:r>
              <w:rPr>
                <w:rFonts w:ascii="Times New Roman" w:hAnsi="Times New Roman" w:cs="Times New Roman" w:eastAsia="Times New Roman"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账龄</w:t>
            </w:r>
          </w:p>
        </w:tc>
        <w:tc>
          <w:tcPr>
            <w:tcW w:w="3287"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right w:val="single" w:sz="4" w:space="0" w:color="000000"/>
            </w:tcBorders>
            <w:shd w:val="clear" w:color="auto" w:fill="D2D2D2"/>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87"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3" w:right="1118"/>
        <w:jc w:val="left"/>
      </w:pPr>
      <w:r>
        <w:rPr>
          <w:rFonts w:ascii="Times New Roman" w:hAnsi="Times New Roman" w:cs="Times New Roman" w:eastAsia="Times New Roman"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309" w:lineRule="auto" w:before="31"/>
        <w:ind w:left="513" w:right="1118" w:hanging="360"/>
        <w:jc w:val="left"/>
      </w:pPr>
      <w:r>
        <w:rPr/>
        <w:t>耗用的材料和物料等。主要包括原材料、在产品、自制半成品、产成品（库存商品）、发出商品、低值易耗品等。 </w:t>
      </w:r>
      <w:r>
        <w:rPr>
          <w:rFonts w:ascii="Times New Roman" w:hAnsi="Times New Roman" w:cs="Times New Roman" w:eastAsia="Times New Roman" w:hint="default"/>
        </w:rPr>
        <w:t>2</w:t>
      </w:r>
      <w:r>
        <w:rPr/>
        <w:t>．存货的计价方法 存货在取得时，按成本进行初始计量，包括采购成本、加工成本和其他成本。存货发出时按移动加权平均法计价。 </w:t>
      </w:r>
      <w:r>
        <w:rPr>
          <w:rFonts w:ascii="Times New Roman" w:hAnsi="Times New Roman" w:cs="Times New Roman" w:eastAsia="Times New Roman" w:hint="default"/>
        </w:rPr>
        <w:t>3</w:t>
      </w:r>
      <w:r>
        <w:rPr/>
        <w:t>．存货可变现净值的确定依据及存货跌价准备的计提方法 </w:t>
      </w:r>
      <w:r>
        <w:rPr>
          <w:spacing w:val="-2"/>
        </w:rPr>
        <w:t>期末对存货进行全面清查后，按存货的成本与可变现净值孰低提取或调整存货跌价准备。产成品、库存商品和用于出售</w:t>
      </w:r>
    </w:p>
    <w:p>
      <w:pPr>
        <w:pStyle w:val="BodyText"/>
        <w:spacing w:line="316" w:lineRule="auto" w:before="24"/>
        <w:ind w:left="154"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9" w:lineRule="auto"/>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7"/>
        <w:ind w:right="0" w:firstLine="360"/>
        <w:jc w:val="left"/>
      </w:pPr>
      <w:r>
        <w:rPr>
          <w:spacing w:val="-2"/>
        </w:rPr>
        <w:t>以前减记存货价值的影响因素已经消失的，减记的金额予以恢复，并在原已计提的存货跌价准备金额内转回，转回的金</w:t>
      </w:r>
      <w:r>
        <w:rPr/>
        <w:t> 额计入当期损益。</w:t>
      </w:r>
    </w:p>
    <w:p>
      <w:pPr>
        <w:pStyle w:val="BodyText"/>
        <w:spacing w:line="309" w:lineRule="auto"/>
        <w:ind w:left="514" w:right="7602"/>
        <w:jc w:val="left"/>
      </w:pPr>
      <w:r>
        <w:rPr>
          <w:rFonts w:ascii="Times New Roman" w:hAnsi="Times New Roman" w:cs="Times New Roman" w:eastAsia="Times New Roman" w:hint="default"/>
        </w:rPr>
        <w:t>4</w:t>
      </w:r>
      <w:r>
        <w:rPr/>
        <w:t>．存货的盘存制度 采用永续盘存制。 </w:t>
      </w:r>
      <w:r>
        <w:rPr>
          <w:rFonts w:ascii="Times New Roman" w:hAnsi="Times New Roman" w:cs="Times New Roman" w:eastAsia="Times New Roman" w:hint="default"/>
        </w:rPr>
        <w:t>5</w:t>
      </w:r>
      <w:r>
        <w:rPr/>
        <w:t>．低值易耗品和包装物的摊销方法</w:t>
      </w:r>
    </w:p>
    <w:p>
      <w:pPr>
        <w:pStyle w:val="BodyText"/>
        <w:spacing w:line="240" w:lineRule="auto" w:before="5"/>
        <w:ind w:left="51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513" w:right="0"/>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3372"/>
        <w:jc w:val="left"/>
      </w:pPr>
      <w:r>
        <w:rPr>
          <w:rFonts w:ascii="Times New Roman" w:hAnsi="Times New Roman" w:cs="Times New Roman" w:eastAsia="Times New Roman" w:hint="default"/>
        </w:rPr>
        <w:t>1</w:t>
      </w:r>
      <w:r>
        <w:rPr/>
        <w:t>．划分为持有待售确认标准 本公司将同时满足下列条件的企业组成部分（或非流动资产）确认为持有待售组成部分：</w:t>
      </w:r>
    </w:p>
    <w:p>
      <w:pPr>
        <w:pStyle w:val="BodyText"/>
        <w:spacing w:line="240" w:lineRule="auto" w:before="31"/>
        <w:ind w:left="51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40" w:lineRule="auto" w:before="63"/>
        <w:ind w:left="513" w:right="0"/>
        <w:jc w:val="left"/>
      </w:pPr>
      <w:r>
        <w:rPr/>
        <w:t>（</w:t>
      </w:r>
      <w:r>
        <w:rPr>
          <w:rFonts w:ascii="Times New Roman" w:hAnsi="Times New Roman" w:cs="Times New Roman" w:eastAsia="Times New Roman" w:hint="default"/>
        </w:rPr>
        <w:t>2</w:t>
      </w:r>
      <w:r>
        <w:rPr/>
        <w:t>）企业已经就处置该组成部分作出决议，如按规定需得到股东批准的，已经取得股东大会或相应权力机构的批准；</w:t>
      </w:r>
    </w:p>
    <w:p>
      <w:pPr>
        <w:pStyle w:val="BodyText"/>
        <w:spacing w:line="240" w:lineRule="auto" w:before="63"/>
        <w:ind w:left="513" w:right="0"/>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63"/>
        <w:ind w:left="514" w:right="0"/>
        <w:jc w:val="left"/>
      </w:pPr>
      <w:r>
        <w:rPr/>
        <w:t>（</w:t>
      </w:r>
      <w:r>
        <w:rPr>
          <w:rFonts w:ascii="Times New Roman" w:hAnsi="Times New Roman" w:cs="Times New Roman" w:eastAsia="Times New Roman" w:hint="default"/>
        </w:rPr>
        <w:t>4</w:t>
      </w:r>
      <w:r>
        <w:rPr/>
        <w:t>）该项转让将在一年内完成。</w:t>
      </w:r>
    </w:p>
    <w:p>
      <w:pPr>
        <w:pStyle w:val="BodyText"/>
        <w:spacing w:line="300" w:lineRule="auto" w:before="63"/>
        <w:ind w:left="514" w:right="0"/>
        <w:jc w:val="left"/>
      </w:pPr>
      <w:r>
        <w:rPr>
          <w:rFonts w:ascii="Times New Roman" w:hAnsi="Times New Roman" w:cs="Times New Roman" w:eastAsia="Times New Roman" w:hint="default"/>
        </w:rPr>
        <w:t>2</w:t>
      </w:r>
      <w:r>
        <w:rPr/>
        <w:t>．划分为持有待售核算方法 </w:t>
      </w:r>
      <w:r>
        <w:rPr>
          <w:spacing w:val="-2"/>
        </w:rPr>
        <w:t>本公司对于持有待售的固定资产，调整该项固定资产的预计净残值，使该固定资产的预计净残值反映其公允价值减去处</w:t>
      </w:r>
    </w:p>
    <w:p>
      <w:pPr>
        <w:pStyle w:val="BodyText"/>
        <w:spacing w:line="316" w:lineRule="auto" w:before="31"/>
        <w:ind w:left="154" w:right="1132"/>
        <w:jc w:val="both"/>
      </w:pPr>
      <w:r>
        <w:rPr>
          <w:spacing w:val="-2"/>
        </w:rPr>
        <w:t>置费用后的金额，但不超过符合持有待售条件时该项固定资产的原账面价值，原账面价值高于调整后预计净残值的差额，应</w:t>
      </w:r>
      <w:r>
        <w:rPr>
          <w:spacing w:val="-66"/>
        </w:rPr>
        <w:t> </w:t>
      </w:r>
      <w:r>
        <w:rPr>
          <w:spacing w:val="-66"/>
        </w:rPr>
      </w:r>
      <w:r>
        <w:rPr>
          <w:spacing w:val="-2"/>
        </w:rPr>
        <w:t>作为资产减值损失计入当期损益。持有待售的固定资产不计提折旧或摊销，按照账面价值与公允价值减去处置费用后的净额</w:t>
      </w:r>
      <w:r>
        <w:rPr>
          <w:spacing w:val="-64"/>
        </w:rPr>
        <w:t> </w:t>
      </w:r>
      <w:r>
        <w:rPr>
          <w:spacing w:val="-64"/>
        </w:rPr>
      </w:r>
      <w:r>
        <w:rPr/>
        <w:t>孰低进行计量。</w:t>
      </w:r>
    </w:p>
    <w:p>
      <w:pPr>
        <w:pStyle w:val="BodyText"/>
        <w:spacing w:line="309" w:lineRule="auto"/>
        <w:ind w:right="1132" w:firstLine="360"/>
        <w:jc w:val="both"/>
      </w:pPr>
      <w:r>
        <w:rPr>
          <w:spacing w:val="-2"/>
        </w:rPr>
        <w:t>符合持有待售条件的权益性投资、无形资产等其他非流动资产，比照上述原则处理，但不包括递延所得税资产、《企业</w:t>
      </w:r>
      <w:r>
        <w:rPr/>
        <w:t> </w:t>
      </w:r>
      <w:r>
        <w:rPr>
          <w:spacing w:val="-2"/>
        </w:rPr>
        <w:t>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金融工具确认和计量》规范的金融资产、以公允价值计量的投资性房地产和生物资产、保险合同中产生</w:t>
      </w:r>
      <w:r>
        <w:rPr>
          <w:spacing w:val="-64"/>
        </w:rPr>
        <w:t> </w:t>
      </w:r>
      <w:r>
        <w:rPr>
          <w:spacing w:val="-64"/>
        </w:rPr>
      </w:r>
      <w:r>
        <w:rPr/>
        <w:t>的合同权利。</w:t>
      </w:r>
    </w:p>
    <w:p>
      <w:pPr>
        <w:spacing w:line="240" w:lineRule="auto" w:before="12"/>
        <w:rPr>
          <w:rFonts w:ascii="宋体" w:hAnsi="宋体" w:cs="宋体" w:eastAsia="宋体" w:hint="default"/>
          <w:sz w:val="22"/>
          <w:szCs w:val="22"/>
        </w:rPr>
      </w:pPr>
    </w:p>
    <w:p>
      <w:pPr>
        <w:pStyle w:val="Heading3"/>
        <w:spacing w:line="240" w:lineRule="auto"/>
        <w:ind w:left="153" w:right="0"/>
        <w:jc w:val="both"/>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rFonts w:ascii="Times New Roman" w:hAnsi="Times New Roman" w:cs="Times New Roman" w:eastAsia="Times New Roman" w:hint="default"/>
        </w:rPr>
        <w:t>1</w:t>
      </w:r>
      <w:r>
        <w:rPr/>
        <w:t>．投资成本的确定</w:t>
      </w:r>
    </w:p>
    <w:p>
      <w:pPr>
        <w:pStyle w:val="BodyText"/>
        <w:spacing w:line="300" w:lineRule="auto" w:before="63"/>
        <w:ind w:left="154" w:right="1122" w:firstLine="360"/>
        <w:jc w:val="left"/>
      </w:pPr>
      <w:r>
        <w:rPr/>
        <w:t>（</w:t>
      </w:r>
      <w:r>
        <w:rPr>
          <w:rFonts w:ascii="Times New Roman" w:hAnsi="Times New Roman" w:cs="Times New Roman" w:eastAsia="Times New Roman" w:hint="default"/>
        </w:rPr>
        <w:t>1</w:t>
      </w:r>
      <w:r>
        <w:rPr/>
        <w:t>）企业合并形成的长期股权投资，具体会计政策详见本附注四／（五）同一控制下和非同一控制下企业合并的会计 处理方法</w:t>
      </w:r>
    </w:p>
    <w:p>
      <w:pPr>
        <w:pStyle w:val="BodyText"/>
        <w:spacing w:line="300" w:lineRule="auto" w:before="31"/>
        <w:ind w:left="513"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3" w:right="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ind w:left="514" w:right="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ind w:left="154" w:right="1132"/>
        <w:jc w:val="both"/>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ind w:left="513" w:right="0"/>
        <w:jc w:val="left"/>
      </w:pPr>
      <w:r>
        <w:rPr/>
        <w:t>通过债务重组取得的长期股权投资，其初始投资成本按照公允价值为基础确定。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w:t>
      </w:r>
      <w:r>
        <w:rPr/>
        <w:t>．后续计量及损益确认</w:t>
      </w:r>
    </w:p>
    <w:p>
      <w:pPr>
        <w:pStyle w:val="BodyText"/>
        <w:spacing w:line="300" w:lineRule="auto" w:before="63"/>
        <w:ind w:left="513" w:right="1118"/>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9" w:lineRule="auto" w:before="31"/>
        <w:ind w:left="513" w:right="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7"/>
        <w:ind w:right="0"/>
        <w:jc w:val="left"/>
      </w:pPr>
      <w:r>
        <w:rPr/>
        <w:t>分派的现金股利或利润确认为当期投资收益。</w:t>
      </w:r>
    </w:p>
    <w:p>
      <w:pPr>
        <w:pStyle w:val="BodyText"/>
        <w:spacing w:line="300" w:lineRule="auto" w:before="76"/>
        <w:ind w:left="513" w:right="1118"/>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3" w:right="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ind w:left="513" w:right="0"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ind w:right="1033"/>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6" w:lineRule="auto"/>
        <w:ind w:left="154"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ind w:left="154" w:right="1032"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ind w:left="154"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ind w:left="513" w:right="0"/>
        <w:jc w:val="left"/>
      </w:pPr>
      <w:r>
        <w:rPr>
          <w:rFonts w:ascii="Times New Roman" w:hAnsi="Times New Roman" w:cs="Times New Roman" w:eastAsia="Times New Roman" w:hint="default"/>
        </w:rPr>
        <w:t>3</w:t>
      </w:r>
      <w:r>
        <w:rPr/>
        <w:t>．长期股权投资核算方法的转换</w:t>
      </w:r>
    </w:p>
    <w:p>
      <w:pPr>
        <w:pStyle w:val="BodyText"/>
        <w:spacing w:line="300" w:lineRule="auto" w:before="63"/>
        <w:ind w:left="513" w:right="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6" w:lineRule="auto" w:before="31"/>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ind w:right="121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ind w:left="514" w:right="0"/>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left="154"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ind w:left="154"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513"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240" w:lineRule="auto" w:before="31"/>
        <w:ind w:right="0"/>
        <w:jc w:val="left"/>
      </w:pPr>
      <w:r>
        <w:rPr/>
        <w:t>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金融工具确认和计量》核算，其在丧失共同控制或重大影响之日的公允价值与账面价值之间的差额计入当期损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益。</w:t>
      </w:r>
    </w:p>
    <w:p>
      <w:pPr>
        <w:pStyle w:val="BodyText"/>
        <w:spacing w:line="316" w:lineRule="auto" w:before="76"/>
        <w:ind w:left="154" w:right="1131" w:firstLine="360"/>
        <w:jc w:val="both"/>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00" w:lineRule="auto"/>
        <w:ind w:left="514"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left="154"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514"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left="154" w:right="0"/>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4" w:right="0"/>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16" w:lineRule="auto" w:before="31"/>
        <w:ind w:left="154" w:right="1118"/>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ind w:left="154"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ind w:left="51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513"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0"/>
        <w:jc w:val="left"/>
      </w:pPr>
      <w:r>
        <w:rPr/>
        <w:t>表进行相关会计处理：</w:t>
      </w:r>
    </w:p>
    <w:p>
      <w:pPr>
        <w:pStyle w:val="BodyText"/>
        <w:spacing w:line="307" w:lineRule="auto" w:before="77"/>
        <w:ind w:right="1130"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3"/>
        </w:rPr>
        <w:t> </w:t>
      </w:r>
      <w:r>
        <w:rPr>
          <w:spacing w:val="-63"/>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t>和计量》的有关规定进行会计处理，其在丧失控制之日的公允价值与账面价值间的差额计入当期损益。</w:t>
      </w:r>
    </w:p>
    <w:p>
      <w:pPr>
        <w:pStyle w:val="BodyText"/>
        <w:spacing w:line="314" w:lineRule="auto" w:before="26"/>
        <w:ind w:left="154" w:right="113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6"/>
        </w:rPr>
        <w:t> </w:t>
      </w:r>
      <w:r>
        <w:rPr>
          <w:spacing w:val="-66"/>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16" w:lineRule="auto" w:before="20"/>
        <w:ind w:left="154"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ind w:left="154" w:right="1139"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left="154" w:right="114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00" w:lineRule="auto" w:before="31"/>
        <w:ind w:left="514" w:right="0"/>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before="32"/>
        <w:ind w:left="513" w:right="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ind w:right="0"/>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1" w:firstLine="360"/>
        <w:jc w:val="left"/>
      </w:pPr>
      <w:r>
        <w:rPr>
          <w:spacing w:val="-2"/>
        </w:rPr>
        <w:t>重大影响，是指投资方对被投资单位的财务和经营政策有参与决策的权力，但并不能够控制或者与其他方一起共同控制</w:t>
      </w:r>
      <w:r>
        <w:rPr/>
        <w:t> </w:t>
      </w:r>
      <w:r>
        <w:rPr>
          <w:spacing w:val="-4"/>
        </w:rPr>
        <w:t>这些政策的制定。本公司通过以下一种或多种情形，并综合考虑所有事实和情况后，判断对被投资单位具有重大影响。</w:t>
      </w:r>
      <w:r>
        <w:rPr>
          <w:spacing w:val="30"/>
        </w:rPr>
        <w:t> </w:t>
      </w:r>
      <w:r>
        <w:rPr/>
        <w:t>（</w:t>
      </w:r>
      <w:r>
        <w:rPr>
          <w:rFonts w:ascii="Times New Roman" w:hAnsi="Times New Roman" w:cs="Times New Roman" w:eastAsia="Times New Roman" w:hint="default"/>
        </w:rPr>
        <w:t>1</w:t>
      </w:r>
      <w:r>
        <w:rPr/>
        <w:t>）</w:t>
      </w:r>
      <w:r>
        <w:rPr>
          <w:spacing w:val="-86"/>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8"/>
        <w:rPr>
          <w:rFonts w:ascii="宋体" w:hAnsi="宋体" w:cs="宋体" w:eastAsia="宋体" w:hint="default"/>
          <w:sz w:val="21"/>
          <w:szCs w:val="21"/>
        </w:rPr>
      </w:pPr>
    </w:p>
    <w:p>
      <w:pPr>
        <w:pStyle w:val="Heading3"/>
        <w:spacing w:line="240" w:lineRule="auto"/>
        <w:ind w:left="153" w:right="0"/>
        <w:jc w:val="left"/>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4" w:right="8952"/>
        <w:jc w:val="left"/>
      </w:pPr>
      <w:r>
        <w:rPr/>
        <w:t>投资性房地产计量模式 成本法计量 折旧或摊销方法</w:t>
      </w:r>
    </w:p>
    <w:p>
      <w:pPr>
        <w:pStyle w:val="BodyText"/>
        <w:spacing w:line="316" w:lineRule="auto" w:before="25"/>
        <w:ind w:left="154" w:right="0" w:firstLine="360"/>
        <w:jc w:val="left"/>
      </w:pPr>
      <w:r>
        <w:rPr>
          <w:spacing w:val="-2"/>
        </w:rPr>
        <w:t>本公司对投资性房地产采用成本模式进行后续计量，按其预计使用寿命及净残值率对建筑物和土地使用权计提折旧或摊</w:t>
      </w:r>
      <w:r>
        <w:rPr/>
        <w:t> 销。投资性房地产的预计使用寿命、净残值率及年折旧（摊销）率列示如下：</w:t>
      </w:r>
    </w:p>
    <w:p>
      <w:pPr>
        <w:pStyle w:val="BodyText"/>
        <w:spacing w:line="240" w:lineRule="auto" w:before="44"/>
        <w:ind w:left="0" w:right="1607"/>
        <w:jc w:val="right"/>
      </w:pPr>
      <w:r>
        <w:rPr/>
        <w:pict>
          <v:shape style="position:absolute;margin-left:84.139999pt;margin-top:.411697pt;width:427.25pt;height:36.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0"/>
                    <w:gridCol w:w="2032"/>
                    <w:gridCol w:w="2216"/>
                    <w:gridCol w:w="1830"/>
                  </w:tblGrid>
                  <w:tr>
                    <w:trPr>
                      <w:trHeight w:val="355" w:hRule="exact"/>
                    </w:trPr>
                    <w:tc>
                      <w:tcPr>
                        <w:tcW w:w="2450" w:type="dxa"/>
                        <w:tcBorders>
                          <w:top w:val="single" w:sz="6" w:space="0" w:color="000000"/>
                          <w:left w:val="single" w:sz="6" w:space="0" w:color="000000"/>
                          <w:bottom w:val="single" w:sz="12" w:space="0" w:color="000000"/>
                          <w:right w:val="single" w:sz="6" w:space="0" w:color="000000"/>
                        </w:tcBorders>
                      </w:tcPr>
                      <w:p>
                        <w:pPr>
                          <w:pStyle w:val="TableParagraph"/>
                          <w:tabs>
                            <w:tab w:pos="398" w:val="left" w:leader="none"/>
                          </w:tabs>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8"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年折旧（摊销）率（</w:t>
                        </w:r>
                        <w:r>
                          <w:rPr>
                            <w:rFonts w:ascii="Times New Roman" w:hAnsi="Times New Roman" w:cs="Times New Roman" w:eastAsia="Times New Roman" w:hint="default"/>
                            <w:spacing w:val="-6"/>
                            <w:sz w:val="18"/>
                            <w:szCs w:val="18"/>
                          </w:rPr>
                          <w:t>%</w:t>
                        </w:r>
                      </w:p>
                    </w:tc>
                  </w:tr>
                  <w:tr>
                    <w:trPr>
                      <w:trHeight w:val="353" w:hRule="exact"/>
                    </w:trPr>
                    <w:tc>
                      <w:tcPr>
                        <w:tcW w:w="2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sz w:val="18"/>
                          </w:rPr>
                          <w:t>10.00</w:t>
                        </w:r>
                        <w:r>
                          <w:rPr>
                            <w:rFonts w:ascii="宋体"/>
                            <w:sz w:val="18"/>
                          </w:rPr>
                          <w:t>%</w:t>
                        </w:r>
                      </w:p>
                    </w:tc>
                    <w:tc>
                      <w:tcPr>
                        <w:tcW w:w="1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sz w:val="18"/>
                          </w:rPr>
                          <w:t>4.50</w:t>
                        </w:r>
                        <w:r>
                          <w:rPr>
                            <w:rFonts w:ascii="宋体"/>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16" w:lineRule="auto" w:before="0"/>
        <w:ind w:left="154" w:right="1131" w:firstLine="360"/>
        <w:jc w:val="both"/>
      </w:pPr>
      <w:r>
        <w:rPr>
          <w:spacing w:val="-2"/>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pStyle w:val="BodyText"/>
        <w:spacing w:line="316" w:lineRule="auto"/>
        <w:ind w:left="154" w:right="1133"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1042" w:firstLine="360"/>
        <w:jc w:val="both"/>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left="153"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w:t>
            </w:r>
            <w:r>
              <w:rPr>
                <w:rFonts w:ascii="Times New Roman" w:hAnsi="Times New Roman" w:cs="Times New Roman" w:eastAsia="Times New Roman" w:hint="default"/>
                <w:sz w:val="18"/>
                <w:szCs w:val="18"/>
              </w:rPr>
              <w:t>1.80%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w:t>
            </w:r>
            <w:r>
              <w:rPr>
                <w:rFonts w:ascii="宋体" w:hAnsi="宋体" w:cs="宋体" w:eastAsia="宋体" w:hint="default"/>
                <w:sz w:val="18"/>
                <w:szCs w:val="18"/>
              </w:rPr>
              <w:t>～</w:t>
            </w:r>
            <w:r>
              <w:rPr>
                <w:rFonts w:ascii="Times New Roman" w:hAnsi="Times New Roman" w:cs="Times New Roman" w:eastAsia="Times New Roman" w:hint="default"/>
                <w:sz w:val="18"/>
                <w:szCs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w:t>
            </w:r>
            <w:r>
              <w:rPr>
                <w:rFonts w:ascii="宋体" w:hAnsi="宋体" w:cs="宋体" w:eastAsia="宋体" w:hint="default"/>
                <w:sz w:val="18"/>
                <w:szCs w:val="18"/>
              </w:rPr>
              <w:t>～</w:t>
            </w:r>
            <w:r>
              <w:rPr>
                <w:rFonts w:ascii="Times New Roman" w:hAnsi="Times New Roman" w:cs="Times New Roman" w:eastAsia="Times New Roman" w:hint="default"/>
                <w:sz w:val="18"/>
                <w:szCs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0"/>
        <w:jc w:val="left"/>
      </w:pPr>
      <w:r>
        <w:rPr/>
        <w:t>当本公司租入的固定资产符合下列一项或数项标准时，确认为融资租入固定资产：</w:t>
      </w:r>
    </w:p>
    <w:p>
      <w:pPr>
        <w:pStyle w:val="BodyText"/>
        <w:spacing w:line="240" w:lineRule="auto" w:before="117"/>
        <w:ind w:left="513" w:right="0"/>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2" w:lineRule="auto" w:before="101"/>
        <w:ind w:left="154" w:right="1122"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69"/>
        <w:ind w:left="514" w:right="0"/>
        <w:jc w:val="left"/>
      </w:pPr>
      <w:r>
        <w:rPr/>
        <w:t>（</w:t>
      </w:r>
      <w:r>
        <w:rPr>
          <w:rFonts w:ascii="Times New Roman" w:hAnsi="Times New Roman" w:cs="Times New Roman" w:eastAsia="Times New Roman" w:hint="default"/>
        </w:rPr>
        <w:t>3</w:t>
      </w:r>
      <w:r>
        <w:rPr/>
        <w:t>）即使资产的所有权不转移，但租赁期占租赁资产使用寿命的大部分。</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14" w:lineRule="auto" w:before="101"/>
        <w:ind w:left="154" w:right="1131" w:firstLine="360"/>
        <w:jc w:val="both"/>
      </w:pPr>
      <w:r>
        <w:rPr/>
        <w:t>（</w:t>
      </w:r>
      <w:r>
        <w:rPr>
          <w:rFonts w:ascii="Times New Roman" w:hAnsi="Times New Roman" w:cs="Times New Roman" w:eastAsia="Times New Roman" w:hint="default"/>
        </w:rPr>
        <w:t>5</w:t>
      </w:r>
      <w:r>
        <w:rPr/>
        <w:t>）租赁资产性质特殊，如果不作较大改造，只有本公司才能使用。融资租赁租入的固定资产，按租赁开始日租赁资 </w:t>
      </w:r>
      <w:r>
        <w:rPr>
          <w:spacing w:val="-2"/>
        </w:rPr>
        <w:t>产公允价值与最低租赁付款额的现值两者中较低者，作为入账价值。最低租赁付款额作为长期应付款的入账价值，其差额作</w:t>
      </w:r>
      <w:r>
        <w:rPr>
          <w:spacing w:val="-66"/>
        </w:rPr>
        <w:t> </w:t>
      </w:r>
      <w:r>
        <w:rPr>
          <w:spacing w:val="-66"/>
        </w:rPr>
      </w:r>
      <w:r>
        <w:rPr>
          <w:spacing w:val="-2"/>
        </w:rPr>
        <w:t>为未确认融资费用。在租赁谈判和签订租赁合同过程中发生的，可归属于租赁项目的手续费、律师费、差旅费、印花税等初</w:t>
      </w:r>
      <w:r>
        <w:rPr>
          <w:spacing w:val="-66"/>
        </w:rPr>
        <w:t> </w:t>
      </w:r>
      <w:r>
        <w:rPr>
          <w:spacing w:val="-66"/>
        </w:rPr>
      </w:r>
      <w:r>
        <w:rPr>
          <w:spacing w:val="-2"/>
        </w:rPr>
        <w:t>始直接费用，计入租入资产价值。未确认融资费用在租赁期内各个期间采用实际利率法进行分摊。本公司采用与自有固定资</w:t>
      </w:r>
      <w:r>
        <w:rPr>
          <w:spacing w:val="-66"/>
        </w:rPr>
        <w:t> </w:t>
      </w:r>
      <w:r>
        <w:rPr>
          <w:spacing w:val="-66"/>
        </w:rPr>
      </w:r>
      <w:r>
        <w:rPr>
          <w:spacing w:val="-2"/>
        </w:rPr>
        <w:t>产相一致的折旧政策计提融资租入固定资产折旧。能够合理确定租赁期届满时取得租赁资产所有权的，在租赁资产使用寿命</w:t>
      </w:r>
      <w:r>
        <w:rPr>
          <w:spacing w:val="-64"/>
        </w:rPr>
        <w:t> </w:t>
      </w:r>
      <w:r>
        <w:rPr>
          <w:spacing w:val="-64"/>
        </w:rPr>
      </w:r>
      <w:r>
        <w:rPr>
          <w:spacing w:val="-2"/>
        </w:rPr>
        <w:t>内计提折旧。无法合理确定租赁期届满时能够取得租赁资产所有权的，在租赁期与租赁资产使用寿命两者中较短的期间内计</w:t>
      </w:r>
      <w:r>
        <w:rPr>
          <w:spacing w:val="-64"/>
        </w:rPr>
        <w:t> </w:t>
      </w:r>
      <w:r>
        <w:rPr>
          <w:spacing w:val="-64"/>
        </w:rPr>
      </w:r>
      <w:r>
        <w:rPr/>
        <w:t>提折旧。</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1032"/>
        <w:jc w:val="left"/>
      </w:pPr>
      <w:r>
        <w:rPr>
          <w:rFonts w:ascii="Times New Roman" w:hAnsi="Times New Roman" w:cs="Times New Roman" w:eastAsia="Times New Roman" w:hint="default"/>
        </w:rPr>
        <w:t>1</w:t>
      </w:r>
      <w:r>
        <w:rPr/>
        <w:t>．在建工程的类别 本公司自行建造的在建工程按实际成本计价，实际成本由建造该项资产达到预定可使用状态前所发生的必要支出构成，</w:t>
      </w:r>
    </w:p>
    <w:p>
      <w:pPr>
        <w:pStyle w:val="BodyText"/>
        <w:spacing w:line="316" w:lineRule="auto" w:before="31"/>
        <w:ind w:left="154" w:right="0"/>
        <w:jc w:val="left"/>
      </w:pPr>
      <w:r>
        <w:rPr>
          <w:spacing w:val="-2"/>
        </w:rPr>
        <w:t>包括工程用物资成本、人工成本、交纳的相关税费、应予资本化的借款费用以及应分摊的间接费用等。本公司的在建工程以</w:t>
      </w:r>
      <w:r>
        <w:rPr>
          <w:spacing w:val="-66"/>
        </w:rPr>
        <w:t> </w:t>
      </w:r>
      <w:r>
        <w:rPr>
          <w:spacing w:val="-66"/>
        </w:rPr>
      </w:r>
      <w:r>
        <w:rPr/>
        <w:t>项目分类核算。</w:t>
      </w:r>
    </w:p>
    <w:p>
      <w:pPr>
        <w:pStyle w:val="BodyText"/>
        <w:spacing w:line="300" w:lineRule="auto"/>
        <w:ind w:left="514" w:right="0"/>
        <w:jc w:val="left"/>
      </w:pP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316" w:lineRule="auto" w:before="31"/>
        <w:ind w:left="154"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0"/>
        <w:jc w:val="left"/>
      </w:pPr>
      <w:r>
        <w:rPr>
          <w:rFonts w:ascii="Times New Roman" w:hAnsi="Times New Roman" w:cs="Times New Roman" w:eastAsia="Times New Roman" w:hint="default"/>
        </w:rPr>
        <w:t>1</w:t>
      </w:r>
      <w:r>
        <w:rPr/>
        <w:t>．借款费用资本化的确认原则 </w:t>
      </w:r>
      <w:r>
        <w:rPr>
          <w:spacing w:val="-4"/>
        </w:rPr>
        <w:t>公司发生的借款费用，可直接归属于符合资本化条件的资产的购建或者生产的，在符合资本化条件的情况下开始资本化，</w:t>
      </w:r>
    </w:p>
    <w:p>
      <w:pPr>
        <w:pStyle w:val="BodyText"/>
        <w:spacing w:line="316" w:lineRule="auto" w:before="31"/>
        <w:ind w:left="513" w:right="1213" w:hanging="360"/>
        <w:jc w:val="left"/>
      </w:pPr>
      <w:r>
        <w:rPr/>
        <w:t>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ind w:left="514" w:right="6972" w:hanging="360"/>
        <w:jc w:val="left"/>
      </w:pPr>
      <w:r>
        <w:rPr/>
        <w:t>产、投资性房地产和存货等资产。 借款费用同时满足下列条件时开始资本化：</w:t>
      </w:r>
    </w:p>
    <w:p>
      <w:pPr>
        <w:pStyle w:val="BodyText"/>
        <w:spacing w:line="300" w:lineRule="auto"/>
        <w:ind w:left="154"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3" w:right="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left"/>
      </w:pPr>
      <w:r>
        <w:rPr/>
        <w:t>款费用资本化。</w:t>
      </w:r>
    </w:p>
    <w:p>
      <w:pPr>
        <w:pStyle w:val="BodyText"/>
        <w:spacing w:line="300" w:lineRule="auto" w:before="76"/>
        <w:ind w:left="514" w:right="0"/>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240" w:lineRule="auto"/>
        <w:ind w:left="513" w:right="0"/>
        <w:jc w:val="left"/>
      </w:pPr>
      <w:r>
        <w:rPr>
          <w:rFonts w:ascii="Times New Roman" w:hAnsi="Times New Roman" w:cs="Times New Roman" w:eastAsia="Times New Roman" w:hint="default"/>
        </w:rPr>
        <w:t>4</w:t>
      </w:r>
      <w:r>
        <w:rPr/>
        <w:t>．借款费用资本化金额的计算方法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专门借款的利息费用（扣除尚未动用的借款资金存入银行取得的利息收入或者进行暂时性投资取得的投资收益）及其辅</w:t>
      </w:r>
      <w:r>
        <w:rPr/>
        <w:t> 助费用在所购建或者生产的符合资本化条件的资产达到预定可使用或者可销售状态前，予以资本化。</w:t>
      </w:r>
    </w:p>
    <w:p>
      <w:pPr>
        <w:pStyle w:val="BodyText"/>
        <w:spacing w:line="316" w:lineRule="auto"/>
        <w:ind w:right="0" w:firstLine="360"/>
        <w:jc w:val="left"/>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240" w:lineRule="auto"/>
        <w:ind w:left="513" w:right="0"/>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9、无形资产" w:id="186"/>
      <w:bookmarkEnd w:id="18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0"/>
        <w:jc w:val="left"/>
      </w:pPr>
      <w:r>
        <w:rPr>
          <w:rFonts w:ascii="Times New Roman" w:hAnsi="Times New Roman" w:cs="Times New Roman" w:eastAsia="Times New Roman" w:hint="default"/>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ind w:left="154"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ind w:left="154" w:right="0"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0" w:lineRule="auto"/>
        <w:ind w:left="514" w:right="2472"/>
        <w:jc w:val="left"/>
      </w:pP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w:t>
      </w:r>
    </w:p>
    <w:p>
      <w:pPr>
        <w:pStyle w:val="BodyText"/>
        <w:spacing w:line="300" w:lineRule="auto" w:before="31"/>
        <w:ind w:left="514" w:right="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1"/>
        <w:ind w:left="154" w:right="0"/>
        <w:jc w:val="left"/>
      </w:pPr>
      <w:r>
        <w:rPr/>
        <w:t>据如下：</w:t>
      </w:r>
    </w:p>
    <w:p>
      <w:pPr>
        <w:spacing w:line="240" w:lineRule="auto" w:before="0"/>
        <w:rPr>
          <w:rFonts w:ascii="宋体" w:hAnsi="宋体" w:cs="宋体" w:eastAsia="宋体" w:hint="default"/>
          <w:sz w:val="5"/>
          <w:szCs w:val="5"/>
        </w:rPr>
      </w:pPr>
    </w:p>
    <w:tbl>
      <w:tblPr>
        <w:tblW w:w="0" w:type="auto"/>
        <w:jc w:val="left"/>
        <w:tblInd w:w="758" w:type="dxa"/>
        <w:tblLayout w:type="fixed"/>
        <w:tblCellMar>
          <w:top w:w="0" w:type="dxa"/>
          <w:left w:w="0" w:type="dxa"/>
          <w:bottom w:w="0" w:type="dxa"/>
          <w:right w:w="0" w:type="dxa"/>
        </w:tblCellMar>
        <w:tblLook w:val="01E0"/>
      </w:tblPr>
      <w:tblGrid>
        <w:gridCol w:w="2807"/>
        <w:gridCol w:w="2807"/>
        <w:gridCol w:w="2807"/>
      </w:tblGrid>
      <w:tr>
        <w:trPr>
          <w:trHeight w:val="342" w:hRule="exact"/>
        </w:trPr>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58"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2"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受益期限</w:t>
            </w:r>
          </w:p>
        </w:tc>
      </w:tr>
    </w:tbl>
    <w:p>
      <w:pPr>
        <w:pStyle w:val="BodyText"/>
        <w:spacing w:line="316" w:lineRule="auto" w:before="10"/>
        <w:ind w:left="154" w:right="1032" w:firstLine="360"/>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ind w:left="513" w:right="0"/>
        <w:jc w:val="left"/>
      </w:pPr>
      <w:r>
        <w:rPr/>
        <w:t>（</w:t>
      </w:r>
      <w:r>
        <w:rPr>
          <w:rFonts w:ascii="Times New Roman" w:hAnsi="Times New Roman" w:cs="Times New Roman" w:eastAsia="Times New Roman" w:hint="default"/>
        </w:rPr>
        <w:t>2</w:t>
      </w:r>
      <w:r>
        <w:rPr/>
        <w:t>）使用寿命不确定的无形资产 </w:t>
      </w:r>
      <w:r>
        <w:rPr>
          <w:spacing w:val="-2"/>
        </w:rPr>
        <w:t>对于使用寿命不确定的无形资产，在持有期间内不摊销，每期末对无形资产的寿命进行复核。如果期末重新复核后仍为</w:t>
      </w:r>
    </w:p>
    <w:p>
      <w:pPr>
        <w:pStyle w:val="BodyText"/>
        <w:spacing w:line="240" w:lineRule="auto" w:before="31"/>
        <w:ind w:right="0"/>
        <w:jc w:val="left"/>
      </w:pPr>
      <w:r>
        <w:rPr/>
        <w:t>不确定的，在每个会计期间继续进行减值测试</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513" w:right="0"/>
        <w:jc w:val="left"/>
      </w:pPr>
      <w:r>
        <w:rPr>
          <w:rFonts w:ascii="宋体" w:hAnsi="宋体" w:cs="宋体" w:eastAsia="宋体"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7"/>
        <w:ind w:left="513" w:right="5533" w:hanging="360"/>
        <w:jc w:val="left"/>
      </w:pPr>
      <w:r>
        <w:rPr/>
        <w:t>进的材料、装置、产品等活动的阶段。 内部研究开发项目研究阶段的支出，在发生时计入当期损益。 </w:t>
      </w:r>
      <w:r>
        <w:rPr>
          <w:rFonts w:ascii="宋体" w:hAnsi="宋体" w:cs="宋体" w:eastAsia="宋体" w:hint="default"/>
        </w:rPr>
        <w:t>2</w:t>
      </w:r>
      <w:r>
        <w:rPr/>
        <w:t>．开发阶段支出符合资本化的具体标准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内部研究开发项目开发阶段的支出，同时满足下列条件时确认为无形资产：</w:t>
      </w:r>
    </w:p>
    <w:p>
      <w:pPr>
        <w:pStyle w:val="BodyText"/>
        <w:spacing w:line="240" w:lineRule="auto" w:before="76"/>
        <w:ind w:left="513"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0"/>
        <w:jc w:val="left"/>
      </w:pPr>
      <w:r>
        <w:rPr/>
        <w:t>（</w:t>
      </w:r>
      <w:r>
        <w:rPr>
          <w:rFonts w:ascii="宋体" w:hAnsi="宋体" w:cs="宋体" w:eastAsia="宋体" w:hint="default"/>
        </w:rPr>
        <w:t>2</w:t>
      </w:r>
      <w:r>
        <w:rPr/>
        <w:t>）具有完成该无形资产并使用或出售的意图；</w:t>
      </w:r>
    </w:p>
    <w:p>
      <w:pPr>
        <w:pStyle w:val="BodyText"/>
        <w:spacing w:line="319" w:lineRule="auto" w:before="76"/>
        <w:ind w:left="154" w:right="1122" w:firstLine="360"/>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17"/>
        <w:ind w:left="514"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514" w:right="0"/>
        <w:jc w:val="left"/>
      </w:pPr>
      <w:r>
        <w:rPr/>
        <w:t>（</w:t>
      </w:r>
      <w:r>
        <w:rPr>
          <w:rFonts w:ascii="宋体" w:hAnsi="宋体" w:cs="宋体" w:eastAsia="宋体"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ind w:left="154" w:right="0"/>
        <w:jc w:val="both"/>
      </w:pPr>
      <w:r>
        <w:rPr/>
        <w:t>资产。已资本化的开发阶段的支出在资产负债表上列示为开发支出，自该项目达到预定用途之日起转为无形资产。</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0、长期资产减值" w:id="189"/>
      <w:bookmarkEnd w:id="189"/>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ind w:left="514" w:right="103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ind w:left="154" w:right="1118"/>
        <w:jc w:val="left"/>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16" w:lineRule="auto"/>
        <w:ind w:left="154" w:right="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ind w:left="514" w:right="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ind w:left="154"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1、长期待摊费用" w:id="190"/>
      <w:bookmarkEnd w:id="190"/>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both"/>
      </w:pPr>
      <w:r>
        <w:rPr>
          <w:rFonts w:ascii="Times New Roman" w:hAnsi="Times New Roman" w:cs="Times New Roman" w:eastAsia="Times New Roman" w:hint="default"/>
        </w:rPr>
        <w:t>1</w:t>
      </w:r>
      <w:r>
        <w:rPr/>
        <w:t>．摊销方法</w:t>
      </w:r>
    </w:p>
    <w:p>
      <w:pPr>
        <w:pStyle w:val="BodyText"/>
        <w:spacing w:line="300" w:lineRule="auto" w:before="63"/>
        <w:ind w:right="1123"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pStyle w:val="BodyText"/>
        <w:spacing w:line="240" w:lineRule="auto" w:before="31"/>
        <w:ind w:left="154" w:right="0"/>
        <w:jc w:val="both"/>
      </w:pPr>
      <w:r>
        <w:rPr>
          <w:rFonts w:ascii="Times New Roman" w:hAnsi="Times New Roman" w:cs="Times New Roman" w:eastAsia="Times New Roman" w:hint="default"/>
        </w:rPr>
        <w:t>2</w:t>
      </w:r>
      <w:r>
        <w:rPr/>
        <w:t>．摊销年限</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2842"/>
        <w:gridCol w:w="2843"/>
        <w:gridCol w:w="2843"/>
      </w:tblGrid>
      <w:tr>
        <w:trPr>
          <w:trHeight w:val="342"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职工薪酬" w:id="191"/>
      <w:bookmarkEnd w:id="191"/>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3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032"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6" w:lineRule="auto"/>
        <w:ind w:left="514" w:right="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316" w:lineRule="auto"/>
        <w:ind w:right="1573"/>
        <w:jc w:val="left"/>
      </w:pPr>
      <w:r>
        <w:rPr/>
        <w:t>本公司提供服务的会计期间，将根据设定提存计划计算的应缴存金额确认为负债，并计入当期损益或相关资产成本。 本公司按照国家规定的标准和年金计划定期缴付上述款项后，不再有其他的支付义务。</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6" w:lineRule="auto"/>
        <w:ind w:right="0"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其他长期职工福利的会计处理方法" w:id="195"/>
      <w:bookmarkEnd w:id="19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0"/>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16" w:lineRule="auto"/>
        <w:ind w:right="0"/>
        <w:jc w:val="left"/>
      </w:pPr>
      <w:r>
        <w:rPr>
          <w:spacing w:val="-2"/>
        </w:rPr>
        <w:t>入当期损益或相关资产成本；除上述情形外的其他长期职工福利，在资产负债表日由独立精算师使用预期累计福利单位法进</w:t>
      </w:r>
      <w:r>
        <w:rPr>
          <w:spacing w:val="-64"/>
        </w:rPr>
        <w:t> </w:t>
      </w:r>
      <w:r>
        <w:rPr>
          <w:spacing w:val="-64"/>
        </w:rPr>
      </w:r>
      <w:r>
        <w:rPr/>
        <w:t>行精算，将设定受益计划产生的福利义务归属于职工提供服务的期间，并计入当期损益或相关资产成本。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3、预计负债" w:id="196"/>
      <w:bookmarkEnd w:id="196"/>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4813"/>
        <w:jc w:val="left"/>
      </w:pPr>
      <w:r>
        <w:rPr>
          <w:rFonts w:ascii="宋体" w:hAnsi="宋体" w:cs="宋体" w:eastAsia="宋体"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16" w:lineRule="auto"/>
        <w:ind w:left="514" w:right="4272"/>
        <w:jc w:val="left"/>
      </w:pPr>
      <w:r>
        <w:rPr>
          <w:rFonts w:ascii="宋体" w:hAnsi="宋体" w:cs="宋体" w:eastAsia="宋体" w:hint="default"/>
        </w:rPr>
        <w:t>2</w:t>
      </w:r>
      <w:r>
        <w:rPr/>
        <w:t>．预计负债的计量方法 本公司预计负债按履行相关现时义务所需的支出的最佳估计数进行初始计量。</w:t>
      </w:r>
    </w:p>
    <w:p>
      <w:pPr>
        <w:pStyle w:val="BodyText"/>
        <w:spacing w:line="316" w:lineRule="auto"/>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ind w:left="51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ind w:left="51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ind w:left="154"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240" w:lineRule="auto"/>
        <w:ind w:left="514" w:right="0"/>
        <w:jc w:val="left"/>
      </w:pPr>
      <w:r>
        <w:rPr/>
        <w:t>本公司清偿预计负债所需支出全部或部分预期由第三方补偿的，补偿金额在基本确定能够收到时，作为资产单独确认，</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确认的补偿金额不超过预计负债的账面价值。</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4、股份支付" w:id="197"/>
      <w:bookmarkEnd w:id="197"/>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4633"/>
        <w:jc w:val="left"/>
      </w:pPr>
      <w:r>
        <w:rPr>
          <w:rFonts w:ascii="宋体" w:hAnsi="宋体" w:cs="宋体" w:eastAsia="宋体" w:hint="default"/>
        </w:rPr>
        <w:t>1</w:t>
      </w:r>
      <w:r>
        <w:rPr/>
        <w:t>．股份支付的种类 本公司的股份支付分为以权益结算的股份支付和以现金结算的股份支付。 </w:t>
      </w:r>
      <w:r>
        <w:rPr>
          <w:rFonts w:ascii="宋体" w:hAnsi="宋体" w:cs="宋体" w:eastAsia="宋体" w:hint="default"/>
        </w:rPr>
        <w:t>2</w:t>
      </w:r>
      <w:r>
        <w:rPr/>
        <w:t>．权益工具公允价值的确定方法</w:t>
      </w:r>
    </w:p>
    <w:p>
      <w:pPr>
        <w:pStyle w:val="BodyText"/>
        <w:spacing w:line="316" w:lineRule="auto"/>
        <w:ind w:right="1042"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宋体" w:hAnsi="宋体" w:cs="宋体" w:eastAsia="宋体" w:hint="default"/>
          <w:spacing w:val="-2"/>
        </w:rPr>
        <w:t>1</w:t>
      </w:r>
      <w:r>
        <w:rPr>
          <w:spacing w:val="-2"/>
        </w:rPr>
        <w:t>）期权的行权价格；（</w:t>
      </w:r>
      <w:r>
        <w:rPr>
          <w:rFonts w:ascii="宋体" w:hAnsi="宋体" w:cs="宋体" w:eastAsia="宋体" w:hint="default"/>
          <w:spacing w:val="-2"/>
        </w:rPr>
        <w:t>2</w:t>
      </w:r>
      <w:r>
        <w:rPr>
          <w:spacing w:val="-2"/>
        </w:rPr>
        <w:t>）期</w:t>
      </w:r>
      <w:r>
        <w:rPr>
          <w:spacing w:val="-76"/>
        </w:rPr>
        <w:t> </w:t>
      </w:r>
      <w:r>
        <w:rPr>
          <w:spacing w:val="-4"/>
        </w:rPr>
        <w:t>权的有效期；（</w:t>
      </w:r>
      <w:r>
        <w:rPr>
          <w:rFonts w:ascii="宋体" w:hAnsi="宋体" w:cs="宋体" w:eastAsia="宋体" w:hint="default"/>
          <w:spacing w:val="-4"/>
        </w:rPr>
        <w:t>3</w:t>
      </w:r>
      <w:r>
        <w:rPr>
          <w:spacing w:val="-4"/>
        </w:rPr>
        <w:t>）标的股份的现行价格；（</w:t>
      </w:r>
      <w:r>
        <w:rPr>
          <w:rFonts w:ascii="宋体" w:hAnsi="宋体" w:cs="宋体" w:eastAsia="宋体" w:hint="default"/>
          <w:spacing w:val="-4"/>
        </w:rPr>
        <w:t>4</w:t>
      </w:r>
      <w:r>
        <w:rPr>
          <w:spacing w:val="-4"/>
        </w:rPr>
        <w:t>）股价预计波动率；（</w:t>
      </w:r>
      <w:r>
        <w:rPr>
          <w:rFonts w:ascii="宋体" w:hAnsi="宋体" w:cs="宋体" w:eastAsia="宋体" w:hint="default"/>
          <w:spacing w:val="-4"/>
        </w:rPr>
        <w:t>5</w:t>
      </w:r>
      <w:r>
        <w:rPr>
          <w:spacing w:val="-4"/>
        </w:rPr>
        <w:t>）股份的预计股利；（</w:t>
      </w:r>
      <w:r>
        <w:rPr>
          <w:rFonts w:ascii="宋体" w:hAnsi="宋体" w:cs="宋体" w:eastAsia="宋体" w:hint="default"/>
          <w:spacing w:val="-4"/>
        </w:rPr>
        <w:t>6</w:t>
      </w:r>
      <w:r>
        <w:rPr>
          <w:spacing w:val="-4"/>
        </w:rPr>
        <w:t>）期权有效期内的无风险利率。</w:t>
      </w:r>
    </w:p>
    <w:p>
      <w:pPr>
        <w:pStyle w:val="BodyText"/>
        <w:spacing w:line="316" w:lineRule="auto"/>
        <w:ind w:right="113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6"/>
        </w:rPr>
        <w:t> </w:t>
      </w:r>
      <w:r>
        <w:rPr>
          <w:spacing w:val="-66"/>
        </w:rPr>
      </w:r>
      <w:r>
        <w:rPr/>
        <w:t>相对应的成本费用。</w:t>
      </w:r>
    </w:p>
    <w:p>
      <w:pPr>
        <w:pStyle w:val="BodyText"/>
        <w:spacing w:line="316" w:lineRule="auto"/>
        <w:ind w:left="514" w:right="0"/>
        <w:jc w:val="left"/>
      </w:pPr>
      <w:r>
        <w:rPr>
          <w:rFonts w:ascii="宋体" w:hAnsi="宋体" w:cs="宋体" w:eastAsia="宋体"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316" w:lineRule="auto"/>
        <w:ind w:left="513" w:right="1118" w:hanging="360"/>
        <w:jc w:val="left"/>
      </w:pPr>
      <w:r>
        <w:rPr/>
        <w:t>具数量。在可行权日，最终预计可行权权益工具的数量与实际可行权数量一致。 </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316" w:lineRule="auto"/>
        <w:ind w:left="154" w:right="1133"/>
        <w:jc w:val="both"/>
      </w:pP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9" w:lineRule="auto"/>
        <w:ind w:right="1132"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7"/>
        <w:ind w:left="513" w:right="0"/>
        <w:jc w:val="left"/>
      </w:pPr>
      <w:r>
        <w:rPr>
          <w:rFonts w:ascii="宋体" w:hAnsi="宋体" w:cs="宋体" w:eastAsia="宋体" w:hint="default"/>
        </w:rPr>
        <w:t>5</w:t>
      </w:r>
      <w:r>
        <w:rPr/>
        <w:t>．对于存在修改条款和条件的情况的，本期的修改情况及相关会计处理 </w:t>
      </w:r>
      <w:r>
        <w:rPr>
          <w:spacing w:val="-2"/>
        </w:rPr>
        <w:t>若在等待期内取消了授予的权益工具，本公司对取消所授予的权益性工具作为加速行权处理，将剩余等待期内应确认的</w:t>
      </w:r>
    </w:p>
    <w:p>
      <w:pPr>
        <w:pStyle w:val="BodyText"/>
        <w:spacing w:line="316" w:lineRule="auto"/>
        <w:ind w:right="1133"/>
        <w:jc w:val="both"/>
      </w:pP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优先股、永续债等其他金融工具" w:id="198"/>
      <w:bookmarkEnd w:id="198"/>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0"/>
        <w:jc w:val="both"/>
      </w:pPr>
      <w:r>
        <w:rPr>
          <w:spacing w:val="-2"/>
        </w:rPr>
        <w:t>本公司按照金融工具准则的规定，根据所发行优先股、永续债等金融工具的合同条款及其所反映的经济实质而非仅以法</w:t>
      </w:r>
      <w:r>
        <w:rPr/>
        <w:t> 律形式，结合金融负债和权益工具的定义，在初始确认时将该金融工具或其组成部分分类为金融负债或权益工具：</w:t>
      </w:r>
    </w:p>
    <w:p>
      <w:pPr>
        <w:pStyle w:val="BodyText"/>
        <w:spacing w:line="240" w:lineRule="auto"/>
        <w:ind w:left="513" w:right="0"/>
        <w:jc w:val="left"/>
      </w:pPr>
      <w:r>
        <w:rPr>
          <w:rFonts w:ascii="宋体" w:hAnsi="宋体" w:cs="宋体" w:eastAsia="宋体" w:hint="default"/>
        </w:rPr>
        <w:t>1</w:t>
      </w:r>
      <w:r>
        <w:rPr/>
        <w:t>．符合下列条件之一，将发行的金融工具分类为金融负债：</w:t>
      </w:r>
    </w:p>
    <w:p>
      <w:pPr>
        <w:pStyle w:val="BodyText"/>
        <w:spacing w:line="240" w:lineRule="auto" w:before="76"/>
        <w:ind w:left="514" w:right="0"/>
        <w:jc w:val="left"/>
      </w:pPr>
      <w:r>
        <w:rPr/>
        <w:t>（</w:t>
      </w:r>
      <w:r>
        <w:rPr>
          <w:rFonts w:ascii="宋体" w:hAnsi="宋体" w:cs="宋体" w:eastAsia="宋体" w:hint="default"/>
        </w:rPr>
        <w:t>1</w:t>
      </w:r>
      <w:r>
        <w:rPr/>
        <w:t>）向其他方交付现金或其他金融资产的合同义务；</w:t>
      </w:r>
    </w:p>
    <w:p>
      <w:pPr>
        <w:pStyle w:val="BodyText"/>
        <w:spacing w:line="240" w:lineRule="auto" w:before="76"/>
        <w:ind w:left="514" w:right="0"/>
        <w:jc w:val="left"/>
      </w:pPr>
      <w:r>
        <w:rPr/>
        <w:t>（</w:t>
      </w:r>
      <w:r>
        <w:rPr>
          <w:rFonts w:ascii="宋体" w:hAnsi="宋体" w:cs="宋体" w:eastAsia="宋体" w:hint="default"/>
        </w:rPr>
        <w:t>2</w:t>
      </w:r>
      <w:r>
        <w:rPr/>
        <w:t>）在潜在不利条件下，与其他方交换金融资产或金融负债的合同义务；</w:t>
      </w:r>
    </w:p>
    <w:p>
      <w:pPr>
        <w:pStyle w:val="BodyText"/>
        <w:spacing w:line="316" w:lineRule="auto" w:before="76"/>
        <w:ind w:left="154" w:right="1141" w:firstLine="360"/>
        <w:jc w:val="both"/>
      </w:pPr>
      <w:r>
        <w:rPr/>
        <w:t>（</w:t>
      </w:r>
      <w:r>
        <w:rPr>
          <w:rFonts w:ascii="宋体" w:hAnsi="宋体" w:cs="宋体" w:eastAsia="宋体" w:hint="default"/>
        </w:rPr>
        <w:t>3</w:t>
      </w:r>
      <w:r>
        <w:rPr/>
        <w:t>）将来须用或可用企业自身权益工具进行结算的非衍生工具合同，且企业根据该合同将交付可变数量的自身权益工 具；</w:t>
      </w:r>
    </w:p>
    <w:p>
      <w:pPr>
        <w:pStyle w:val="BodyText"/>
        <w:spacing w:line="316" w:lineRule="auto"/>
        <w:ind w:left="154" w:right="1141" w:firstLine="360"/>
        <w:jc w:val="both"/>
      </w:pPr>
      <w:r>
        <w:rPr/>
        <w:t>（</w:t>
      </w:r>
      <w:r>
        <w:rPr>
          <w:rFonts w:ascii="宋体" w:hAnsi="宋体" w:cs="宋体" w:eastAsia="宋体" w:hint="default"/>
        </w:rPr>
        <w:t>4</w:t>
      </w:r>
      <w:r>
        <w:rPr/>
        <w:t>）将来须用或可用企业自身权益工具进行结算的衍生工具合同，但以固定数量的自身权益工具交换固定金额的现金 或其他金融资产的衍生工具合同除外。</w:t>
      </w:r>
    </w:p>
    <w:p>
      <w:pPr>
        <w:pStyle w:val="BodyText"/>
        <w:spacing w:line="240" w:lineRule="auto"/>
        <w:ind w:left="514" w:right="0"/>
        <w:jc w:val="left"/>
      </w:pPr>
      <w:r>
        <w:rPr>
          <w:rFonts w:ascii="宋体" w:hAnsi="宋体" w:cs="宋体" w:eastAsia="宋体" w:hint="default"/>
        </w:rPr>
        <w:t>2</w:t>
      </w:r>
      <w:r>
        <w:rPr/>
        <w:t>．同时满足下列条件的，将发行的金融工具分类为权益工具：</w:t>
      </w:r>
    </w:p>
    <w:p>
      <w:pPr>
        <w:pStyle w:val="BodyText"/>
        <w:spacing w:line="316" w:lineRule="auto" w:before="76"/>
        <w:ind w:left="154" w:right="1141" w:firstLine="360"/>
        <w:jc w:val="both"/>
      </w:pPr>
      <w:r>
        <w:rPr/>
        <w:t>（</w:t>
      </w:r>
      <w:r>
        <w:rPr>
          <w:rFonts w:ascii="宋体" w:hAnsi="宋体" w:cs="宋体" w:eastAsia="宋体" w:hint="default"/>
        </w:rPr>
        <w:t>1</w:t>
      </w:r>
      <w:r>
        <w:rPr/>
        <w:t>）该金融工具不包括交付现金或其他金融资产给其他方，或在潜在不利条件下与其他方交换金融资产或金融负债的 合同义务；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32" w:firstLine="360"/>
        <w:jc w:val="both"/>
      </w:pPr>
      <w:r>
        <w:rPr/>
        <w:t>（</w:t>
      </w:r>
      <w:r>
        <w:rPr>
          <w:rFonts w:ascii="宋体" w:hAnsi="宋体" w:cs="宋体" w:eastAsia="宋体" w:hint="default"/>
        </w:rPr>
        <w:t>3</w:t>
      </w:r>
      <w:r>
        <w:rPr/>
        <w:t>）将来须用或可用企业自身权益工具结算该金融工具的，如该金融工具为非衍生工具，不包括交付可变数量的自身 </w:t>
      </w:r>
      <w:r>
        <w:rPr>
          <w:spacing w:val="-2"/>
        </w:rPr>
        <w:t>权益工具进行结算的合同义务；如为衍生工具，企业只能通过以固定数量的自身权益工具交换固定金额的现金或其他金融资</w:t>
      </w:r>
      <w:r>
        <w:rPr>
          <w:spacing w:val="-64"/>
        </w:rPr>
        <w:t> </w:t>
      </w:r>
      <w:r>
        <w:rPr>
          <w:spacing w:val="-64"/>
        </w:rPr>
      </w:r>
      <w:r>
        <w:rPr/>
        <w:t>产结算该金融工具。</w:t>
      </w:r>
    </w:p>
    <w:p>
      <w:pPr>
        <w:pStyle w:val="BodyText"/>
        <w:spacing w:line="319" w:lineRule="auto"/>
        <w:ind w:left="514" w:right="0"/>
        <w:jc w:val="left"/>
      </w:pPr>
      <w:r>
        <w:rPr>
          <w:rFonts w:ascii="宋体" w:hAnsi="宋体" w:cs="宋体" w:eastAsia="宋体" w:hint="default"/>
        </w:rPr>
        <w:t>3</w:t>
      </w:r>
      <w:r>
        <w:rPr/>
        <w:t>．会计处理方法 </w:t>
      </w:r>
      <w:r>
        <w:rPr>
          <w:spacing w:val="-2"/>
        </w:rPr>
        <w:t>对于归类为权益工具的金融工具，其利息支出或股利分配都应当作为发行企业的利润分配，其回购、注销等作为权益的</w:t>
      </w:r>
    </w:p>
    <w:p>
      <w:pPr>
        <w:pStyle w:val="BodyText"/>
        <w:spacing w:line="316" w:lineRule="auto" w:before="17"/>
        <w:ind w:left="514" w:right="0" w:hanging="360"/>
        <w:jc w:val="left"/>
      </w:pPr>
      <w:r>
        <w:rPr/>
        <w:t>变动处理，手续费、佣金等交易费用从权益中扣除； </w:t>
      </w:r>
      <w:r>
        <w:rPr>
          <w:spacing w:val="-2"/>
        </w:rPr>
        <w:t>对于归类为金融负债的金融工具，其利息支出或股利分配原则上按照借款费用进行处理，其回购或赎回产生的利得或损</w:t>
      </w:r>
    </w:p>
    <w:p>
      <w:pPr>
        <w:pStyle w:val="BodyText"/>
        <w:spacing w:line="240" w:lineRule="auto"/>
        <w:ind w:left="154" w:right="0"/>
        <w:jc w:val="left"/>
      </w:pPr>
      <w:r>
        <w:rPr/>
        <w:t>失等计入当期损益，手续费、佣金等交易费用计入所发行工具的初始计量金额。</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6、收入" w:id="199"/>
      <w:bookmarkEnd w:id="199"/>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rFonts w:ascii="宋体" w:hAnsi="宋体" w:cs="宋体" w:eastAsia="宋体"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ind w:left="154"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ind w:left="154" w:right="0" w:firstLine="360"/>
        <w:jc w:val="left"/>
      </w:pPr>
      <w:r>
        <w:rPr>
          <w:spacing w:val="-2"/>
        </w:rPr>
        <w:t>由于公司销售合同约定商品所有权的主要风险和报酬在送达指定地点时转移给购买方，因此公司以商品发出并经客户验</w:t>
      </w:r>
      <w:r>
        <w:rPr/>
        <w:t> 收为确认销售收入时点。</w:t>
      </w:r>
    </w:p>
    <w:p>
      <w:pPr>
        <w:pStyle w:val="BodyText"/>
        <w:spacing w:line="240" w:lineRule="auto"/>
        <w:ind w:left="514" w:right="0"/>
        <w:jc w:val="left"/>
      </w:pPr>
      <w:r>
        <w:rPr/>
        <w:t>公司销售分为内销和外销。</w:t>
      </w:r>
    </w:p>
    <w:p>
      <w:pPr>
        <w:pStyle w:val="BodyText"/>
        <w:spacing w:line="316" w:lineRule="auto" w:before="76"/>
        <w:ind w:left="154" w:right="1122" w:firstLine="360"/>
        <w:jc w:val="left"/>
      </w:pPr>
      <w:r>
        <w:rPr/>
        <w:t>（</w:t>
      </w:r>
      <w:r>
        <w:rPr>
          <w:rFonts w:ascii="宋体" w:hAnsi="宋体" w:cs="宋体" w:eastAsia="宋体" w:hint="default"/>
        </w:rPr>
        <w:t>1</w:t>
      </w:r>
      <w:r>
        <w:rPr/>
        <w:t>）产品内销收入确认：内销采用的交货方式有快递、物流公司运输和公司车送货。公司根据回签的送货清单和相应 的订单、出库通知单、出厂放行条等确认收入。</w:t>
      </w:r>
    </w:p>
    <w:p>
      <w:pPr>
        <w:pStyle w:val="BodyText"/>
        <w:spacing w:line="316" w:lineRule="auto"/>
        <w:ind w:left="154" w:right="1122" w:firstLine="360"/>
        <w:jc w:val="left"/>
      </w:pPr>
      <w:r>
        <w:rPr/>
        <w:t>（</w:t>
      </w:r>
      <w:r>
        <w:rPr>
          <w:rFonts w:ascii="宋体" w:hAnsi="宋体" w:cs="宋体" w:eastAsia="宋体" w:hint="default"/>
        </w:rPr>
        <w:t>2</w:t>
      </w:r>
      <w:r>
        <w:rPr/>
        <w:t>）产品外销收入确认：外销采用的是物流公司运输方式。公司以取得提单并向银行办妥交单手续的日期作为出口商 品外销收入确认的时点。</w:t>
      </w:r>
    </w:p>
    <w:p>
      <w:pPr>
        <w:pStyle w:val="BodyText"/>
        <w:spacing w:line="316" w:lineRule="auto"/>
        <w:ind w:left="154" w:right="1118"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316" w:lineRule="auto"/>
        <w:ind w:left="514" w:right="1032"/>
        <w:jc w:val="left"/>
      </w:pPr>
      <w:r>
        <w:rPr>
          <w:rFonts w:ascii="宋体" w:hAnsi="宋体" w:cs="宋体" w:eastAsia="宋体"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ind w:left="514" w:right="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316" w:lineRule="auto" w:before="76"/>
        <w:ind w:left="513" w:right="4183"/>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rPr>
        <w:t>3</w:t>
      </w:r>
      <w:r>
        <w:rPr/>
        <w:t>．提供劳务收入的确认依据和方法</w:t>
      </w:r>
    </w:p>
    <w:p>
      <w:pPr>
        <w:pStyle w:val="BodyText"/>
        <w:spacing w:line="316" w:lineRule="auto"/>
        <w:ind w:left="154" w:right="0" w:firstLine="360"/>
        <w:jc w:val="left"/>
      </w:pPr>
      <w:r>
        <w:rPr>
          <w:spacing w:val="-4"/>
        </w:rPr>
        <w:t>在资产负债表日提供劳务交易的结果能够可靠估计的，采用完工百分比法确认提供劳务收入。提供劳务交易的完工进度，</w:t>
      </w:r>
      <w:r>
        <w:rPr/>
        <w:t> 依据已完工作的测量确定。</w:t>
      </w:r>
    </w:p>
    <w:p>
      <w:pPr>
        <w:pStyle w:val="BodyText"/>
        <w:spacing w:line="240" w:lineRule="auto"/>
        <w:ind w:left="514" w:right="0"/>
        <w:jc w:val="left"/>
      </w:pPr>
      <w:r>
        <w:rPr/>
        <w:t>提供劳务交易的结果能够可靠估计，是指同时满足下列条件：</w:t>
      </w:r>
    </w:p>
    <w:p>
      <w:pPr>
        <w:pStyle w:val="BodyText"/>
        <w:spacing w:line="240" w:lineRule="auto" w:before="76"/>
        <w:ind w:left="514" w:right="0"/>
        <w:jc w:val="left"/>
      </w:pPr>
      <w:r>
        <w:rPr/>
        <w:t>（</w:t>
      </w:r>
      <w:r>
        <w:rPr>
          <w:rFonts w:ascii="宋体" w:hAnsi="宋体" w:cs="宋体" w:eastAsia="宋体" w:hint="default"/>
        </w:rPr>
        <w:t>1</w:t>
      </w:r>
      <w:r>
        <w:rPr/>
        <w:t>）收入的金额能够可靠地计量；</w:t>
      </w:r>
    </w:p>
    <w:p>
      <w:pPr>
        <w:pStyle w:val="BodyText"/>
        <w:spacing w:line="240" w:lineRule="auto" w:before="76"/>
        <w:ind w:left="513" w:right="0"/>
        <w:jc w:val="left"/>
      </w:pPr>
      <w:r>
        <w:rPr/>
        <w:t>（</w:t>
      </w:r>
      <w:r>
        <w:rPr>
          <w:rFonts w:ascii="宋体" w:hAnsi="宋体" w:cs="宋体" w:eastAsia="宋体" w:hint="default"/>
        </w:rPr>
        <w:t>2</w:t>
      </w:r>
      <w:r>
        <w:rPr/>
        <w:t>）相关的经济利益很可能流入企业；</w:t>
      </w:r>
    </w:p>
    <w:p>
      <w:pPr>
        <w:pStyle w:val="BodyText"/>
        <w:spacing w:line="240" w:lineRule="auto" w:before="76"/>
        <w:ind w:left="513" w:right="0"/>
        <w:jc w:val="left"/>
      </w:pPr>
      <w:r>
        <w:rPr/>
        <w:t>（</w:t>
      </w:r>
      <w:r>
        <w:rPr>
          <w:rFonts w:ascii="宋体" w:hAnsi="宋体" w:cs="宋体" w:eastAsia="宋体" w:hint="default"/>
        </w:rPr>
        <w:t>3</w:t>
      </w:r>
      <w:r>
        <w:rPr/>
        <w:t>）交易的完工进度能够可靠地确定；</w:t>
      </w:r>
    </w:p>
    <w:p>
      <w:pPr>
        <w:pStyle w:val="BodyText"/>
        <w:spacing w:line="316" w:lineRule="auto" w:before="76"/>
        <w:ind w:left="514" w:right="0"/>
        <w:jc w:val="left"/>
      </w:pPr>
      <w:r>
        <w:rPr/>
        <w:t>（</w:t>
      </w:r>
      <w:r>
        <w:rPr>
          <w:rFonts w:ascii="宋体" w:hAnsi="宋体" w:cs="宋体" w:eastAsia="宋体"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ind w:left="154"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ind w:left="513" w:right="0"/>
        <w:jc w:val="left"/>
      </w:pPr>
      <w:r>
        <w:rPr/>
        <w:t>在资产负债表日提供劳务交易结果不能够可靠估计的，分别下列情况处理：</w:t>
      </w:r>
    </w:p>
    <w:p>
      <w:pPr>
        <w:pStyle w:val="BodyText"/>
        <w:spacing w:line="316" w:lineRule="auto" w:before="77"/>
        <w:ind w:left="154" w:right="1122" w:firstLine="360"/>
        <w:jc w:val="left"/>
      </w:pPr>
      <w:r>
        <w:rPr/>
        <w:t>（</w:t>
      </w:r>
      <w:r>
        <w:rPr>
          <w:rFonts w:ascii="宋体" w:hAnsi="宋体" w:cs="宋体" w:eastAsia="宋体" w:hint="default"/>
        </w:rPr>
        <w:t>1</w:t>
      </w:r>
      <w:r>
        <w:rPr/>
        <w:t>）已经发生的劳务成本预计能够得到补偿的，按照已经发生的劳务成本金额确认提供劳务收入，并按相同金额结转 劳务成本。</w:t>
      </w:r>
    </w:p>
    <w:p>
      <w:pPr>
        <w:pStyle w:val="BodyText"/>
        <w:spacing w:line="316" w:lineRule="auto"/>
        <w:ind w:left="513" w:right="0"/>
        <w:jc w:val="left"/>
      </w:pPr>
      <w:r>
        <w:rPr/>
        <w:t>（</w:t>
      </w:r>
      <w:r>
        <w:rPr>
          <w:rFonts w:ascii="宋体" w:hAnsi="宋体" w:cs="宋体" w:eastAsia="宋体"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pStyle w:val="BodyText"/>
        <w:spacing w:line="240" w:lineRule="auto"/>
        <w:ind w:left="513" w:right="0"/>
        <w:jc w:val="left"/>
      </w:pPr>
      <w:r>
        <w:rPr>
          <w:rFonts w:ascii="宋体" w:hAnsi="宋体" w:cs="宋体" w:eastAsia="宋体" w:hint="default"/>
        </w:rPr>
        <w:t>4</w:t>
      </w:r>
      <w:r>
        <w:rPr/>
        <w:t>．建造合同收入的确认依据和方法</w:t>
      </w:r>
    </w:p>
    <w:p>
      <w:pPr>
        <w:pStyle w:val="BodyText"/>
        <w:spacing w:line="319" w:lineRule="auto" w:before="76"/>
        <w:ind w:left="154" w:right="0" w:firstLine="360"/>
        <w:jc w:val="left"/>
      </w:pPr>
      <w:r>
        <w:rPr>
          <w:spacing w:val="-2"/>
        </w:rPr>
        <w:t>（</w:t>
      </w:r>
      <w:r>
        <w:rPr>
          <w:rFonts w:ascii="宋体" w:hAnsi="宋体" w:cs="宋体" w:eastAsia="宋体" w:hint="default"/>
          <w:spacing w:val="-2"/>
        </w:rPr>
        <w:t>1</w:t>
      </w:r>
      <w:r>
        <w:rPr>
          <w:spacing w:val="-2"/>
        </w:rPr>
        <w:t>）当建造合同的结果能够可靠地估计时，与其相关的合同收入和合同费用在资产负债表日按完工百分比法予以确认。</w:t>
      </w:r>
      <w:r>
        <w:rPr/>
        <w:t> </w:t>
      </w:r>
      <w:r>
        <w:rPr>
          <w:spacing w:val="-2"/>
        </w:rPr>
        <w:t>完工百分比法，是指根据合同完工进度确认合同收入和合同费用的方法。合同完工进度按照累计实际发生的合同费用占合同</w:t>
      </w:r>
      <w:r>
        <w:rPr>
          <w:spacing w:val="-64"/>
        </w:rPr>
        <w:t> </w:t>
      </w:r>
      <w:r>
        <w:rPr>
          <w:spacing w:val="-64"/>
        </w:rPr>
      </w:r>
      <w:r>
        <w:rPr/>
        <w:t>预计总成本的比例【或：已完成的合同工作量占合同预计总工作量的比例、或：实际测定的完工进度】确定。</w:t>
      </w:r>
    </w:p>
    <w:p>
      <w:pPr>
        <w:pStyle w:val="BodyText"/>
        <w:spacing w:line="316" w:lineRule="auto" w:before="17"/>
        <w:ind w:left="514" w:right="5532"/>
        <w:jc w:val="left"/>
      </w:pPr>
      <w:r>
        <w:rPr/>
        <w:t>固定造价合同的结果能够可靠估计，是指同时满足下列条件： </w:t>
      </w:r>
      <w:r>
        <w:rPr>
          <w:rFonts w:ascii="宋体" w:hAnsi="宋体" w:cs="宋体" w:eastAsia="宋体" w:hint="default"/>
        </w:rPr>
        <w:t>1</w:t>
      </w:r>
      <w:r>
        <w:rPr/>
        <w:t>）合同总收入能够可靠地计量；</w:t>
      </w:r>
    </w:p>
    <w:p>
      <w:pPr>
        <w:pStyle w:val="BodyText"/>
        <w:spacing w:line="240" w:lineRule="auto"/>
        <w:ind w:left="513" w:right="0"/>
        <w:jc w:val="left"/>
      </w:pPr>
      <w:r>
        <w:rPr>
          <w:rFonts w:ascii="宋体" w:hAnsi="宋体" w:cs="宋体" w:eastAsia="宋体" w:hint="default"/>
        </w:rPr>
        <w:t>2</w:t>
      </w:r>
      <w:r>
        <w:rPr/>
        <w:t>）与合同相关的经济利益很可能流入企业；</w:t>
      </w:r>
    </w:p>
    <w:p>
      <w:pPr>
        <w:pStyle w:val="BodyText"/>
        <w:spacing w:line="240" w:lineRule="auto" w:before="76"/>
        <w:ind w:left="514" w:right="0"/>
        <w:jc w:val="left"/>
      </w:pPr>
      <w:r>
        <w:rPr>
          <w:rFonts w:ascii="宋体" w:hAnsi="宋体" w:cs="宋体" w:eastAsia="宋体" w:hint="default"/>
        </w:rPr>
        <w:t>3</w:t>
      </w:r>
      <w:r>
        <w:rPr/>
        <w:t>）实际发生的合同成本能够清楚地区分和可靠地计量；</w:t>
      </w:r>
    </w:p>
    <w:p>
      <w:pPr>
        <w:pStyle w:val="BodyText"/>
        <w:spacing w:line="316" w:lineRule="auto" w:before="76"/>
        <w:ind w:left="513" w:right="5263"/>
        <w:jc w:val="left"/>
      </w:pPr>
      <w:r>
        <w:rPr>
          <w:rFonts w:ascii="宋体" w:hAnsi="宋体" w:cs="宋体" w:eastAsia="宋体" w:hint="default"/>
        </w:rPr>
        <w:t>4</w:t>
      </w:r>
      <w:r>
        <w:rPr/>
        <w:t>）合同完工进度和为完成合同尚需发生的成本能够可靠地确定。 成本加成合同的结果能够可靠估计，是指同时满足下列条件： </w:t>
      </w:r>
      <w:r>
        <w:rPr>
          <w:rFonts w:ascii="宋体" w:hAnsi="宋体" w:cs="宋体" w:eastAsia="宋体" w:hint="default"/>
        </w:rPr>
        <w:t>1</w:t>
      </w:r>
      <w:r>
        <w:rPr/>
        <w:t>）与合同相关的经济利益很可能流入企业；</w:t>
      </w:r>
    </w:p>
    <w:p>
      <w:pPr>
        <w:pStyle w:val="BodyText"/>
        <w:spacing w:line="316" w:lineRule="auto"/>
        <w:ind w:left="514" w:right="0"/>
        <w:jc w:val="left"/>
      </w:pPr>
      <w:r>
        <w:rPr>
          <w:rFonts w:ascii="宋体" w:hAnsi="宋体" w:cs="宋体" w:eastAsia="宋体" w:hint="default"/>
        </w:rPr>
        <w:t>2</w:t>
      </w:r>
      <w:r>
        <w:rPr/>
        <w:t>）实际发生的合同成本能够清楚地区分和可靠地计量。 </w:t>
      </w:r>
      <w:r>
        <w:rPr>
          <w:spacing w:val="-2"/>
        </w:rPr>
        <w:t>在资产负债表日，按照合同总收入乘以完工进度扣除以前会计期间累计已确认收入后的金额，确认为当期合同收入；同</w:t>
      </w:r>
    </w:p>
    <w:p>
      <w:pPr>
        <w:pStyle w:val="BodyText"/>
        <w:spacing w:line="316" w:lineRule="auto"/>
        <w:ind w:left="154" w:right="0"/>
        <w:jc w:val="left"/>
      </w:pPr>
      <w:r>
        <w:rPr>
          <w:spacing w:val="-4"/>
        </w:rPr>
        <w:t>时，按照合同预计总成本乘以完工进度扣除以前会计期间累计已确认费用后的金额，确认为当期合同费用。合同工程的变动、</w:t>
      </w:r>
      <w:r>
        <w:rPr>
          <w:spacing w:val="-44"/>
        </w:rPr>
        <w:t> </w:t>
      </w:r>
      <w:r>
        <w:rPr>
          <w:spacing w:val="-44"/>
        </w:rPr>
      </w:r>
      <w:r>
        <w:rPr/>
        <w:t>索赔及奖金以可能带来收入并能可靠计算的数额为限计入合同总收入。</w:t>
      </w:r>
    </w:p>
    <w:p>
      <w:pPr>
        <w:pStyle w:val="BodyText"/>
        <w:spacing w:line="316" w:lineRule="auto"/>
        <w:ind w:left="514" w:right="0"/>
        <w:jc w:val="left"/>
      </w:pPr>
      <w:r>
        <w:rPr/>
        <w:t>（</w:t>
      </w:r>
      <w:r>
        <w:rPr>
          <w:rFonts w:ascii="宋体" w:hAnsi="宋体" w:cs="宋体" w:eastAsia="宋体" w:hint="default"/>
        </w:rPr>
        <w:t>2</w:t>
      </w:r>
      <w:r>
        <w:rPr/>
        <w:t>）建造合同的结果不能可靠估计的，分别下列情况处理： </w:t>
      </w:r>
      <w:r>
        <w:rPr>
          <w:rFonts w:ascii="宋体" w:hAnsi="宋体" w:cs="宋体" w:eastAsia="宋体" w:hint="default"/>
          <w:spacing w:val="-2"/>
        </w:rPr>
        <w:t>1</w:t>
      </w:r>
      <w:r>
        <w:rPr>
          <w:spacing w:val="-2"/>
        </w:rPr>
        <w:t>）合同成本能够收回的，合同收入根据能够收回的实际合同成本予以确认，合同成本在其发生的当期确认为合同费用。</w:t>
      </w:r>
    </w:p>
    <w:p>
      <w:pPr>
        <w:pStyle w:val="BodyText"/>
        <w:spacing w:line="240" w:lineRule="auto"/>
        <w:ind w:left="514" w:right="0"/>
        <w:jc w:val="left"/>
      </w:pPr>
      <w:r>
        <w:rPr>
          <w:rFonts w:ascii="宋体" w:hAnsi="宋体" w:cs="宋体" w:eastAsia="宋体" w:hint="default"/>
        </w:rPr>
        <w:t>2</w:t>
      </w:r>
      <w:r>
        <w:rPr/>
        <w:t>）合同成本不可能收回的，在发生时立即确认为合同费用，不确认合同收入。</w:t>
      </w:r>
    </w:p>
    <w:p>
      <w:pPr>
        <w:pStyle w:val="BodyText"/>
        <w:spacing w:line="316" w:lineRule="auto" w:before="76"/>
        <w:ind w:left="513" w:right="4363"/>
        <w:jc w:val="left"/>
      </w:pPr>
      <w:r>
        <w:rPr/>
        <w:t>（</w:t>
      </w:r>
      <w:r>
        <w:rPr>
          <w:rFonts w:ascii="宋体" w:hAnsi="宋体" w:cs="宋体" w:eastAsia="宋体" w:hint="default"/>
        </w:rPr>
        <w:t>3</w:t>
      </w:r>
      <w:r>
        <w:rPr/>
        <w:t>）如果合同总成本很可能超过合同总收入，则预期损失立即确认为费用。 </w:t>
      </w:r>
      <w:r>
        <w:rPr>
          <w:rFonts w:ascii="宋体" w:hAnsi="宋体" w:cs="宋体" w:eastAsia="宋体" w:hint="default"/>
        </w:rPr>
        <w:t>5</w:t>
      </w:r>
      <w:r>
        <w:rPr/>
        <w:t>．附回购条件的资产转让</w:t>
      </w:r>
    </w:p>
    <w:p>
      <w:pPr>
        <w:pStyle w:val="BodyText"/>
        <w:spacing w:line="316" w:lineRule="auto"/>
        <w:ind w:left="154" w:right="1131" w:firstLine="360"/>
        <w:jc w:val="both"/>
      </w:pPr>
      <w:r>
        <w:rPr>
          <w:spacing w:val="-2"/>
        </w:rPr>
        <w:t>公司销售产品或转让其他资产时，与购买方签订了所销售的产品或转让资产回购协议，根据协议条款判断销售商品是否</w:t>
      </w:r>
      <w:r>
        <w:rPr/>
        <w:t> </w:t>
      </w:r>
      <w:r>
        <w:rPr>
          <w:spacing w:val="-2"/>
        </w:rPr>
        <w:t>满足收入确认条件。如售后回购属于融资交易，则在交付产品或资产时，本公司不确认销售收入。回购价款大于销售价款的</w:t>
      </w:r>
      <w:r>
        <w:rPr>
          <w:spacing w:val="-66"/>
        </w:rPr>
        <w:t> </w:t>
      </w:r>
      <w:r>
        <w:rPr>
          <w:spacing w:val="-66"/>
        </w:rPr>
      </w:r>
      <w:r>
        <w:rPr/>
        <w:t>差额，在回购期间按期计提利息，计入财务费用。</w:t>
      </w:r>
    </w:p>
    <w:p>
      <w:pPr>
        <w:pStyle w:val="BodyText"/>
        <w:spacing w:line="316" w:lineRule="auto"/>
        <w:ind w:left="514" w:right="3192"/>
        <w:jc w:val="left"/>
      </w:pPr>
      <w:r>
        <w:rPr>
          <w:rFonts w:ascii="宋体" w:hAnsi="宋体" w:cs="宋体" w:eastAsia="宋体" w:hint="default"/>
        </w:rPr>
        <w:t>6</w:t>
      </w:r>
      <w:r>
        <w:rPr/>
        <w:t>．顺为广告收入确认方法 顺为广告的营业收入类别主要分为互联网媒体营销服务收入和社会化媒体营销服务收入等。</w:t>
      </w:r>
    </w:p>
    <w:p>
      <w:pPr>
        <w:pStyle w:val="BodyText"/>
        <w:spacing w:line="316" w:lineRule="auto"/>
        <w:ind w:left="514" w:right="1122"/>
        <w:jc w:val="left"/>
      </w:pPr>
      <w:r>
        <w:rPr/>
        <w:t>（</w:t>
      </w:r>
      <w:r>
        <w:rPr>
          <w:rFonts w:ascii="宋体" w:hAnsi="宋体" w:cs="宋体" w:eastAsia="宋体" w:hint="default"/>
        </w:rPr>
        <w:t>1</w:t>
      </w:r>
      <w:r>
        <w:rPr/>
        <w:t>）互联网媒体营销服务收入的具体确认标准 顺为广告根据客户所需的服务内容、客户投放的金额预算、预计的媒介购买成本、预计所需人力</w:t>
      </w:r>
      <w:r>
        <w:rPr>
          <w:rFonts w:ascii="宋体" w:hAnsi="宋体" w:cs="宋体" w:eastAsia="宋体" w:hint="default"/>
        </w:rPr>
        <w:t>/</w:t>
      </w:r>
      <w:r>
        <w:rPr/>
        <w:t>物力等因素，综合确</w:t>
      </w:r>
    </w:p>
    <w:p>
      <w:pPr>
        <w:pStyle w:val="BodyText"/>
        <w:spacing w:line="240" w:lineRule="auto"/>
        <w:ind w:right="0"/>
        <w:jc w:val="left"/>
      </w:pPr>
      <w:r>
        <w:rPr/>
        <w:t>定服务报价。</w:t>
      </w:r>
    </w:p>
    <w:p>
      <w:pPr>
        <w:pStyle w:val="BodyText"/>
        <w:spacing w:line="316" w:lineRule="auto" w:before="76"/>
        <w:ind w:left="154" w:right="1130" w:firstLine="360"/>
        <w:jc w:val="both"/>
      </w:pPr>
      <w:r>
        <w:rPr/>
        <w:t>顺为广告主要通过招投标程序或议标方式获取订单， 并签订互联网媒体营销服务年度框架合同或根据客户要求签订单 </w:t>
      </w:r>
      <w:r>
        <w:rPr>
          <w:spacing w:val="-2"/>
        </w:rPr>
        <w:t>笔服务合同，该框架服务合同约定服务内容、服务期限、结算方式等相关内容，单笔合同约定服务内容、服务期限、结算方</w:t>
      </w:r>
      <w:r>
        <w:rPr>
          <w:spacing w:val="-68"/>
        </w:rPr>
        <w:t> </w:t>
      </w:r>
      <w:r>
        <w:rPr>
          <w:spacing w:val="-68"/>
        </w:rPr>
      </w:r>
      <w:r>
        <w:rPr>
          <w:spacing w:val="-2"/>
        </w:rPr>
        <w:t>式、合同金额等相关内容。合同约定，顺为广告所提供服务内容最终以双方确认的排期单为准，排期单上将列明拟投放的媒</w:t>
      </w:r>
      <w:r>
        <w:rPr>
          <w:spacing w:val="-66"/>
        </w:rPr>
        <w:t> </w:t>
      </w:r>
      <w:r>
        <w:rPr>
          <w:spacing w:val="-66"/>
        </w:rPr>
      </w:r>
      <w:r>
        <w:rPr/>
        <w:t>体、位置、时间等具体要素。</w:t>
      </w:r>
    </w:p>
    <w:p>
      <w:pPr>
        <w:pStyle w:val="BodyText"/>
        <w:spacing w:line="316" w:lineRule="auto"/>
        <w:ind w:left="154" w:right="1032" w:firstLine="360"/>
        <w:jc w:val="left"/>
      </w:pPr>
      <w:r>
        <w:rPr/>
        <w:t>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w:t>
      </w:r>
      <w:r>
        <w:rPr>
          <w:spacing w:val="-2"/>
        </w:rPr>
        <w:t>投放执行等。广告投放后，顺为广告将对广告投放效果进行监控，如需对广告位置和投放时间进行优化，则与客户确定新的</w:t>
      </w:r>
      <w:r>
        <w:rPr>
          <w:spacing w:val="-66"/>
        </w:rPr>
        <w:t> </w:t>
      </w:r>
      <w:r>
        <w:rPr>
          <w:spacing w:val="-66"/>
        </w:rPr>
      </w:r>
      <w:r>
        <w:rPr>
          <w:spacing w:val="-2"/>
        </w:rPr>
        <w:t>排期单，如需对广告内容进行优化，则在客户认可的情况下更换投放内容。单次投放结束后，公司按照客户要求向客户提交</w:t>
      </w:r>
      <w:r>
        <w:rPr>
          <w:spacing w:val="-66"/>
        </w:rPr>
        <w:t> </w:t>
      </w:r>
      <w:r>
        <w:rPr>
          <w:spacing w:val="-66"/>
        </w:rPr>
      </w:r>
      <w:r>
        <w:rPr/>
        <w:t>单次投放报告，客户根据顺为广告所实际执行的排期单与顺为广告进行结算。</w:t>
      </w:r>
    </w:p>
    <w:p>
      <w:pPr>
        <w:pStyle w:val="BodyText"/>
        <w:spacing w:line="319" w:lineRule="auto"/>
        <w:ind w:left="154" w:right="0" w:firstLine="360"/>
        <w:jc w:val="left"/>
      </w:pPr>
      <w:r>
        <w:rPr>
          <w:spacing w:val="-2"/>
        </w:rPr>
        <w:t>顺为广告与客户协商确定排期单，对已按照排期单完成媒体投放且相关成本能够可靠计量时，按照已执行的排期单所确</w:t>
      </w:r>
      <w:r>
        <w:rPr/>
        <w:t> 定的金额确认当期收入。</w:t>
      </w:r>
    </w:p>
    <w:p>
      <w:pPr>
        <w:pStyle w:val="BodyText"/>
        <w:spacing w:line="240" w:lineRule="auto" w:before="17"/>
        <w:ind w:left="514" w:right="0"/>
        <w:jc w:val="left"/>
      </w:pPr>
      <w:r>
        <w:rPr/>
        <w:t>（</w:t>
      </w:r>
      <w:r>
        <w:rPr>
          <w:rFonts w:ascii="宋体" w:hAnsi="宋体" w:cs="宋体" w:eastAsia="宋体" w:hint="default"/>
        </w:rPr>
        <w:t>2</w:t>
      </w:r>
      <w:r>
        <w:rPr/>
        <w:t>）社会化媒体营销业务收入的具体确认标准</w:t>
      </w:r>
    </w:p>
    <w:p>
      <w:pPr>
        <w:pStyle w:val="BodyText"/>
        <w:spacing w:line="316" w:lineRule="auto" w:before="76"/>
        <w:ind w:right="1117" w:firstLine="360"/>
        <w:jc w:val="left"/>
      </w:pPr>
      <w:r>
        <w:rPr/>
        <w:t>顺为广告根据客户所要求的服务范围、</w:t>
      </w:r>
      <w:r>
        <w:rPr>
          <w:spacing w:val="-21"/>
        </w:rPr>
        <w:t> </w:t>
      </w:r>
      <w:r>
        <w:rPr/>
        <w:t>服务内容、</w:t>
      </w:r>
      <w:r>
        <w:rPr>
          <w:spacing w:val="-21"/>
        </w:rPr>
        <w:t> </w:t>
      </w:r>
      <w:r>
        <w:rPr/>
        <w:t>服务时间等，</w:t>
      </w:r>
      <w:r>
        <w:rPr>
          <w:spacing w:val="-21"/>
        </w:rPr>
        <w:t> </w:t>
      </w:r>
      <w:r>
        <w:rPr/>
        <w:t>预计需投入的人力、</w:t>
      </w:r>
      <w:r>
        <w:rPr>
          <w:spacing w:val="-21"/>
        </w:rPr>
        <w:t> </w:t>
      </w:r>
      <w:r>
        <w:rPr/>
        <w:t>物力成本等因素，综合确定服</w:t>
      </w:r>
      <w:r>
        <w:rPr/>
        <w:t> 务报价。</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9" w:firstLine="360"/>
        <w:jc w:val="both"/>
      </w:pPr>
      <w:r>
        <w:rPr/>
        <w:t>在提供服务前， 顺为广告将与客户协商确定服务内容、 范围并签署服务合同。 服务提供完毕并结案后，顺为广告将 根据服务合同确定的服务报价确认收入。</w:t>
      </w:r>
    </w:p>
    <w:p>
      <w:pPr>
        <w:pStyle w:val="BodyText"/>
        <w:spacing w:line="240" w:lineRule="auto"/>
        <w:ind w:left="513" w:right="0"/>
        <w:jc w:val="left"/>
      </w:pPr>
      <w:r>
        <w:rPr>
          <w:rFonts w:ascii="宋体" w:hAnsi="宋体" w:cs="宋体" w:eastAsia="宋体" w:hint="default"/>
        </w:rPr>
        <w:t>7</w:t>
      </w:r>
      <w:r>
        <w:rPr/>
        <w:t>．奇思广告收入确认方法</w:t>
      </w:r>
    </w:p>
    <w:p>
      <w:pPr>
        <w:pStyle w:val="BodyText"/>
        <w:spacing w:line="319" w:lineRule="auto" w:before="76"/>
        <w:ind w:left="513" w:right="0"/>
        <w:jc w:val="left"/>
      </w:pPr>
      <w:r>
        <w:rPr/>
        <w:t>奇思广告的营业收入类别主要分为创意策略类服务收入、 广告制作类服务收入和互联网整合营销服务收入等。 </w:t>
      </w:r>
      <w:r>
        <w:rPr>
          <w:spacing w:val="-4"/>
        </w:rPr>
        <w:t>创意策略类服务收入具体确认标准：第一种情况，奇思广告承接业务后，与客户签订合同，根据客户要求提供广告创意、</w:t>
      </w:r>
    </w:p>
    <w:p>
      <w:pPr>
        <w:pStyle w:val="BodyText"/>
        <w:spacing w:line="316" w:lineRule="auto" w:before="17"/>
        <w:ind w:right="0"/>
        <w:jc w:val="left"/>
      </w:pPr>
      <w:r>
        <w:rPr>
          <w:spacing w:val="-4"/>
        </w:rPr>
        <w:t>策略类服务，按月收取固定服务费，在月度周期结束并经客户确认无异议后，确认收入。第二种情况，奇思广告承接业务后，</w:t>
      </w:r>
      <w:r>
        <w:rPr>
          <w:spacing w:val="-44"/>
        </w:rPr>
        <w:t> </w:t>
      </w:r>
      <w:r>
        <w:rPr>
          <w:spacing w:val="-44"/>
        </w:rPr>
      </w:r>
      <w:r>
        <w:rPr>
          <w:spacing w:val="-2"/>
        </w:rPr>
        <w:t>与客户签订合同，根据客户要求提供广告创意、策略类服务，按具体项目收取固定服务费，在项目完成并经客户确认无异议</w:t>
      </w:r>
      <w:r>
        <w:rPr>
          <w:spacing w:val="-66"/>
        </w:rPr>
        <w:t> </w:t>
      </w:r>
      <w:r>
        <w:rPr>
          <w:spacing w:val="-66"/>
        </w:rPr>
      </w:r>
      <w:r>
        <w:rPr/>
        <w:t>后，确认收入。</w:t>
      </w:r>
    </w:p>
    <w:p>
      <w:pPr>
        <w:pStyle w:val="BodyText"/>
        <w:spacing w:line="316" w:lineRule="auto"/>
        <w:ind w:right="1049" w:firstLine="360"/>
        <w:jc w:val="both"/>
      </w:pPr>
      <w:r>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w:t>
      </w:r>
    </w:p>
    <w:p>
      <w:pPr>
        <w:pStyle w:val="BodyText"/>
        <w:spacing w:line="316" w:lineRule="auto"/>
        <w:ind w:right="1131" w:firstLine="360"/>
        <w:jc w:val="both"/>
      </w:pPr>
      <w:r>
        <w:rPr>
          <w:spacing w:val="-2"/>
        </w:rPr>
        <w:t>互联网整合营销服务收入具体确认标准：奇思广告承接业务后，与客户签订合同，根据客户要求提供包括营销策略、创</w:t>
      </w:r>
      <w:r>
        <w:rPr/>
        <w:t> 意设计、内容制作、线上投放与线下活动策划执行服务，在项目完成并经客户确认无异议后，确认收入。</w:t>
      </w:r>
    </w:p>
    <w:p>
      <w:pPr>
        <w:pStyle w:val="BodyText"/>
        <w:spacing w:line="316" w:lineRule="auto"/>
        <w:ind w:left="514" w:right="3372"/>
        <w:jc w:val="left"/>
      </w:pPr>
      <w:r>
        <w:rPr>
          <w:rFonts w:ascii="宋体" w:hAnsi="宋体" w:cs="宋体" w:eastAsia="宋体" w:hint="default"/>
        </w:rPr>
        <w:t>8</w:t>
      </w:r>
      <w:r>
        <w:rPr/>
        <w:t>．利宣广告收入确认方法 利宣广告的营业收入类别主要分为社会化媒体营销服务收入和其他媒体营销服务收入等。</w:t>
      </w:r>
    </w:p>
    <w:p>
      <w:pPr>
        <w:pStyle w:val="BodyText"/>
        <w:spacing w:line="316" w:lineRule="auto"/>
        <w:ind w:right="1130" w:firstLine="360"/>
        <w:jc w:val="both"/>
      </w:pPr>
      <w:r>
        <w:rPr>
          <w:spacing w:val="-2"/>
        </w:rPr>
        <w:t>社会化媒体营销服务收入的具体确认标准：利宣广告承接业务后，与客户签订相应的合同，按照客户要求对特定品牌形</w:t>
      </w:r>
      <w:r>
        <w:rPr/>
        <w:t> </w:t>
      </w:r>
      <w:r>
        <w:rPr>
          <w:spacing w:val="-2"/>
        </w:rPr>
        <w:t>象或产品进行媒体传播、推广，为客户提供社会化媒体、自媒体等方面的创意及内容的制作、发布、维护和优化等服务，并</w:t>
      </w:r>
      <w:r>
        <w:rPr>
          <w:spacing w:val="-67"/>
        </w:rPr>
        <w:t> </w:t>
      </w:r>
      <w:r>
        <w:rPr>
          <w:spacing w:val="-67"/>
        </w:rPr>
      </w:r>
      <w:r>
        <w:rPr/>
        <w:t>按照合同约定周期或内容形成相应工作量数据，客户确认无异议并经利宣广告财务部门核实后确认收入。</w:t>
      </w:r>
    </w:p>
    <w:p>
      <w:pPr>
        <w:pStyle w:val="BodyText"/>
        <w:spacing w:line="316" w:lineRule="auto"/>
        <w:ind w:right="1131" w:firstLine="360"/>
        <w:jc w:val="both"/>
      </w:pPr>
      <w:r>
        <w:rPr>
          <w:spacing w:val="-2"/>
        </w:rPr>
        <w:t>其他媒体营销服务收入的具体确认标准：利宣广告承接业务后，与客户签订相应的合同，根据客户营销需求，由利宣广</w:t>
      </w:r>
      <w:r>
        <w:rPr/>
        <w:t> </w:t>
      </w:r>
      <w:r>
        <w:rPr>
          <w:spacing w:val="-2"/>
        </w:rPr>
        <w:t>告与媒体沟通并编制媒介排期表同时提供相应的营销服务。广告发布后，利宣广告定期收集投放数据信息送客户核实，经客</w:t>
      </w:r>
      <w:r>
        <w:rPr>
          <w:spacing w:val="-66"/>
        </w:rPr>
        <w:t> </w:t>
      </w:r>
      <w:r>
        <w:rPr>
          <w:spacing w:val="-66"/>
        </w:rPr>
      </w:r>
      <w:r>
        <w:rPr/>
        <w:t>户确认无异议且相关成本能够可靠计量时，根据双方签订的合同金额及按照执行排期表上的排期金额，确认收入。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7、政府补助" w:id="200"/>
      <w:bookmarkEnd w:id="200"/>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与资产相关的政府补助，确认为递延收益，按照所建造或购买的资产使用年限分期计入营业外收入；</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360"/>
        <w:jc w:val="both"/>
      </w:pPr>
      <w:r>
        <w:rPr>
          <w:spacing w:val="-2"/>
        </w:rPr>
        <w:t>与收益相关的政府补助，用于补偿企业以后期间的相关费用或损失的，确认为递延收益，在确认相关费用的期间计入当</w:t>
      </w:r>
      <w:r>
        <w:rPr/>
        <w:t> 期营业外收入；用于补偿企业已发生的相关费用或损失的，取得时直接计入当期营业外收入。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8、递延所得税资产/递延所得税负债" w:id="203"/>
      <w:bookmarkEnd w:id="203"/>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firstLine="360"/>
        <w:jc w:val="both"/>
      </w:pP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计算确认。于资产负债</w:t>
      </w:r>
      <w:r>
        <w:rPr/>
        <w:t> 表日，递延所得税资产和递延所得税负债，按照预期收回该资产或清偿该负债期间的适用税率计量。</w:t>
      </w:r>
    </w:p>
    <w:p>
      <w:pPr>
        <w:pStyle w:val="BodyText"/>
        <w:spacing w:line="316" w:lineRule="auto"/>
        <w:ind w:left="514" w:right="0"/>
        <w:jc w:val="left"/>
      </w:pPr>
      <w:r>
        <w:rPr>
          <w:rFonts w:ascii="宋体" w:hAnsi="宋体" w:cs="宋体" w:eastAsia="宋体"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316" w:lineRule="auto"/>
        <w:ind w:left="154" w:right="1032"/>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宋体" w:hAnsi="宋体" w:cs="宋体" w:eastAsia="宋体" w:hint="default"/>
        </w:rPr>
        <w:t>1</w:t>
      </w:r>
      <w:r>
        <w:rPr/>
        <w:t>）该交易不是企业合并；（</w:t>
      </w:r>
      <w:r>
        <w:rPr>
          <w:rFonts w:ascii="宋体" w:hAnsi="宋体" w:cs="宋体" w:eastAsia="宋体" w:hint="default"/>
        </w:rPr>
        <w:t>2</w:t>
      </w:r>
      <w:r>
        <w:rPr/>
        <w:t>）交易发生时既不影响会计利润也不影响应纳税所得额或可抵扣亏损。</w:t>
      </w:r>
    </w:p>
    <w:p>
      <w:pPr>
        <w:pStyle w:val="BodyText"/>
        <w:spacing w:line="316" w:lineRule="auto"/>
        <w:ind w:left="154" w:right="1133" w:firstLine="360"/>
        <w:jc w:val="both"/>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pStyle w:val="BodyText"/>
        <w:spacing w:line="316" w:lineRule="auto"/>
        <w:ind w:left="514" w:right="3372"/>
        <w:jc w:val="left"/>
      </w:pPr>
      <w:r>
        <w:rPr>
          <w:rFonts w:ascii="宋体" w:hAnsi="宋体" w:cs="宋体" w:eastAsia="宋体" w:hint="default"/>
        </w:rPr>
        <w:t>2</w:t>
      </w:r>
      <w:r>
        <w:rPr/>
        <w:t>．确认递延所得税负债的依据 公司将当期与以前期间应交未交的应纳税暂时性差异确认为递延所得税负债。但不包括：</w:t>
      </w:r>
    </w:p>
    <w:p>
      <w:pPr>
        <w:pStyle w:val="BodyText"/>
        <w:spacing w:line="240" w:lineRule="auto"/>
        <w:ind w:left="513" w:right="0"/>
        <w:jc w:val="left"/>
      </w:pPr>
      <w:r>
        <w:rPr/>
        <w:t>（</w:t>
      </w:r>
      <w:r>
        <w:rPr>
          <w:rFonts w:ascii="宋体" w:hAnsi="宋体" w:cs="宋体" w:eastAsia="宋体" w:hint="default"/>
        </w:rPr>
        <w:t>1</w:t>
      </w:r>
      <w:r>
        <w:rPr/>
        <w:t>）商誉的初始确认所形成的暂时性差异；</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41" w:firstLine="360"/>
        <w:jc w:val="both"/>
      </w:pPr>
      <w:r>
        <w:rPr/>
        <w:t>（</w:t>
      </w:r>
      <w:r>
        <w:rPr>
          <w:rFonts w:ascii="宋体" w:hAnsi="宋体" w:cs="宋体" w:eastAsia="宋体" w:hint="default"/>
        </w:rPr>
        <w:t>2</w:t>
      </w:r>
      <w:r>
        <w:rPr/>
        <w:t>）非企业合并形成的交易或事项，且该交易或事项发生时既不影响会计利润，也不影响应纳税所得额（或可抵扣亏 损）所形成的暂时性差异；</w:t>
      </w:r>
    </w:p>
    <w:p>
      <w:pPr>
        <w:pStyle w:val="BodyText"/>
        <w:spacing w:line="316" w:lineRule="auto"/>
        <w:ind w:left="154" w:right="1139" w:firstLine="360"/>
        <w:jc w:val="both"/>
      </w:pPr>
      <w:r>
        <w:rPr/>
        <w:t>（</w:t>
      </w:r>
      <w:r>
        <w:rPr>
          <w:rFonts w:ascii="宋体" w:hAnsi="宋体" w:cs="宋体" w:eastAsia="宋体" w:hint="default"/>
        </w:rPr>
        <w:t>3</w:t>
      </w:r>
      <w:r>
        <w:rPr/>
        <w:t>）对于与子公司、联营企业投资相关的应纳税暂时性差异，该暂时性差异转回的时间能够控制并且该暂时性差异在 可预见的未来很可能不会转回。</w:t>
      </w:r>
    </w:p>
    <w:p>
      <w:pPr>
        <w:pStyle w:val="BodyText"/>
        <w:spacing w:line="240" w:lineRule="auto"/>
        <w:ind w:left="514" w:right="0"/>
        <w:jc w:val="left"/>
      </w:pPr>
      <w:r>
        <w:rPr>
          <w:rFonts w:ascii="宋体" w:hAnsi="宋体" w:cs="宋体" w:eastAsia="宋体" w:hint="default"/>
        </w:rPr>
        <w:t>3</w:t>
      </w:r>
      <w:r>
        <w:rPr/>
        <w:t>．同时满足下列条件时，将递延所得税资产及递延所得税负债以抵销后的净额列示</w:t>
      </w:r>
    </w:p>
    <w:p>
      <w:pPr>
        <w:pStyle w:val="BodyText"/>
        <w:spacing w:line="240" w:lineRule="auto" w:before="76"/>
        <w:ind w:left="513" w:right="0"/>
        <w:jc w:val="left"/>
      </w:pPr>
      <w:r>
        <w:rPr/>
        <w:t>（</w:t>
      </w:r>
      <w:r>
        <w:rPr>
          <w:rFonts w:ascii="宋体" w:hAnsi="宋体" w:cs="宋体" w:eastAsia="宋体" w:hint="default"/>
        </w:rPr>
        <w:t>1</w:t>
      </w:r>
      <w:r>
        <w:rPr/>
        <w:t>）企业拥有以净额结算当期所得税资产及当期所得税负债的法定权利；</w:t>
      </w:r>
    </w:p>
    <w:p>
      <w:pPr>
        <w:pStyle w:val="BodyText"/>
        <w:spacing w:line="316" w:lineRule="auto" w:before="76"/>
        <w:ind w:left="154" w:right="1132" w:firstLine="360"/>
        <w:jc w:val="both"/>
      </w:pPr>
      <w:r>
        <w:rPr/>
        <w:t>（</w:t>
      </w:r>
      <w:r>
        <w:rPr>
          <w:rFonts w:ascii="宋体" w:hAnsi="宋体" w:cs="宋体" w:eastAsia="宋体"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9、租赁" w:id="204"/>
      <w:bookmarkEnd w:id="204"/>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41" w:firstLine="360"/>
        <w:jc w:val="both"/>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ind w:left="154"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ind w:left="154" w:right="1130" w:firstLine="360"/>
        <w:jc w:val="both"/>
      </w:pPr>
      <w:r>
        <w:rPr/>
        <w:t>（</w:t>
      </w:r>
      <w:r>
        <w:rPr>
          <w:rFonts w:ascii="宋体" w:hAnsi="宋体" w:cs="宋体" w:eastAsia="宋体"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9" w:lineRule="auto"/>
        <w:ind w:left="154"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41" w:firstLine="360"/>
        <w:jc w:val="both"/>
      </w:pPr>
      <w:r>
        <w:rPr/>
        <w:t>（</w:t>
      </w:r>
      <w:r>
        <w:rPr>
          <w:rFonts w:ascii="宋体" w:hAnsi="宋体" w:cs="宋体" w:eastAsia="宋体"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ind w:left="513" w:right="0"/>
        <w:jc w:val="left"/>
      </w:pPr>
      <w:r>
        <w:rPr/>
        <w:t>公司采用实际利率法对未确认的融资费用，在资产租赁期间内摊销，计入财务费用。</w:t>
      </w:r>
    </w:p>
    <w:p>
      <w:pPr>
        <w:pStyle w:val="BodyText"/>
        <w:spacing w:line="316" w:lineRule="auto" w:before="76"/>
        <w:ind w:left="154" w:right="0"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重要会计政策和会计估计变更" w:id="207"/>
      <w:bookmarkEnd w:id="207"/>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10"/>
      <w:bookmarkEnd w:id="21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销售货物、应税劳务收入和应税服务收 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河套管理费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应税收入（广告业）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深圳市实益达照明有限公司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凯扬商贸（香港）有限公司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无锡实益达照明科技有限公司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深圳市前海实益达投资发展有限公司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上海地幔广告传播有限公司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0"/>
        <w:jc w:val="left"/>
      </w:pPr>
      <w:r>
        <w:rPr/>
        <w:t>税收优惠政策及依据</w:t>
      </w:r>
    </w:p>
    <w:p>
      <w:pPr>
        <w:pStyle w:val="BodyText"/>
        <w:spacing w:line="316" w:lineRule="auto" w:before="76"/>
        <w:ind w:right="1139" w:firstLine="360"/>
        <w:jc w:val="both"/>
      </w:pPr>
      <w:r>
        <w:rPr/>
        <w:t>《中华人民共和国企业所得税法》第二十八条规定，国家需要重点扶持的高新技术企业，减按</w:t>
      </w:r>
      <w:r>
        <w:rPr>
          <w:rFonts w:ascii="宋体" w:hAnsi="宋体" w:cs="宋体" w:eastAsia="宋体" w:hint="default"/>
        </w:rPr>
        <w:t>15%</w:t>
      </w:r>
      <w:r>
        <w:rPr/>
        <w:t>的税率征收企业所得 税。根据该规定，科技部、财政部、国家税务总局联合发布了国科发火〔</w:t>
      </w:r>
      <w:r>
        <w:rPr>
          <w:rFonts w:ascii="宋体" w:hAnsi="宋体" w:cs="宋体" w:eastAsia="宋体" w:hint="default"/>
        </w:rPr>
        <w:t>2008</w:t>
      </w:r>
      <w:r>
        <w:rPr/>
        <w:t>〕</w:t>
      </w:r>
      <w:r>
        <w:rPr>
          <w:rFonts w:ascii="宋体" w:hAnsi="宋体" w:cs="宋体" w:eastAsia="宋体" w:hint="default"/>
        </w:rPr>
        <w:t>172</w:t>
      </w:r>
      <w:r>
        <w:rPr/>
        <w:t>号《高新技术企业认定管理办法》和国 科发火〔</w:t>
      </w:r>
      <w:r>
        <w:rPr>
          <w:rFonts w:ascii="宋体" w:hAnsi="宋体" w:cs="宋体" w:eastAsia="宋体" w:hint="default"/>
        </w:rPr>
        <w:t>2008</w:t>
      </w:r>
      <w:r>
        <w:rPr/>
        <w:t>〕</w:t>
      </w:r>
      <w:r>
        <w:rPr>
          <w:rFonts w:ascii="宋体" w:hAnsi="宋体" w:cs="宋体" w:eastAsia="宋体" w:hint="default"/>
        </w:rPr>
        <w:t>362</w:t>
      </w:r>
      <w:r>
        <w:rPr/>
        <w:t>号《高新技术企业认定管理工作指引》，规定只要经过认定属于国家需要重点扶持的高新技术企业，都</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可以适用</w:t>
      </w:r>
      <w:r>
        <w:rPr>
          <w:rFonts w:ascii="宋体" w:hAnsi="宋体" w:cs="宋体" w:eastAsia="宋体" w:hint="default"/>
        </w:rPr>
        <w:t>15%</w:t>
      </w:r>
      <w:r>
        <w:rPr/>
        <w:t>的优惠税率。</w:t>
      </w:r>
    </w:p>
    <w:p>
      <w:pPr>
        <w:pStyle w:val="BodyText"/>
        <w:spacing w:line="316" w:lineRule="auto" w:before="76"/>
        <w:ind w:right="1130" w:firstLine="360"/>
        <w:jc w:val="both"/>
      </w:pPr>
      <w:r>
        <w:rPr>
          <w:spacing w:val="-3"/>
        </w:rPr>
        <w:t>江苏省科学技术厅、江苏省财政厅、江苏省国家税务局和江苏省地方税务局于</w:t>
      </w:r>
      <w:r>
        <w:rPr>
          <w:rFonts w:ascii="宋体" w:hAnsi="宋体" w:cs="宋体" w:eastAsia="宋体" w:hint="default"/>
          <w:spacing w:val="-3"/>
        </w:rPr>
        <w:t>2012</w:t>
      </w:r>
      <w:r>
        <w:rPr>
          <w:spacing w:val="-3"/>
        </w:rPr>
        <w:t>年 </w:t>
      </w:r>
      <w:r>
        <w:rPr>
          <w:rFonts w:ascii="宋体" w:hAnsi="宋体" w:cs="宋体" w:eastAsia="宋体" w:hint="default"/>
        </w:rPr>
        <w:t>10</w:t>
      </w:r>
      <w:r>
        <w:rPr/>
        <w:t>月</w:t>
      </w:r>
      <w:r>
        <w:rPr>
          <w:rFonts w:ascii="宋体" w:hAnsi="宋体" w:cs="宋体" w:eastAsia="宋体" w:hint="default"/>
        </w:rPr>
        <w:t>25</w:t>
      </w:r>
      <w:r>
        <w:rPr>
          <w:rFonts w:ascii="宋体" w:hAnsi="宋体" w:cs="宋体" w:eastAsia="宋体" w:hint="default"/>
          <w:spacing w:val="36"/>
        </w:rPr>
        <w:t> </w:t>
      </w:r>
      <w:r>
        <w:rPr/>
        <w:t>日认定无锡实益达电子有 限公司为高新技术企业，颁发</w:t>
      </w:r>
      <w:r>
        <w:rPr>
          <w:rFonts w:ascii="宋体" w:hAnsi="宋体" w:cs="宋体" w:eastAsia="宋体" w:hint="default"/>
        </w:rPr>
        <w:t>GR201232001577</w:t>
      </w:r>
      <w:r>
        <w:rPr/>
        <w:t>号证书，发证时间为 </w:t>
      </w:r>
      <w:r>
        <w:rPr>
          <w:rFonts w:ascii="宋体" w:hAnsi="宋体" w:cs="宋体" w:eastAsia="宋体" w:hint="default"/>
        </w:rPr>
        <w:t>2012 </w:t>
      </w:r>
      <w:r>
        <w:rPr/>
        <w:t>年 </w:t>
      </w:r>
      <w:r>
        <w:rPr>
          <w:rFonts w:ascii="宋体" w:hAnsi="宋体" w:cs="宋体" w:eastAsia="宋体" w:hint="default"/>
        </w:rPr>
        <w:t>10</w:t>
      </w:r>
      <w:r>
        <w:rPr/>
        <w:t>月</w:t>
      </w:r>
      <w:r>
        <w:rPr>
          <w:rFonts w:ascii="宋体" w:hAnsi="宋体" w:cs="宋体" w:eastAsia="宋体" w:hint="default"/>
        </w:rPr>
        <w:t>25 </w:t>
      </w:r>
      <w:r>
        <w:rPr/>
        <w:t>日，有效期三年。</w:t>
      </w:r>
      <w:r>
        <w:rPr>
          <w:rFonts w:ascii="宋体" w:hAnsi="宋体" w:cs="宋体" w:eastAsia="宋体" w:hint="default"/>
        </w:rPr>
        <w:t>2015 </w:t>
      </w:r>
      <w:r>
        <w:rPr/>
        <w:t>年为高新技术 企业复审年，公司期后已通过复审，本报告期适用 </w:t>
      </w:r>
      <w:r>
        <w:rPr>
          <w:rFonts w:ascii="宋体" w:hAnsi="宋体" w:cs="宋体" w:eastAsia="宋体" w:hint="default"/>
        </w:rPr>
        <w:t>15%</w:t>
      </w:r>
      <w:r>
        <w:rPr/>
        <w:t>的优惠税率。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其他" w:id="213"/>
      <w:bookmarkEnd w:id="213"/>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3013"/>
        <w:jc w:val="left"/>
      </w:pPr>
      <w:r>
        <w:rPr>
          <w:rFonts w:ascii="宋体" w:hAnsi="宋体" w:cs="宋体" w:eastAsia="宋体" w:hint="default"/>
        </w:rPr>
        <w:t>1</w:t>
      </w:r>
      <w:r>
        <w:rPr/>
        <w:t>、房产税 房产税按照房产原值的</w:t>
      </w:r>
      <w:r>
        <w:rPr>
          <w:rFonts w:ascii="宋体" w:hAnsi="宋体" w:cs="宋体" w:eastAsia="宋体" w:hint="default"/>
        </w:rPr>
        <w:t>70%</w:t>
      </w:r>
      <w:r>
        <w:rPr/>
        <w:t>为纳税基准，税率为</w:t>
      </w:r>
      <w:r>
        <w:rPr>
          <w:rFonts w:ascii="宋体" w:hAnsi="宋体" w:cs="宋体" w:eastAsia="宋体" w:hint="default"/>
        </w:rPr>
        <w:t>1.2%</w:t>
      </w:r>
      <w:r>
        <w:rPr/>
        <w:t>，或以租金收入为纳税基准，税率为</w:t>
      </w:r>
      <w:r>
        <w:rPr>
          <w:rFonts w:ascii="宋体" w:hAnsi="宋体" w:cs="宋体" w:eastAsia="宋体" w:hint="default"/>
        </w:rPr>
        <w:t>12%</w:t>
      </w:r>
      <w:r>
        <w:rPr/>
        <w:t>。 </w:t>
      </w:r>
      <w:r>
        <w:rPr>
          <w:rFonts w:ascii="宋体" w:hAnsi="宋体" w:cs="宋体" w:eastAsia="宋体" w:hint="default"/>
        </w:rPr>
        <w:t>2</w:t>
      </w:r>
      <w:r>
        <w:rPr/>
        <w:t>、个人所得税 员工个人所得税由本公司代扣代缴，独立董事津贴个人所得税由本公司代扣代缴。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4"/>
      <w:bookmarkEnd w:id="21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15"/>
      <w:bookmarkEnd w:id="21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165,813.41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51,298.09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52,680,120.12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169,265,192.25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1,394,616.00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54,240,549.53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170,321,490.34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1,379,383.35</w:t>
            </w:r>
          </w:p>
        </w:tc>
      </w:tr>
    </w:tbl>
    <w:p>
      <w:pPr>
        <w:pStyle w:val="BodyText"/>
        <w:spacing w:line="357" w:lineRule="auto" w:before="51"/>
        <w:ind w:right="8053"/>
        <w:jc w:val="left"/>
      </w:pPr>
      <w:r>
        <w:rPr/>
        <w:pict>
          <v:shape style="position:absolute;margin-left:84.260002pt;margin-top:35.201706pt;width:427.15pt;height:51.8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2"/>
                    <w:gridCol w:w="2438"/>
                    <w:gridCol w:w="2438"/>
                  </w:tblGrid>
                  <w:tr>
                    <w:trPr>
                      <w:trHeight w:val="341" w:hRule="exact"/>
                    </w:trPr>
                    <w:tc>
                      <w:tcPr>
                        <w:tcW w:w="3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1,394,616.00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1,005,000.00</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1,394,616.00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1,005,000.00</w:t>
                        </w:r>
                      </w:p>
                    </w:tc>
                  </w:tr>
                </w:tbl>
                <w:p>
                  <w:pPr/>
                </w:p>
              </w:txbxContent>
            </v:textbox>
            <w10:wrap type="none"/>
          </v:shape>
        </w:pict>
      </w:r>
      <w:r>
        <w:rPr/>
        <w:t>其他说明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35"/>
        <w:ind w:right="0"/>
        <w:jc w:val="left"/>
        <w:rPr>
          <w:b w:val="0"/>
          <w:bCs w:val="0"/>
        </w:rPr>
      </w:pPr>
      <w:bookmarkStart w:name="2、应收票据" w:id="216"/>
      <w:bookmarkEnd w:id="21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7"/>
      <w:bookmarkEnd w:id="21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5,708,800.00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2,971,717.62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5,708,800.00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2,971,717.62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18"/>
      <w:bookmarkEnd w:id="218"/>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3,600,370.28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3,600,370.28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19"/>
      <w:bookmarkEnd w:id="21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0"/>
      <w:bookmarkEnd w:id="22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30,511,3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16,442,4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14,068,91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28,751,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208.36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15,493,89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13,257,314.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216,497,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651.00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5,038,55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211,459,0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136,025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7,924,294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128,101,44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459,832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229,916.1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229,916.16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247,008,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983.99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21,480,9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225,528,0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165,236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,784.94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23,648,10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141,588,68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0.47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65"/>
              <w:jc w:val="left"/>
              <w:rPr>
                <w:rFonts w:ascii="Times New Roman" w:hAnsi="Times New Roman" w:cs="Times New Roman" w:eastAsia="Times New Roman" w:hint="default"/>
                <w:sz w:val="18"/>
                <w:szCs w:val="18"/>
              </w:rPr>
            </w:pPr>
            <w:r>
              <w:rPr>
                <w:rFonts w:ascii="Times New Roman"/>
                <w:sz w:val="18"/>
              </w:rPr>
              <w:t>Perception</w:t>
            </w:r>
            <w:r>
              <w:rPr>
                <w:rFonts w:ascii="Times New Roman"/>
                <w:spacing w:val="-2"/>
                <w:sz w:val="18"/>
              </w:rPr>
              <w:t> </w:t>
            </w:r>
            <w:r>
              <w:rPr>
                <w:rFonts w:ascii="Times New Roman"/>
                <w:sz w:val="18"/>
              </w:rPr>
              <w:t>Digital</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30,511,332.99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16,442,417.01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客户出现财务困难</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30,511,332.99</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16,442,417.01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115" w:space="471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207,705,701.54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3,018,568.07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7,600,609.56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832,002.34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6,711.81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1,184,628.09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1,184,628.09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216,497,651.00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5,038,554.40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本期计提坏账准备金额</w:t>
      </w:r>
      <w:r>
        <w:rPr>
          <w:spacing w:val="-46"/>
        </w:rPr>
        <w:t> </w:t>
      </w:r>
      <w:r>
        <w:rPr>
          <w:rFonts w:ascii="Times New Roman" w:hAnsi="Times New Roman" w:cs="Times New Roman" w:eastAsia="Times New Roman" w:hint="default"/>
        </w:rPr>
        <w:t>360,405.68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3,992,653.78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按欠款方归集的期末余额前五名的应收账款情况" w:id="222"/>
      <w:bookmarkEnd w:id="22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32" w:type="dxa"/>
        <w:tblLayout w:type="fixed"/>
        <w:tblCellMar>
          <w:top w:w="0" w:type="dxa"/>
          <w:left w:w="0" w:type="dxa"/>
          <w:bottom w:w="0" w:type="dxa"/>
          <w:right w:w="0" w:type="dxa"/>
        </w:tblCellMar>
        <w:tblLook w:val="01E0"/>
      </w:tblPr>
      <w:tblGrid>
        <w:gridCol w:w="2942"/>
        <w:gridCol w:w="1986"/>
        <w:gridCol w:w="1559"/>
        <w:gridCol w:w="1985"/>
      </w:tblGrid>
      <w:tr>
        <w:trPr>
          <w:trHeight w:val="653" w:hRule="exact"/>
        </w:trPr>
        <w:tc>
          <w:tcPr>
            <w:tcW w:w="2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278" w:right="53"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59,932,556.80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299,662.78</w:t>
            </w:r>
          </w:p>
        </w:tc>
      </w:tr>
      <w:tr>
        <w:trPr>
          <w:trHeight w:val="34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30,511,332.99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16,442,417.01</w:t>
            </w:r>
          </w:p>
        </w:tc>
      </w:tr>
      <w:tr>
        <w:trPr>
          <w:trHeight w:val="34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11,874,032.38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59,370.16</w:t>
            </w:r>
          </w:p>
        </w:tc>
      </w:tr>
      <w:tr>
        <w:trPr>
          <w:trHeight w:val="34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9,071,356.02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453,567.80</w:t>
            </w:r>
          </w:p>
        </w:tc>
      </w:tr>
      <w:tr>
        <w:trPr>
          <w:trHeight w:val="34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8,678,492.68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43,392.46</w:t>
            </w:r>
          </w:p>
        </w:tc>
      </w:tr>
      <w:tr>
        <w:trPr>
          <w:trHeight w:val="34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120,067,770.87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17,298,410.21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预付款项" w:id="223"/>
      <w:bookmarkEnd w:id="22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5,550,352.71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583,118.30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1,632,103.54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7,182,456.25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683,118.30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705" w:type="dxa"/>
        <w:tblLayout w:type="fixed"/>
        <w:tblCellMar>
          <w:top w:w="0" w:type="dxa"/>
          <w:left w:w="0" w:type="dxa"/>
          <w:bottom w:w="0" w:type="dxa"/>
          <w:right w:w="0" w:type="dxa"/>
        </w:tblCellMar>
        <w:tblLook w:val="01E0"/>
      </w:tblPr>
      <w:tblGrid>
        <w:gridCol w:w="2518"/>
        <w:gridCol w:w="1929"/>
        <w:gridCol w:w="1122"/>
        <w:gridCol w:w="2960"/>
      </w:tblGrid>
      <w:tr>
        <w:trPr>
          <w:trHeight w:val="342"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44"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新华网股份有限公司</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481,100.00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388,568.07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上海艾瑞市场咨询有限公司</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286,200.00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1,155,868.07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05" w:type="dxa"/>
        <w:tblLayout w:type="fixed"/>
        <w:tblCellMar>
          <w:top w:w="0" w:type="dxa"/>
          <w:left w:w="0" w:type="dxa"/>
          <w:bottom w:w="0" w:type="dxa"/>
          <w:right w:w="0" w:type="dxa"/>
        </w:tblCellMar>
        <w:tblLook w:val="01E0"/>
      </w:tblPr>
      <w:tblGrid>
        <w:gridCol w:w="2456"/>
        <w:gridCol w:w="1762"/>
        <w:gridCol w:w="992"/>
        <w:gridCol w:w="1276"/>
        <w:gridCol w:w="2041"/>
      </w:tblGrid>
      <w:tr>
        <w:trPr>
          <w:trHeight w:val="966" w:hRule="exact"/>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20"/>
              <w:ind w:left="41"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4"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01"/>
              <w:jc w:val="left"/>
              <w:rPr>
                <w:rFonts w:ascii="宋体" w:hAnsi="宋体" w:cs="宋体" w:eastAsia="宋体" w:hint="default"/>
                <w:sz w:val="18"/>
                <w:szCs w:val="18"/>
              </w:rPr>
            </w:pPr>
            <w:r>
              <w:rPr>
                <w:rFonts w:ascii="宋体" w:hAnsi="宋体" w:cs="宋体" w:eastAsia="宋体" w:hint="default"/>
                <w:sz w:val="18"/>
                <w:szCs w:val="18"/>
              </w:rPr>
              <w:t>北京世纪摇篮网络技术有限公 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1,051,009.64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654"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01"/>
              <w:jc w:val="left"/>
              <w:rPr>
                <w:rFonts w:ascii="宋体" w:hAnsi="宋体" w:cs="宋体" w:eastAsia="宋体" w:hint="default"/>
                <w:sz w:val="18"/>
                <w:szCs w:val="18"/>
              </w:rPr>
            </w:pPr>
            <w:r>
              <w:rPr>
                <w:rFonts w:ascii="宋体" w:hAnsi="宋体" w:cs="宋体" w:eastAsia="宋体" w:hint="default"/>
                <w:sz w:val="18"/>
                <w:szCs w:val="18"/>
              </w:rPr>
              <w:t>北京微梦创科网络技术有限公 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507,006.53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新华网股份有限公司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481,100.00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6"/>
                <w:sz w:val="18"/>
                <w:szCs w:val="18"/>
              </w:rPr>
              <w:t>飞狐信息技术（天津）有限公司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480,777.21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上海功典科技发展有限公司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440,208.00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42"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2,960,101.38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应收利息" w:id="226"/>
      <w:bookmarkEnd w:id="226"/>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27"/>
      <w:bookmarkEnd w:id="22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149,267.63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184,383.56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333,651.19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应收款" w:id="228"/>
      <w:bookmarkEnd w:id="22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9"/>
      <w:bookmarkEnd w:id="22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25,570,9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1,797,57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23,773,42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11,353,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907.15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158,203.4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11,195,703.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66,613.52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25,570,9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98.30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1,797,57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23,773,42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11,420,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520.67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224,816.9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11,195,703.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9"/>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8,274,857.00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1,654,971.40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56,422.50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56,422.50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8,631,930.88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1,797,576.89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20.82%</w:t>
            </w:r>
          </w:p>
        </w:tc>
      </w:tr>
    </w:tbl>
    <w:p>
      <w:pPr>
        <w:pStyle w:val="BodyText"/>
        <w:spacing w:line="240" w:lineRule="auto" w:before="51"/>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57"/>
        <w:ind w:right="0"/>
        <w:jc w:val="left"/>
      </w:pPr>
      <w:r>
        <w:rPr/>
        <w:t>组合中，不计提坏账准备的其他应收款</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401"/>
        <w:gridCol w:w="2292"/>
        <w:gridCol w:w="2294"/>
        <w:gridCol w:w="1644"/>
      </w:tblGrid>
      <w:tr>
        <w:trPr>
          <w:trHeight w:val="423" w:hRule="exact"/>
        </w:trPr>
        <w:tc>
          <w:tcPr>
            <w:tcW w:w="340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623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3401" w:type="dxa"/>
            <w:vMerge/>
            <w:tcBorders>
              <w:left w:val="single" w:sz="4" w:space="0" w:color="000000"/>
              <w:bottom w:val="single" w:sz="4" w:space="0" w:color="000000"/>
              <w:right w:val="single" w:sz="4" w:space="0" w:color="000000"/>
            </w:tcBorders>
            <w:shd w:val="clear" w:color="auto" w:fill="D9D9D9"/>
          </w:tcPr>
          <w:p>
            <w:pPr/>
          </w:p>
        </w:tc>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0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15,657,110.46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员工社保及备用金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1,174,569.26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107,387.70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16,939,067.42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本期计提坏账准备金额</w:t>
      </w:r>
      <w:r>
        <w:rPr>
          <w:spacing w:val="-49"/>
        </w:rPr>
        <w:t> </w:t>
      </w:r>
      <w:r>
        <w:rPr>
          <w:rFonts w:ascii="Times New Roman" w:hAnsi="Times New Roman" w:cs="Times New Roman" w:eastAsia="Times New Roman" w:hint="default"/>
        </w:rPr>
        <w:t>1,632,311.42</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34,551.52</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231"/>
      <w:bookmarkEnd w:id="23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16,188,243.65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11,109,344.06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68,785.98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86,699.06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1,105,783.28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44,877.00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107,387.70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370,797.69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175,661.74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25,570,998.30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11,420,520.67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32"/>
      <w:bookmarkEnd w:id="23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厦门萤火虫节能科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应退投资款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北京百度网讯科技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无锡市新区鸿山街 道办事处土地资金 管理办公室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应退土地款押金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北京搜狗信息服务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合鹄科技（深圳）有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20,955,000.00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33"/>
      <w:bookmarkEnd w:id="233"/>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28,954,834.41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9,375,460.53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19,579,373.88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24,694,179.28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12,032,930.89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12,661,248.39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3,796,567.79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941,954.18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2,854,613.61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5,493,163.39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943,270.09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4,549,893.30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13,838,105.50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4,552,831.81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9,285,273.69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16,338,372.36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6,520,418.93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9,817,953.43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138,063.28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138,063.28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300,875.45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300,875.45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1,298,947.68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1,298,947.68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574,476.49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574,476.49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48,600,995.15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14,870,246.52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33,730,748.63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46,826,590.48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19,496,619.91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27,329,970.57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存货跌价准备" w:id="235"/>
      <w:bookmarkEnd w:id="23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12,032,930.89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4,997,570.22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7,655,040.58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9,375,460.53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943,270.09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284,179.13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285,495.04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941,954.18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6,520,418.93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1,523,459.78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3,491,046.90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4,552,831.81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19,496,619.91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6,805,209.13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11,431,582.52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14,870,246.52</w:t>
            </w:r>
          </w:p>
        </w:tc>
      </w:tr>
    </w:tbl>
    <w:p>
      <w:pPr>
        <w:pStyle w:val="BodyText"/>
        <w:spacing w:line="240" w:lineRule="auto" w:before="10"/>
        <w:ind w:left="154" w:right="0"/>
        <w:jc w:val="left"/>
      </w:pPr>
      <w:r>
        <w:rPr/>
        <w:t>（</w:t>
      </w:r>
      <w:r>
        <w:rPr>
          <w:rFonts w:ascii="Times New Roman" w:hAnsi="Times New Roman" w:cs="Times New Roman" w:eastAsia="Times New Roman" w:hint="default"/>
        </w:rPr>
        <w:t>3</w:t>
      </w:r>
      <w:r>
        <w:rPr/>
        <w:t>）存货期末余额不含有借款费用资本化金额</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8、其他流动资产" w:id="236"/>
      <w:bookmarkEnd w:id="23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3,912,221.73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2,437,785.63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非公开发行中介支出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15,129,528.06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58,880,000.00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77,921,749.79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2,437,785.63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可供出售金融资产" w:id="237"/>
      <w:bookmarkEnd w:id="237"/>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8"/>
      <w:bookmarkEnd w:id="23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14,623,542.39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13,769,812.94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39"/>
      <w:bookmarkEnd w:id="23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C2</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Microsyste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853,729.45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14,623,542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853,729.45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14,623,542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1.39%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m</w:t>
            </w:r>
            <w:r>
              <w:rPr>
                <w:rFonts w:ascii="Times New Roman"/>
                <w:spacing w:val="-1"/>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深圳市电 明科技股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厦门萤火 虫节能科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新余九派 凯阳投资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21,623,542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853,729.45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14,623,542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长期股权投资" w:id="240"/>
      <w:bookmarkEnd w:id="240"/>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新余久益 投资管理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650,163.6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-27,485.6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622,678.0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广州讯友 数码科技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22,006,84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650,163.6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1,579,357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22,629,52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650,163.6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1,579,357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22,629,52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1、投资性房地产" w:id="241"/>
      <w:bookmarkEnd w:id="241"/>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42"/>
      <w:bookmarkEnd w:id="24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78,762,268.09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78,762,268.09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4,663,144.37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4,663,144.37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4,663,144.37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4,663,144.37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83,425,412.46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83,425,412.46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13,017,593.37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13,017,593.37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3,670,993.00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3,670,993.00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3,670,993.00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3,670,993.00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16,688,586.37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16,688,586.37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66,736,826.09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66,736,826.09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65,744,674.72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65,744,674.72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固定资产" w:id="243"/>
      <w:bookmarkEnd w:id="24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82,548,063.64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234,767,934.19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9,599,144.16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37,114,837.15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364,029,979.14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3,568,866.41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3,584,592.05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581,895.09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597,620.73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2,986,971.32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2,986,971.32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股东投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82"/>
                <w:sz w:val="18"/>
                <w:szCs w:val="18"/>
              </w:rPr>
              <w:t>）</w:t>
            </w:r>
            <w:r>
              <w:rPr>
                <w:rFonts w:ascii="宋体" w:hAnsi="宋体" w:cs="宋体" w:eastAsia="宋体" w:hint="default"/>
                <w:sz w:val="18"/>
                <w:szCs w:val="18"/>
              </w:rPr>
              <w:t>融资租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49,368,332.70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366,330.15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503,880.67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50,256,629.52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49,368,332.70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366,330.15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503,880.67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50,256,629.52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融资与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租出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82,529,977.64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185,415,327.13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9,232,814.01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40,179,822.89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317,357,941.67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14,667,126.14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131,320,989.04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7,426,736.01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30,089,509.66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183,504,360.85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2,927,081.32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6,496,722.99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681,447.24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3,189,724.01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13,294,975.56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2,927,081.32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6,496,722.99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681,447.24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1,638,432.68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11,743,684.23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1,551,291.33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1,551,291.33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19,963,345.94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329,796.02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20,632,762.94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19,963,345.94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329,796.02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20,632,762.94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融资租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17,587,696.50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117,854,366.09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7,778,387.23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32,946,123.65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176,166,573.47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56,810,357.72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56,882,255.42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20,792,577.24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20,798,653.18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20,792,577.24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20,798,653.18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融资租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36,017,780.48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65,821.76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36,083,602.24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64,942,281.14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31,543,180.56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1,454,426.78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7,167,877.48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105,107,765.96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67,880,937.50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46,636,587.43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2,172,408.15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6,953,429.79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123,643,362.87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2）暂时闲置的固定资产情况" w:id="245"/>
      <w:bookmarkEnd w:id="24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109,698,950.38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72,104,792.35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25,966,384.58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11,627,773.45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1,133,041.24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953,755.24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65,821.76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113,464.24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110,831,991.62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73,058,547.59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26,032,206.34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11,741,237.69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46"/>
      <w:bookmarkEnd w:id="24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83,014,321.51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55,859,103.83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18,861,707.28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8,293,510.40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83,014,321.51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55,859,103.83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18,861,707.28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8,293,510.40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在建工程" w:id="247"/>
      <w:bookmarkEnd w:id="247"/>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无锡鸿山产房项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51,007,559.24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51,007,559.24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885,940.05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885,940.05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51,007,559.24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51,007,559.24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885,940.05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885,940.05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无锡鸿 山产房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50,121,6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51,007,5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85.01%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部分主 体工程 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50,121,6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51,007,5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59.24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4、无形资产" w:id="250"/>
      <w:bookmarkEnd w:id="25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1"/>
      <w:bookmarkEnd w:id="25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111,367,313.52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4,792,892.82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116,160,206.34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7,884,891.81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7,884,891.81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294,791.81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294,791.81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7,590,100.00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7,590,100.00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东投入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111,367,313.52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12,677,784.63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124,045,098.15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12,353,598.31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2,222,656.65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14,576,254.96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2,229,529.00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1,116,713.59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3,346,242.59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2,229,529.00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622,660.52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2,852,189.52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494,053.07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494,053.07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14,583,127.31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3,339,370.24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17,922,497.55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他转入</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96,784,186.21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9,338,414.39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106,122,600.60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99,013,715.21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2,570,236.17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101,583,951.38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商誉" w:id="252"/>
      <w:bookmarkEnd w:id="252"/>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53"/>
      <w:bookmarkEnd w:id="25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58"/>
        <w:gridCol w:w="1429"/>
        <w:gridCol w:w="1417"/>
        <w:gridCol w:w="1398"/>
        <w:gridCol w:w="1367"/>
      </w:tblGrid>
      <w:tr>
        <w:trPr>
          <w:trHeight w:val="397"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10,451,398.91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270,514,787.61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270,514,787.61</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57,512,819.75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57,512,819.75</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213,543,932.07</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213,543,932.07</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10,451,398.91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541,571,539.43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552,022,938.34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54"/>
      <w:bookmarkEnd w:id="25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1417"/>
        <w:gridCol w:w="1417"/>
        <w:gridCol w:w="1398"/>
        <w:gridCol w:w="1355"/>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58"/>
        <w:gridCol w:w="1429"/>
        <w:gridCol w:w="1417"/>
        <w:gridCol w:w="1398"/>
        <w:gridCol w:w="1367"/>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r>
    </w:tbl>
    <w:p>
      <w:pPr>
        <w:pStyle w:val="BodyText"/>
        <w:spacing w:line="357" w:lineRule="auto" w:before="51"/>
        <w:ind w:left="514" w:right="1167" w:hanging="360"/>
        <w:jc w:val="left"/>
      </w:pPr>
      <w:r>
        <w:rPr/>
        <w:t>说明商誉减值测试过程、参数及商誉减值损失的确认方法： 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月收购深圳市汇大光电科技股份有限公司产生商誉</w:t>
      </w:r>
      <w:r>
        <w:rPr>
          <w:rFonts w:ascii="Times New Roman" w:hAnsi="Times New Roman" w:cs="Times New Roman" w:eastAsia="Times New Roman" w:hint="default"/>
        </w:rPr>
        <w:t>10,451,398.91</w:t>
      </w:r>
      <w:r>
        <w:rPr/>
        <w:t>元，由于汇大光电经营情况未达到预期</w:t>
      </w:r>
    </w:p>
    <w:p>
      <w:pPr>
        <w:pStyle w:val="BodyText"/>
        <w:spacing w:line="214" w:lineRule="exact" w:before="0"/>
        <w:ind w:right="0"/>
        <w:jc w:val="left"/>
      </w:pPr>
      <w:r>
        <w:rPr/>
        <w:t>且行业竞争加剧。公司于</w:t>
      </w:r>
      <w:r>
        <w:rPr>
          <w:rFonts w:ascii="Times New Roman" w:hAnsi="Times New Roman" w:cs="Times New Roman" w:eastAsia="Times New Roman" w:hint="default"/>
        </w:rPr>
        <w:t>2013</w:t>
      </w:r>
      <w:r>
        <w:rPr/>
        <w:t>年进行减值测试，认定商誉需全额计提减值准备。</w:t>
      </w:r>
    </w:p>
    <w:p>
      <w:pPr>
        <w:pStyle w:val="BodyText"/>
        <w:spacing w:line="240" w:lineRule="auto" w:before="103"/>
        <w:ind w:right="0"/>
        <w:jc w:val="left"/>
      </w:pPr>
      <w:r>
        <w:rPr/>
        <w:t>其他说明</w:t>
      </w:r>
    </w:p>
    <w:p>
      <w:pPr>
        <w:pStyle w:val="BodyText"/>
        <w:spacing w:line="240" w:lineRule="auto" w:before="116"/>
        <w:ind w:left="514" w:right="0"/>
        <w:jc w:val="left"/>
      </w:pPr>
      <w:r>
        <w:rPr/>
        <w:t>年末对商誉进行减值测试，未发现存在减值迹象，未计提减值。</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6、长期待摊费用" w:id="255"/>
      <w:bookmarkEnd w:id="255"/>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1,544,357.02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670,645.16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394,637.97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1,820,364.21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1,544,357.02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670,645.16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394,637.97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1,820,364.21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递延所得税资产/递延所得税负债" w:id="256"/>
      <w:bookmarkEnd w:id="256"/>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1,506,643.69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376,660.92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9,684,057.29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2,421,014.32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11,190,700.98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2,797,675.24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8"/>
      <w:bookmarkEnd w:id="25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4,481,555.57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1,120,388.89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4,481,555.57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1,120,388.89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未确认递延所得税资产明细" w:id="259"/>
      <w:bookmarkEnd w:id="259"/>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79,794,653.96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90,458,816.29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87,749,298.77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124,448,008.64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1,667,217.53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2,521,886.17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延递收益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558,333.41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658,333.37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2,235,810.35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2,628,865.02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172,005,314.02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220,715,909.49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60"/>
      <w:bookmarkEnd w:id="260"/>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1,877,032.36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6,877,129.29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64,387,588.30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72,304,625.21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10,059,358.90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11,277,061.79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3,470,674.40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79,794,653.96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90,458,816.29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短期借款" w:id="261"/>
      <w:bookmarkEnd w:id="261"/>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62"/>
      <w:bookmarkEnd w:id="26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 短期借款其他说明" w:id="263"/>
      <w:bookmarkEnd w:id="263"/>
      <w:r>
        <w:rPr>
          <w:b w:val="0"/>
          <w:bCs w:val="0"/>
        </w:rPr>
      </w:r>
      <w:r>
        <w:rPr/>
        <w:t>（</w:t>
      </w:r>
      <w:r>
        <w:rPr>
          <w:rFonts w:ascii="Times New Roman" w:hAnsi="Times New Roman" w:cs="Times New Roman" w:eastAsia="Times New Roman" w:hint="default"/>
        </w:rPr>
        <w:t>2</w:t>
      </w:r>
      <w:r>
        <w:rPr/>
        <w:t>）</w:t>
      </w:r>
      <w:r>
        <w:rPr>
          <w:spacing w:val="-4"/>
        </w:rPr>
        <w:t> </w:t>
      </w:r>
      <w:r>
        <w:rPr/>
        <w:t>短期借款其他说明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3" w:right="0"/>
        <w:jc w:val="left"/>
      </w:pPr>
      <w:r>
        <w:rPr/>
        <w:t>（</w:t>
      </w:r>
      <w:r>
        <w:rPr>
          <w:rFonts w:ascii="宋体" w:hAnsi="宋体" w:cs="宋体" w:eastAsia="宋体" w:hint="default"/>
        </w:rPr>
        <w:t>1</w:t>
      </w:r>
      <w:r>
        <w:rPr/>
        <w:t>）金额较大的短期借款情况如下：</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1686"/>
        <w:gridCol w:w="1145"/>
        <w:gridCol w:w="1150"/>
        <w:gridCol w:w="634"/>
        <w:gridCol w:w="1162"/>
        <w:gridCol w:w="640"/>
        <w:gridCol w:w="951"/>
        <w:gridCol w:w="1162"/>
      </w:tblGrid>
      <w:tr>
        <w:trPr>
          <w:trHeight w:val="423" w:hRule="exact"/>
        </w:trPr>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6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30"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汇率</w:t>
            </w:r>
          </w:p>
        </w:tc>
        <w:tc>
          <w:tcPr>
            <w:tcW w:w="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4"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4"/>
                <w:sz w:val="18"/>
                <w:szCs w:val="18"/>
              </w:rPr>
              <w:t>杭州银行上海长宁支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2016-10-9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 w:right="0"/>
              <w:jc w:val="left"/>
              <w:rPr>
                <w:rFonts w:ascii="Times New Roman" w:hAnsi="Times New Roman" w:cs="Times New Roman" w:eastAsia="Times New Roman" w:hint="default"/>
                <w:sz w:val="18"/>
                <w:szCs w:val="18"/>
              </w:rPr>
            </w:pPr>
            <w:r>
              <w:rPr>
                <w:rFonts w:ascii="Times New Roman"/>
                <w:sz w:val="18"/>
              </w:rPr>
              <w:t>CNY</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7.82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2,000,000.00</w:t>
            </w:r>
          </w:p>
        </w:tc>
      </w:tr>
      <w:tr>
        <w:trPr>
          <w:trHeight w:val="422"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pacing w:val="4"/>
                <w:sz w:val="18"/>
                <w:szCs w:val="18"/>
              </w:rPr>
              <w:t>杭州银行上海长宁支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2016-10-9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1" w:right="0"/>
              <w:jc w:val="left"/>
              <w:rPr>
                <w:rFonts w:ascii="Times New Roman" w:hAnsi="Times New Roman" w:cs="Times New Roman" w:eastAsia="Times New Roman" w:hint="default"/>
                <w:sz w:val="18"/>
                <w:szCs w:val="18"/>
              </w:rPr>
            </w:pPr>
            <w:r>
              <w:rPr>
                <w:rFonts w:ascii="Times New Roman"/>
                <w:sz w:val="18"/>
              </w:rPr>
              <w:t>CNY</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1686"/>
        <w:gridCol w:w="1145"/>
        <w:gridCol w:w="1150"/>
        <w:gridCol w:w="634"/>
        <w:gridCol w:w="1162"/>
        <w:gridCol w:w="640"/>
        <w:gridCol w:w="951"/>
        <w:gridCol w:w="1162"/>
      </w:tblGrid>
      <w:tr>
        <w:trPr>
          <w:trHeight w:val="382"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686"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平安银行深圳分行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Times New Roman" w:hAnsi="Times New Roman" w:cs="Times New Roman" w:eastAsia="Times New Roman" w:hint="default"/>
                <w:sz w:val="18"/>
                <w:szCs w:val="18"/>
              </w:rPr>
            </w:pPr>
            <w:r>
              <w:rPr>
                <w:rFonts w:ascii="Times New Roman"/>
                <w:sz w:val="18"/>
              </w:rPr>
              <w:t>2015-11-4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7" w:right="0"/>
              <w:jc w:val="left"/>
              <w:rPr>
                <w:rFonts w:ascii="Times New Roman" w:hAnsi="Times New Roman" w:cs="Times New Roman" w:eastAsia="Times New Roman" w:hint="default"/>
                <w:sz w:val="18"/>
                <w:szCs w:val="18"/>
              </w:rPr>
            </w:pPr>
            <w:r>
              <w:rPr>
                <w:rFonts w:ascii="Times New Roman"/>
                <w:sz w:val="18"/>
              </w:rPr>
              <w:t>2016-11-3</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 w:right="0"/>
              <w:jc w:val="left"/>
              <w:rPr>
                <w:rFonts w:ascii="Times New Roman" w:hAnsi="Times New Roman" w:cs="Times New Roman" w:eastAsia="Times New Roman" w:hint="default"/>
                <w:sz w:val="18"/>
                <w:szCs w:val="18"/>
              </w:rPr>
            </w:pPr>
            <w:r>
              <w:rPr>
                <w:rFonts w:ascii="Times New Roman"/>
                <w:sz w:val="18"/>
              </w:rPr>
              <w:t>CNY</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
              <w:jc w:val="right"/>
              <w:rPr>
                <w:rFonts w:ascii="Times New Roman" w:hAnsi="Times New Roman" w:cs="Times New Roman" w:eastAsia="Times New Roman" w:hint="default"/>
                <w:sz w:val="18"/>
                <w:szCs w:val="18"/>
              </w:rPr>
            </w:pPr>
            <w:r>
              <w:rPr>
                <w:rFonts w:ascii="Times New Roman"/>
                <w:spacing w:val="-1"/>
                <w:sz w:val="18"/>
              </w:rPr>
              <w:t>50,000,000.00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sz w:val="18"/>
              </w:rPr>
              <w:t>1.00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3" w:right="0"/>
              <w:jc w:val="left"/>
              <w:rPr>
                <w:rFonts w:ascii="Times New Roman" w:hAnsi="Times New Roman" w:cs="Times New Roman" w:eastAsia="Times New Roman" w:hint="default"/>
                <w:sz w:val="18"/>
                <w:szCs w:val="18"/>
              </w:rPr>
            </w:pPr>
            <w:r>
              <w:rPr>
                <w:rFonts w:ascii="Times New Roman"/>
                <w:sz w:val="18"/>
              </w:rPr>
              <w:t>5.22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 w:right="0"/>
              <w:jc w:val="left"/>
              <w:rPr>
                <w:rFonts w:ascii="Times New Roman" w:hAnsi="Times New Roman" w:cs="Times New Roman" w:eastAsia="Times New Roman" w:hint="default"/>
                <w:sz w:val="18"/>
                <w:szCs w:val="18"/>
              </w:rPr>
            </w:pPr>
            <w:r>
              <w:rPr>
                <w:rFonts w:ascii="Times New Roman"/>
                <w:sz w:val="18"/>
              </w:rPr>
              <w:t>50,000,000.00</w:t>
            </w:r>
          </w:p>
        </w:tc>
      </w:tr>
      <w:tr>
        <w:trPr>
          <w:trHeight w:val="422" w:hRule="exact"/>
        </w:trPr>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53,000,000.00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53,000,000.00</w:t>
            </w:r>
          </w:p>
        </w:tc>
      </w:tr>
    </w:tbl>
    <w:p>
      <w:pPr>
        <w:spacing w:line="240" w:lineRule="auto" w:before="5"/>
        <w:rPr>
          <w:rFonts w:ascii="宋体" w:hAnsi="宋体" w:cs="宋体" w:eastAsia="宋体" w:hint="default"/>
          <w:sz w:val="5"/>
          <w:szCs w:val="5"/>
        </w:rPr>
      </w:pPr>
    </w:p>
    <w:p>
      <w:pPr>
        <w:pStyle w:val="Heading4"/>
        <w:spacing w:line="240" w:lineRule="auto" w:before="35"/>
        <w:ind w:left="574" w:right="0"/>
        <w:jc w:val="left"/>
      </w:pPr>
      <w:r>
        <w:rPr/>
        <w:t>（</w:t>
      </w:r>
      <w:r>
        <w:rPr>
          <w:rFonts w:ascii="宋体" w:hAnsi="宋体" w:cs="宋体" w:eastAsia="宋体" w:hint="default"/>
        </w:rPr>
        <w:t>2</w:t>
      </w:r>
      <w:r>
        <w:rPr/>
        <w:t>）期末与保证借款相关的保证情况，详见本附注九（五）。</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9、应付票据" w:id="264"/>
      <w:bookmarkEnd w:id="264"/>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付账款" w:id="265"/>
      <w:bookmarkEnd w:id="265"/>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66"/>
      <w:bookmarkEnd w:id="26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54,731,226.07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104,438,379.44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10,551,586.45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111,958,522.43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177,241,334.95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104,438,379.44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Perception Digital</w:t>
            </w:r>
            <w:r>
              <w:rPr>
                <w:rFonts w:ascii="Times New Roman"/>
                <w:spacing w:val="-4"/>
                <w:sz w:val="18"/>
              </w:rPr>
              <w:t> </w:t>
            </w:r>
            <w:r>
              <w:rPr>
                <w:rFonts w:ascii="Times New Roman"/>
                <w:sz w:val="18"/>
              </w:rPr>
              <w:t>Limited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7,058,085.86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存在未决诉讼</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7,058,085.86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预收款项" w:id="268"/>
      <w:bookmarkEnd w:id="268"/>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9"/>
      <w:bookmarkEnd w:id="26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1,420,014.40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2,784,760.55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6,848,079.84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8,268,094.24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2,784,760.55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70"/>
      <w:bookmarkEnd w:id="270"/>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71"/>
      <w:bookmarkEnd w:id="27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8,335,210.53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55,796,196.45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53,980,247.29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10,151,159.69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2,556,152.67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2,327,602.31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228,550.36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332,910.38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332,910.38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8,335,210.53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58,685,259.50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56,640,759.98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10,379,710.05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2"/>
      <w:bookmarkEnd w:id="27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6,916,542.72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52,510,537.99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50,779,484.69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8,647,596.02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1,154,642.82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1,154,642.82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1,327,041.47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1,142,956.45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184,085.02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1,069,226.01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911,618.73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157,607.28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131,103.53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121,364.56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9,738.97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109,973.16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16,738.77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800,844.17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588,021.33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212,822.84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1,418,667.81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1,106,655.81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8,335,210.53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55,796,196.45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53,980,247.29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10,151,159.69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3"/>
      <w:bookmarkEnd w:id="27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2,313,968.16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2,102,807.58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211,160.58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242,184.51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224,794.73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17,389.78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2,556,152.67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2,327,602.31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228,550.36</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1</w:t>
      </w:r>
      <w:r>
        <w:rPr/>
        <w:t>）期末应付职工薪酬中不存在属于拖欠性质的金额；</w:t>
      </w:r>
    </w:p>
    <w:p>
      <w:pPr>
        <w:pStyle w:val="BodyText"/>
        <w:spacing w:line="240" w:lineRule="auto" w:before="63"/>
        <w:ind w:left="154" w:right="0"/>
        <w:jc w:val="left"/>
      </w:pPr>
      <w:r>
        <w:rPr/>
        <w:t>（</w:t>
      </w:r>
      <w:r>
        <w:rPr>
          <w:rFonts w:ascii="Times New Roman" w:hAnsi="Times New Roman" w:cs="Times New Roman" w:eastAsia="Times New Roman" w:hint="default"/>
        </w:rPr>
        <w:t>2</w:t>
      </w:r>
      <w:r>
        <w:rPr/>
        <w:t>）应付职工薪酬预计发放时间、金额等安排：</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23、应交税费" w:id="274"/>
      <w:bookmarkEnd w:id="274"/>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7,322,511.60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278,857.63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60,048.20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186,991.46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38,842,120.49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12,476,727.14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3,026,944.18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78,430.77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350,399.71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356,190.53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359,346.08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530,213.73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323,522.56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254,421.78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120,921.99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120,921.99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38,275.77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3,150,987.69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53,595,078.27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14,282,755.03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利息" w:id="275"/>
      <w:bookmarkEnd w:id="275"/>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38,107.79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38,107.79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其他应付款" w:id="276"/>
      <w:bookmarkEnd w:id="276"/>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77"/>
      <w:bookmarkEnd w:id="27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23,151,034.20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4,137,267.33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5,868,697.08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2,448,340.27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403,234.89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4,403,538.48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2,225,169.82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36,778,669.76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14,877,412.31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78"/>
      <w:bookmarkEnd w:id="27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深圳先进微电子科技有限公司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1,995,092.80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深圳市三讯电子有限公司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683,562.40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2,678,655.20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其他流动负债" w:id="279"/>
      <w:bookmarkEnd w:id="279"/>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78,944,631.51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78,944,631.51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240" w:lineRule="auto" w:before="115"/>
        <w:ind w:left="0" w:right="1230"/>
        <w:jc w:val="right"/>
      </w:pPr>
      <w:r>
        <w:rPr/>
        <w:t>期末一年内到期的长期应付款为公司与深圳市比亚迪国际融资租赁有限公司进行售后租回的融资租赁款，租赁期限为</w:t>
      </w:r>
    </w:p>
    <w:p>
      <w:pPr>
        <w:pStyle w:val="BodyText"/>
        <w:spacing w:line="240" w:lineRule="auto" w:before="76"/>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53" w:right="0"/>
        <w:jc w:val="left"/>
        <w:rPr>
          <w:b w:val="0"/>
          <w:bCs w:val="0"/>
        </w:rPr>
      </w:pPr>
      <w:bookmarkStart w:name="27、预计负债" w:id="280"/>
      <w:bookmarkEnd w:id="280"/>
      <w:r>
        <w:rPr>
          <w:b w:val="0"/>
          <w:bCs w:val="0"/>
        </w:rPr>
      </w:r>
      <w:r>
        <w:rPr>
          <w:rFonts w:ascii="Times New Roman" w:hAnsi="Times New Roman" w:cs="Times New Roman" w:eastAsia="Times New Roman" w:hint="default"/>
        </w:rPr>
        <w:t>27</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6"/>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73"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1" w:right="0"/>
              <w:jc w:val="left"/>
              <w:rPr>
                <w:rFonts w:ascii="Times New Roman" w:hAnsi="Times New Roman" w:cs="Times New Roman" w:eastAsia="Times New Roman" w:hint="default"/>
                <w:sz w:val="18"/>
                <w:szCs w:val="18"/>
              </w:rPr>
            </w:pPr>
            <w:r>
              <w:rPr>
                <w:rFonts w:ascii="Times New Roman"/>
                <w:sz w:val="18"/>
              </w:rPr>
              <w:t>1,261,564.30</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945,597.80</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公司与客户因产品质量产生 纠纷，基于协议约定和最佳估 计值，计提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RMB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1,261,564.30</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元预计负债。</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473"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73"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45" w:right="0"/>
              <w:jc w:val="left"/>
              <w:rPr>
                <w:rFonts w:ascii="Times New Roman" w:hAnsi="Times New Roman" w:cs="Times New Roman" w:eastAsia="Times New Roman" w:hint="default"/>
                <w:sz w:val="18"/>
                <w:szCs w:val="18"/>
              </w:rPr>
            </w:pPr>
            <w:r>
              <w:rPr>
                <w:rFonts w:ascii="Times New Roman"/>
                <w:sz w:val="18"/>
              </w:rPr>
              <w:t>405,653.23</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1,576,288.37</w:t>
            </w:r>
          </w:p>
        </w:tc>
        <w:tc>
          <w:tcPr>
            <w:tcW w:w="239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公司与专利提供商因专利费 产生纠纷，基于协议约定和最 佳估计值，计提 </w:t>
            </w:r>
            <w:r>
              <w:rPr>
                <w:rFonts w:ascii="Times New Roman" w:hAnsi="Times New Roman" w:cs="Times New Roman" w:eastAsia="Times New Roman" w:hint="default"/>
                <w:sz w:val="18"/>
                <w:szCs w:val="18"/>
              </w:rPr>
              <w:t>RMB405,653.23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元预计负债。</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473"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06" w:right="0"/>
              <w:jc w:val="left"/>
              <w:rPr>
                <w:rFonts w:ascii="Times New Roman" w:hAnsi="Times New Roman" w:cs="Times New Roman" w:eastAsia="Times New Roman" w:hint="default"/>
                <w:sz w:val="18"/>
                <w:szCs w:val="18"/>
              </w:rPr>
            </w:pPr>
            <w:r>
              <w:rPr>
                <w:rFonts w:ascii="Times New Roman"/>
                <w:sz w:val="18"/>
              </w:rPr>
              <w:t>1,667,217.53</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2,521,886.17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递延收益" w:id="281"/>
      <w:bookmarkEnd w:id="281"/>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658,333.37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99,999.96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558,333.41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项目专项补助资金</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658,333.37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99,999.96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558,333.41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MP4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数字录放机 生产线改造的政 府补助款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658,333.37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558,333.41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658,333.37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558,333.41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股本" w:id="282"/>
      <w:bookmarkEnd w:id="282"/>
      <w:r>
        <w:rPr>
          <w:b w:val="0"/>
          <w:bCs w:val="0"/>
        </w:rPr>
      </w:r>
      <w:r>
        <w:rPr>
          <w:rFonts w:ascii="Times New Roman" w:hAnsi="Times New Roman" w:cs="Times New Roman" w:eastAsia="Times New Roman" w:hint="default"/>
        </w:rPr>
        <w:t>29</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460,910,600.00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49,758,776.00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-60,000.00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49,698,776.00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510,609,376.00</w:t>
            </w:r>
          </w:p>
        </w:tc>
      </w:tr>
    </w:tbl>
    <w:p>
      <w:pPr>
        <w:pStyle w:val="BodyText"/>
        <w:spacing w:line="240" w:lineRule="auto" w:before="51"/>
        <w:ind w:left="154" w:right="0"/>
        <w:jc w:val="left"/>
      </w:pPr>
      <w:r>
        <w:rPr/>
        <w:t>其他说明：</w:t>
      </w:r>
    </w:p>
    <w:p>
      <w:pPr>
        <w:pStyle w:val="BodyText"/>
        <w:spacing w:line="300" w:lineRule="auto" w:before="116"/>
        <w:ind w:left="154" w:right="1112" w:firstLine="360"/>
        <w:jc w:val="left"/>
      </w:pPr>
      <w:r>
        <w:rPr/>
        <w:t>本期公司股本变动情况，详见本附注一</w:t>
      </w:r>
      <w:r>
        <w:rPr>
          <w:rFonts w:ascii="Times New Roman" w:hAnsi="Times New Roman" w:cs="Times New Roman" w:eastAsia="Times New Roman" w:hint="default"/>
        </w:rPr>
        <w:t>“</w:t>
      </w:r>
      <w:r>
        <w:rPr/>
        <w:t>公司基本情况</w:t>
      </w:r>
      <w:r>
        <w:rPr>
          <w:rFonts w:ascii="Times New Roman" w:hAnsi="Times New Roman" w:cs="Times New Roman" w:eastAsia="Times New Roman" w:hint="default"/>
        </w:rPr>
        <w:t>”</w:t>
      </w:r>
      <w:r>
        <w:rPr/>
        <w:t>，以上股本业经大华会计师事务所出具的大华验字</w:t>
      </w:r>
      <w:r>
        <w:rPr>
          <w:rFonts w:ascii="Times New Roman" w:hAnsi="Times New Roman" w:cs="Times New Roman" w:eastAsia="Times New Roman" w:hint="default"/>
        </w:rPr>
        <w:t>[2015]001180 </w:t>
      </w:r>
      <w:r>
        <w:rPr/>
        <w:t>号验资报告审验。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30、资本公积" w:id="283"/>
      <w:bookmarkEnd w:id="283"/>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105,070,587.49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336,664,729.94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441,735,317.43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2,890,085.00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393,054.67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2,497,030.33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107,960,672.49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336,664,729.94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393,054.67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444,232,347.76</w:t>
            </w:r>
          </w:p>
        </w:tc>
      </w:tr>
    </w:tbl>
    <w:p>
      <w:pPr>
        <w:pStyle w:val="BodyText"/>
        <w:spacing w:line="240" w:lineRule="auto" w:before="51"/>
        <w:ind w:left="154" w:right="0"/>
        <w:jc w:val="left"/>
      </w:pPr>
      <w:r>
        <w:rPr/>
        <w:t>其他说明，包括本期增减变动情况、变动原因说明：</w:t>
      </w:r>
    </w:p>
    <w:p>
      <w:pPr>
        <w:pStyle w:val="BodyText"/>
        <w:spacing w:line="240" w:lineRule="auto" w:before="115"/>
        <w:ind w:left="514" w:right="0"/>
        <w:jc w:val="left"/>
      </w:pPr>
      <w:r>
        <w:rPr/>
        <w:t>（</w:t>
      </w:r>
      <w:r>
        <w:rPr>
          <w:rFonts w:ascii="Times New Roman" w:hAnsi="Times New Roman" w:cs="Times New Roman" w:eastAsia="Times New Roman" w:hint="default"/>
        </w:rPr>
        <w:t>1</w:t>
      </w:r>
      <w:r>
        <w:rPr/>
        <w:t>）本期公司因增加发行新股，增加资本公积（股本溢价）</w:t>
      </w:r>
      <w:r>
        <w:rPr>
          <w:rFonts w:ascii="Times New Roman" w:hAnsi="Times New Roman" w:cs="Times New Roman" w:eastAsia="Times New Roman" w:hint="default"/>
        </w:rPr>
        <w:t>333,499,764.00</w:t>
      </w:r>
      <w:r>
        <w:rPr/>
        <w:t>元。</w:t>
      </w:r>
    </w:p>
    <w:p>
      <w:pPr>
        <w:pStyle w:val="BodyText"/>
        <w:spacing w:line="240" w:lineRule="auto" w:before="63"/>
        <w:ind w:left="513" w:right="0"/>
        <w:jc w:val="left"/>
      </w:pPr>
      <w:r>
        <w:rPr/>
        <w:t>（</w:t>
      </w:r>
      <w:r>
        <w:rPr>
          <w:rFonts w:ascii="Times New Roman" w:hAnsi="Times New Roman" w:cs="Times New Roman" w:eastAsia="Times New Roman" w:hint="default"/>
        </w:rPr>
        <w:t>2</w:t>
      </w:r>
      <w:r>
        <w:rPr/>
        <w:t>）根据修改后披露规定，本期公司因上年度实施股权激励事项，增加资本公积（股本溢价）</w:t>
      </w:r>
      <w:r>
        <w:rPr>
          <w:rFonts w:ascii="Times New Roman" w:hAnsi="Times New Roman" w:cs="Times New Roman" w:eastAsia="Times New Roman" w:hint="default"/>
        </w:rPr>
        <w:t>2,464,400.00</w:t>
      </w:r>
      <w:r>
        <w:rPr/>
        <w:t>元。</w:t>
      </w:r>
    </w:p>
    <w:p>
      <w:pPr>
        <w:pStyle w:val="BodyText"/>
        <w:spacing w:line="240" w:lineRule="auto" w:before="63"/>
        <w:ind w:left="514" w:right="0"/>
        <w:jc w:val="left"/>
      </w:pPr>
      <w:r>
        <w:rPr/>
        <w:t>（</w:t>
      </w:r>
      <w:r>
        <w:rPr>
          <w:rFonts w:ascii="Times New Roman" w:hAnsi="Times New Roman" w:cs="Times New Roman" w:eastAsia="Times New Roman" w:hint="default"/>
        </w:rPr>
        <w:t>3</w:t>
      </w:r>
      <w:r>
        <w:rPr/>
        <w:t>）本期因增加少数股东，增加资本公积（股本溢价）</w:t>
      </w:r>
      <w:r>
        <w:rPr>
          <w:rFonts w:ascii="Times New Roman" w:hAnsi="Times New Roman" w:cs="Times New Roman" w:eastAsia="Times New Roman" w:hint="default"/>
        </w:rPr>
        <w:t>700,565.94</w:t>
      </w:r>
      <w:r>
        <w:rPr/>
        <w:t>元。</w:t>
      </w:r>
    </w:p>
    <w:p>
      <w:pPr>
        <w:pStyle w:val="BodyText"/>
        <w:spacing w:line="240" w:lineRule="auto" w:before="63"/>
        <w:ind w:left="513" w:right="0"/>
        <w:jc w:val="left"/>
      </w:pPr>
      <w:r>
        <w:rPr/>
        <w:t>（</w:t>
      </w:r>
      <w:r>
        <w:rPr>
          <w:rFonts w:ascii="Times New Roman" w:hAnsi="Times New Roman" w:cs="Times New Roman" w:eastAsia="Times New Roman" w:hint="default"/>
        </w:rPr>
        <w:t>4</w:t>
      </w:r>
      <w:r>
        <w:rPr/>
        <w:t>）本期公司因实施股权激励事项，确认当期应计提的股权激励费用，冲减其他资本公积</w:t>
      </w:r>
      <w:r>
        <w:rPr>
          <w:rFonts w:ascii="Times New Roman" w:hAnsi="Times New Roman" w:cs="Times New Roman" w:eastAsia="Times New Roman" w:hint="default"/>
        </w:rPr>
        <w:t>393,054.67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0"/>
        <w:jc w:val="left"/>
        <w:rPr>
          <w:b w:val="0"/>
          <w:bCs w:val="0"/>
        </w:rPr>
      </w:pPr>
      <w:bookmarkStart w:name="31、库存股" w:id="284"/>
      <w:bookmarkEnd w:id="284"/>
      <w:r>
        <w:rPr>
          <w:b w:val="0"/>
          <w:bCs w:val="0"/>
        </w:rPr>
      </w:r>
      <w:r>
        <w:rPr>
          <w:rFonts w:ascii="Times New Roman" w:hAnsi="Times New Roman" w:cs="Times New Roman" w:eastAsia="Times New Roman" w:hint="default"/>
        </w:rPr>
        <w:t>31</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4,265,400.00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4,265,400.00</w:t>
            </w:r>
          </w:p>
        </w:tc>
      </w:tr>
    </w:tbl>
    <w:p>
      <w:pPr>
        <w:pStyle w:val="BodyText"/>
        <w:spacing w:line="240" w:lineRule="auto" w:before="51"/>
        <w:ind w:left="154" w:right="0"/>
        <w:jc w:val="left"/>
      </w:pPr>
      <w:r>
        <w:rPr/>
        <w:t>其他说明，包括本期增减变动情况、变动原因说明：</w:t>
      </w:r>
    </w:p>
    <w:p>
      <w:pPr>
        <w:pStyle w:val="BodyText"/>
        <w:spacing w:line="240" w:lineRule="auto" w:before="116"/>
        <w:ind w:left="514" w:right="0"/>
        <w:jc w:val="left"/>
      </w:pPr>
      <w:r>
        <w:rPr/>
        <w:t>（</w:t>
      </w:r>
      <w:r>
        <w:rPr>
          <w:rFonts w:ascii="Times New Roman" w:hAnsi="Times New Roman" w:cs="Times New Roman" w:eastAsia="Times New Roman" w:hint="default"/>
        </w:rPr>
        <w:t>1</w:t>
      </w:r>
      <w:r>
        <w:rPr/>
        <w:t>）根据修改后披露规定，本期公司因上年度实施股权激励事项，增加库存股</w:t>
      </w:r>
      <w:r>
        <w:rPr>
          <w:rFonts w:ascii="Times New Roman" w:hAnsi="Times New Roman" w:cs="Times New Roman" w:eastAsia="Times New Roman" w:hint="default"/>
        </w:rPr>
        <w:t>2,464,400.00</w:t>
      </w:r>
      <w:r>
        <w:rPr/>
        <w:t>元。</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）股权激励第一期达到行权条件，解锁</w:t>
      </w:r>
      <w:r>
        <w:rPr>
          <w:rFonts w:ascii="Times New Roman" w:hAnsi="Times New Roman" w:cs="Times New Roman" w:eastAsia="Times New Roman" w:hint="default"/>
        </w:rPr>
        <w:t>639,000.00</w:t>
      </w:r>
      <w:r>
        <w:rPr/>
        <w:t>股，减少库存股</w:t>
      </w:r>
      <w:r>
        <w:rPr>
          <w:rFonts w:ascii="Times New Roman" w:hAnsi="Times New Roman" w:cs="Times New Roman" w:eastAsia="Times New Roman" w:hint="default"/>
        </w:rPr>
        <w:t>639,000.00</w:t>
      </w:r>
      <w:r>
        <w:rPr/>
        <w:t>元；剩余</w:t>
      </w:r>
      <w:r>
        <w:rPr>
          <w:rFonts w:ascii="Times New Roman" w:hAnsi="Times New Roman" w:cs="Times New Roman" w:eastAsia="Times New Roman" w:hint="default"/>
        </w:rPr>
        <w:t>60,000.00</w:t>
      </w:r>
      <w:r>
        <w:rPr/>
        <w:t>元库存股减少情况， 详见本附注一</w:t>
      </w:r>
      <w:r>
        <w:rPr>
          <w:rFonts w:ascii="Times New Roman" w:hAnsi="Times New Roman" w:cs="Times New Roman" w:eastAsia="Times New Roman" w:hint="default"/>
        </w:rPr>
        <w:t>“</w:t>
      </w:r>
      <w:r>
        <w:rPr/>
        <w:t>公司基本情况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0"/>
        <w:jc w:val="left"/>
        <w:rPr>
          <w:b w:val="0"/>
          <w:bCs w:val="0"/>
        </w:rPr>
      </w:pPr>
      <w:bookmarkStart w:name="32、其他综合收益" w:id="285"/>
      <w:bookmarkEnd w:id="285"/>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-436,590.65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-4,894,61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0.07</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-436,590.65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-4,894,61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-436,590.65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-4,458,019.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-4,894,61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盈余公积" w:id="286"/>
      <w:bookmarkEnd w:id="286"/>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15,188,942.04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15,188,942.04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15,188,942.04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未分配利润" w:id="287"/>
      <w:bookmarkEnd w:id="287"/>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-80,951,133.47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-80,951,133.47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18,172,467.25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-62,778,666.22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调整期初未分配利润明细：</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2"/>
        <w:ind w:left="514" w:right="0"/>
        <w:jc w:val="left"/>
      </w:pPr>
      <w:r>
        <w:rPr/>
        <w:t>（</w:t>
      </w: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t>（</w:t>
      </w: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0"/>
        <w:jc w:val="left"/>
      </w:pPr>
      <w:r>
        <w:rPr/>
        <w:t>（</w:t>
      </w: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left="513" w:right="0"/>
        <w:jc w:val="left"/>
      </w:pPr>
      <w:r>
        <w:rPr/>
        <w:t>（</w:t>
      </w: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营业收入和营业成本" w:id="288"/>
      <w:bookmarkEnd w:id="288"/>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391,541,867.29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327,157,066.14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517,324,959.04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449,157,064.11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26,594,266.31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15,181,413.52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29,192,762.96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21,520,135.04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418,136,133.60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342,338,479.66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546,517,722.00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470,677,199.15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营业税金及附加" w:id="289"/>
      <w:bookmarkEnd w:id="289"/>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808,137.76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338,240.75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837,013.23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1,755,045.58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606,748.39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1,253,524.45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40,553.30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2,292,452.68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3,348,444.42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销售费用" w:id="290"/>
      <w:bookmarkEnd w:id="290"/>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6,940,442.05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8,486,628.51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364,067.64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486,222.40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快递及运杂费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1,190,427.26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1,986,370.84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650,324.17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1,470,137.98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906,981.99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843,783.03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293,241.03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252,120.50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32,820.52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1,416,075.99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90,663.55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149,564.91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361,993.60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1,035,753.34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351,804.11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611,591.54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1,533,360.66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11,442,553.35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18,011,822.27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管理费用" w:id="291"/>
      <w:bookmarkEnd w:id="291"/>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11,111,630.72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13,469,724.47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446,869.97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738,454.05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6,898,305.68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13,584,600.35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差旅费及汽车支出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1,556,481.13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813,529.01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383,669.70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5,842,317.53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5,379,061.88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530,676.84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601,016.23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保险及招聘费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232,712.41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532,390.65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2,692,427.17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808,273.74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2,358,134.16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2,367,203.69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中介及审核服务费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14,468,462.43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1,726,686.02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1,566,100.10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1,322,067.93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49,411,258.37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42,469,629.84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财务费用" w:id="292"/>
      <w:bookmarkEnd w:id="292"/>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876,869.59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1,649,382.89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5,548,131.07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7,331,482.01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-6,126,657.84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-511,279.50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100,033.85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32,633.62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-10,697,885.47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-6,160,745.00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资产减值损失" w:id="293"/>
      <w:bookmarkEnd w:id="293"/>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69.679993pt;margin-top:724.380005pt;width:52.7pt;height:7.8pt;mso-position-horizontal-relative:page;mso-position-vertical-relative:page;z-index:-995584" coordorigin="5394,14488" coordsize="1054,156">
            <v:shape style="position:absolute;left:5394;top:14488;width:1054;height:156" coordorigin="5394,14488" coordsize="1054,156" path="m5394,14644l6447,14644,6447,14488,5394,14488,5394,14644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-2,034,806.05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2,857,197.67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6,805,209.13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9,233,764.64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823,865.99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4,770,403.08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12,914,828.30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投资收益" w:id="294"/>
      <w:bookmarkEnd w:id="294"/>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1,579,357.31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-149,836.33</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1,303,331.76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1,579,357.31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1,153,495.43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营业外收入" w:id="295"/>
      <w:bookmarkEnd w:id="295"/>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2,068,327.92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2,068,327.92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2,068,327.92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2,068,327.92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1,304,879.96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270,363.60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1,304,879.96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524,349.28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65,396.37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6,122,963.31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65,396.37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3,438,604.25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6,917,676.19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3,438,604.25</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出口信用保 险保费资助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深圳市龙岗 区财政局 </w:t>
            </w:r>
            <w:r>
              <w:rPr>
                <w:rFonts w:ascii="Times New Roman" w:hAnsi="Times New Roman" w:cs="Times New Roman" w:eastAsia="Times New Roman" w:hint="default"/>
                <w:sz w:val="18"/>
                <w:szCs w:val="18"/>
              </w:rPr>
              <w:t>300,000.00/</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p>
            <w:pPr>
              <w:pStyle w:val="TableParagraph"/>
              <w:spacing w:line="338" w:lineRule="auto" w:before="76"/>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贸易和信息 化委员会 </w:t>
            </w:r>
            <w:r>
              <w:rPr>
                <w:rFonts w:ascii="Times New Roman" w:hAnsi="Times New Roman" w:cs="Times New Roman" w:eastAsia="Times New Roman" w:hint="default"/>
                <w:sz w:val="18"/>
                <w:szCs w:val="18"/>
              </w:rPr>
              <w:t>68,880.00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368,880.00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企业技术改 造扶持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深圳市龙岗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99,999.60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中信保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Q4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保 费资助款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库款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89,564.00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left"/>
              <w:rPr>
                <w:rFonts w:ascii="宋体" w:hAnsi="宋体" w:cs="宋体" w:eastAsia="宋体" w:hint="default"/>
                <w:sz w:val="18"/>
                <w:szCs w:val="18"/>
              </w:rPr>
            </w:pPr>
            <w:r>
              <w:rPr>
                <w:rFonts w:ascii="宋体" w:hAnsi="宋体" w:cs="宋体" w:eastAsia="宋体" w:hint="default"/>
                <w:sz w:val="18"/>
                <w:szCs w:val="18"/>
              </w:rPr>
              <w:t>财政委拨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深圳市龙岗 区财政局国 库科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无锡市第二 批专利资助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无锡新区管 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7"/>
              <w:jc w:val="left"/>
              <w:rPr>
                <w:rFonts w:ascii="宋体" w:hAnsi="宋体" w:cs="宋体" w:eastAsia="宋体" w:hint="default"/>
                <w:sz w:val="18"/>
                <w:szCs w:val="18"/>
              </w:rPr>
            </w:pPr>
            <w:r>
              <w:rPr>
                <w:rFonts w:ascii="宋体" w:hAnsi="宋体" w:cs="宋体" w:eastAsia="宋体" w:hint="default"/>
                <w:sz w:val="18"/>
                <w:szCs w:val="18"/>
              </w:rPr>
              <w:t>无锡新区管 委会财政局： 省中小企业 国际市场开 拓资金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65pt;height:46.85pt;mso-position-horizontal-relative:char;mso-position-vertical-relative:line" coordorigin="0,0" coordsize="1053,937">
                  <v:group style="position:absolute;left:0;top:0;width:1053;height:937" coordorigin="0,0" coordsize="1053,937">
                    <v:shape style="position:absolute;left:0;top:0;width:1053;height:937" coordorigin="0,0" coordsize="1053,937" path="m0,936l1052,936,1052,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无锡新区管 委会财政局 专利补贴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无锡新区管 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年度商 务发展资金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无锡商务局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项目资金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无锡新区管 委会财政补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无锡商务局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加工贸易转 型升级资助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嘉定区退税 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区国库收付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1,304,879.96</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270,363.60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3、营业外支出" w:id="296"/>
      <w:bookmarkEnd w:id="296"/>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210,544.89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488,288.18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210,544.89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210,544.89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488,288.18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210,544.89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332,947.63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332,947.63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553,492.52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488,288.18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553,492.52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4、所得税费用" w:id="297"/>
      <w:bookmarkEnd w:id="297"/>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8"/>
      <w:bookmarkEnd w:id="29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3,671,085.37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84,280.05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218,885.00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3,889,970.37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84,280.05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99"/>
      <w:bookmarkEnd w:id="29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23,043,340.97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5,760,835.24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-99,687.30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485,093.87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-3,234,306.84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885,699.32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合并层面抵消影响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115,125.58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非同一控制下公允价值调整递延所得税影响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-22,789.50</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3,889,970.37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现金流量表项目" w:id="300"/>
      <w:bookmarkEnd w:id="300"/>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301"/>
      <w:bookmarkEnd w:id="30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8,588,033.25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6,669,496.89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6,330,810.37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8,947,406.42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15,089,207.62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02"/>
      <w:bookmarkEnd w:id="30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26,784,614.01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16,973,088.04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26,545,684.96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9,509,737.20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53,340,298.97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26,482,825.24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03"/>
      <w:bookmarkEnd w:id="30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104,008,000.00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04"/>
      <w:bookmarkEnd w:id="30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58,880,000.00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05"/>
      <w:bookmarkEnd w:id="30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98,281,950.00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79,997,911.65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79,997,911.65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98,281,950.00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06"/>
      <w:bookmarkEnd w:id="30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326,967.60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389,616.00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1,916,816.00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326,967.60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995536"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46、现金流量表补充资料" w:id="307"/>
      <w:bookmarkEnd w:id="307"/>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08"/>
      <w:bookmarkEnd w:id="30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19,153,370.60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12,755,146.41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4,770,403.08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12,914,828.30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15,414,677.23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17,546,531.94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2,852,189.52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2,702,026.07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394,637.97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2,672,646.74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-1,857,783.03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488,288.18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-9,343,388.42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1,138,103.39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-1,579,357.31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-1,153,495.43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241,674.50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-22,789.50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-1,001,591.59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32,753,001.30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72,589,447.46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-41,622,166.80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-47,664,889.70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-35,897,867.07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53,946,600.81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4,297,043.03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52,845,933.53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169,316,490.34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169,316,490.34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171,863,871.88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45" w:right="0"/>
              <w:jc w:val="left"/>
              <w:rPr>
                <w:rFonts w:ascii="Times New Roman" w:hAnsi="Times New Roman" w:cs="Times New Roman" w:eastAsia="Times New Roman" w:hint="default"/>
                <w:sz w:val="18"/>
                <w:szCs w:val="18"/>
              </w:rPr>
            </w:pPr>
            <w:r>
              <w:rPr>
                <w:rFonts w:ascii="Times New Roman"/>
                <w:sz w:val="18"/>
              </w:rPr>
              <w:t>-116,470,556.81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-2,547,381.54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09"/>
      <w:bookmarkEnd w:id="30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67,184,373.14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33,333,050.62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25,221,211.25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8,630,111.27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186,915,626.86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10"/>
      <w:bookmarkEnd w:id="310"/>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52,845,933.53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169,316,490.34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165,813.41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51,298.09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52,680,120.12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169,265,192.25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52,845,933.53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169,316,490.34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所有权或使用权受到限制的资产" w:id="311"/>
      <w:bookmarkEnd w:id="311"/>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1,394,616.00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8,293,510.40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售后回租机器设备</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9,688,126.40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外币货币性项目" w:id="312"/>
      <w:bookmarkEnd w:id="312"/>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13"/>
      <w:bookmarkEnd w:id="31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2,105,064.84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13,669,449.05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34,775.86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29,134.52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8,421,918.16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54,688,567.76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9,147.54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59,400.47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4,889,123.69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31,748,013.59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26,064.22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82,224.21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68,885.80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79,646.52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517,192.64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55,167.34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358,234.64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104,722.50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314"/>
      <w:bookmarkEnd w:id="31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15"/>
      <w:bookmarkEnd w:id="31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16"/>
      <w:bookmarkEnd w:id="31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上海顺为广 告传播有限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现金支付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工商变更完 成并取得实 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58,306,702.1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2,833,175.07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奇思国际广 </w:t>
            </w:r>
            <w:r>
              <w:rPr>
                <w:rFonts w:ascii="宋体" w:hAnsi="宋体" w:cs="宋体" w:eastAsia="宋体" w:hint="default"/>
                <w:spacing w:val="-12"/>
                <w:sz w:val="18"/>
                <w:szCs w:val="18"/>
              </w:rPr>
              <w:t>告（北京）有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现金支付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工商变更完 成并取得实 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31,084,326.5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2,215,037.50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上海利宣广 告有限公司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现金支付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工商变更完 成并取得实 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12,038,264.8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5,651,147.40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17"/>
      <w:bookmarkEnd w:id="31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3"/>
        <w:gridCol w:w="2392"/>
        <w:gridCol w:w="2392"/>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奇思国际广告（北京）有限公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150,500,000.00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75,600,000.00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28,000,000.00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42,485,212.39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38,456,067.93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12,487,180.25</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270,514,787.61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213,543,932.07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57,512,819.75</w:t>
            </w:r>
          </w:p>
        </w:tc>
      </w:tr>
    </w:tbl>
    <w:p>
      <w:pPr>
        <w:pStyle w:val="BodyText"/>
        <w:spacing w:line="357" w:lineRule="auto" w:before="51"/>
        <w:ind w:left="154" w:right="4812"/>
        <w:jc w:val="left"/>
      </w:pPr>
      <w:r>
        <w:rPr/>
        <w:t>大额商誉形成的主要原因： 主要系报告期内，公司溢价收购顺为广告、奇思广告、利宣广告公司所致。</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3）被购买方于购买日可辨认资产、负债" w:id="318"/>
      <w:bookmarkEnd w:id="31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74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上海顺为广告传播有限公司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奇思国际广告（北京）有限公司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上海利宣广告有限公司</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33,333,050.62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33,333,050.62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25,221,211.25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25,221,211.25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8,630,111.27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8,630,111.27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123,408,549.08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123,408,549.08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39,165,666.47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39,165,666.47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20,245,581.78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20,245,581.78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317,813.08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317,813.08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268,789.13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268,789.13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807,663.27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807,663.27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359,227.59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359,227.59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7,096,046.93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2,523,333.35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670,645.16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670,645.16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2,978,202.07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2,978,202.07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38,074.47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38,074.47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53,135.98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93,527,060.20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93,527,060.20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11,115,636.04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11,115,636.04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1,143,178.39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3,592,557.32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3,592,557.32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136,532.17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136,532.17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739,965.89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739,965.89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26,336,629.53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26,336,629.53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7,098,650.12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7,098,650.12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3,263,087.52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3,263,087.52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42,485,212.39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39,055,677.20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38,456,067.93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38,456,067.93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12,487,180.25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12,487,180.25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42,485,212.39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39,055,677.20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38,456,067.93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38,456,067.93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12,487,180.25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12,487,180.25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原因的合并范围变动" w:id="319"/>
      <w:bookmarkEnd w:id="319"/>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2910"/>
        <w:gridCol w:w="1557"/>
        <w:gridCol w:w="1489"/>
        <w:gridCol w:w="1407"/>
        <w:gridCol w:w="1165"/>
      </w:tblGrid>
      <w:tr>
        <w:trPr>
          <w:trHeight w:val="342" w:hRule="exact"/>
        </w:trPr>
        <w:tc>
          <w:tcPr>
            <w:tcW w:w="2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公司设立时点</w:t>
            </w:r>
          </w:p>
        </w:tc>
        <w:tc>
          <w:tcPr>
            <w:tcW w:w="1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7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股权比例</w:t>
            </w:r>
            <w:r>
              <w:rPr>
                <w:rFonts w:ascii="Times New Roman" w:hAnsi="Times New Roman" w:cs="Times New Roman" w:eastAsia="Times New Roman" w:hint="default"/>
                <w:sz w:val="18"/>
                <w:szCs w:val="18"/>
              </w:rPr>
              <w:t>(%)</w:t>
            </w:r>
          </w:p>
        </w:tc>
      </w:tr>
      <w:tr>
        <w:trPr>
          <w:trHeight w:val="3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深圳市实益达工业有限公司</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深圳市哇塞宝贝网络科技有限公司</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万元人民币</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276</w:t>
            </w:r>
            <w:r>
              <w:rPr>
                <w:rFonts w:ascii="宋体" w:hAnsi="宋体" w:cs="宋体" w:eastAsia="宋体" w:hint="default"/>
                <w:sz w:val="18"/>
                <w:szCs w:val="18"/>
              </w:rPr>
              <w:t>万元人民币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深圳市元通孵化有限公司</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九、在其他主体中的权益" w:id="320"/>
      <w:bookmarkEnd w:id="320"/>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21"/>
      <w:bookmarkEnd w:id="32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22"/>
      <w:bookmarkEnd w:id="32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无锡实益达电子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深圳市汇大光电 科技股份有限公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实益达科技（香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深圳市实益达照 明有限公司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2"/>
              <w:jc w:val="left"/>
              <w:rPr>
                <w:rFonts w:ascii="宋体" w:hAnsi="宋体" w:cs="宋体" w:eastAsia="宋体" w:hint="default"/>
                <w:sz w:val="18"/>
                <w:szCs w:val="18"/>
              </w:rPr>
            </w:pPr>
            <w:r>
              <w:rPr>
                <w:rFonts w:ascii="宋体" w:hAnsi="宋体" w:cs="宋体" w:eastAsia="宋体" w:hint="default"/>
                <w:spacing w:val="-5"/>
                <w:sz w:val="18"/>
                <w:szCs w:val="18"/>
              </w:rPr>
              <w:t>凯扬商贸（香港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8e" filled="false" stroked="true" strokeweight="1.140pt" strokecolor="#ffffff">
                      <v:path arrowok="t"/>
                    </v:shape>
                  </v:group>
                  <v:group style="position:absolute;left:23;top:156;width:1311;height:392" coordorigin="23,156" coordsize="1311,392">
                    <v:shape style="position:absolute;left:23;top:156;width:1311;height:392" coordorigin="23,156" coordsize="1311,392"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无锡实益达照明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深圳市前海实益 达投资发展有限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深圳市实益达工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深圳市哇塞宝贝 网络科技有限公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深圳市元通孵化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上海顺为广告传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上海利宣广告有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上海地幔广告传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240" w:lineRule="auto" w:before="51"/>
        <w:ind w:left="154" w:right="0"/>
        <w:jc w:val="left"/>
      </w:pPr>
      <w:r>
        <w:rPr/>
        <w:t>在子公司的持股比例不同于表决权比例的说明：</w:t>
      </w:r>
    </w:p>
    <w:p>
      <w:pPr>
        <w:pStyle w:val="BodyText"/>
        <w:spacing w:line="300" w:lineRule="auto" w:before="116"/>
        <w:ind w:right="0"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日，公司与深圳市汇大光电科技有限公司（以下简称</w:t>
      </w:r>
      <w:r>
        <w:rPr>
          <w:rFonts w:ascii="Times New Roman" w:hAnsi="Times New Roman" w:cs="Times New Roman" w:eastAsia="Times New Roman" w:hint="default"/>
        </w:rPr>
        <w:t>“</w:t>
      </w:r>
      <w:r>
        <w:rPr/>
        <w:t>汇大公司</w:t>
      </w:r>
      <w:r>
        <w:rPr>
          <w:rFonts w:ascii="Times New Roman" w:hAnsi="Times New Roman" w:cs="Times New Roman" w:eastAsia="Times New Roman" w:hint="default"/>
        </w:rPr>
        <w:t>”</w:t>
      </w:r>
      <w:r>
        <w:rPr/>
        <w:t>，系深圳市汇大光电科技股份有限公司的前 身）股东王诗畅、潘东平签订《关于深圳市汇大光电科技有限公司之股权转让协议》，公司以自有资金人民币</w:t>
      </w:r>
      <w:r>
        <w:rPr>
          <w:rFonts w:ascii="Times New Roman" w:hAnsi="Times New Roman" w:cs="Times New Roman" w:eastAsia="Times New Roman" w:hint="default"/>
        </w:rPr>
        <w:t>720</w:t>
      </w:r>
      <w:r>
        <w:rPr/>
        <w:t>万元收购 汇大公司</w:t>
      </w:r>
      <w:r>
        <w:rPr>
          <w:rFonts w:ascii="Times New Roman" w:hAnsi="Times New Roman" w:cs="Times New Roman" w:eastAsia="Times New Roman" w:hint="default"/>
        </w:rPr>
        <w:t>20%</w:t>
      </w:r>
      <w:r>
        <w:rPr/>
        <w:t>的股权，其中王诗畅出让其持有的汇大公司</w:t>
      </w:r>
      <w:r>
        <w:rPr>
          <w:rFonts w:ascii="Times New Roman" w:hAnsi="Times New Roman" w:cs="Times New Roman" w:eastAsia="Times New Roman" w:hint="default"/>
        </w:rPr>
        <w:t>10%</w:t>
      </w:r>
      <w:r>
        <w:rPr/>
        <w:t>股权，潘东平出让其持有的汇大公司</w:t>
      </w:r>
      <w:r>
        <w:rPr>
          <w:rFonts w:ascii="Times New Roman" w:hAnsi="Times New Roman" w:cs="Times New Roman" w:eastAsia="Times New Roman" w:hint="default"/>
        </w:rPr>
        <w:t>10%</w:t>
      </w:r>
      <w:r>
        <w:rPr/>
        <w:t>股权。股权转让完毕 后，公司以自有资金人民币</w:t>
      </w:r>
      <w:r>
        <w:rPr>
          <w:rFonts w:ascii="Times New Roman" w:hAnsi="Times New Roman" w:cs="Times New Roman" w:eastAsia="Times New Roman" w:hint="default"/>
        </w:rPr>
        <w:t>1,530</w:t>
      </w:r>
      <w:r>
        <w:rPr/>
        <w:t>万元的价款向汇大公司单方认购新增的</w:t>
      </w:r>
      <w:r>
        <w:rPr>
          <w:rFonts w:ascii="Times New Roman" w:hAnsi="Times New Roman" w:cs="Times New Roman" w:eastAsia="Times New Roman" w:hint="default"/>
        </w:rPr>
        <w:t>340</w:t>
      </w:r>
      <w:r>
        <w:rPr/>
        <w:t>万元实收资本，其中人民币</w:t>
      </w:r>
      <w:r>
        <w:rPr>
          <w:rFonts w:ascii="Times New Roman" w:hAnsi="Times New Roman" w:cs="Times New Roman" w:eastAsia="Times New Roman" w:hint="default"/>
        </w:rPr>
        <w:t>340</w:t>
      </w:r>
      <w:r>
        <w:rPr/>
        <w:t>万元为新增实收 资本，其余全部进入资本公积，汇大公司注册资本由人民币</w:t>
      </w:r>
      <w:r>
        <w:rPr>
          <w:rFonts w:ascii="Times New Roman" w:hAnsi="Times New Roman" w:cs="Times New Roman" w:eastAsia="Times New Roman" w:hint="default"/>
        </w:rPr>
        <w:t>800</w:t>
      </w:r>
      <w:r>
        <w:rPr/>
        <w:t>万元增加至人民币</w:t>
      </w:r>
      <w:r>
        <w:rPr>
          <w:rFonts w:ascii="Times New Roman" w:hAnsi="Times New Roman" w:cs="Times New Roman" w:eastAsia="Times New Roman" w:hint="default"/>
        </w:rPr>
        <w:t>1,140</w:t>
      </w:r>
      <w:r>
        <w:rPr/>
        <w:t>万元。本次收购并增资后，公司对汇 大公司的持股比例为</w:t>
      </w:r>
      <w:r>
        <w:rPr>
          <w:rFonts w:ascii="Times New Roman" w:hAnsi="Times New Roman" w:cs="Times New Roman" w:eastAsia="Times New Roman" w:hint="default"/>
        </w:rPr>
        <w:t>43.86%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日，汇大公司股东潘东平、王诗畅与公司签订股份表决权转让确认书，自愿将其 分别持有的全部股份表决权的</w:t>
      </w:r>
      <w:r>
        <w:rPr>
          <w:rFonts w:ascii="Times New Roman" w:hAnsi="Times New Roman" w:cs="Times New Roman" w:eastAsia="Times New Roman" w:hint="default"/>
        </w:rPr>
        <w:t>10%</w:t>
      </w:r>
      <w:r>
        <w:rPr/>
        <w:t>转让给本公司（自公司实际拥有汇大公司股份超过</w:t>
      </w:r>
      <w:r>
        <w:rPr>
          <w:rFonts w:ascii="Times New Roman" w:hAnsi="Times New Roman" w:cs="Times New Roman" w:eastAsia="Times New Roman" w:hint="default"/>
        </w:rPr>
        <w:t>50%</w:t>
      </w:r>
      <w:r>
        <w:rPr/>
        <w:t>起失效），转让完成后公司对汇大 </w:t>
      </w:r>
      <w:r>
        <w:rPr>
          <w:spacing w:val="-2"/>
        </w:rPr>
        <w:t>公司表决权比例为</w:t>
      </w:r>
      <w:r>
        <w:rPr>
          <w:rFonts w:ascii="Times New Roman" w:hAnsi="Times New Roman" w:cs="Times New Roman" w:eastAsia="Times New Roman" w:hint="default"/>
          <w:spacing w:val="-2"/>
        </w:rPr>
        <w:t>63.86%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日，公司、潘东平、王诗畅作为发起人召开了汇大光电创立大会暨第一次股东大会，</w:t>
      </w:r>
      <w:r>
        <w:rPr>
          <w:spacing w:val="-66"/>
        </w:rPr>
        <w:t> </w:t>
      </w:r>
      <w:r>
        <w:rPr>
          <w:spacing w:val="-66"/>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日，汇大光电取得深圳市场监督管理局核发的统一社会信用代码为</w:t>
      </w:r>
      <w:r>
        <w:rPr>
          <w:rFonts w:ascii="Times New Roman" w:hAnsi="Times New Roman" w:cs="Times New Roman" w:eastAsia="Times New Roman" w:hint="default"/>
          <w:spacing w:val="-2"/>
        </w:rPr>
        <w:t>914403007504717927</w:t>
      </w:r>
      <w:r>
        <w:rPr>
          <w:spacing w:val="-2"/>
        </w:rPr>
        <w:t>的《企业法人营执照》，</w:t>
      </w:r>
      <w:r>
        <w:rPr>
          <w:spacing w:val="-40"/>
        </w:rPr>
        <w:t> </w:t>
      </w:r>
      <w:r>
        <w:rPr>
          <w:spacing w:val="-40"/>
        </w:rPr>
      </w:r>
      <w:r>
        <w:rPr/>
        <w:t>汇大公司整体变更设立为汇大光电。</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日，股东潘东平、王诗畅与本公司重新签订股份表决权委托协议，自愿将 其分别持有的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股份表决权无偿的委托给本公司（自公司实际拥有汇大公司股份超过</w:t>
      </w:r>
      <w:r>
        <w:rPr>
          <w:rFonts w:ascii="Times New Roman" w:hAnsi="Times New Roman" w:cs="Times New Roman" w:eastAsia="Times New Roman" w:hint="default"/>
        </w:rPr>
        <w:t>50%</w:t>
      </w:r>
      <w:r>
        <w:rPr/>
        <w:t>起失效），协议有效期限 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日。本期汇大公司进行股改并吸收新股东，变更后公司持有汇大公司</w:t>
      </w:r>
      <w:r>
        <w:rPr>
          <w:rFonts w:ascii="Times New Roman" w:hAnsi="Times New Roman" w:cs="Times New Roman" w:eastAsia="Times New Roman" w:hint="default"/>
        </w:rPr>
        <w:t>42.40%</w:t>
      </w:r>
      <w:r>
        <w:rPr/>
        <w:t>股份，表决权比例为</w:t>
      </w:r>
      <w:r>
        <w:rPr>
          <w:rFonts w:ascii="Times New Roman" w:hAnsi="Times New Roman" w:cs="Times New Roman" w:eastAsia="Times New Roman" w:hint="default"/>
        </w:rPr>
        <w:t>62.40%</w:t>
      </w:r>
      <w:r>
        <w:rPr/>
        <w:t>。 汇大公司作为本公司控股子公司，纳入合并报表范围。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重要的非全资子公司" w:id="323"/>
      <w:bookmarkEnd w:id="32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深圳市汇大光电科技股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993,302.97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11,105,010.56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深圳市前海实益达投资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-12,399.62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-48,992.14</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深圳市实益达照明有限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2,258,550.90</w:t>
            </w:r>
          </w:p>
        </w:tc>
      </w:tr>
    </w:tbl>
    <w:p>
      <w:pPr>
        <w:pStyle w:val="BodyText"/>
        <w:spacing w:line="357" w:lineRule="auto" w:before="51"/>
        <w:ind w:left="154" w:right="6432"/>
        <w:jc w:val="left"/>
      </w:pPr>
      <w:r>
        <w:rPr/>
        <w:t>子公司少数股东的持股比例不同于表决权比例的说明： 详见本附注八（一）</w:t>
      </w:r>
      <w:r>
        <w:rPr>
          <w:rFonts w:ascii="Times New Roman" w:hAnsi="Times New Roman" w:cs="Times New Roman" w:eastAsia="Times New Roman" w:hint="default"/>
        </w:rPr>
        <w:t>1“</w:t>
      </w:r>
      <w:r>
        <w:rPr/>
        <w:t>企业集团的构成</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3）重要非全资子公司的主要财务信息" w:id="324"/>
      <w:bookmarkEnd w:id="32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深圳市 汇大光 电科技 股份有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18,349,9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69.10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8,632,35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26,982,3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7,702,79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3.19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7,702,79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14,592,0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10,073,3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24,665,4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8,237,14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8,237,14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前海实 益达投 资发展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2,681,35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4,622,67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7,304,03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6,703,46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7,353,62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实益达 照明有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42,624,9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01.56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3,228,61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45,853,5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8,888,68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8,888,68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7,613,27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8,388,13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12,289,8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95.30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12,289,8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95.30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深圳市汇大 光电科技股 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25,034,362.5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1,751,273.52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1,751,273.52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2,853,095.80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22,724,543.0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-2,644,329.80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-2,644,329.80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1,369,367.92</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深圳市前海 实益达投资 发展有限公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-49,598.48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-49,598.48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-2,702,112.83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-146,370.06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-146,370.06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3,466.27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深圳市实益 达照明有限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24,682,201.3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1,366,584.29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1,366,584.29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-8,950,255.79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10,363,344.6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-3,769,497.12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-3,769,497.12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1,136,187.02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子公司的所有者权益份额发生变化且仍控制子公司的交易" w:id="325"/>
      <w:bookmarkEnd w:id="3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26"/>
      <w:bookmarkEnd w:id="3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4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月公司控股子公司深圳市汇大光电科技股份有限公司新增股东新余汇航投资合伙企业（有限合伙），变更 后公司持有汇大公司</w:t>
      </w:r>
      <w:r>
        <w:rPr>
          <w:rFonts w:ascii="Times New Roman" w:hAnsi="Times New Roman" w:cs="Times New Roman" w:eastAsia="Times New Roman" w:hint="default"/>
        </w:rPr>
        <w:t>7,017,600</w:t>
      </w:r>
      <w:r>
        <w:rPr/>
        <w:t>股，占总股份数由原</w:t>
      </w:r>
      <w:r>
        <w:rPr>
          <w:rFonts w:ascii="Times New Roman" w:hAnsi="Times New Roman" w:cs="Times New Roman" w:eastAsia="Times New Roman" w:hint="default"/>
        </w:rPr>
        <w:t>43.86%</w:t>
      </w:r>
      <w:r>
        <w:rPr/>
        <w:t>变更为</w:t>
      </w:r>
      <w:r>
        <w:rPr>
          <w:rFonts w:ascii="Times New Roman" w:hAnsi="Times New Roman" w:cs="Times New Roman" w:eastAsia="Times New Roman" w:hint="default"/>
        </w:rPr>
        <w:t>42.40%</w:t>
      </w:r>
      <w:r>
        <w:rPr/>
        <w:t>，汇大公司股东潘东平、王诗畅与本公司签订股份 表决权转让确认书，自愿将其分别持有的全部股份表决权的</w:t>
      </w:r>
      <w:r>
        <w:rPr>
          <w:rFonts w:ascii="Times New Roman" w:hAnsi="Times New Roman" w:cs="Times New Roman" w:eastAsia="Times New Roman" w:hint="default"/>
        </w:rPr>
        <w:t>10%</w:t>
      </w:r>
      <w:r>
        <w:rPr/>
        <w:t>转让给本公司，公司持有表决权比例为</w:t>
      </w:r>
      <w:r>
        <w:rPr>
          <w:rFonts w:ascii="Times New Roman" w:hAnsi="Times New Roman" w:cs="Times New Roman" w:eastAsia="Times New Roman" w:hint="default"/>
        </w:rPr>
        <w:t>62.40%</w:t>
      </w:r>
      <w:r>
        <w:rPr/>
        <w:t>。</w:t>
      </w:r>
    </w:p>
    <w:p>
      <w:pPr>
        <w:pStyle w:val="BodyText"/>
        <w:spacing w:line="300" w:lineRule="auto" w:before="13"/>
        <w:ind w:left="154" w:right="114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月公司控股子公司深圳市实益达照明有限公司新增股东新余益明投资合伙企业（有限合伙）及薛桂香，变 更后公司持有实益达照明公司</w:t>
      </w:r>
      <w:r>
        <w:rPr>
          <w:rFonts w:ascii="Times New Roman" w:hAnsi="Times New Roman" w:cs="Times New Roman" w:eastAsia="Times New Roman" w:hint="default"/>
        </w:rPr>
        <w:t>28,168,000</w:t>
      </w:r>
      <w:r>
        <w:rPr/>
        <w:t>股，占总股份数由原</w:t>
      </w:r>
      <w:r>
        <w:rPr>
          <w:rFonts w:ascii="Times New Roman" w:hAnsi="Times New Roman" w:cs="Times New Roman" w:eastAsia="Times New Roman" w:hint="default"/>
        </w:rPr>
        <w:t>100%</w:t>
      </w:r>
      <w:r>
        <w:rPr/>
        <w:t>变更为</w:t>
      </w:r>
      <w:r>
        <w:rPr>
          <w:rFonts w:ascii="Times New Roman" w:hAnsi="Times New Roman" w:cs="Times New Roman" w:eastAsia="Times New Roman" w:hint="default"/>
        </w:rPr>
        <w:t>93.89%</w:t>
      </w:r>
      <w:r>
        <w:rPr/>
        <w:t>，公司持有表决权比例为</w:t>
      </w:r>
      <w:r>
        <w:rPr>
          <w:rFonts w:ascii="Times New Roman" w:hAnsi="Times New Roman" w:cs="Times New Roman" w:eastAsia="Times New Roman" w:hint="default"/>
        </w:rPr>
        <w:t>93.89%</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交易对于少数股东权益及归属于母公司所有者权益的影响" w:id="327"/>
      <w:bookmarkEnd w:id="3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深圳市汇大光电科技股份有限公司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深圳市实益达照明有限公司</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888,883.16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2,258,550.90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211,116.84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489,449.10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211,116.84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489,449.10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28"/>
      <w:bookmarkEnd w:id="3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9"/>
      <w:bookmarkEnd w:id="3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新余久益投资管 理合伙企业（有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广州讯友数码科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关联方及关联交易" w:id="330"/>
      <w:bookmarkEnd w:id="330"/>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子公司情况" w:id="331"/>
      <w:bookmarkEnd w:id="331"/>
      <w:r>
        <w:rPr>
          <w:b w:val="0"/>
          <w:bCs w:val="0"/>
        </w:rPr>
      </w:r>
      <w:r>
        <w:rPr>
          <w:rFonts w:ascii="Times New Roman" w:hAnsi="Times New Roman" w:cs="Times New Roman" w:eastAsia="Times New Roman" w:hint="default"/>
        </w:rPr>
        <w:t>1</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本企业子公司的情况详见附注八（一）在子公司中的权益。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企业合营和联营企业情况" w:id="332"/>
      <w:bookmarkEnd w:id="332"/>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本企业重要的合营或联营企业详见附注八（三）在合营安排或联营企业中的权益。</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其他关联方情况" w:id="333"/>
      <w:bookmarkEnd w:id="333"/>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新余天道酬勤投资发展有限公司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深圳市电明科技股份有限公司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厦门萤火虫节能科技有限公司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深圳前海知了投资管理有限公司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原公司高管持有的企业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河南省实益达照明科技有限公司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原监事直系亲属持有的企业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公司董事、副总裁、财务总监（已离任）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廖建中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公司董事、财务总监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马旗戟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曹军波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职工监事（已离任）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曾慧明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关联交易情况" w:id="334"/>
      <w:bookmarkEnd w:id="334"/>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35"/>
      <w:bookmarkEnd w:id="33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深圳市电明科技股份有限公司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274.66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厦门萤火虫节能科技有限公司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河南省实益达照明科技有限公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336"/>
      <w:bookmarkEnd w:id="33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陈亚妹、乔昕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陈亚妹、乔昕、无锡实 益达电子有限公司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513" w:right="1118" w:hanging="360"/>
        <w:jc w:val="left"/>
      </w:pPr>
      <w:r>
        <w:rPr/>
        <w:t>关联担保情况说明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日取得上海浦东发展银行深圳分行</w:t>
      </w:r>
      <w:r>
        <w:rPr>
          <w:rFonts w:ascii="Times New Roman" w:hAnsi="Times New Roman" w:cs="Times New Roman" w:eastAsia="Times New Roman" w:hint="default"/>
          <w:spacing w:val="-1"/>
        </w:rPr>
        <w:t>10,000</w:t>
      </w:r>
      <w:r>
        <w:rPr>
          <w:spacing w:val="-1"/>
        </w:rPr>
        <w:t>万人民币授信额度，该授信额度的取得由公司实际控制人</w:t>
      </w:r>
    </w:p>
    <w:p>
      <w:pPr>
        <w:pStyle w:val="BodyText"/>
        <w:spacing w:line="215" w:lineRule="exact" w:before="0"/>
        <w:ind w:left="154" w:right="0"/>
        <w:jc w:val="left"/>
      </w:pPr>
      <w:r>
        <w:rPr/>
        <w:t>陈亚妹、乔昕提供连带保证担保，担保期限从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日止。截止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日，公司在该授信额</w:t>
      </w:r>
    </w:p>
    <w:p>
      <w:pPr>
        <w:pStyle w:val="BodyText"/>
        <w:spacing w:line="300" w:lineRule="auto" w:before="63"/>
        <w:ind w:left="514" w:right="0" w:hanging="360"/>
        <w:jc w:val="left"/>
      </w:pPr>
      <w:r>
        <w:rPr/>
        <w:t>度下取得的借款余额为</w:t>
      </w:r>
      <w:r>
        <w:rPr>
          <w:rFonts w:ascii="Times New Roman" w:hAnsi="Times New Roman" w:cs="Times New Roman" w:eastAsia="Times New Roman" w:hint="default"/>
        </w:rPr>
        <w:t>0</w:t>
      </w:r>
      <w:r>
        <w:rPr/>
        <w:t>元。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日取得平安银行股份有限公司深圳分行</w:t>
      </w:r>
      <w:r>
        <w:rPr>
          <w:rFonts w:ascii="Times New Roman" w:hAnsi="Times New Roman" w:cs="Times New Roman" w:eastAsia="Times New Roman" w:hint="default"/>
          <w:spacing w:val="-1"/>
        </w:rPr>
        <w:t>10,000</w:t>
      </w:r>
      <w:r>
        <w:rPr>
          <w:spacing w:val="-1"/>
        </w:rPr>
        <w:t>万人民币授信额度，该授信额度的取得由公司实际控</w:t>
      </w:r>
    </w:p>
    <w:p>
      <w:pPr>
        <w:pStyle w:val="BodyText"/>
        <w:spacing w:line="240" w:lineRule="auto" w:before="13"/>
        <w:ind w:right="0"/>
        <w:jc w:val="left"/>
      </w:pPr>
      <w:r>
        <w:rPr/>
        <w:t>制人陈亚妹、乔昕及子公司无锡实益达电子有限公司提供连带保证担保，担保期限从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日止。截</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日，公司在该授信额度下取得的借款余额为</w:t>
      </w:r>
      <w:r>
        <w:rPr>
          <w:rFonts w:ascii="Times New Roman" w:hAnsi="Times New Roman" w:cs="Times New Roman" w:eastAsia="Times New Roman" w:hint="default"/>
        </w:rPr>
        <w:t>5,000</w:t>
      </w:r>
      <w:r>
        <w:rPr/>
        <w:t>万元人民币。</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关联方应收应付款项" w:id="337"/>
      <w:bookmarkEnd w:id="337"/>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338"/>
      <w:bookmarkEnd w:id="33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深圳市电明科技股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新余久益投资管理 合伙企业（有限合 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厦门萤火虫节能科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承诺" w:id="339"/>
      <w:bookmarkEnd w:id="339"/>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3" w:right="1033"/>
        <w:jc w:val="left"/>
      </w:pPr>
      <w:r>
        <w:rPr/>
        <w:t>（</w:t>
      </w:r>
      <w:r>
        <w:rPr>
          <w:rFonts w:ascii="Times New Roman" w:hAnsi="Times New Roman" w:cs="Times New Roman" w:eastAsia="Times New Roman" w:hint="default"/>
        </w:rPr>
        <w:t>1</w:t>
      </w:r>
      <w:r>
        <w:rPr/>
        <w:t>）本期与重大资产重组相关承诺 根据公司与交易对方分别签订的《盈利预测补偿协议》，以及交易对方出具的承诺函，张伟承诺：顺为广告</w:t>
      </w:r>
      <w:r>
        <w:rPr>
          <w:rFonts w:ascii="Times New Roman" w:hAnsi="Times New Roman" w:cs="Times New Roman" w:eastAsia="Times New Roman" w:hint="default"/>
        </w:rPr>
        <w:t>2015</w:t>
      </w:r>
      <w:r>
        <w:rPr/>
        <w:t>年度、</w:t>
      </w:r>
    </w:p>
    <w:p>
      <w:pPr>
        <w:pStyle w:val="BodyText"/>
        <w:spacing w:line="304" w:lineRule="auto" w:before="13"/>
        <w:ind w:right="1033"/>
        <w:jc w:val="left"/>
      </w:pP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年度实现的净利润分别不低于</w:t>
      </w:r>
      <w:r>
        <w:rPr>
          <w:rFonts w:ascii="Times New Roman" w:hAnsi="Times New Roman" w:cs="Times New Roman" w:eastAsia="Times New Roman" w:hint="default"/>
        </w:rPr>
        <w:t>2,500</w:t>
      </w:r>
      <w:r>
        <w:rPr/>
        <w:t>万元、</w:t>
      </w:r>
      <w:r>
        <w:rPr>
          <w:rFonts w:ascii="Times New Roman" w:hAnsi="Times New Roman" w:cs="Times New Roman" w:eastAsia="Times New Roman" w:hint="default"/>
        </w:rPr>
        <w:t>3,250</w:t>
      </w:r>
      <w:r>
        <w:rPr/>
        <w:t>万元和</w:t>
      </w:r>
      <w:r>
        <w:rPr>
          <w:rFonts w:ascii="Times New Roman" w:hAnsi="Times New Roman" w:cs="Times New Roman" w:eastAsia="Times New Roman" w:hint="default"/>
        </w:rPr>
        <w:t>4,225</w:t>
      </w:r>
      <w:r>
        <w:rPr/>
        <w:t>万元；姚俊承诺：如张伟未能依约履行包括及时 进行盈利预测补偿在内的义务和责任的，姚俊将就张伟在《盈利预测补偿协议》项下的所有义务和责任承担连带保证责任； </w:t>
      </w:r>
      <w:r>
        <w:rPr>
          <w:spacing w:val="-4"/>
        </w:rPr>
        <w:t>伏虎、逄淑涌、曹建华承诺：奇思广告</w:t>
      </w:r>
      <w:r>
        <w:rPr>
          <w:rFonts w:ascii="Times New Roman" w:hAnsi="Times New Roman" w:cs="Times New Roman" w:eastAsia="Times New Roman" w:hint="default"/>
          <w:spacing w:val="-4"/>
        </w:rPr>
        <w:t>2015</w:t>
      </w:r>
      <w:r>
        <w:rPr>
          <w:spacing w:val="-4"/>
        </w:rPr>
        <w:t>年度、</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年度实现的净利润分别不低于</w:t>
      </w:r>
      <w:r>
        <w:rPr>
          <w:rFonts w:ascii="Times New Roman" w:hAnsi="Times New Roman" w:cs="Times New Roman" w:eastAsia="Times New Roman" w:hint="default"/>
          <w:spacing w:val="-4"/>
        </w:rPr>
        <w:t>1,800</w:t>
      </w:r>
      <w:r>
        <w:rPr>
          <w:spacing w:val="-4"/>
        </w:rPr>
        <w:t>万元、</w:t>
      </w:r>
      <w:r>
        <w:rPr>
          <w:rFonts w:ascii="Times New Roman" w:hAnsi="Times New Roman" w:cs="Times New Roman" w:eastAsia="Times New Roman" w:hint="default"/>
          <w:spacing w:val="-4"/>
        </w:rPr>
        <w:t>2,340</w:t>
      </w:r>
      <w:r>
        <w:rPr>
          <w:spacing w:val="-4"/>
        </w:rPr>
        <w:t>万元和</w:t>
      </w:r>
      <w:r>
        <w:rPr>
          <w:rFonts w:ascii="Times New Roman" w:hAnsi="Times New Roman" w:cs="Times New Roman" w:eastAsia="Times New Roman" w:hint="default"/>
          <w:spacing w:val="-4"/>
        </w:rPr>
        <w:t>3,042</w:t>
      </w:r>
      <w:r>
        <w:rPr>
          <w:rFonts w:ascii="Times New Roman" w:hAnsi="Times New Roman" w:cs="Times New Roman" w:eastAsia="Times New Roman" w:hint="default"/>
          <w:spacing w:val="11"/>
        </w:rPr>
        <w:t> </w:t>
      </w:r>
      <w:r>
        <w:rPr/>
        <w:t>万元；袁琪、张晓艳承诺：利宣广告</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年度实现的净利润分别不低于</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1,300</w:t>
      </w:r>
      <w:r>
        <w:rPr/>
        <w:t>万元和</w:t>
      </w:r>
      <w:r>
        <w:rPr>
          <w:rFonts w:ascii="Times New Roman" w:hAnsi="Times New Roman" w:cs="Times New Roman" w:eastAsia="Times New Roman" w:hint="default"/>
        </w:rPr>
        <w:t>1,690 </w:t>
      </w:r>
      <w:r>
        <w:rPr/>
        <w:t>万元。</w:t>
      </w:r>
    </w:p>
    <w:p>
      <w:pPr>
        <w:pStyle w:val="BodyText"/>
        <w:spacing w:line="300" w:lineRule="auto" w:before="28"/>
        <w:ind w:left="514" w:right="1167"/>
        <w:jc w:val="left"/>
      </w:pPr>
      <w:r>
        <w:rPr/>
        <w:t>（</w:t>
      </w:r>
      <w:r>
        <w:rPr>
          <w:rFonts w:ascii="Times New Roman" w:hAnsi="Times New Roman" w:cs="Times New Roman" w:eastAsia="Times New Roman" w:hint="default"/>
        </w:rPr>
        <w:t>2</w:t>
      </w:r>
      <w:r>
        <w:rPr/>
        <w:t>）本期与收购广州讯友数码科技有限公司股份相关承诺 广州讯友数码科技有限公司承诺：</w:t>
      </w:r>
      <w:r>
        <w:rPr>
          <w:rFonts w:ascii="Times New Roman" w:hAnsi="Times New Roman" w:cs="Times New Roman" w:eastAsia="Times New Roman" w:hint="default"/>
        </w:rPr>
        <w:t>2015</w:t>
      </w:r>
      <w:r>
        <w:rPr/>
        <w:t>年净利润不低于人民币</w:t>
      </w:r>
      <w:r>
        <w:rPr>
          <w:rFonts w:ascii="Times New Roman" w:hAnsi="Times New Roman" w:cs="Times New Roman" w:eastAsia="Times New Roman" w:hint="default"/>
        </w:rPr>
        <w:t>1,200</w:t>
      </w:r>
      <w:r>
        <w:rPr/>
        <w:t>万元，</w:t>
      </w:r>
      <w:r>
        <w:rPr>
          <w:rFonts w:ascii="Times New Roman" w:hAnsi="Times New Roman" w:cs="Times New Roman" w:eastAsia="Times New Roman" w:hint="default"/>
        </w:rPr>
        <w:t>2016</w:t>
      </w:r>
      <w:r>
        <w:rPr/>
        <w:t>年净利润不低于</w:t>
      </w:r>
      <w:r>
        <w:rPr>
          <w:rFonts w:ascii="Times New Roman" w:hAnsi="Times New Roman" w:cs="Times New Roman" w:eastAsia="Times New Roman" w:hint="default"/>
        </w:rPr>
        <w:t>2015</w:t>
      </w:r>
      <w:r>
        <w:rPr/>
        <w:t>年经审计净利润的</w:t>
      </w:r>
    </w:p>
    <w:p>
      <w:pPr>
        <w:pStyle w:val="BodyText"/>
        <w:spacing w:line="240" w:lineRule="auto" w:before="13"/>
        <w:ind w:left="154" w:right="0"/>
        <w:jc w:val="left"/>
      </w:pPr>
      <w:r>
        <w:rPr>
          <w:rFonts w:ascii="Times New Roman" w:hAnsi="Times New Roman" w:cs="Times New Roman" w:eastAsia="Times New Roman" w:hint="default"/>
        </w:rPr>
        <w:t>150%</w:t>
      </w:r>
      <w:r>
        <w:rPr/>
        <w:t>，</w:t>
      </w:r>
      <w:r>
        <w:rPr>
          <w:rFonts w:ascii="Times New Roman" w:hAnsi="Times New Roman" w:cs="Times New Roman" w:eastAsia="Times New Roman" w:hint="default"/>
        </w:rPr>
        <w:t>2017</w:t>
      </w:r>
      <w:r>
        <w:rPr/>
        <w:t>年净利润不低于</w:t>
      </w:r>
      <w:r>
        <w:rPr>
          <w:rFonts w:ascii="Times New Roman" w:hAnsi="Times New Roman" w:cs="Times New Roman" w:eastAsia="Times New Roman" w:hint="default"/>
        </w:rPr>
        <w:t>2016</w:t>
      </w:r>
      <w:r>
        <w:rPr/>
        <w:t>年经审计净利润的</w:t>
      </w:r>
      <w:r>
        <w:rPr>
          <w:rFonts w:ascii="Times New Roman" w:hAnsi="Times New Roman" w:cs="Times New Roman" w:eastAsia="Times New Roman" w:hint="default"/>
        </w:rPr>
        <w:t>120%</w:t>
      </w:r>
      <w:r>
        <w:rPr/>
        <w:t>。</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十一、股份支付" w:id="340"/>
      <w:bookmarkEnd w:id="340"/>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41"/>
      <w:bookmarkEnd w:id="34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67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公司期末发行在外的第一次授予的股份期权行权价 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36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公司期末第一次授予限制性股票的行权价格为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p>
          <w:p>
            <w:pPr>
              <w:pStyle w:val="TableParagraph"/>
              <w:spacing w:line="300" w:lineRule="auto" w:before="6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年授予的预留部分限制性股票的行权 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342"/>
      <w:bookmarkEnd w:id="34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4"/>
        <w:rPr>
          <w:rFonts w:ascii="宋体" w:hAnsi="宋体" w:cs="宋体" w:eastAsia="宋体" w:hint="default"/>
          <w:sz w:val="9"/>
          <w:szCs w:val="9"/>
        </w:rPr>
      </w:pPr>
    </w:p>
    <w:p>
      <w:pPr>
        <w:pStyle w:val="BodyText"/>
        <w:spacing w:line="240" w:lineRule="auto" w:before="44"/>
        <w:ind w:left="0" w:right="1139"/>
        <w:jc w:val="right"/>
      </w:pPr>
      <w:r>
        <w:rPr/>
        <w:pict>
          <v:shape style="position:absolute;margin-left:56.459999pt;margin-top:-.848296pt;width:479.2pt;height:194.6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0"/>
                          <w:jc w:val="left"/>
                          <w:rPr>
                            <w:rFonts w:ascii="宋体" w:hAnsi="宋体" w:cs="宋体" w:eastAsia="宋体" w:hint="default"/>
                            <w:sz w:val="18"/>
                            <w:szCs w:val="18"/>
                          </w:rPr>
                        </w:pPr>
                        <w:r>
                          <w:rPr>
                            <w:rFonts w:ascii="宋体" w:hAnsi="宋体" w:cs="宋体" w:eastAsia="宋体" w:hint="default"/>
                            <w:spacing w:val="-5"/>
                            <w:sz w:val="18"/>
                            <w:szCs w:val="18"/>
                          </w:rPr>
                          <w:t>公司采用授予日市价减去买入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卖出认沽（购）期权价格差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限制性股票授予价格的方法确定限制性股票的公允价值</w:t>
                        </w:r>
                      </w:p>
                      <w:p>
                        <w:pPr>
                          <w:pStyle w:val="TableParagraph"/>
                          <w:spacing w:line="302" w:lineRule="auto" w:before="31"/>
                          <w:ind w:left="23" w:right="23"/>
                          <w:jc w:val="left"/>
                          <w:rPr>
                            <w:rFonts w:ascii="宋体" w:hAnsi="宋体" w:cs="宋体" w:eastAsia="宋体" w:hint="default"/>
                            <w:sz w:val="18"/>
                            <w:szCs w:val="18"/>
                          </w:rPr>
                        </w:pPr>
                        <w:r>
                          <w:rPr>
                            <w:rFonts w:ascii="宋体" w:hAnsi="宋体" w:cs="宋体" w:eastAsia="宋体" w:hint="default"/>
                            <w:spacing w:val="-8"/>
                            <w:sz w:val="18"/>
                            <w:szCs w:val="18"/>
                          </w:rPr>
                          <w:t>（即限制性股票成本）。认沽（购）期权价值经</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B-S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模型估 算确定。</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公司根据《深圳市实益达科技股份有限公司限制性股票激 </w:t>
                        </w:r>
                        <w:r>
                          <w:rPr>
                            <w:rFonts w:ascii="宋体" w:hAnsi="宋体" w:cs="宋体" w:eastAsia="宋体" w:hint="default"/>
                            <w:spacing w:val="-13"/>
                            <w:sz w:val="18"/>
                            <w:szCs w:val="18"/>
                          </w:rPr>
                          <w:t>励计划（草案）》、《深圳市实益达科技股份有限公司股权激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励计划实施考核管理办法》确定。（现更名深圳市麦达数字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2,235,810.35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-393,054.67</w:t>
                        </w:r>
                        <w:r>
                          <w:rPr>
                            <w:rFonts w:ascii="Times New Roman"/>
                            <w:sz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4"/>
        <w:ind w:left="154" w:right="0"/>
        <w:jc w:val="left"/>
        <w:rPr>
          <w:b w:val="0"/>
          <w:bCs w:val="0"/>
        </w:rPr>
      </w:pPr>
      <w:bookmarkStart w:name="十二、承诺及或有事项" w:id="343"/>
      <w:bookmarkEnd w:id="343"/>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44"/>
      <w:bookmarkEnd w:id="34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8052"/>
        <w:jc w:val="left"/>
      </w:pPr>
      <w:r>
        <w:rPr/>
        <w:t>资产负债表日存在的重要承诺 本公司不存在需要披露的承诺事项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345"/>
      <w:bookmarkEnd w:id="34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46"/>
      <w:bookmarkEnd w:id="34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1</w:t>
      </w:r>
      <w:r>
        <w:rPr/>
        <w:t>．未决诉讼或仲裁形成的或有事项及其财务影响</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1793"/>
        <w:gridCol w:w="1565"/>
        <w:gridCol w:w="1356"/>
        <w:gridCol w:w="1170"/>
        <w:gridCol w:w="1312"/>
        <w:gridCol w:w="1332"/>
      </w:tblGrid>
      <w:tr>
        <w:trPr>
          <w:trHeight w:val="341" w:hRule="exact"/>
        </w:trPr>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80"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1"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159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56"/>
              <w:jc w:val="left"/>
              <w:rPr>
                <w:rFonts w:ascii="宋体" w:hAnsi="宋体" w:cs="宋体" w:eastAsia="宋体" w:hint="default"/>
                <w:sz w:val="18"/>
                <w:szCs w:val="18"/>
              </w:rPr>
            </w:pPr>
            <w:r>
              <w:rPr>
                <w:rFonts w:ascii="宋体" w:hAnsi="宋体" w:cs="宋体" w:eastAsia="宋体" w:hint="default"/>
                <w:sz w:val="18"/>
                <w:szCs w:val="18"/>
              </w:rPr>
              <w:t>深圳市麦达数字股份 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378"/>
              <w:jc w:val="left"/>
              <w:rPr>
                <w:rFonts w:ascii="宋体" w:hAnsi="宋体" w:cs="宋体" w:eastAsia="宋体" w:hint="default"/>
                <w:sz w:val="18"/>
                <w:szCs w:val="18"/>
              </w:rPr>
            </w:pPr>
            <w:r>
              <w:rPr>
                <w:rFonts w:ascii="宋体"/>
                <w:sz w:val="18"/>
              </w:rPr>
              <w:t>PERCEPTION DIGITAL LIMITED/PD TRADING (HONG KONG) LIMITED</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8"/>
              <w:jc w:val="center"/>
              <w:rPr>
                <w:rFonts w:ascii="宋体" w:hAnsi="宋体" w:cs="宋体" w:eastAsia="宋体" w:hint="default"/>
                <w:sz w:val="18"/>
                <w:szCs w:val="18"/>
              </w:rPr>
            </w:pPr>
            <w:r>
              <w:rPr>
                <w:rFonts w:ascii="宋体" w:hAnsi="宋体" w:cs="宋体" w:eastAsia="宋体" w:hint="default"/>
                <w:sz w:val="18"/>
                <w:szCs w:val="18"/>
              </w:rPr>
              <w:t>香港高等法院</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USD292.31</w:t>
            </w:r>
            <w:r>
              <w:rPr>
                <w:rFonts w:ascii="宋体" w:hAnsi="宋体" w:cs="宋体" w:eastAsia="宋体" w:hint="default"/>
                <w:sz w:val="18"/>
                <w:szCs w:val="18"/>
              </w:rPr>
              <w:t>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正在审理中</w:t>
            </w:r>
          </w:p>
        </w:tc>
      </w:tr>
      <w:tr>
        <w:trPr>
          <w:trHeight w:val="342"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深圳市盟世奇商贸有</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5"/>
              <w:jc w:val="center"/>
              <w:rPr>
                <w:rFonts w:ascii="宋体" w:hAnsi="宋体" w:cs="宋体" w:eastAsia="宋体" w:hint="default"/>
                <w:sz w:val="18"/>
                <w:szCs w:val="18"/>
              </w:rPr>
            </w:pPr>
            <w:r>
              <w:rPr>
                <w:rFonts w:ascii="宋体" w:hAnsi="宋体" w:cs="宋体" w:eastAsia="宋体" w:hint="default"/>
                <w:sz w:val="18"/>
                <w:szCs w:val="18"/>
              </w:rPr>
              <w:t>深圳市麦达数字股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8"/>
              <w:jc w:val="center"/>
              <w:rPr>
                <w:rFonts w:ascii="宋体" w:hAnsi="宋体" w:cs="宋体" w:eastAsia="宋体" w:hint="default"/>
                <w:sz w:val="18"/>
                <w:szCs w:val="18"/>
              </w:rPr>
            </w:pPr>
            <w:r>
              <w:rPr>
                <w:rFonts w:ascii="宋体" w:hAnsi="宋体" w:cs="宋体" w:eastAsia="宋体" w:hint="default"/>
                <w:sz w:val="18"/>
                <w:szCs w:val="18"/>
              </w:rPr>
              <w:t>深圳市龙岗区</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7" w:right="0"/>
              <w:jc w:val="left"/>
              <w:rPr>
                <w:rFonts w:ascii="宋体" w:hAnsi="宋体" w:cs="宋体" w:eastAsia="宋体" w:hint="default"/>
                <w:sz w:val="18"/>
                <w:szCs w:val="18"/>
              </w:rPr>
            </w:pPr>
            <w:r>
              <w:rPr>
                <w:rFonts w:ascii="宋体" w:hAnsi="宋体" w:cs="宋体" w:eastAsia="宋体" w:hint="default"/>
                <w:sz w:val="18"/>
                <w:szCs w:val="18"/>
              </w:rPr>
              <w:t>171.17</w:t>
            </w:r>
            <w:r>
              <w:rPr>
                <w:rFonts w:ascii="宋体" w:hAnsi="宋体" w:cs="宋体" w:eastAsia="宋体" w:hint="default"/>
                <w:sz w:val="18"/>
                <w:szCs w:val="18"/>
              </w:rPr>
              <w:t>万元</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处于司法鉴定阶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47.619995pt;margin-top:681.25pt;width:91.65pt;height:73.8pt;mso-position-horizontal-relative:page;mso-position-vertical-relative:page;z-index:-995464" coordorigin="6952,13625" coordsize="1833,1476">
            <v:group style="position:absolute;left:6964;top:13636;width:2;height:392" coordorigin="6964,13636" coordsize="2,392">
              <v:shape style="position:absolute;left:6964;top:13636;width:2;height:392" coordorigin="6964,13636" coordsize="0,392" path="m6964,13636l6964,14028e" filled="false" stroked="true" strokeweight="1.140pt" strokecolor="#ffffff">
                <v:path arrowok="t"/>
              </v:shape>
            </v:group>
            <v:group style="position:absolute;left:6952;top:14028;width:1833;height:1073" coordorigin="6952,14028" coordsize="1833,1073">
              <v:shape style="position:absolute;left:6952;top:14028;width:1833;height:1073" coordorigin="6952,14028" coordsize="1833,1073" path="m6952,15101l8785,15101,8785,14028,6952,14028,6952,15101xe" filled="true" fillcolor="#ffffff" stroked="false">
                <v:path arrowok="t"/>
                <v:fill type="solid"/>
              </v:shape>
            </v:group>
            <v:group style="position:absolute;left:6975;top:13636;width:1788;height:392" coordorigin="6975,13636" coordsize="1788,392">
              <v:shape style="position:absolute;left:6975;top:13636;width:1788;height:392" coordorigin="6975,13636" coordsize="1788,392" path="m6975,14028l8762,14028,8762,13636,6975,13636,6975,14028xe" filled="true" fillcolor="#ffffff" stroked="false">
                <v:path arrowok="t"/>
                <v:fill type="solid"/>
              </v:shape>
            </v:group>
            <w10:wrap type="none"/>
          </v:group>
        </w:pict>
      </w:r>
    </w:p>
    <w:tbl>
      <w:tblPr>
        <w:tblW w:w="0" w:type="auto"/>
        <w:jc w:val="left"/>
        <w:tblInd w:w="702" w:type="dxa"/>
        <w:tblLayout w:type="fixed"/>
        <w:tblCellMar>
          <w:top w:w="0" w:type="dxa"/>
          <w:left w:w="0" w:type="dxa"/>
          <w:bottom w:w="0" w:type="dxa"/>
          <w:right w:w="0" w:type="dxa"/>
        </w:tblCellMar>
        <w:tblLook w:val="01E0"/>
      </w:tblPr>
      <w:tblGrid>
        <w:gridCol w:w="1795"/>
        <w:gridCol w:w="1565"/>
        <w:gridCol w:w="1356"/>
        <w:gridCol w:w="1170"/>
        <w:gridCol w:w="1312"/>
        <w:gridCol w:w="1332"/>
      </w:tblGrid>
      <w:tr>
        <w:trPr>
          <w:trHeight w:val="342"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段</w:t>
            </w:r>
          </w:p>
        </w:tc>
      </w:tr>
    </w:tbl>
    <w:p>
      <w:pPr>
        <w:pStyle w:val="BodyText"/>
        <w:spacing w:line="240" w:lineRule="auto" w:before="10"/>
        <w:ind w:left="514" w:right="0"/>
        <w:jc w:val="left"/>
      </w:pPr>
      <w:r>
        <w:rPr/>
        <w:t>因客户</w:t>
      </w:r>
      <w:r>
        <w:rPr>
          <w:rFonts w:ascii="Times New Roman" w:hAnsi="Times New Roman" w:cs="Times New Roman" w:eastAsia="Times New Roman" w:hint="default"/>
        </w:rPr>
        <w:t>PERCEPTION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LIMITED/PD</w:t>
      </w:r>
      <w:r>
        <w:rPr>
          <w:rFonts w:ascii="Times New Roman" w:hAnsi="Times New Roman" w:cs="Times New Roman" w:eastAsia="Times New Roman" w:hint="default"/>
          <w:spacing w:val="-11"/>
        </w:rPr>
        <w:t> </w:t>
      </w:r>
      <w:r>
        <w:rPr>
          <w:rFonts w:ascii="Times New Roman" w:hAnsi="Times New Roman" w:cs="Times New Roman" w:eastAsia="Times New Roman" w:hint="default"/>
        </w:rPr>
        <w:t>TRADING</w:t>
      </w:r>
      <w:r>
        <w:rPr>
          <w:rFonts w:ascii="Times New Roman" w:hAnsi="Times New Roman" w:cs="Times New Roman" w:eastAsia="Times New Roman" w:hint="default"/>
          <w:spacing w:val="-10"/>
        </w:rPr>
        <w:t> </w:t>
      </w:r>
      <w:r>
        <w:rPr>
          <w:rFonts w:ascii="Times New Roman" w:hAnsi="Times New Roman" w:cs="Times New Roman" w:eastAsia="Times New Roman" w:hint="default"/>
        </w:rPr>
        <w:t>(HONG</w:t>
      </w:r>
      <w:r>
        <w:rPr>
          <w:rFonts w:ascii="Times New Roman" w:hAnsi="Times New Roman" w:cs="Times New Roman" w:eastAsia="Times New Roman" w:hint="default"/>
          <w:spacing w:val="-10"/>
        </w:rPr>
        <w:t> </w:t>
      </w:r>
      <w:r>
        <w:rPr>
          <w:rFonts w:ascii="Times New Roman" w:hAnsi="Times New Roman" w:cs="Times New Roman" w:eastAsia="Times New Roman" w:hint="default"/>
        </w:rPr>
        <w:t>KONG)</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逾期支付货款，经公司多次索要无果，</w:t>
      </w:r>
    </w:p>
    <w:p>
      <w:pPr>
        <w:pStyle w:val="BodyText"/>
        <w:spacing w:line="300" w:lineRule="auto" w:before="63"/>
        <w:ind w:left="154" w:right="0"/>
        <w:jc w:val="left"/>
      </w:pP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日向香港高等法院提交《申索陈述书》，并于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日正式向香港高等法院提交简易程序申请，</w:t>
      </w:r>
      <w:r>
        <w:rPr>
          <w:spacing w:val="-50"/>
        </w:rPr>
        <w:t> </w:t>
      </w:r>
      <w:r>
        <w:rPr/>
        <w:t>索偿货款及业务往来过程中的各项款项合计</w:t>
      </w:r>
      <w:r>
        <w:rPr>
          <w:rFonts w:ascii="Times New Roman" w:hAnsi="Times New Roman" w:cs="Times New Roman" w:eastAsia="Times New Roman" w:hint="default"/>
        </w:rPr>
        <w:t>USD292.31</w:t>
      </w:r>
      <w:r>
        <w:rPr/>
        <w:t>万元，截止本报告报出之日，本案件尚处于审理阶段。</w:t>
      </w:r>
    </w:p>
    <w:p>
      <w:pPr>
        <w:pStyle w:val="BodyText"/>
        <w:spacing w:line="300" w:lineRule="auto" w:before="13"/>
        <w:ind w:right="115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日，深圳市盟世奇商贸有限公司（以下简称</w:t>
      </w:r>
      <w:r>
        <w:rPr>
          <w:rFonts w:ascii="Times New Roman" w:hAnsi="Times New Roman" w:cs="Times New Roman" w:eastAsia="Times New Roman" w:hint="default"/>
        </w:rPr>
        <w:t>“</w:t>
      </w:r>
      <w:r>
        <w:rPr/>
        <w:t>盟世奇</w:t>
      </w:r>
      <w:r>
        <w:rPr>
          <w:rFonts w:ascii="Times New Roman" w:hAnsi="Times New Roman" w:cs="Times New Roman" w:eastAsia="Times New Roman" w:hint="default"/>
        </w:rPr>
        <w:t>”</w:t>
      </w:r>
      <w:r>
        <w:rPr/>
        <w:t>）以合同纠纷为案由，向深圳市龙岗区人民法院提起 针对本公司的诉讼，要求解除双方签署的《项目合作协议书》，并要求公司返还研发费、模具费及货款共计</w:t>
      </w:r>
      <w:r>
        <w:rPr>
          <w:rFonts w:ascii="Times New Roman" w:hAnsi="Times New Roman" w:cs="Times New Roman" w:eastAsia="Times New Roman" w:hint="default"/>
        </w:rPr>
        <w:t>99.29</w:t>
      </w:r>
      <w:r>
        <w:rPr/>
        <w:t>万元及利 息、双倍返还定金</w:t>
      </w:r>
      <w:r>
        <w:rPr>
          <w:rFonts w:ascii="Times New Roman" w:hAnsi="Times New Roman" w:cs="Times New Roman" w:eastAsia="Times New Roman" w:hint="default"/>
        </w:rPr>
        <w:t>67.56</w:t>
      </w:r>
      <w:r>
        <w:rPr/>
        <w:t>万元、赔偿各项认证费及改造费共计</w:t>
      </w:r>
      <w:r>
        <w:rPr>
          <w:rFonts w:ascii="Times New Roman" w:hAnsi="Times New Roman" w:cs="Times New Roman" w:eastAsia="Times New Roman" w:hint="default"/>
        </w:rPr>
        <w:t>4.33</w:t>
      </w:r>
      <w:r>
        <w:rPr/>
        <w:t>万元及利息。</w:t>
      </w:r>
    </w:p>
    <w:p>
      <w:pPr>
        <w:pStyle w:val="BodyText"/>
        <w:spacing w:line="300" w:lineRule="auto" w:before="13"/>
        <w:ind w:right="1132" w:firstLine="360"/>
        <w:jc w:val="both"/>
      </w:pPr>
      <w:r>
        <w:rPr>
          <w:spacing w:val="-2"/>
        </w:rPr>
        <w:t>本公司在收到盟世奇起诉状后积极应诉，并于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日提起反诉，诉请继续履行《项目合作协议》，并要求盟世</w:t>
      </w:r>
      <w:r>
        <w:rPr/>
        <w:t> 奇支付剩余货款</w:t>
      </w:r>
      <w:r>
        <w:rPr>
          <w:rFonts w:ascii="Times New Roman" w:hAnsi="Times New Roman" w:cs="Times New Roman" w:eastAsia="Times New Roman" w:hint="default"/>
        </w:rPr>
        <w:t>48.49</w:t>
      </w:r>
      <w:r>
        <w:rPr/>
        <w:t>万元、支付研发费用</w:t>
      </w:r>
      <w:r>
        <w:rPr>
          <w:rFonts w:ascii="Times New Roman" w:hAnsi="Times New Roman" w:cs="Times New Roman" w:eastAsia="Times New Roman" w:hint="default"/>
        </w:rPr>
        <w:t>1.05</w:t>
      </w:r>
      <w:r>
        <w:rPr/>
        <w:t>万美元及利息和支付货物保管费用</w:t>
      </w:r>
      <w:r>
        <w:rPr>
          <w:rFonts w:ascii="Times New Roman" w:hAnsi="Times New Roman" w:cs="Times New Roman" w:eastAsia="Times New Roman" w:hint="default"/>
        </w:rPr>
        <w:t>700.00</w:t>
      </w:r>
      <w:r>
        <w:rPr/>
        <w:t>元。</w:t>
      </w:r>
    </w:p>
    <w:p>
      <w:pPr>
        <w:pStyle w:val="BodyText"/>
        <w:spacing w:line="240" w:lineRule="auto" w:before="13"/>
        <w:ind w:left="513" w:right="0"/>
        <w:jc w:val="left"/>
      </w:pPr>
      <w:r>
        <w:rPr/>
        <w:t>截止本报告报出之日，本案件已经一审判决，但公司已提请反诉，目前正处于司法鉴定程序中。</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公司没有需要披露的重要或有事项，也应予以说明" w:id="347"/>
      <w:bookmarkEnd w:id="34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348"/>
      <w:bookmarkEnd w:id="3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49"/>
      <w:bookmarkEnd w:id="34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50"/>
      <w:bookmarkEnd w:id="35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4252"/>
        <w:gridCol w:w="1844"/>
        <w:gridCol w:w="1913"/>
      </w:tblGrid>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66" w:right="105" w:hanging="360"/>
              <w:jc w:val="left"/>
              <w:rPr>
                <w:rFonts w:ascii="宋体" w:hAnsi="宋体" w:cs="宋体" w:eastAsia="宋体" w:hint="default"/>
                <w:sz w:val="18"/>
                <w:szCs w:val="18"/>
              </w:rPr>
            </w:pPr>
            <w:r>
              <w:rPr>
                <w:rFonts w:ascii="宋体" w:hAnsi="宋体" w:cs="宋体" w:eastAsia="宋体" w:hint="default"/>
                <w:sz w:val="18"/>
                <w:szCs w:val="18"/>
              </w:rPr>
              <w:t>对财务状况和经营成 果的影响数</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844" w:type="dxa"/>
            <w:vMerge/>
            <w:tcBorders>
              <w:left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日收到中国证监会核发的</w:t>
            </w:r>
          </w:p>
        </w:tc>
        <w:tc>
          <w:tcPr>
            <w:tcW w:w="1844" w:type="dxa"/>
            <w:vMerge w:val="restart"/>
            <w:tcBorders>
              <w:top w:val="single" w:sz="4" w:space="0" w:color="000000"/>
              <w:left w:val="single" w:sz="4" w:space="0" w:color="000000"/>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《关于核准深圳市实益达科技股份有限公司向张伟等</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发行股份购买资产并募集配套资金的批复</w:t>
            </w:r>
            <w:r>
              <w:rPr>
                <w:rFonts w:ascii="宋体" w:hAnsi="宋体" w:cs="宋体" w:eastAsia="宋体" w:hint="default"/>
                <w:spacing w:val="-124"/>
                <w:sz w:val="18"/>
                <w:szCs w:val="18"/>
              </w:rPr>
              <w:t>》</w:t>
            </w:r>
            <w:r>
              <w:rPr>
                <w:rFonts w:ascii="宋体" w:hAnsi="宋体" w:cs="宋体" w:eastAsia="宋体" w:hint="default"/>
                <w:sz w:val="18"/>
                <w:szCs w:val="18"/>
              </w:rPr>
              <w:t>（证监许可</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[2015</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2391</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89"/>
                <w:w w:val="99"/>
                <w:sz w:val="18"/>
                <w:szCs w:val="18"/>
              </w:rPr>
              <w:t>）</w:t>
            </w:r>
            <w:r>
              <w:rPr>
                <w:rFonts w:ascii="宋体" w:hAnsi="宋体" w:cs="宋体" w:eastAsia="宋体" w:hint="default"/>
                <w:w w:val="99"/>
                <w:sz w:val="18"/>
                <w:szCs w:val="18"/>
              </w:rPr>
              <w:t>，以及公司于</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2015</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12 </w:t>
            </w:r>
            <w:r>
              <w:rPr>
                <w:rFonts w:ascii="宋体" w:hAnsi="宋体" w:cs="宋体" w:eastAsia="宋体" w:hint="default"/>
                <w:w w:val="99"/>
                <w:sz w:val="18"/>
                <w:szCs w:val="18"/>
              </w:rPr>
              <w:t>月</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28 </w:t>
            </w:r>
            <w:r>
              <w:rPr>
                <w:rFonts w:ascii="宋体" w:hAnsi="宋体" w:cs="宋体" w:eastAsia="宋体" w:hint="default"/>
                <w:w w:val="99"/>
                <w:sz w:val="18"/>
                <w:szCs w:val="18"/>
              </w:rPr>
              <w:t>日召开</w:t>
            </w:r>
            <w:r>
              <w:rPr>
                <w:rFonts w:ascii="宋体" w:hAnsi="宋体" w:cs="宋体" w:eastAsia="宋体" w:hint="default"/>
                <w:sz w:val="18"/>
                <w:szCs w:val="18"/>
              </w:rPr>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的第四届董事会第二十二次会议审议通过的《关于调</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4252" w:type="dxa"/>
            <w:tcBorders>
              <w:top w:val="nil" w:sz="6" w:space="0" w:color="auto"/>
              <w:left w:val="single" w:sz="9" w:space="0" w:color="D2D2D2"/>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整公司发行股份购买资产并募集配套资金暨关联交易</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募投项目尚未开始实施</w:t>
            </w:r>
          </w:p>
        </w:tc>
      </w:tr>
      <w:tr>
        <w:trPr>
          <w:trHeight w:val="277"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方案的议案</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w:t>
            </w:r>
            <w:r>
              <w:rPr>
                <w:rFonts w:ascii="宋体" w:hAnsi="宋体" w:cs="宋体" w:eastAsia="宋体" w:hint="default"/>
                <w:spacing w:val="1"/>
                <w:sz w:val="18"/>
                <w:szCs w:val="18"/>
              </w:rPr>
              <w:t>每</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元的价格，向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名特定投资者定价发行人民币</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66,976,741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股新股，共计募集配套资金总额人民币</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20,196,316.12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w:t>
            </w:r>
          </w:p>
        </w:tc>
        <w:tc>
          <w:tcPr>
            <w:tcW w:w="1844"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实际募集资金净额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555,803,683.88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44" w:type="dxa"/>
            <w:vMerge/>
            <w:tcBorders>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shd w:val="clear" w:color="auto" w:fill="D9D9D9"/>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汇大光电于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日收到全国中小企业股份</w:t>
            </w:r>
          </w:p>
        </w:tc>
        <w:tc>
          <w:tcPr>
            <w:tcW w:w="1844" w:type="dxa"/>
            <w:tcBorders>
              <w:top w:val="single" w:sz="4" w:space="0" w:color="000000"/>
              <w:left w:val="single" w:sz="4" w:space="0" w:color="000000"/>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转让系统有限责任公司出具的《关于同意深圳市汇大</w:t>
            </w:r>
          </w:p>
        </w:tc>
        <w:tc>
          <w:tcPr>
            <w:tcW w:w="1844" w:type="dxa"/>
            <w:tcBorders>
              <w:top w:val="nil" w:sz="6" w:space="0" w:color="auto"/>
              <w:left w:val="single" w:sz="4" w:space="0" w:color="000000"/>
              <w:bottom w:val="nil" w:sz="6" w:space="0" w:color="auto"/>
              <w:right w:val="single" w:sz="4" w:space="0" w:color="000000"/>
            </w:tcBorders>
          </w:tcPr>
          <w:p>
            <w:pPr/>
          </w:p>
        </w:tc>
        <w:tc>
          <w:tcPr>
            <w:tcW w:w="1913" w:type="dxa"/>
            <w:vMerge/>
            <w:tcBorders>
              <w:left w:val="single" w:sz="4" w:space="0" w:color="000000"/>
              <w:right w:val="single" w:sz="4" w:space="0" w:color="000000"/>
            </w:tcBorders>
          </w:tcPr>
          <w:p>
            <w:pPr/>
          </w:p>
        </w:tc>
      </w:tr>
      <w:tr>
        <w:trPr>
          <w:trHeight w:val="302"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光电科技股份有限公司股票在全国中小企业股份转让</w:t>
            </w:r>
          </w:p>
        </w:tc>
        <w:tc>
          <w:tcPr>
            <w:tcW w:w="1844" w:type="dxa"/>
            <w:tcBorders>
              <w:top w:val="nil" w:sz="6" w:space="0" w:color="auto"/>
              <w:left w:val="single" w:sz="4" w:space="0" w:color="000000"/>
              <w:bottom w:val="nil" w:sz="6" w:space="0" w:color="auto"/>
              <w:right w:val="single" w:sz="4" w:space="0" w:color="000000"/>
            </w:tcBorders>
          </w:tcPr>
          <w:p>
            <w:pPr/>
          </w:p>
        </w:tc>
        <w:tc>
          <w:tcPr>
            <w:tcW w:w="191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控股子公司获准挂</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系统挂牌的函</w:t>
            </w:r>
            <w:r>
              <w:rPr>
                <w:rFonts w:ascii="宋体" w:hAnsi="宋体" w:cs="宋体" w:eastAsia="宋体" w:hint="default"/>
                <w:spacing w:val="-100"/>
                <w:sz w:val="18"/>
                <w:szCs w:val="18"/>
              </w:rPr>
              <w:t>》</w:t>
            </w:r>
            <w:r>
              <w:rPr>
                <w:rFonts w:ascii="宋体" w:hAnsi="宋体" w:cs="宋体" w:eastAsia="宋体" w:hint="default"/>
                <w:sz w:val="18"/>
                <w:szCs w:val="18"/>
              </w:rPr>
              <w:t>（股转系统函</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同意汇大</w:t>
            </w:r>
          </w:p>
        </w:tc>
        <w:tc>
          <w:tcPr>
            <w:tcW w:w="1844" w:type="dxa"/>
            <w:tcBorders>
              <w:top w:val="nil" w:sz="6" w:space="0" w:color="auto"/>
              <w:left w:val="single" w:sz="4" w:space="0" w:color="000000"/>
              <w:bottom w:val="nil" w:sz="6" w:space="0" w:color="auto"/>
              <w:right w:val="single" w:sz="4" w:space="0" w:color="000000"/>
            </w:tcBorders>
          </w:tcPr>
          <w:p>
            <w:pPr/>
          </w:p>
        </w:tc>
        <w:tc>
          <w:tcPr>
            <w:tcW w:w="1913" w:type="dxa"/>
            <w:vMerge/>
            <w:tcBorders>
              <w:left w:val="single" w:sz="4" w:space="0" w:color="000000"/>
              <w:right w:val="single" w:sz="4" w:space="0" w:color="000000"/>
            </w:tcBorders>
          </w:tcPr>
          <w:p>
            <w:pPr/>
          </w:p>
        </w:tc>
      </w:tr>
      <w:tr>
        <w:trPr>
          <w:trHeight w:val="322"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牌新三板事项</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光电股票在全国中小企业股份转让系统（即</w:t>
            </w:r>
            <w:r>
              <w:rPr>
                <w:rFonts w:ascii="Times New Roman" w:hAnsi="Times New Roman" w:cs="Times New Roman" w:eastAsia="Times New Roman" w:hint="default"/>
                <w:sz w:val="18"/>
                <w:szCs w:val="18"/>
              </w:rPr>
              <w:t>“</w:t>
            </w:r>
            <w:r>
              <w:rPr>
                <w:rFonts w:ascii="宋体" w:hAnsi="宋体" w:cs="宋体" w:eastAsia="宋体" w:hint="default"/>
                <w:sz w:val="18"/>
                <w:szCs w:val="18"/>
              </w:rPr>
              <w:t>新三板</w:t>
            </w:r>
            <w:r>
              <w:rPr>
                <w:rFonts w:ascii="Times New Roman" w:hAnsi="Times New Roman" w:cs="Times New Roman" w:eastAsia="Times New Roman" w:hint="default"/>
                <w:sz w:val="18"/>
                <w:szCs w:val="18"/>
              </w:rPr>
              <w:t>”</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挂牌，转让方式为协议转让。同时，因汇大光电申请</w:t>
            </w:r>
          </w:p>
        </w:tc>
        <w:tc>
          <w:tcPr>
            <w:tcW w:w="1844" w:type="dxa"/>
            <w:tcBorders>
              <w:top w:val="nil" w:sz="6" w:space="0" w:color="auto"/>
              <w:left w:val="single" w:sz="4" w:space="0" w:color="000000"/>
              <w:bottom w:val="nil" w:sz="6" w:space="0" w:color="auto"/>
              <w:right w:val="single" w:sz="4" w:space="0" w:color="000000"/>
            </w:tcBorders>
          </w:tcPr>
          <w:p>
            <w:pPr/>
          </w:p>
        </w:tc>
        <w:tc>
          <w:tcPr>
            <w:tcW w:w="191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shd w:val="clear" w:color="auto" w:fill="D9D9D9"/>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挂牌时股东人数未超过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人，按规定中国证监会豁</w:t>
            </w:r>
          </w:p>
        </w:tc>
        <w:tc>
          <w:tcPr>
            <w:tcW w:w="1844" w:type="dxa"/>
            <w:tcBorders>
              <w:top w:val="nil" w:sz="6" w:space="0" w:color="auto"/>
              <w:left w:val="single" w:sz="4" w:space="0" w:color="000000"/>
              <w:bottom w:val="nil" w:sz="6" w:space="0" w:color="auto"/>
              <w:right w:val="single" w:sz="4" w:space="0" w:color="000000"/>
            </w:tcBorders>
          </w:tcPr>
          <w:p>
            <w:pPr/>
          </w:p>
        </w:tc>
        <w:tc>
          <w:tcPr>
            <w:tcW w:w="191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single" w:sz="4" w:space="0" w:color="000000"/>
              <w:right w:val="single" w:sz="4" w:space="0" w:color="000000"/>
            </w:tcBorders>
            <w:shd w:val="clear" w:color="auto" w:fill="D9D9D9"/>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免核准汇大光电股票公开转让，挂牌后纳入非上市公</w:t>
            </w:r>
          </w:p>
        </w:tc>
        <w:tc>
          <w:tcPr>
            <w:tcW w:w="1844" w:type="dxa"/>
            <w:tcBorders>
              <w:top w:val="nil" w:sz="6" w:space="0" w:color="auto"/>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4252"/>
        <w:gridCol w:w="1844"/>
        <w:gridCol w:w="1913"/>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众公司监管。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51"/>
      <w:bookmarkEnd w:id="35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6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日，公司与深圳前海知了投资发展有限公司（以下简称</w:t>
      </w:r>
      <w:r>
        <w:rPr>
          <w:rFonts w:ascii="Times New Roman" w:hAnsi="Times New Roman" w:cs="Times New Roman" w:eastAsia="Times New Roman" w:hint="default"/>
        </w:rPr>
        <w:t>“</w:t>
      </w:r>
      <w:r>
        <w:rPr/>
        <w:t>前海知了</w:t>
      </w:r>
      <w:r>
        <w:rPr>
          <w:rFonts w:ascii="Times New Roman" w:hAnsi="Times New Roman" w:cs="Times New Roman" w:eastAsia="Times New Roman" w:hint="default"/>
        </w:rPr>
        <w:t>”</w:t>
      </w:r>
      <w:r>
        <w:rPr/>
        <w:t>）签署《股权转让协议书》，前海 知了将持有的前海实益达</w:t>
      </w:r>
      <w:r>
        <w:rPr>
          <w:rFonts w:ascii="Times New Roman" w:hAnsi="Times New Roman" w:cs="Times New Roman" w:eastAsia="Times New Roman" w:hint="default"/>
        </w:rPr>
        <w:t>25%</w:t>
      </w:r>
      <w:r>
        <w:rPr/>
        <w:t>的股份以人民币</w:t>
      </w:r>
      <w:r>
        <w:rPr>
          <w:rFonts w:ascii="Times New Roman" w:hAnsi="Times New Roman" w:cs="Times New Roman" w:eastAsia="Times New Roman" w:hint="default"/>
        </w:rPr>
        <w:t>1</w:t>
      </w:r>
      <w:r>
        <w:rPr/>
        <w:t>元转让给公司，并于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05</w:t>
      </w:r>
      <w:r>
        <w:rPr/>
        <w:t>日完成股权转让的工商变更，变更完成后 公司持有前海实益达</w:t>
      </w:r>
      <w:r>
        <w:rPr>
          <w:rFonts w:ascii="Times New Roman" w:hAnsi="Times New Roman" w:cs="Times New Roman" w:eastAsia="Times New Roman" w:hint="default"/>
        </w:rPr>
        <w:t>100%</w:t>
      </w:r>
      <w:r>
        <w:rPr/>
        <w:t>的股份。</w:t>
      </w:r>
    </w:p>
    <w:p>
      <w:pPr>
        <w:pStyle w:val="BodyText"/>
        <w:spacing w:line="300" w:lineRule="auto" w:before="13"/>
        <w:ind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01</w:t>
      </w:r>
      <w:r>
        <w:rPr/>
        <w:t>日，公司与新余益明投资合伙企业（有限合伙）、深圳市实益达照明有限公司以及自然人薛桂香、乔 </w:t>
      </w:r>
      <w:r>
        <w:rPr>
          <w:spacing w:val="-2"/>
        </w:rPr>
        <w:t>昕、刘艳丽签署了《增资扩股协议》，约定实益达照明注册资本由</w:t>
      </w:r>
      <w:r>
        <w:rPr>
          <w:rFonts w:ascii="Times New Roman" w:hAnsi="Times New Roman" w:cs="Times New Roman" w:eastAsia="Times New Roman" w:hint="default"/>
          <w:spacing w:val="-2"/>
        </w:rPr>
        <w:t>3000</w:t>
      </w:r>
      <w:r>
        <w:rPr>
          <w:spacing w:val="-2"/>
        </w:rPr>
        <w:t>万元增加至</w:t>
      </w:r>
      <w:r>
        <w:rPr>
          <w:rFonts w:ascii="Times New Roman" w:hAnsi="Times New Roman" w:cs="Times New Roman" w:eastAsia="Times New Roman" w:hint="default"/>
          <w:spacing w:val="-2"/>
        </w:rPr>
        <w:t>3680</w:t>
      </w:r>
      <w:r>
        <w:rPr>
          <w:spacing w:val="-2"/>
        </w:rPr>
        <w:t>万元，其中乔昕先生现金认购新增加</w:t>
      </w:r>
      <w:r>
        <w:rPr>
          <w:spacing w:val="-58"/>
        </w:rPr>
        <w:t> </w:t>
      </w:r>
      <w:r>
        <w:rPr>
          <w:spacing w:val="-58"/>
        </w:rPr>
      </w:r>
      <w:r>
        <w:rPr/>
        <w:t>的</w:t>
      </w:r>
      <w:r>
        <w:rPr>
          <w:rFonts w:ascii="Times New Roman" w:hAnsi="Times New Roman" w:cs="Times New Roman" w:eastAsia="Times New Roman" w:hint="default"/>
        </w:rPr>
        <w:t>600</w:t>
      </w:r>
      <w:r>
        <w:rPr/>
        <w:t>万元注册资本，实益达照明员工薛桂香女士、刘艳丽女士分别以现金认购</w:t>
      </w:r>
      <w:r>
        <w:rPr>
          <w:rFonts w:ascii="Times New Roman" w:hAnsi="Times New Roman" w:cs="Times New Roman" w:eastAsia="Times New Roman" w:hint="default"/>
        </w:rPr>
        <w:t>60</w:t>
      </w:r>
      <w:r>
        <w:rPr/>
        <w:t>万元、</w:t>
      </w:r>
      <w:r>
        <w:rPr>
          <w:rFonts w:ascii="Times New Roman" w:hAnsi="Times New Roman" w:cs="Times New Roman" w:eastAsia="Times New Roman" w:hint="default"/>
        </w:rPr>
        <w:t>20</w:t>
      </w:r>
      <w:r>
        <w:rPr/>
        <w:t>万元注册资本，本次认购价格为 </w:t>
      </w:r>
      <w:r>
        <w:rPr>
          <w:rFonts w:ascii="Times New Roman" w:hAnsi="Times New Roman" w:cs="Times New Roman" w:eastAsia="Times New Roman" w:hint="default"/>
        </w:rPr>
        <w:t>1.55</w:t>
      </w:r>
      <w:r>
        <w:rPr/>
        <w:t>元</w:t>
      </w:r>
      <w:r>
        <w:rPr>
          <w:rFonts w:ascii="Times New Roman" w:hAnsi="Times New Roman" w:cs="Times New Roman" w:eastAsia="Times New Roman" w:hint="default"/>
        </w:rPr>
        <w:t>/</w:t>
      </w:r>
      <w:r>
        <w:rPr/>
        <w:t>股，本次增资的工商变更于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07</w:t>
      </w:r>
      <w:r>
        <w:rPr/>
        <w:t>日完成，变更完成后我公司持有实益达照明的股份比例由</w:t>
      </w:r>
      <w:r>
        <w:rPr>
          <w:rFonts w:ascii="Times New Roman" w:hAnsi="Times New Roman" w:cs="Times New Roman" w:eastAsia="Times New Roman" w:hint="default"/>
        </w:rPr>
        <w:t>93.89%</w:t>
      </w:r>
      <w:r>
        <w:rPr/>
        <w:t>减少至</w:t>
      </w:r>
    </w:p>
    <w:p>
      <w:pPr>
        <w:pStyle w:val="BodyText"/>
        <w:spacing w:line="240" w:lineRule="auto" w:before="13"/>
        <w:ind w:left="154" w:right="0"/>
        <w:jc w:val="left"/>
      </w:pPr>
      <w:r>
        <w:rPr>
          <w:rFonts w:ascii="Times New Roman" w:hAnsi="Times New Roman" w:cs="Times New Roman" w:eastAsia="Times New Roman" w:hint="default"/>
        </w:rPr>
        <w:t>76.543%</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日召开第四届董事会第二十四次会议审议通过了《关于投资北京赢销通软件技术有限公司暨关联</w:t>
      </w:r>
      <w:r>
        <w:rPr/>
        <w:t> </w:t>
      </w:r>
      <w:r>
        <w:rPr>
          <w:spacing w:val="-2"/>
        </w:rPr>
        <w:t>交易的议案》，公司实际控制人陈亚妹女士将先行向赢销通提供</w:t>
      </w:r>
      <w:r>
        <w:rPr>
          <w:rFonts w:ascii="Times New Roman" w:hAnsi="Times New Roman" w:cs="Times New Roman" w:eastAsia="Times New Roman" w:hint="default"/>
          <w:spacing w:val="-2"/>
        </w:rPr>
        <w:t>9000</w:t>
      </w:r>
      <w:r>
        <w:rPr>
          <w:spacing w:val="-2"/>
        </w:rPr>
        <w:t>万元贷款，在借款期限内且赢销通满足投资条件后（若</w:t>
      </w:r>
      <w:r>
        <w:rPr>
          <w:spacing w:val="-62"/>
        </w:rPr>
        <w:t> </w:t>
      </w:r>
      <w:r>
        <w:rPr>
          <w:spacing w:val="-62"/>
        </w:rPr>
      </w:r>
      <w:r>
        <w:rPr>
          <w:spacing w:val="-1"/>
        </w:rPr>
        <w:t>不满足条件时公司可选择继续投资），公司将投资不超过</w:t>
      </w:r>
      <w:r>
        <w:rPr>
          <w:rFonts w:ascii="Times New Roman" w:hAnsi="Times New Roman" w:cs="Times New Roman" w:eastAsia="Times New Roman" w:hint="default"/>
          <w:spacing w:val="-1"/>
        </w:rPr>
        <w:t>9300</w:t>
      </w:r>
      <w:r>
        <w:rPr>
          <w:spacing w:val="-1"/>
        </w:rPr>
        <w:t>万元持有赢销通</w:t>
      </w:r>
      <w:r>
        <w:rPr>
          <w:rFonts w:ascii="Times New Roman" w:hAnsi="Times New Roman" w:cs="Times New Roman" w:eastAsia="Times New Roman" w:hint="default"/>
          <w:spacing w:val="-1"/>
        </w:rPr>
        <w:t>10%</w:t>
      </w:r>
      <w:r>
        <w:rPr>
          <w:spacing w:val="-1"/>
        </w:rPr>
        <w:t>的股权，其中部分用于增资认购赢销通新</w:t>
      </w:r>
      <w:r>
        <w:rPr>
          <w:spacing w:val="-86"/>
        </w:rPr>
        <w:t> </w:t>
      </w:r>
      <w:r>
        <w:rPr>
          <w:spacing w:val="-86"/>
        </w:rPr>
      </w:r>
      <w:r>
        <w:rPr/>
        <w:t>增注册资本，部分用于受让</w:t>
      </w:r>
      <w:r>
        <w:rPr>
          <w:rFonts w:ascii="Times New Roman" w:hAnsi="Times New Roman" w:cs="Times New Roman" w:eastAsia="Times New Roman" w:hint="default"/>
        </w:rPr>
        <w:t>Winchannel Software Technology Co.,</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持有的赢销通的注册资本。</w:t>
      </w:r>
    </w:p>
    <w:p>
      <w:pPr>
        <w:pStyle w:val="BodyText"/>
        <w:spacing w:line="300" w:lineRule="auto" w:before="13"/>
        <w:ind w:right="1153" w:firstLine="360"/>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日召开第四届董事会第二十六次会议审议通过了《关于公司出售深圳市元通孵化有限公司</w:t>
      </w:r>
      <w:r>
        <w:rPr>
          <w:rFonts w:ascii="Times New Roman" w:hAnsi="Times New Roman" w:cs="Times New Roman" w:eastAsia="Times New Roman" w:hint="default"/>
        </w:rPr>
        <w:t>100% </w:t>
      </w:r>
      <w:r>
        <w:rPr/>
        <w:t>股权不构成重大资产重组事项的议案》，本次资产出售预计交易金额为</w:t>
      </w:r>
      <w:r>
        <w:rPr>
          <w:rFonts w:ascii="Times New Roman" w:hAnsi="Times New Roman" w:cs="Times New Roman" w:eastAsia="Times New Roman" w:hint="default"/>
        </w:rPr>
        <w:t>2.65</w:t>
      </w:r>
      <w:r>
        <w:rPr/>
        <w:t>亿元，占</w:t>
      </w:r>
      <w:r>
        <w:rPr>
          <w:rFonts w:ascii="Times New Roman" w:hAnsi="Times New Roman" w:cs="Times New Roman" w:eastAsia="Times New Roman" w:hint="default"/>
        </w:rPr>
        <w:t>2015</w:t>
      </w:r>
      <w:r>
        <w:rPr/>
        <w:t>年度经审计的净资产额的比例为 </w:t>
      </w:r>
      <w:r>
        <w:rPr>
          <w:rFonts w:ascii="Times New Roman" w:hAnsi="Times New Roman" w:cs="Times New Roman" w:eastAsia="Times New Roman" w:hint="default"/>
        </w:rPr>
        <w:t>29.50%</w:t>
      </w:r>
      <w:r>
        <w:rPr/>
        <w:t>，尚未达到《上市公司重大资产重组管理办法》规定的</w:t>
      </w:r>
      <w:r>
        <w:rPr>
          <w:rFonts w:ascii="Times New Roman" w:hAnsi="Times New Roman" w:cs="Times New Roman" w:eastAsia="Times New Roman" w:hint="default"/>
        </w:rPr>
        <w:t>50%</w:t>
      </w:r>
      <w:r>
        <w:rPr/>
        <w:t>的比例，不构成重大资产重组。</w:t>
      </w:r>
    </w:p>
    <w:p>
      <w:pPr>
        <w:pStyle w:val="BodyText"/>
        <w:spacing w:line="300" w:lineRule="auto" w:before="13"/>
        <w:ind w:right="1130" w:firstLine="360"/>
        <w:jc w:val="both"/>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日召开第四届董事会第二十六次会议审议通过了《关于注销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解锁条件的股票 期权和限制性股票及注销部分已离职激励对象的股票期权的议案》，因公司股权激励计划首次授予部分的第二个行权</w:t>
      </w:r>
      <w:r>
        <w:rPr>
          <w:rFonts w:ascii="Times New Roman" w:hAnsi="Times New Roman" w:cs="Times New Roman" w:eastAsia="Times New Roman" w:hint="default"/>
        </w:rPr>
        <w:t>/</w:t>
      </w:r>
      <w:r>
        <w:rPr/>
        <w:t>解锁 期及预留部分第一个行权</w:t>
      </w:r>
      <w:r>
        <w:rPr>
          <w:rFonts w:ascii="Times New Roman" w:hAnsi="Times New Roman" w:cs="Times New Roman" w:eastAsia="Times New Roman" w:hint="default"/>
        </w:rPr>
        <w:t>/</w:t>
      </w:r>
      <w:r>
        <w:rPr/>
        <w:t>解锁期未达到行权</w:t>
      </w:r>
      <w:r>
        <w:rPr>
          <w:rFonts w:ascii="Times New Roman" w:hAnsi="Times New Roman" w:cs="Times New Roman" w:eastAsia="Times New Roman" w:hint="default"/>
        </w:rPr>
        <w:t>/</w:t>
      </w:r>
      <w:r>
        <w:rPr/>
        <w:t>解锁条件，公司决定注销激励对象所持有的未达到行权条件的股票期权</w:t>
      </w:r>
      <w:r>
        <w:rPr>
          <w:rFonts w:ascii="Times New Roman" w:hAnsi="Times New Roman" w:cs="Times New Roman" w:eastAsia="Times New Roman" w:hint="default"/>
        </w:rPr>
        <w:t>36.9</w:t>
      </w:r>
      <w:r>
        <w:rPr/>
        <w:t>万 </w:t>
      </w:r>
      <w:r>
        <w:rPr>
          <w:spacing w:val="-1"/>
        </w:rPr>
        <w:t>股，并回购注销激励对象持有的未达到解锁条件的限制性股票</w:t>
      </w:r>
      <w:r>
        <w:rPr>
          <w:rFonts w:ascii="Times New Roman" w:hAnsi="Times New Roman" w:cs="Times New Roman" w:eastAsia="Times New Roman" w:hint="default"/>
          <w:spacing w:val="-1"/>
        </w:rPr>
        <w:t>59.9</w:t>
      </w:r>
      <w:r>
        <w:rPr>
          <w:spacing w:val="-1"/>
        </w:rPr>
        <w:t>万股；同时，因公司股权激励计划部分激励对象离职而不</w:t>
      </w:r>
      <w:r>
        <w:rPr>
          <w:spacing w:val="-77"/>
        </w:rPr>
        <w:t> </w:t>
      </w:r>
      <w:r>
        <w:rPr>
          <w:spacing w:val="-77"/>
        </w:rPr>
      </w:r>
      <w:r>
        <w:rPr/>
        <w:t>再符合激励条件，公司拟注销其持有的已获授但尚未行权的股票期权合计</w:t>
      </w:r>
      <w:r>
        <w:rPr>
          <w:rFonts w:ascii="Times New Roman" w:hAnsi="Times New Roman" w:cs="Times New Roman" w:eastAsia="Times New Roman" w:hint="default"/>
        </w:rPr>
        <w:t>40.62</w:t>
      </w:r>
      <w:r>
        <w:rPr/>
        <w:t>万股。</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四、其他重要事项" w:id="352"/>
      <w:bookmarkEnd w:id="352"/>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对投资者决策有影响的重要交易和事项" w:id="353"/>
      <w:bookmarkEnd w:id="353"/>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 w:id="354"/>
      <w:bookmarkEnd w:id="354"/>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（一）实际控制人及高管股权质押情况</w:t>
      </w:r>
    </w:p>
    <w:p>
      <w:pPr>
        <w:spacing w:line="240" w:lineRule="auto" w:before="1"/>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990"/>
        <w:gridCol w:w="3659"/>
        <w:gridCol w:w="1315"/>
        <w:gridCol w:w="1026"/>
        <w:gridCol w:w="1537"/>
      </w:tblGrid>
      <w:tr>
        <w:trPr>
          <w:trHeight w:val="653" w:hRule="exact"/>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471" w:right="293" w:hanging="180"/>
              <w:jc w:val="left"/>
              <w:rPr>
                <w:rFonts w:ascii="宋体" w:hAnsi="宋体" w:cs="宋体" w:eastAsia="宋体" w:hint="default"/>
                <w:sz w:val="18"/>
                <w:szCs w:val="18"/>
              </w:rPr>
            </w:pPr>
            <w:r>
              <w:rPr>
                <w:rFonts w:ascii="宋体" w:hAnsi="宋体" w:cs="宋体" w:eastAsia="宋体" w:hint="default"/>
                <w:sz w:val="18"/>
                <w:szCs w:val="18"/>
              </w:rPr>
              <w:t>质押股份 数量</w:t>
            </w:r>
          </w:p>
        </w:tc>
        <w:tc>
          <w:tcPr>
            <w:tcW w:w="1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质押日期</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328" w:right="41" w:hanging="285"/>
              <w:jc w:val="left"/>
              <w:rPr>
                <w:rFonts w:ascii="宋体" w:hAnsi="宋体" w:cs="宋体" w:eastAsia="宋体" w:hint="default"/>
                <w:sz w:val="18"/>
                <w:szCs w:val="18"/>
              </w:rPr>
            </w:pPr>
            <w:r>
              <w:rPr>
                <w:rFonts w:ascii="宋体" w:hAnsi="宋体" w:cs="宋体" w:eastAsia="宋体" w:hint="default"/>
                <w:sz w:val="18"/>
                <w:szCs w:val="18"/>
              </w:rPr>
              <w:t>占公司股份总额的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上海浦东发展银行股份有限公司深圳分行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36,720,000.00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2015-04-29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7.19</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上海浦东发展银行股份有限公司深圳分行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18,360,000.00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2015-07-30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3.60</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14,800,000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2015-11-23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2.90</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国联证券股份有限公司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14,500,000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2015-11-23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2015-11-23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2.35</w:t>
            </w:r>
          </w:p>
        </w:tc>
      </w:tr>
      <w:tr>
        <w:trPr>
          <w:trHeight w:val="342"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2015-12-30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5.68</w:t>
            </w:r>
          </w:p>
        </w:tc>
      </w:tr>
      <w:tr>
        <w:trPr>
          <w:trHeight w:val="343" w:hRule="exact"/>
        </w:trPr>
        <w:tc>
          <w:tcPr>
            <w:tcW w:w="4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125,380,000.00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母公司财务报表主要项目注释" w:id="355"/>
      <w:bookmarkEnd w:id="355"/>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56"/>
      <w:bookmarkEnd w:id="35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57"/>
      <w:bookmarkEnd w:id="35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30,511,3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16,442,4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14,068,91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28,751,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208.36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15,493,89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13,257,314.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22,739,7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936,481.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21,803,30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76,189,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468.05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3,804,500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72,384,967.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53,251,1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22.64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17,378,8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32.64%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35,872,22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104,940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,676.41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19,298,39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85,642,282.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Perception Digital</w:t>
            </w:r>
            <w:r>
              <w:rPr>
                <w:rFonts w:ascii="Times New Roman"/>
                <w:spacing w:val="-4"/>
                <w:sz w:val="18"/>
              </w:rPr>
              <w:t> </w:t>
            </w:r>
            <w:r>
              <w:rPr>
                <w:rFonts w:ascii="Times New Roman"/>
                <w:sz w:val="18"/>
              </w:rPr>
              <w:t>Limited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30,511,332.99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16,442,417.01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客户出现财务困难</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30,511,332.99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16,442,417.01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18,305,960.84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915,298.07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21,183.01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18,411,875.89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936,481.08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组合中，采用其他方法计提坏账准备的应收账款：</w:t>
      </w:r>
    </w:p>
    <w:p>
      <w:pPr>
        <w:spacing w:line="240" w:lineRule="auto" w:before="13"/>
        <w:rPr>
          <w:rFonts w:ascii="宋体" w:hAnsi="宋体" w:cs="宋体" w:eastAsia="宋体" w:hint="default"/>
          <w:sz w:val="12"/>
          <w:szCs w:val="12"/>
        </w:rPr>
      </w:pPr>
    </w:p>
    <w:p>
      <w:pPr>
        <w:pStyle w:val="Heading4"/>
        <w:spacing w:line="240" w:lineRule="auto"/>
        <w:ind w:left="633" w:right="0"/>
        <w:jc w:val="left"/>
      </w:pPr>
      <w:r>
        <w:rPr>
          <w:rFonts w:ascii="宋体" w:hAnsi="宋体" w:cs="宋体" w:eastAsia="宋体" w:hint="default"/>
        </w:rPr>
        <w:t>1.</w:t>
      </w:r>
      <w:r>
        <w:rPr>
          <w:rFonts w:ascii="宋体" w:hAnsi="宋体" w:cs="宋体" w:eastAsia="宋体" w:hint="default"/>
          <w:spacing w:val="44"/>
        </w:rPr>
        <w:t> </w:t>
      </w:r>
      <w:r>
        <w:rPr/>
        <w:t>组合中，不计提坏账准备的应收账款</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2131"/>
        <w:gridCol w:w="2133"/>
        <w:gridCol w:w="2132"/>
        <w:gridCol w:w="2132"/>
      </w:tblGrid>
      <w:tr>
        <w:trPr>
          <w:trHeight w:val="342" w:hRule="exact"/>
        </w:trPr>
        <w:tc>
          <w:tcPr>
            <w:tcW w:w="213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131" w:type="dxa"/>
            <w:vMerge/>
            <w:tcBorders>
              <w:left w:val="single" w:sz="4" w:space="0" w:color="000000"/>
              <w:bottom w:val="single" w:sz="4" w:space="0" w:color="000000"/>
              <w:right w:val="single" w:sz="4" w:space="0" w:color="000000"/>
            </w:tcBorders>
            <w:shd w:val="clear" w:color="auto" w:fill="D9D9D9"/>
          </w:tcPr>
          <w:p>
            <w:pPr/>
          </w:p>
        </w:tc>
        <w:tc>
          <w:tcPr>
            <w:tcW w:w="2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5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34"/>
              <w:jc w:val="left"/>
              <w:rPr>
                <w:rFonts w:ascii="宋体" w:hAnsi="宋体" w:cs="宋体" w:eastAsia="宋体" w:hint="default"/>
                <w:sz w:val="18"/>
                <w:szCs w:val="18"/>
              </w:rPr>
            </w:pPr>
            <w:r>
              <w:rPr>
                <w:rFonts w:ascii="宋体" w:hAnsi="宋体" w:cs="宋体" w:eastAsia="宋体" w:hint="default"/>
                <w:sz w:val="18"/>
                <w:szCs w:val="18"/>
              </w:rPr>
              <w:t>深圳市实益达工业有限公 司</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4,327,913.76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4,327,913.76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358"/>
      <w:bookmarkEnd w:id="35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1,919,495.91</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名的应收账款情况" w:id="359"/>
      <w:bookmarkEnd w:id="35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05" w:type="dxa"/>
        <w:tblLayout w:type="fixed"/>
        <w:tblCellMar>
          <w:top w:w="0" w:type="dxa"/>
          <w:left w:w="0" w:type="dxa"/>
          <w:bottom w:w="0" w:type="dxa"/>
          <w:right w:w="0" w:type="dxa"/>
        </w:tblCellMar>
        <w:tblLook w:val="01E0"/>
      </w:tblPr>
      <w:tblGrid>
        <w:gridCol w:w="3040"/>
        <w:gridCol w:w="1475"/>
        <w:gridCol w:w="2314"/>
        <w:gridCol w:w="1699"/>
      </w:tblGrid>
      <w:tr>
        <w:trPr>
          <w:trHeight w:val="653" w:hRule="exact"/>
        </w:trPr>
        <w:tc>
          <w:tcPr>
            <w:tcW w:w="3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占应收账款期末余额的比例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30,511,332.99</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57.30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16,442,417.01</w:t>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5,502,147.28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275,107.36</w:t>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4,711,485.10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235,574.26</w:t>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4,597,490.75</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229,874.54</w:t>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4,327,913.76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4"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49,650,369.88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93.24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17,182,973.17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360"/>
      <w:bookmarkEnd w:id="36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61"/>
      <w:bookmarkEnd w:id="36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49,566,9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156,215.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49,410,72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57,749,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748.86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57,621,963.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49,566,9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40.16</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156,215.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49,410,72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57,749,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748.86</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127,785.0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57,621,963.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5,915.84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106,007.00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21,201.40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79,056.00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50,042.50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50,042.50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432,478.26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156,215.74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36.12%</w:t>
            </w: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2138"/>
        <w:gridCol w:w="2130"/>
        <w:gridCol w:w="2130"/>
        <w:gridCol w:w="2129"/>
      </w:tblGrid>
      <w:tr>
        <w:trPr>
          <w:trHeight w:val="342" w:hRule="exact"/>
        </w:trPr>
        <w:tc>
          <w:tcPr>
            <w:tcW w:w="21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39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138" w:type="dxa"/>
            <w:vMerge/>
            <w:tcBorders>
              <w:left w:val="single" w:sz="4" w:space="0" w:color="000000"/>
              <w:bottom w:val="single" w:sz="4" w:space="0" w:color="000000"/>
              <w:right w:val="single" w:sz="4" w:space="0" w:color="000000"/>
            </w:tcBorders>
            <w:shd w:val="clear" w:color="auto" w:fill="D9D9D9"/>
          </w:tcPr>
          <w:p>
            <w:pPr/>
          </w:p>
        </w:tc>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3"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11,498.64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107,387.70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内部关联方往来款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49,015,575.56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49,134,461.90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362"/>
      <w:bookmarkEnd w:id="3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本期计提坏账准备金额</w:t>
      </w:r>
      <w:r>
        <w:rPr>
          <w:spacing w:val="-46"/>
        </w:rPr>
        <w:t> </w:t>
      </w:r>
      <w:r>
        <w:rPr>
          <w:rFonts w:ascii="Times New Roman" w:hAnsi="Times New Roman" w:cs="Times New Roman" w:eastAsia="Times New Roman" w:hint="default"/>
        </w:rPr>
        <w:t>28,430.67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63"/>
      <w:bookmarkEnd w:id="36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390,042.50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558,352.54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49,015,575.56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56,927,532.28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11,498.64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51,095.30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37,107.00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107,387.70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4,935.66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175,661.74</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49,566,940.16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57,749,748.86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按欠款方归集的期末余额前五名的其他应收款情况" w:id="364"/>
      <w:bookmarkEnd w:id="36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凯扬商贸（香港）有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47,529,710.52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深圳市实益达工业有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1,436,373.54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107,387.70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pacing w:val="-10"/>
                <w:sz w:val="18"/>
                <w:szCs w:val="18"/>
              </w:rPr>
              <w:t>利比投资咨询（上海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有限公司深圳分公司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押金</w:t>
            </w:r>
          </w:p>
          <w:p>
            <w:pPr>
              <w:pStyle w:val="TableParagraph"/>
              <w:spacing w:line="559"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pt;mso-position-horizontal-relative:char;mso-position-vertical-relative:line" coordorigin="0,0" coordsize="1542,560">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494;height:392" coordorigin="24,156" coordsize="1494,392">
                    <v:shape style="position:absolute;left:24;top:156;width:1494;height:392" coordorigin="24,156" coordsize="1494,392" path="m24,547l1518,547,1518,156,24,156,24,547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深圳市燃气集团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49,243,471.76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65"/>
      <w:bookmarkEnd w:id="36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980,730,021.68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970,278,622.77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306,218,021.68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295,766,622.77</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22,006,842.96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22,006,842.96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1,002,736,864.64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992,285,465.73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306,218,021.68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295,766,622.77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66"/>
      <w:bookmarkEnd w:id="36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实益达科技（香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519,700.00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无锡实益达电子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251,254,493.46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251,254,493.46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深圳市汇大光电 科技股份有限公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10,451,398.91</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凯扬商贸（香港）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396,546.00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396,546.00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深圳市实益达照 明有限公司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36,752,000.00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36,752,000.00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无锡实益达照明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24,047,282.22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24,047,282.22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深圳前海实益达 投资发展有限公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深圳市哇塞宝贝 网络科技有限公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上海顺为广告传 播有限公司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奇思国际广告（北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上海利宣广告有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306,218,021.68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674,512,000.00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980,730,021.68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10,451,398.91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67"/>
      <w:bookmarkEnd w:id="36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广州讯友 数码科技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22,006,84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22,006,84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22,006,84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68"/>
      <w:bookmarkEnd w:id="36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190,625,071.64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169,334,622.57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284,471,596.12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252,213,276.21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22,444,262.25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9,868,687.99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22,267,703.89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11,875,039.75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213,069,333.89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179,203,310.56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306,739,300.01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264,088,315.96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69"/>
      <w:bookmarkEnd w:id="36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13"/>
        <w:gridCol w:w="3071"/>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1,606,842.96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1,303,331.76</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1,606,842.96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1,303,331.76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70"/>
      <w:bookmarkEnd w:id="370"/>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71"/>
      <w:bookmarkEnd w:id="37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1,857,783.03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1,304,879.96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因获得政府补助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4,093,600.17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-277,551.26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16,499.74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6,959,881.76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72"/>
      <w:bookmarkEnd w:id="37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0.0391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第十一节 备查文件目录" w:id="373"/>
      <w:bookmarkEnd w:id="373"/>
      <w:r>
        <w:rPr>
          <w:b w:val="0"/>
          <w:bCs w:val="0"/>
        </w:rPr>
      </w:r>
      <w:bookmarkStart w:name="_bookmark9" w:id="374"/>
      <w:bookmarkEnd w:id="374"/>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before="0"/>
        <w:ind w:right="1118" w:firstLine="360"/>
        <w:jc w:val="left"/>
      </w:pPr>
      <w:r>
        <w:rPr>
          <w:spacing w:val="-2"/>
        </w:rPr>
        <w:t>一、载有公司法定代表人陈亚妹女士、主管会计工作负责人廖建中先生、会计机构负责人袁素华女士签名并盖章的会计</w:t>
      </w:r>
      <w:r>
        <w:rPr/>
        <w:t> 报表；</w:t>
      </w:r>
    </w:p>
    <w:p>
      <w:pPr>
        <w:pStyle w:val="BodyText"/>
        <w:spacing w:line="316" w:lineRule="auto"/>
        <w:ind w:left="513" w:right="1118"/>
        <w:jc w:val="left"/>
      </w:pPr>
      <w:r>
        <w:rPr/>
        <w:t>二、载有大华会计师事务所（特殊普通合伙）盖章、注册会计师签名并盖章的审计报告原件； 三、报告期内在中国证监会指定网站上巨潮资讯网（</w:t>
      </w:r>
      <w:hyperlink r:id="rId12">
        <w:r>
          <w:rPr>
            <w:rFonts w:ascii="Times New Roman" w:hAnsi="Times New Roman" w:cs="Times New Roman" w:eastAsia="Times New Roman" w:hint="default"/>
          </w:rPr>
          <w:t>http://www.cninfo.com.cn</w:t>
        </w:r>
      </w:hyperlink>
      <w:r>
        <w:rPr/>
        <w:t>）上公开披露过的所有公司文件的正本及</w:t>
      </w:r>
    </w:p>
    <w:p>
      <w:pPr>
        <w:pStyle w:val="BodyText"/>
        <w:spacing w:line="235" w:lineRule="exact" w:before="0"/>
        <w:ind w:right="0"/>
        <w:jc w:val="left"/>
      </w:pPr>
      <w:r>
        <w:rPr/>
        <w:t>公告的原稿；</w:t>
      </w:r>
    </w:p>
    <w:p>
      <w:pPr>
        <w:pStyle w:val="BodyText"/>
        <w:spacing w:line="240" w:lineRule="auto" w:before="76"/>
        <w:ind w:left="513" w:right="0"/>
        <w:jc w:val="left"/>
      </w:pPr>
      <w:r>
        <w:rPr/>
        <w:t>四、以上文件备置地：公司董事会秘书办公室。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40"/>
        <w:ind w:left="6454" w:right="2202" w:hanging="630"/>
        <w:jc w:val="left"/>
      </w:pPr>
      <w:r>
        <w:rPr/>
        <w:t>深圳市麦达数字股份有限公司董事会 </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25</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96880" type="#_x0000_t75" stroked="false">
          <v:imagedata r:id="rId1" o:title=""/>
        </v:shape>
      </w:pict>
    </w:r>
    <w:r>
      <w:rPr/>
      <w:pict>
        <v:shape style="position:absolute;margin-left:533.179993pt;margin-top:795.517944pt;width:6.5pt;height:11pt;mso-position-horizontal-relative:page;mso-position-vertical-relative:page;z-index:-9968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96832" type="#_x0000_t75" stroked="false">
          <v:imagedata r:id="rId1" o:title=""/>
        </v:shape>
      </w:pict>
    </w:r>
    <w:r>
      <w:rPr/>
      <w:pict>
        <v:shape style="position:absolute;margin-left:527.679993pt;margin-top:781.957947pt;width:13pt;height:11pt;mso-position-horizontal-relative:page;mso-position-vertical-relative:page;z-index:-9968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96784" type="#_x0000_t75" stroked="false">
          <v:imagedata r:id="rId1" o:title=""/>
        </v:shape>
      </w:pict>
    </w:r>
    <w:r>
      <w:rPr/>
      <w:pict>
        <v:shape style="position:absolute;margin-left:527.679993pt;margin-top:781.957947pt;width:13pt;height:11pt;mso-position-horizontal-relative:page;mso-position-vertical-relative:page;z-index:-9967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96736" type="#_x0000_t75" stroked="false">
          <v:imagedata r:id="rId1" o:title=""/>
        </v:shape>
      </w:pict>
    </w:r>
    <w:r>
      <w:rPr/>
      <w:pict>
        <v:shape style="position:absolute;margin-left:524.179993pt;margin-top:781.957947pt;width:15.5pt;height:11pt;mso-position-horizontal-relative:page;mso-position-vertical-relative:page;z-index:-9967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96688" type="#_x0000_t75" stroked="false">
          <v:imagedata r:id="rId1" o:title=""/>
        </v:shape>
      </w:pict>
    </w:r>
    <w:r>
      <w:rPr/>
      <w:pict>
        <v:shape style="position:absolute;margin-left:523.179993pt;margin-top:781.957947pt;width:17.5pt;height:11pt;mso-position-horizontal-relative:page;mso-position-vertical-relative:page;z-index:-9966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996904" type="#_x0000_t202" filled="false" stroked="false">
          <v:textbox inset="0,0,0,0">
            <w:txbxContent>
              <w:p>
                <w:pPr>
                  <w:pStyle w:val="BodyText"/>
                  <w:spacing w:line="214" w:lineRule="exact" w:before="0"/>
                  <w:ind w:left="20" w:right="0"/>
                  <w:jc w:val="left"/>
                </w:pPr>
                <w:r>
                  <w:rPr/>
                  <w:t>深圳市麦达数字股份有限公司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3"/>
    </w:pPr>
    <w:rPr>
      <w:rFonts w:ascii="宋体" w:hAnsi="宋体" w:eastAsia="宋体"/>
      <w:b/>
      <w:bCs/>
      <w:sz w:val="24"/>
      <w:szCs w:val="24"/>
    </w:rPr>
  </w:style>
  <w:style w:styleId="BodyText" w:type="paragraph">
    <w:name w:val="Body Text"/>
    <w:basedOn w:val="Normal"/>
    <w:uiPriority w:val="1"/>
    <w:qFormat/>
    <w:pPr>
      <w:spacing w:before="19"/>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indatagroup.com/" TargetMode="External"/><Relationship Id="rId10" Type="http://schemas.openxmlformats.org/officeDocument/2006/relationships/hyperlink" Target="mailto:dmb@mindatagroup.com" TargetMode="External"/><Relationship Id="rId11" Type="http://schemas.openxmlformats.org/officeDocument/2006/relationships/hyperlink" Target="mailto:Shirong.Chen@mindatagroup.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 TargetMode="Externa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深圳市麦达数字股份有限公司</dc:creator>
  <dc:title>深圳市麦达数字股份有限公司2015年年度报告全文</dc:title>
  <dcterms:created xsi:type="dcterms:W3CDTF">2020-05-04T12:30:26Z</dcterms:created>
  <dcterms:modified xsi:type="dcterms:W3CDTF">2020-05-04T12:30:26Z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